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E4B40" w14:textId="77777777" w:rsidR="00770B01" w:rsidRDefault="00770B01" w:rsidP="00773CE1">
      <w:pPr>
        <w:rPr>
          <w:rFonts w:ascii="Calibri" w:hAnsi="Calibri" w:cs="Calibri"/>
          <w:szCs w:val="24"/>
        </w:rPr>
        <w:sectPr w:rsidR="00770B01" w:rsidSect="00C21862">
          <w:headerReference w:type="default" r:id="rId8"/>
          <w:footerReference w:type="default" r:id="rId9"/>
          <w:pgSz w:w="11907" w:h="16840" w:code="9"/>
          <w:pgMar w:top="3084" w:right="1412" w:bottom="1140" w:left="1701" w:header="851" w:footer="567" w:gutter="0"/>
          <w:paperSrc w:first="15" w:other="15"/>
          <w:cols w:space="720"/>
        </w:sectPr>
      </w:pPr>
      <w:bookmarkStart w:id="0" w:name="_GoBack"/>
      <w:bookmarkEnd w:id="0"/>
    </w:p>
    <w:p w14:paraId="4629AEF7" w14:textId="77777777" w:rsidR="00513C8B" w:rsidRPr="000A1932" w:rsidRDefault="00513C8B" w:rsidP="00773CE1">
      <w:pPr>
        <w:ind w:firstLine="6521"/>
        <w:rPr>
          <w:rFonts w:ascii="Calibri" w:hAnsi="Calibri" w:cs="Calibri"/>
          <w:szCs w:val="24"/>
        </w:rPr>
      </w:pPr>
    </w:p>
    <w:p w14:paraId="482A15F8" w14:textId="77777777" w:rsidR="00E6763F" w:rsidRPr="000A1932" w:rsidRDefault="00E6763F" w:rsidP="00E6763F">
      <w:pPr>
        <w:tabs>
          <w:tab w:val="left" w:pos="6804"/>
        </w:tabs>
        <w:rPr>
          <w:rFonts w:ascii="Calibri" w:hAnsi="Calibri" w:cs="Calibri"/>
          <w:szCs w:val="24"/>
        </w:rPr>
      </w:pPr>
      <w:r w:rsidRPr="000A1932">
        <w:rPr>
          <w:rFonts w:ascii="Calibri" w:hAnsi="Calibri" w:cs="Calibri"/>
          <w:spacing w:val="10"/>
          <w:szCs w:val="24"/>
        </w:rPr>
        <w:t xml:space="preserve">Ref: </w:t>
      </w:r>
      <w:r>
        <w:rPr>
          <w:rFonts w:ascii="Calibri" w:hAnsi="Calibri" w:cs="Calibri"/>
          <w:spacing w:val="10"/>
          <w:szCs w:val="24"/>
        </w:rPr>
        <w:t>BMIN18002266</w:t>
      </w:r>
      <w:r w:rsidRPr="000A1932">
        <w:rPr>
          <w:rFonts w:ascii="Calibri" w:hAnsi="Calibri" w:cs="Calibri"/>
          <w:szCs w:val="24"/>
        </w:rPr>
        <w:t>R</w:t>
      </w:r>
    </w:p>
    <w:p w14:paraId="11999593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</w:p>
    <w:p w14:paraId="4C0BF102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</w:p>
    <w:p w14:paraId="0129B3F2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  <w:r w:rsidRPr="00BA15A3">
        <w:rPr>
          <w:rFonts w:ascii="Calibri" w:hAnsi="Calibri" w:cs="Calibri"/>
          <w:szCs w:val="24"/>
        </w:rPr>
        <w:br/>
        <w:t>The Hon Tim Pallas MP</w:t>
      </w:r>
    </w:p>
    <w:p w14:paraId="37E8F2B4" w14:textId="77777777" w:rsidR="00E6763F" w:rsidRDefault="00E6763F" w:rsidP="00E6763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Minister for Resources</w:t>
      </w:r>
    </w:p>
    <w:p w14:paraId="7EB3A82C" w14:textId="77777777" w:rsidR="00E6763F" w:rsidRDefault="00E6763F" w:rsidP="00E6763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Treasurer</w:t>
      </w:r>
    </w:p>
    <w:p w14:paraId="4D47A1E9" w14:textId="77777777" w:rsidR="00E6763F" w:rsidRPr="00BA15A3" w:rsidRDefault="00E6763F" w:rsidP="00E6763F">
      <w:pPr>
        <w:rPr>
          <w:rFonts w:ascii="Calibri" w:hAnsi="Calibri" w:cs="Calibri"/>
          <w:szCs w:val="24"/>
        </w:rPr>
      </w:pPr>
      <w:r w:rsidRPr="00BA15A3">
        <w:rPr>
          <w:rFonts w:ascii="Calibri" w:hAnsi="Calibri" w:cs="Calibri"/>
          <w:szCs w:val="24"/>
        </w:rPr>
        <w:t>Level 4</w:t>
      </w:r>
    </w:p>
    <w:p w14:paraId="501B4049" w14:textId="77777777" w:rsidR="00E6763F" w:rsidRPr="00BA15A3" w:rsidRDefault="00E6763F" w:rsidP="00E6763F">
      <w:pPr>
        <w:rPr>
          <w:rFonts w:ascii="Calibri" w:hAnsi="Calibri" w:cs="Calibri"/>
          <w:szCs w:val="24"/>
        </w:rPr>
      </w:pPr>
      <w:r w:rsidRPr="00BA15A3">
        <w:rPr>
          <w:rFonts w:ascii="Calibri" w:hAnsi="Calibri" w:cs="Calibri"/>
          <w:szCs w:val="24"/>
        </w:rPr>
        <w:t>1 Treasury Place</w:t>
      </w:r>
    </w:p>
    <w:p w14:paraId="407E05CA" w14:textId="77777777" w:rsidR="00E6763F" w:rsidRPr="00BA15A3" w:rsidRDefault="00E6763F" w:rsidP="00E6763F">
      <w:pPr>
        <w:rPr>
          <w:rFonts w:ascii="Calibri" w:hAnsi="Calibri" w:cs="Calibri"/>
          <w:szCs w:val="24"/>
        </w:rPr>
      </w:pPr>
      <w:r w:rsidRPr="00BA15A3">
        <w:rPr>
          <w:rFonts w:ascii="Calibri" w:hAnsi="Calibri" w:cs="Calibri"/>
          <w:szCs w:val="24"/>
        </w:rPr>
        <w:t xml:space="preserve">EAST </w:t>
      </w:r>
      <w:proofErr w:type="gramStart"/>
      <w:r w:rsidRPr="00BA15A3">
        <w:rPr>
          <w:rFonts w:ascii="Calibri" w:hAnsi="Calibri" w:cs="Calibri"/>
          <w:szCs w:val="24"/>
        </w:rPr>
        <w:t>MELBOURNE</w:t>
      </w:r>
      <w:r>
        <w:rPr>
          <w:rFonts w:ascii="Calibri" w:hAnsi="Calibri" w:cs="Calibri"/>
          <w:szCs w:val="24"/>
        </w:rPr>
        <w:t xml:space="preserve">  VIC</w:t>
      </w:r>
      <w:proofErr w:type="gramEnd"/>
      <w:r>
        <w:rPr>
          <w:rFonts w:ascii="Calibri" w:hAnsi="Calibri" w:cs="Calibri"/>
          <w:szCs w:val="24"/>
        </w:rPr>
        <w:t xml:space="preserve">  3002</w:t>
      </w:r>
    </w:p>
    <w:p w14:paraId="3DB0E4FC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</w:p>
    <w:p w14:paraId="464D5FC7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</w:p>
    <w:p w14:paraId="21603308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  <w:r w:rsidRPr="000A1932">
        <w:rPr>
          <w:rFonts w:ascii="Calibri" w:hAnsi="Calibri" w:cs="Calibri"/>
          <w:szCs w:val="24"/>
        </w:rPr>
        <w:t xml:space="preserve">Dear </w:t>
      </w:r>
      <w:r>
        <w:rPr>
          <w:rFonts w:ascii="Calibri" w:hAnsi="Calibri" w:cs="Calibri"/>
          <w:szCs w:val="24"/>
        </w:rPr>
        <w:t>Minister</w:t>
      </w:r>
    </w:p>
    <w:p w14:paraId="0292764D" w14:textId="77777777" w:rsidR="00E6763F" w:rsidRPr="000A1932" w:rsidRDefault="00E6763F" w:rsidP="00E6763F">
      <w:pPr>
        <w:rPr>
          <w:rFonts w:ascii="Calibri" w:hAnsi="Calibri" w:cs="Calibri"/>
          <w:szCs w:val="24"/>
        </w:rPr>
      </w:pPr>
    </w:p>
    <w:p w14:paraId="47D12AE2" w14:textId="77777777" w:rsidR="00E6763F" w:rsidRPr="00873C75" w:rsidRDefault="00E6763F" w:rsidP="00E6763F">
      <w:pPr>
        <w:spacing w:after="200"/>
        <w:rPr>
          <w:rFonts w:ascii="Calibri" w:eastAsia="Calibri" w:hAnsi="Calibri"/>
          <w:b/>
          <w:caps/>
          <w:szCs w:val="24"/>
        </w:rPr>
      </w:pPr>
      <w:r>
        <w:rPr>
          <w:rFonts w:ascii="Calibri" w:eastAsia="Calibri" w:hAnsi="Calibri" w:cs="Calibri"/>
          <w:b/>
          <w:caps/>
          <w:szCs w:val="24"/>
          <w:lang w:eastAsia="en-AU"/>
        </w:rPr>
        <w:t>Response to the STATEMENT OF EXPECTATIONS for earth resources regulation</w:t>
      </w:r>
      <w:r w:rsidRPr="00C571F0">
        <w:rPr>
          <w:rFonts w:ascii="Calibri" w:eastAsia="Calibri" w:hAnsi="Calibri" w:cs="Calibri"/>
          <w:b/>
          <w:caps/>
          <w:szCs w:val="24"/>
          <w:lang w:eastAsia="en-AU"/>
        </w:rPr>
        <w:t xml:space="preserve"> </w:t>
      </w:r>
    </w:p>
    <w:p w14:paraId="3E6701D0" w14:textId="77777777" w:rsidR="00E6763F" w:rsidRDefault="00E6763F" w:rsidP="00E6763F">
      <w:pPr>
        <w:spacing w:after="200"/>
        <w:rPr>
          <w:rFonts w:ascii="Calibri" w:eastAsia="Calibri" w:hAnsi="Calibri" w:cs="Calibri"/>
          <w:szCs w:val="24"/>
          <w:lang w:eastAsia="en-AU"/>
        </w:rPr>
      </w:pPr>
      <w:r w:rsidRPr="00C571F0">
        <w:rPr>
          <w:rFonts w:ascii="Calibri" w:eastAsia="Calibri" w:hAnsi="Calibri" w:cs="Calibri"/>
          <w:szCs w:val="24"/>
          <w:lang w:eastAsia="en-AU"/>
        </w:rPr>
        <w:t>Thank you for your letter containing your Statement of Expectations for the regulation of the earth resources sector by the Department of Economic Development,</w:t>
      </w:r>
      <w:r>
        <w:rPr>
          <w:rFonts w:ascii="Calibri" w:eastAsia="Calibri" w:hAnsi="Calibri" w:cs="Calibri"/>
          <w:szCs w:val="24"/>
          <w:lang w:eastAsia="en-AU"/>
        </w:rPr>
        <w:t xml:space="preserve"> Jobs, Transport and Resources.</w:t>
      </w:r>
    </w:p>
    <w:p w14:paraId="10BD4DA6" w14:textId="77777777" w:rsidR="00E6763F" w:rsidRPr="008A4CA8" w:rsidRDefault="00E6763F" w:rsidP="00E6763F">
      <w:pPr>
        <w:spacing w:after="200"/>
        <w:rPr>
          <w:rFonts w:ascii="Calibri" w:eastAsia="Calibri" w:hAnsi="Calibri"/>
          <w:b/>
          <w:bCs/>
          <w:szCs w:val="24"/>
          <w:lang w:eastAsia="en-AU"/>
        </w:rPr>
      </w:pPr>
      <w:r w:rsidRPr="008A4CA8">
        <w:rPr>
          <w:rFonts w:ascii="Calibri" w:eastAsia="Calibri" w:hAnsi="Calibri"/>
          <w:b/>
          <w:bCs/>
          <w:szCs w:val="24"/>
          <w:lang w:eastAsia="en-AU"/>
        </w:rPr>
        <w:t>Improving the administration and enforcement of regulation</w:t>
      </w:r>
    </w:p>
    <w:p w14:paraId="49589EEA" w14:textId="77777777" w:rsidR="00E6763F" w:rsidRPr="00C571F0" w:rsidRDefault="00E6763F" w:rsidP="00E6763F">
      <w:pPr>
        <w:spacing w:after="200"/>
        <w:rPr>
          <w:rFonts w:ascii="Calibri" w:eastAsia="Calibri" w:hAnsi="Calibri" w:cs="Calibri"/>
          <w:szCs w:val="24"/>
          <w:lang w:eastAsia="en-AU"/>
        </w:rPr>
      </w:pPr>
      <w:r>
        <w:rPr>
          <w:rFonts w:ascii="Calibri" w:eastAsia="Calibri" w:hAnsi="Calibri" w:cs="Calibri"/>
          <w:szCs w:val="24"/>
          <w:lang w:eastAsia="en-AU"/>
        </w:rPr>
        <w:t xml:space="preserve">This letter </w:t>
      </w:r>
      <w:r w:rsidRPr="00C571F0">
        <w:rPr>
          <w:rFonts w:ascii="Calibri" w:eastAsia="Calibri" w:hAnsi="Calibri" w:cs="Calibri"/>
          <w:szCs w:val="24"/>
          <w:lang w:eastAsia="en-AU"/>
        </w:rPr>
        <w:t xml:space="preserve">confirms </w:t>
      </w:r>
      <w:r>
        <w:rPr>
          <w:rFonts w:ascii="Calibri" w:eastAsia="Calibri" w:hAnsi="Calibri" w:cs="Calibri"/>
          <w:szCs w:val="24"/>
          <w:lang w:eastAsia="en-AU"/>
        </w:rPr>
        <w:t>the Department’s</w:t>
      </w:r>
      <w:r w:rsidRPr="00C571F0">
        <w:rPr>
          <w:rFonts w:ascii="Calibri" w:eastAsia="Calibri" w:hAnsi="Calibri" w:cs="Calibri"/>
          <w:szCs w:val="24"/>
          <w:lang w:eastAsia="en-AU"/>
        </w:rPr>
        <w:t xml:space="preserve"> commitment to improving regulatory practice, building community and stakeholder confidence in the regulation of earth resources an</w:t>
      </w:r>
      <w:r>
        <w:rPr>
          <w:rFonts w:ascii="Calibri" w:eastAsia="Calibri" w:hAnsi="Calibri" w:cs="Calibri"/>
          <w:szCs w:val="24"/>
          <w:lang w:eastAsia="en-AU"/>
        </w:rPr>
        <w:t>d increasing investor certainty.</w:t>
      </w:r>
    </w:p>
    <w:p w14:paraId="67D54707" w14:textId="77777777" w:rsidR="00E6763F" w:rsidRPr="00C571F0" w:rsidRDefault="00E6763F" w:rsidP="00E6763F">
      <w:pPr>
        <w:spacing w:after="200"/>
        <w:rPr>
          <w:rFonts w:ascii="Calibri" w:eastAsia="Calibri" w:hAnsi="Calibri"/>
          <w:bCs/>
          <w:szCs w:val="24"/>
          <w:lang w:eastAsia="en-AU"/>
        </w:rPr>
      </w:pPr>
      <w:r>
        <w:rPr>
          <w:rFonts w:ascii="Calibri" w:eastAsia="Calibri" w:hAnsi="Calibri"/>
          <w:bCs/>
          <w:szCs w:val="24"/>
          <w:lang w:eastAsia="en-AU"/>
        </w:rPr>
        <w:t>The Department</w:t>
      </w:r>
      <w:r w:rsidRPr="00C571F0">
        <w:rPr>
          <w:rFonts w:ascii="Calibri" w:eastAsia="Calibri" w:hAnsi="Calibri"/>
          <w:bCs/>
          <w:szCs w:val="24"/>
          <w:lang w:eastAsia="en-AU"/>
        </w:rPr>
        <w:t xml:space="preserve"> recognises the importance of earth resources businesses in supporting the economic development of Victoria and the critical role of a </w:t>
      </w:r>
      <w:r>
        <w:rPr>
          <w:rFonts w:ascii="Calibri" w:eastAsia="Calibri" w:hAnsi="Calibri"/>
          <w:bCs/>
          <w:szCs w:val="24"/>
          <w:lang w:eastAsia="en-AU"/>
        </w:rPr>
        <w:t xml:space="preserve">modern, </w:t>
      </w:r>
      <w:r w:rsidRPr="00C571F0">
        <w:rPr>
          <w:rFonts w:ascii="Calibri" w:eastAsia="Calibri" w:hAnsi="Calibri"/>
          <w:bCs/>
          <w:szCs w:val="24"/>
          <w:lang w:eastAsia="en-AU"/>
        </w:rPr>
        <w:t>contemporary regulator in realising this outcome for Victoria while safeguarding the health and wellbeing of Victorian communities.</w:t>
      </w:r>
    </w:p>
    <w:p w14:paraId="7C12D771" w14:textId="77777777" w:rsidR="00E6763F" w:rsidRPr="004013E2" w:rsidRDefault="00E6763F" w:rsidP="00E6763F">
      <w:pPr>
        <w:spacing w:after="200"/>
        <w:rPr>
          <w:rFonts w:ascii="Calibri" w:eastAsia="Calibri" w:hAnsi="Calibri" w:cs="Calibri"/>
          <w:b/>
          <w:szCs w:val="24"/>
          <w:lang w:eastAsia="en-AU"/>
        </w:rPr>
      </w:pPr>
      <w:r>
        <w:rPr>
          <w:rFonts w:ascii="Calibri" w:eastAsia="Calibri" w:hAnsi="Calibri" w:cs="Calibri"/>
          <w:b/>
          <w:szCs w:val="24"/>
          <w:lang w:eastAsia="en-AU"/>
        </w:rPr>
        <w:t>Performance</w:t>
      </w:r>
      <w:r w:rsidRPr="004013E2">
        <w:rPr>
          <w:rFonts w:ascii="Calibri" w:eastAsia="Calibri" w:hAnsi="Calibri" w:cs="Calibri"/>
          <w:b/>
          <w:szCs w:val="24"/>
          <w:lang w:eastAsia="en-AU"/>
        </w:rPr>
        <w:t xml:space="preserve"> targets</w:t>
      </w:r>
    </w:p>
    <w:p w14:paraId="79E00C93" w14:textId="77777777" w:rsidR="00E6763F" w:rsidRDefault="00E6763F" w:rsidP="00E6763F">
      <w:pPr>
        <w:spacing w:after="200"/>
        <w:rPr>
          <w:rFonts w:ascii="Calibri" w:eastAsia="Calibri" w:hAnsi="Calibri" w:cs="Calibri"/>
          <w:szCs w:val="24"/>
          <w:lang w:eastAsia="en-AU"/>
        </w:rPr>
      </w:pPr>
      <w:r>
        <w:rPr>
          <w:rFonts w:ascii="Calibri" w:eastAsia="Calibri" w:hAnsi="Calibri" w:cs="Calibri"/>
          <w:szCs w:val="24"/>
          <w:lang w:eastAsia="en-AU"/>
        </w:rPr>
        <w:t>The Department</w:t>
      </w:r>
      <w:r w:rsidRPr="00C571F0">
        <w:rPr>
          <w:rFonts w:ascii="Calibri" w:eastAsia="Calibri" w:hAnsi="Calibri" w:cs="Calibri"/>
          <w:szCs w:val="24"/>
          <w:lang w:eastAsia="en-AU"/>
        </w:rPr>
        <w:t xml:space="preserve"> </w:t>
      </w:r>
      <w:r>
        <w:rPr>
          <w:rFonts w:ascii="Calibri" w:eastAsia="Calibri" w:hAnsi="Calibri" w:cs="Calibri"/>
          <w:szCs w:val="24"/>
          <w:lang w:eastAsia="en-AU"/>
        </w:rPr>
        <w:t xml:space="preserve">will meet your priority to move Earth Resources Regulation to a more modern, proportionate and robust regulator. We will undertake the following actions to improve the regulation of earth resources across all the elements of good regulatory practice. Refer to </w:t>
      </w:r>
      <w:r w:rsidRPr="00DF1514">
        <w:rPr>
          <w:rFonts w:ascii="Calibri" w:eastAsia="Calibri" w:hAnsi="Calibri" w:cs="Calibri"/>
          <w:b/>
          <w:szCs w:val="24"/>
          <w:lang w:eastAsia="en-AU"/>
        </w:rPr>
        <w:t>Table 1</w:t>
      </w:r>
      <w:r>
        <w:rPr>
          <w:rFonts w:ascii="Calibri" w:eastAsia="Calibri" w:hAnsi="Calibri" w:cs="Calibri"/>
          <w:szCs w:val="24"/>
          <w:lang w:eastAsia="en-AU"/>
        </w:rPr>
        <w:t xml:space="preserve"> below for Earth Resources Regulation’s measures for regulatory performance.</w:t>
      </w:r>
    </w:p>
    <w:p w14:paraId="234F4D6E" w14:textId="77777777" w:rsidR="00E6763F" w:rsidRPr="00DF1514" w:rsidRDefault="00E6763F" w:rsidP="00E6763F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  <w:r w:rsidRPr="00700C60">
        <w:rPr>
          <w:rFonts w:ascii="Calibri" w:hAnsi="Calibri" w:cs="Calibri"/>
          <w:b/>
        </w:rPr>
        <w:lastRenderedPageBreak/>
        <w:t xml:space="preserve">Table </w:t>
      </w:r>
      <w:r>
        <w:rPr>
          <w:rFonts w:ascii="Calibri" w:hAnsi="Calibri" w:cs="Calibri"/>
          <w:b/>
        </w:rPr>
        <w:t>1</w:t>
      </w:r>
      <w:r w:rsidRPr="00700C60">
        <w:rPr>
          <w:rFonts w:ascii="Calibri" w:hAnsi="Calibri" w:cs="Calibri"/>
          <w:b/>
        </w:rPr>
        <w:t xml:space="preserve">: Earth Resource Regulation’s </w:t>
      </w:r>
      <w:r>
        <w:rPr>
          <w:rFonts w:ascii="Calibri" w:hAnsi="Calibri" w:cs="Calibri"/>
          <w:b/>
        </w:rPr>
        <w:t>measures for regulator performance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701"/>
        <w:gridCol w:w="2410"/>
      </w:tblGrid>
      <w:tr w:rsidR="00E6763F" w:rsidRPr="00DD71A7" w14:paraId="076B483A" w14:textId="77777777" w:rsidTr="0015097B">
        <w:tc>
          <w:tcPr>
            <w:tcW w:w="5104" w:type="dxa"/>
            <w:shd w:val="clear" w:color="auto" w:fill="F2F2F2"/>
          </w:tcPr>
          <w:p w14:paraId="345A2956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szCs w:val="24"/>
                <w:lang w:eastAsia="en-AU"/>
              </w:rPr>
              <w:br w:type="column"/>
            </w:r>
            <w:r w:rsidRPr="00CA685B">
              <w:rPr>
                <w:rFonts w:ascii="Calibri" w:eastAsia="Calibri" w:hAnsi="Calibri" w:cs="Calibri"/>
                <w:szCs w:val="24"/>
                <w:lang w:eastAsia="en-AU"/>
              </w:rPr>
              <w:br w:type="page"/>
            </w:r>
            <w:r w:rsidRPr="00CA685B">
              <w:rPr>
                <w:rFonts w:ascii="Calibri" w:eastAsia="Calibri" w:hAnsi="Calibri" w:cs="Calibri"/>
                <w:szCs w:val="24"/>
                <w:lang w:eastAsia="en-AU"/>
              </w:rPr>
              <w:br w:type="page"/>
            </w:r>
            <w:r w:rsidRPr="00CA685B">
              <w:rPr>
                <w:rFonts w:ascii="Calibri" w:hAnsi="Calibri" w:cs="Calibri"/>
                <w:b/>
              </w:rPr>
              <w:t>Performance Measure</w:t>
            </w:r>
          </w:p>
        </w:tc>
        <w:tc>
          <w:tcPr>
            <w:tcW w:w="1701" w:type="dxa"/>
            <w:shd w:val="clear" w:color="auto" w:fill="F2F2F2"/>
          </w:tcPr>
          <w:p w14:paraId="01F0A0D0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  <w:b/>
              </w:rPr>
            </w:pPr>
            <w:r w:rsidRPr="00CA685B">
              <w:rPr>
                <w:rFonts w:ascii="Calibri" w:hAnsi="Calibri" w:cs="Calibri"/>
                <w:b/>
              </w:rPr>
              <w:t>Target*</w:t>
            </w:r>
          </w:p>
        </w:tc>
        <w:tc>
          <w:tcPr>
            <w:tcW w:w="2410" w:type="dxa"/>
            <w:shd w:val="clear" w:color="auto" w:fill="F2F2F2"/>
          </w:tcPr>
          <w:p w14:paraId="0755F381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  <w:b/>
              </w:rPr>
            </w:pPr>
            <w:r w:rsidRPr="00CA685B">
              <w:rPr>
                <w:rFonts w:ascii="Calibri" w:hAnsi="Calibri" w:cs="Calibri"/>
                <w:b/>
              </w:rPr>
              <w:t>Element of good regulatory practice</w:t>
            </w:r>
          </w:p>
        </w:tc>
      </w:tr>
      <w:tr w:rsidR="00E6763F" w:rsidRPr="00DF1514" w14:paraId="48A729E1" w14:textId="77777777" w:rsidTr="0015097B">
        <w:trPr>
          <w:trHeight w:val="934"/>
        </w:trPr>
        <w:tc>
          <w:tcPr>
            <w:tcW w:w="5104" w:type="dxa"/>
            <w:shd w:val="clear" w:color="auto" w:fill="auto"/>
          </w:tcPr>
          <w:p w14:paraId="39BE918F" w14:textId="77777777" w:rsidR="00E6763F" w:rsidRPr="00DF1514" w:rsidRDefault="00E6763F" w:rsidP="0015097B">
            <w:pPr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>Exploration licence applications, mining industry work plans and mining licence applications processed within regulatory and agreed timeframes.</w:t>
            </w:r>
          </w:p>
        </w:tc>
        <w:tc>
          <w:tcPr>
            <w:tcW w:w="1701" w:type="dxa"/>
            <w:shd w:val="clear" w:color="auto" w:fill="auto"/>
          </w:tcPr>
          <w:p w14:paraId="5EE2E3E2" w14:textId="77777777" w:rsidR="00E6763F" w:rsidRPr="00DF1514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>95%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14D2C3E" w14:textId="77777777" w:rsidR="00E6763F" w:rsidRPr="00DF1514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DF1514">
              <w:rPr>
                <w:rFonts w:cs="Calibri"/>
                <w:sz w:val="24"/>
                <w:szCs w:val="24"/>
              </w:rPr>
              <w:t>Timeliness</w:t>
            </w:r>
          </w:p>
        </w:tc>
      </w:tr>
      <w:tr w:rsidR="00E6763F" w:rsidRPr="00DF1514" w14:paraId="6AB5FD8F" w14:textId="77777777" w:rsidTr="0015097B">
        <w:tc>
          <w:tcPr>
            <w:tcW w:w="5104" w:type="dxa"/>
            <w:shd w:val="clear" w:color="auto" w:fill="auto"/>
          </w:tcPr>
          <w:p w14:paraId="4FFE7108" w14:textId="77777777" w:rsidR="00E6763F" w:rsidRPr="00DF1514" w:rsidRDefault="00E6763F" w:rsidP="0015097B">
            <w:pPr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>Work authority and extractive industry work plan applications processed within regulatory and agreed timeframes.</w:t>
            </w:r>
          </w:p>
        </w:tc>
        <w:tc>
          <w:tcPr>
            <w:tcW w:w="1701" w:type="dxa"/>
            <w:shd w:val="clear" w:color="auto" w:fill="auto"/>
          </w:tcPr>
          <w:p w14:paraId="6F432701" w14:textId="77777777" w:rsidR="00E6763F" w:rsidRPr="00DF1514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>95%</w:t>
            </w:r>
          </w:p>
        </w:tc>
        <w:tc>
          <w:tcPr>
            <w:tcW w:w="2410" w:type="dxa"/>
            <w:vMerge/>
            <w:shd w:val="clear" w:color="auto" w:fill="auto"/>
          </w:tcPr>
          <w:p w14:paraId="7E3C4F2A" w14:textId="77777777" w:rsidR="00E6763F" w:rsidRPr="00DF1514" w:rsidRDefault="00E6763F" w:rsidP="0015097B">
            <w:pPr>
              <w:pStyle w:val="ListParagraph"/>
              <w:numPr>
                <w:ilvl w:val="0"/>
                <w:numId w:val="5"/>
              </w:numPr>
              <w:ind w:left="387" w:hanging="284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45CCBEE2" w14:textId="77777777" w:rsidTr="0015097B">
        <w:tc>
          <w:tcPr>
            <w:tcW w:w="5104" w:type="dxa"/>
            <w:shd w:val="clear" w:color="auto" w:fill="auto"/>
          </w:tcPr>
          <w:p w14:paraId="62CD482A" w14:textId="77777777" w:rsidR="00E6763F" w:rsidRPr="00DF1514" w:rsidRDefault="00E6763F" w:rsidP="0015097B">
            <w:pPr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>Develop an annual Compliance Plan in accordance with the Compliance Strategy</w:t>
            </w:r>
          </w:p>
        </w:tc>
        <w:tc>
          <w:tcPr>
            <w:tcW w:w="1701" w:type="dxa"/>
            <w:shd w:val="clear" w:color="auto" w:fill="auto"/>
          </w:tcPr>
          <w:p w14:paraId="78565EB4" w14:textId="77777777" w:rsidR="00E6763F" w:rsidRPr="00DF1514" w:rsidRDefault="008739BF" w:rsidP="001509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September 2018</w:t>
            </w:r>
          </w:p>
        </w:tc>
        <w:tc>
          <w:tcPr>
            <w:tcW w:w="2410" w:type="dxa"/>
            <w:shd w:val="clear" w:color="auto" w:fill="auto"/>
          </w:tcPr>
          <w:p w14:paraId="247C0B5D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DF1514">
              <w:rPr>
                <w:rFonts w:cs="Calibri"/>
                <w:sz w:val="24"/>
                <w:szCs w:val="24"/>
              </w:rPr>
              <w:t>Outcomes-based regulation</w:t>
            </w:r>
          </w:p>
        </w:tc>
      </w:tr>
      <w:tr w:rsidR="00E6763F" w:rsidRPr="00DD71A7" w14:paraId="078F1B5B" w14:textId="77777777" w:rsidTr="0015097B">
        <w:tc>
          <w:tcPr>
            <w:tcW w:w="5104" w:type="dxa"/>
            <w:shd w:val="clear" w:color="auto" w:fill="auto"/>
          </w:tcPr>
          <w:p w14:paraId="5AC3C49C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Information and advice is provided to authority holders within 7 business days of the grant of a new authority</w:t>
            </w:r>
          </w:p>
        </w:tc>
        <w:tc>
          <w:tcPr>
            <w:tcW w:w="1701" w:type="dxa"/>
            <w:shd w:val="clear" w:color="auto" w:fill="auto"/>
          </w:tcPr>
          <w:p w14:paraId="235A6CB7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100%</w:t>
            </w:r>
          </w:p>
        </w:tc>
        <w:tc>
          <w:tcPr>
            <w:tcW w:w="2410" w:type="dxa"/>
            <w:shd w:val="clear" w:color="auto" w:fill="auto"/>
          </w:tcPr>
          <w:p w14:paraId="5F096C5D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CA685B">
              <w:rPr>
                <w:rFonts w:cs="Calibri"/>
                <w:sz w:val="24"/>
                <w:szCs w:val="24"/>
              </w:rPr>
              <w:t>Compliance related assistance and advice</w:t>
            </w:r>
          </w:p>
        </w:tc>
      </w:tr>
      <w:tr w:rsidR="00E6763F" w:rsidRPr="00DD71A7" w14:paraId="5D8F3F55" w14:textId="77777777" w:rsidTr="0015097B">
        <w:tc>
          <w:tcPr>
            <w:tcW w:w="5104" w:type="dxa"/>
            <w:shd w:val="clear" w:color="auto" w:fill="auto"/>
          </w:tcPr>
          <w:p w14:paraId="1819374C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Commitments delivered in Working or Partnership Agreements / MoUs with DELWP, EPA and WorkSafe</w:t>
            </w:r>
          </w:p>
        </w:tc>
        <w:tc>
          <w:tcPr>
            <w:tcW w:w="1701" w:type="dxa"/>
            <w:shd w:val="clear" w:color="auto" w:fill="auto"/>
          </w:tcPr>
          <w:p w14:paraId="1A6B0BCB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 xml:space="preserve">100% </w:t>
            </w:r>
          </w:p>
        </w:tc>
        <w:tc>
          <w:tcPr>
            <w:tcW w:w="2410" w:type="dxa"/>
            <w:shd w:val="clear" w:color="auto" w:fill="auto"/>
          </w:tcPr>
          <w:p w14:paraId="17B03288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CA685B">
              <w:rPr>
                <w:rFonts w:cs="Calibri"/>
                <w:sz w:val="24"/>
                <w:szCs w:val="24"/>
              </w:rPr>
              <w:t>Cooperation amongst co-regulators</w:t>
            </w:r>
          </w:p>
        </w:tc>
      </w:tr>
      <w:tr w:rsidR="00E6763F" w:rsidRPr="00DD71A7" w14:paraId="49989F92" w14:textId="77777777" w:rsidTr="0015097B">
        <w:tc>
          <w:tcPr>
            <w:tcW w:w="5104" w:type="dxa"/>
            <w:shd w:val="clear" w:color="auto" w:fill="auto"/>
          </w:tcPr>
          <w:p w14:paraId="5B7D74FF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Stakeholder Reference Group meetings</w:t>
            </w:r>
          </w:p>
        </w:tc>
        <w:tc>
          <w:tcPr>
            <w:tcW w:w="1701" w:type="dxa"/>
            <w:shd w:val="clear" w:color="auto" w:fill="auto"/>
          </w:tcPr>
          <w:p w14:paraId="76FE41A9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329E73C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CA685B">
              <w:rPr>
                <w:rFonts w:cs="Calibri"/>
                <w:sz w:val="24"/>
                <w:szCs w:val="24"/>
              </w:rPr>
              <w:t>Stakeholder consultation and engagement</w:t>
            </w:r>
          </w:p>
        </w:tc>
      </w:tr>
      <w:tr w:rsidR="00E6763F" w:rsidRPr="00DD71A7" w14:paraId="7C33F1F3" w14:textId="77777777" w:rsidTr="0015097B">
        <w:tc>
          <w:tcPr>
            <w:tcW w:w="5104" w:type="dxa"/>
            <w:shd w:val="clear" w:color="auto" w:fill="auto"/>
          </w:tcPr>
          <w:p w14:paraId="7F2E7568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Earth Resources Regulator Forum meetings</w:t>
            </w:r>
          </w:p>
        </w:tc>
        <w:tc>
          <w:tcPr>
            <w:tcW w:w="1701" w:type="dxa"/>
            <w:shd w:val="clear" w:color="auto" w:fill="auto"/>
          </w:tcPr>
          <w:p w14:paraId="345B2106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</w:tcPr>
          <w:p w14:paraId="270EC1F7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2FDD284C" w14:textId="77777777" w:rsidTr="0015097B">
        <w:trPr>
          <w:trHeight w:val="592"/>
        </w:trPr>
        <w:tc>
          <w:tcPr>
            <w:tcW w:w="5104" w:type="dxa"/>
            <w:shd w:val="clear" w:color="auto" w:fill="auto"/>
          </w:tcPr>
          <w:p w14:paraId="6FD5F395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Attendance at Environmental Review Committee meetings</w:t>
            </w:r>
          </w:p>
        </w:tc>
        <w:tc>
          <w:tcPr>
            <w:tcW w:w="1701" w:type="dxa"/>
            <w:shd w:val="clear" w:color="auto" w:fill="auto"/>
          </w:tcPr>
          <w:p w14:paraId="7DEE8227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100</w:t>
            </w:r>
            <w:r>
              <w:rPr>
                <w:rFonts w:ascii="Calibri" w:hAnsi="Calibri" w:cs="Calibri"/>
              </w:rPr>
              <w:t>%</w:t>
            </w:r>
            <w:r w:rsidRPr="00CA685B">
              <w:rPr>
                <w:rFonts w:ascii="Calibri" w:hAnsi="Calibri" w:cs="Calibri"/>
                <w:b/>
              </w:rPr>
              <w:t>**</w:t>
            </w:r>
          </w:p>
        </w:tc>
        <w:tc>
          <w:tcPr>
            <w:tcW w:w="2410" w:type="dxa"/>
            <w:vMerge/>
            <w:shd w:val="clear" w:color="auto" w:fill="auto"/>
          </w:tcPr>
          <w:p w14:paraId="42040914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094929EE" w14:textId="77777777" w:rsidTr="0015097B">
        <w:tc>
          <w:tcPr>
            <w:tcW w:w="5104" w:type="dxa"/>
            <w:shd w:val="clear" w:color="auto" w:fill="auto"/>
          </w:tcPr>
          <w:p w14:paraId="525FB1E4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Community and stakeholder engagement information forums</w:t>
            </w:r>
          </w:p>
        </w:tc>
        <w:tc>
          <w:tcPr>
            <w:tcW w:w="1701" w:type="dxa"/>
            <w:shd w:val="clear" w:color="auto" w:fill="auto"/>
          </w:tcPr>
          <w:p w14:paraId="3C386034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45</w:t>
            </w:r>
          </w:p>
        </w:tc>
        <w:tc>
          <w:tcPr>
            <w:tcW w:w="2410" w:type="dxa"/>
            <w:vMerge/>
            <w:shd w:val="clear" w:color="auto" w:fill="auto"/>
          </w:tcPr>
          <w:p w14:paraId="59CF85B4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4623B084" w14:textId="77777777" w:rsidTr="0015097B">
        <w:tc>
          <w:tcPr>
            <w:tcW w:w="5104" w:type="dxa"/>
            <w:shd w:val="clear" w:color="auto" w:fill="auto"/>
          </w:tcPr>
          <w:p w14:paraId="56DA3347" w14:textId="77777777" w:rsidR="00E6763F" w:rsidRPr="00DF1514" w:rsidRDefault="00E6763F" w:rsidP="0015097B">
            <w:pPr>
              <w:rPr>
                <w:rFonts w:ascii="Calibri" w:hAnsi="Calibri" w:cs="Calibri"/>
              </w:rPr>
            </w:pPr>
            <w:r w:rsidRPr="00DF1514">
              <w:rPr>
                <w:rFonts w:ascii="Calibri" w:hAnsi="Calibri" w:cs="Calibri"/>
              </w:rPr>
              <w:t xml:space="preserve">Establish a baseline response score for community satisfaction with </w:t>
            </w:r>
            <w:r w:rsidR="00FF45F4">
              <w:rPr>
                <w:rFonts w:ascii="Calibri" w:hAnsi="Calibri" w:cs="Calibri"/>
              </w:rPr>
              <w:t>Earth Resources Regulation</w:t>
            </w:r>
            <w:r w:rsidRPr="00DF1514">
              <w:rPr>
                <w:rFonts w:ascii="Calibri" w:hAnsi="Calibri" w:cs="Calibri"/>
              </w:rPr>
              <w:t>, and set improvement targets</w:t>
            </w:r>
          </w:p>
        </w:tc>
        <w:tc>
          <w:tcPr>
            <w:tcW w:w="1701" w:type="dxa"/>
            <w:shd w:val="clear" w:color="auto" w:fill="auto"/>
          </w:tcPr>
          <w:p w14:paraId="0BEDFDE4" w14:textId="77777777" w:rsidR="00E6763F" w:rsidRPr="007C20A2" w:rsidRDefault="008739BF" w:rsidP="0015097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June 2019</w:t>
            </w:r>
          </w:p>
          <w:p w14:paraId="4431D82A" w14:textId="77777777" w:rsidR="00E6763F" w:rsidRPr="00CA685B" w:rsidRDefault="00E6763F" w:rsidP="0015097B">
            <w:pPr>
              <w:spacing w:before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73E8FE9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2761C19E" w14:textId="77777777" w:rsidTr="0015097B">
        <w:tc>
          <w:tcPr>
            <w:tcW w:w="5104" w:type="dxa"/>
            <w:shd w:val="clear" w:color="auto" w:fill="auto"/>
          </w:tcPr>
          <w:p w14:paraId="62378DBF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 xml:space="preserve">Exploration and mining licences which are active </w:t>
            </w:r>
          </w:p>
        </w:tc>
        <w:tc>
          <w:tcPr>
            <w:tcW w:w="1701" w:type="dxa"/>
            <w:shd w:val="clear" w:color="auto" w:fill="auto"/>
          </w:tcPr>
          <w:p w14:paraId="0845B168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82.5%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B38E29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CA685B">
              <w:rPr>
                <w:rFonts w:cs="Calibri"/>
                <w:sz w:val="24"/>
                <w:szCs w:val="24"/>
              </w:rPr>
              <w:t>Accountability and transparency</w:t>
            </w:r>
          </w:p>
        </w:tc>
      </w:tr>
      <w:tr w:rsidR="00E6763F" w:rsidRPr="00DD71A7" w14:paraId="284CAE6F" w14:textId="77777777" w:rsidTr="0015097B">
        <w:tc>
          <w:tcPr>
            <w:tcW w:w="5104" w:type="dxa"/>
            <w:shd w:val="clear" w:color="auto" w:fill="auto"/>
          </w:tcPr>
          <w:p w14:paraId="6C4D94A6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Quarterly reports published within 6 weeks of quarter ending</w:t>
            </w:r>
          </w:p>
        </w:tc>
        <w:tc>
          <w:tcPr>
            <w:tcW w:w="1701" w:type="dxa"/>
            <w:shd w:val="clear" w:color="auto" w:fill="auto"/>
          </w:tcPr>
          <w:p w14:paraId="774CA4BB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100%</w:t>
            </w:r>
          </w:p>
        </w:tc>
        <w:tc>
          <w:tcPr>
            <w:tcW w:w="2410" w:type="dxa"/>
            <w:vMerge/>
            <w:shd w:val="clear" w:color="auto" w:fill="auto"/>
          </w:tcPr>
          <w:p w14:paraId="525880A9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302E5696" w14:textId="77777777" w:rsidTr="0015097B">
        <w:tc>
          <w:tcPr>
            <w:tcW w:w="5104" w:type="dxa"/>
            <w:shd w:val="clear" w:color="auto" w:fill="auto"/>
          </w:tcPr>
          <w:p w14:paraId="20CCA667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Average number of days to respond to complaints</w:t>
            </w:r>
          </w:p>
        </w:tc>
        <w:tc>
          <w:tcPr>
            <w:tcW w:w="1701" w:type="dxa"/>
            <w:shd w:val="clear" w:color="auto" w:fill="auto"/>
          </w:tcPr>
          <w:p w14:paraId="66187B3B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3 business days</w:t>
            </w:r>
          </w:p>
        </w:tc>
        <w:tc>
          <w:tcPr>
            <w:tcW w:w="2410" w:type="dxa"/>
            <w:vMerge/>
            <w:shd w:val="clear" w:color="auto" w:fill="auto"/>
          </w:tcPr>
          <w:p w14:paraId="543C8104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7C1B93CB" w14:textId="77777777" w:rsidTr="0015097B">
        <w:tc>
          <w:tcPr>
            <w:tcW w:w="5104" w:type="dxa"/>
            <w:shd w:val="clear" w:color="auto" w:fill="auto"/>
          </w:tcPr>
          <w:p w14:paraId="7CBC940D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Regulatory audits completed within specified timelines</w:t>
            </w:r>
          </w:p>
        </w:tc>
        <w:tc>
          <w:tcPr>
            <w:tcW w:w="1701" w:type="dxa"/>
            <w:shd w:val="clear" w:color="auto" w:fill="auto"/>
          </w:tcPr>
          <w:p w14:paraId="6988B593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98%</w:t>
            </w:r>
          </w:p>
        </w:tc>
        <w:tc>
          <w:tcPr>
            <w:tcW w:w="2410" w:type="dxa"/>
            <w:vMerge/>
            <w:shd w:val="clear" w:color="auto" w:fill="auto"/>
          </w:tcPr>
          <w:p w14:paraId="3CAAB62C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03259F69" w14:textId="77777777" w:rsidTr="0015097B">
        <w:tc>
          <w:tcPr>
            <w:tcW w:w="5104" w:type="dxa"/>
            <w:shd w:val="clear" w:color="auto" w:fill="auto"/>
          </w:tcPr>
          <w:p w14:paraId="4901BC78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Operational compliance activities undertaken per year</w:t>
            </w:r>
          </w:p>
        </w:tc>
        <w:tc>
          <w:tcPr>
            <w:tcW w:w="1701" w:type="dxa"/>
            <w:shd w:val="clear" w:color="auto" w:fill="auto"/>
          </w:tcPr>
          <w:p w14:paraId="62A82CD2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300</w:t>
            </w:r>
          </w:p>
        </w:tc>
        <w:tc>
          <w:tcPr>
            <w:tcW w:w="2410" w:type="dxa"/>
            <w:vMerge/>
            <w:shd w:val="clear" w:color="auto" w:fill="auto"/>
          </w:tcPr>
          <w:p w14:paraId="68CC5D56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53D80BDC" w14:textId="77777777" w:rsidTr="0015097B">
        <w:trPr>
          <w:trHeight w:val="265"/>
        </w:trPr>
        <w:tc>
          <w:tcPr>
            <w:tcW w:w="5104" w:type="dxa"/>
            <w:shd w:val="clear" w:color="auto" w:fill="auto"/>
          </w:tcPr>
          <w:p w14:paraId="55613996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Rehabilitation bond assessments undertaken</w:t>
            </w:r>
          </w:p>
        </w:tc>
        <w:tc>
          <w:tcPr>
            <w:tcW w:w="1701" w:type="dxa"/>
            <w:shd w:val="clear" w:color="auto" w:fill="auto"/>
          </w:tcPr>
          <w:p w14:paraId="0DEB2369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20%</w:t>
            </w:r>
          </w:p>
        </w:tc>
        <w:tc>
          <w:tcPr>
            <w:tcW w:w="2410" w:type="dxa"/>
            <w:vMerge/>
            <w:shd w:val="clear" w:color="auto" w:fill="auto"/>
          </w:tcPr>
          <w:p w14:paraId="10BA3D8D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E6763F" w:rsidRPr="00DD71A7" w14:paraId="375C7393" w14:textId="77777777" w:rsidTr="0015097B">
        <w:trPr>
          <w:cantSplit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14:paraId="224BD542" w14:textId="77777777" w:rsidR="00E6763F" w:rsidRPr="00CA685B" w:rsidRDefault="00E6763F" w:rsidP="0015097B">
            <w:pPr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Reportable events responded during each quarter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4112C0" w14:textId="77777777" w:rsidR="00E6763F" w:rsidRPr="00CA685B" w:rsidRDefault="00E6763F" w:rsidP="0015097B">
            <w:pPr>
              <w:jc w:val="center"/>
              <w:rPr>
                <w:rFonts w:ascii="Calibri" w:hAnsi="Calibri" w:cs="Calibri"/>
              </w:rPr>
            </w:pPr>
            <w:r w:rsidRPr="00CA685B">
              <w:rPr>
                <w:rFonts w:ascii="Calibri" w:hAnsi="Calibri" w:cs="Calibri"/>
              </w:rPr>
              <w:t>100%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5793E6C" w14:textId="77777777" w:rsidR="00E6763F" w:rsidRPr="00CA685B" w:rsidRDefault="00E6763F" w:rsidP="0015097B">
            <w:pPr>
              <w:pStyle w:val="ListParagraph"/>
              <w:ind w:left="103"/>
              <w:jc w:val="center"/>
              <w:rPr>
                <w:rFonts w:cs="Calibri"/>
                <w:sz w:val="24"/>
                <w:szCs w:val="24"/>
              </w:rPr>
            </w:pPr>
            <w:r w:rsidRPr="00CA685B">
              <w:rPr>
                <w:rFonts w:cs="Calibri"/>
                <w:sz w:val="24"/>
                <w:szCs w:val="24"/>
              </w:rPr>
              <w:t>Clear and consistent regulatory activities</w:t>
            </w:r>
          </w:p>
        </w:tc>
      </w:tr>
      <w:tr w:rsidR="00E6763F" w:rsidRPr="00DD71A7" w14:paraId="5104E4B5" w14:textId="77777777" w:rsidTr="0015097B"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CAAD09" w14:textId="77777777" w:rsidR="00E6763F" w:rsidRPr="00CA685B" w:rsidRDefault="00E6763F" w:rsidP="0015097B">
            <w:pPr>
              <w:pStyle w:val="ListParagraph"/>
              <w:spacing w:before="120" w:after="120"/>
              <w:ind w:left="0"/>
              <w:rPr>
                <w:rFonts w:cs="Calibri"/>
                <w:szCs w:val="24"/>
                <w:lang w:eastAsia="en-AU"/>
              </w:rPr>
            </w:pPr>
            <w:r w:rsidRPr="00FF45F4">
              <w:rPr>
                <w:rFonts w:cs="Calibri"/>
                <w:b/>
                <w:szCs w:val="24"/>
                <w:lang w:eastAsia="en-AU"/>
              </w:rPr>
              <w:t>*</w:t>
            </w:r>
            <w:r w:rsidRPr="00CA685B">
              <w:rPr>
                <w:rFonts w:cs="Calibri"/>
                <w:szCs w:val="24"/>
                <w:lang w:eastAsia="en-AU"/>
              </w:rPr>
              <w:t xml:space="preserve"> Quantitative values per financial year, dates as specified</w:t>
            </w:r>
            <w:r>
              <w:rPr>
                <w:rFonts w:cs="Calibri"/>
                <w:szCs w:val="24"/>
                <w:lang w:eastAsia="en-AU"/>
              </w:rPr>
              <w:t>.</w:t>
            </w:r>
          </w:p>
          <w:p w14:paraId="2A5D1BEC" w14:textId="77777777" w:rsidR="00E6763F" w:rsidRPr="00A51135" w:rsidRDefault="00E6763F" w:rsidP="0015097B">
            <w:pPr>
              <w:rPr>
                <w:rFonts w:ascii="Calibri" w:hAnsi="Calibri" w:cs="Calibri"/>
                <w:szCs w:val="24"/>
              </w:rPr>
            </w:pPr>
            <w:r w:rsidRPr="00FF45F4">
              <w:rPr>
                <w:rFonts w:ascii="Calibri" w:hAnsi="Calibri" w:cs="Calibri"/>
                <w:b/>
                <w:sz w:val="22"/>
                <w:szCs w:val="24"/>
                <w:lang w:eastAsia="en-AU"/>
              </w:rPr>
              <w:t>**</w:t>
            </w:r>
            <w:r w:rsidRPr="00A51135">
              <w:rPr>
                <w:rFonts w:ascii="Calibri" w:hAnsi="Calibri" w:cs="Calibri"/>
                <w:sz w:val="22"/>
                <w:szCs w:val="24"/>
                <w:lang w:eastAsia="en-AU"/>
              </w:rPr>
              <w:t xml:space="preserve"> </w:t>
            </w:r>
            <w:r w:rsidRPr="00FF45F4">
              <w:rPr>
                <w:rFonts w:ascii="Calibri" w:eastAsia="Calibri" w:hAnsi="Calibri" w:cs="Calibri"/>
                <w:sz w:val="22"/>
                <w:szCs w:val="24"/>
                <w:lang w:eastAsia="en-AU"/>
              </w:rPr>
              <w:t>Excluding unforeseen circumstances.</w:t>
            </w:r>
          </w:p>
        </w:tc>
      </w:tr>
    </w:tbl>
    <w:p w14:paraId="43C6C188" w14:textId="77777777" w:rsidR="00E6763F" w:rsidRDefault="00E6763F" w:rsidP="00E6763F">
      <w:pPr>
        <w:spacing w:after="200"/>
        <w:rPr>
          <w:rFonts w:ascii="Calibri" w:eastAsia="Calibri" w:hAnsi="Calibri" w:cs="Calibri"/>
          <w:b/>
          <w:szCs w:val="24"/>
          <w:lang w:eastAsia="en-AU"/>
        </w:rPr>
      </w:pPr>
      <w:r>
        <w:rPr>
          <w:rFonts w:ascii="Calibri" w:eastAsia="Calibri" w:hAnsi="Calibri" w:cs="Calibri"/>
          <w:b/>
          <w:szCs w:val="24"/>
          <w:lang w:eastAsia="en-AU"/>
        </w:rPr>
        <w:lastRenderedPageBreak/>
        <w:t>Earth Resources Regulation’s approach to meeting ministerial expectations</w:t>
      </w:r>
    </w:p>
    <w:p w14:paraId="3AFB46B6" w14:textId="77777777" w:rsidR="00E6763F" w:rsidRDefault="00E6763F" w:rsidP="00E6763F">
      <w:pPr>
        <w:spacing w:after="200"/>
        <w:rPr>
          <w:rFonts w:ascii="Calibri" w:hAnsi="Calibri" w:cs="Calibri"/>
          <w:szCs w:val="24"/>
        </w:rPr>
      </w:pPr>
      <w:r>
        <w:rPr>
          <w:rFonts w:ascii="Calibri" w:eastAsia="Calibri" w:hAnsi="Calibri" w:cs="Calibri"/>
          <w:szCs w:val="24"/>
          <w:lang w:eastAsia="en-AU"/>
        </w:rPr>
        <w:t xml:space="preserve">Earth Resources Regulation and its departmental policy counterparts are committed to implementing the Minister’s </w:t>
      </w:r>
      <w:r w:rsidR="004D36C8">
        <w:rPr>
          <w:rFonts w:ascii="Calibri" w:eastAsia="Calibri" w:hAnsi="Calibri" w:cs="Calibri"/>
          <w:szCs w:val="24"/>
          <w:lang w:eastAsia="en-AU"/>
        </w:rPr>
        <w:t>fourteen</w:t>
      </w:r>
      <w:r>
        <w:rPr>
          <w:rFonts w:ascii="Calibri" w:eastAsia="Calibri" w:hAnsi="Calibri" w:cs="Calibri"/>
          <w:szCs w:val="24"/>
          <w:lang w:eastAsia="en-AU"/>
        </w:rPr>
        <w:t xml:space="preserve"> </w:t>
      </w:r>
      <w:r w:rsidR="00B66129">
        <w:rPr>
          <w:rFonts w:ascii="Calibri" w:eastAsia="Calibri" w:hAnsi="Calibri" w:cs="Calibri"/>
          <w:szCs w:val="24"/>
          <w:lang w:eastAsia="en-AU"/>
        </w:rPr>
        <w:t xml:space="preserve">expectations for </w:t>
      </w:r>
      <w:r>
        <w:rPr>
          <w:rFonts w:ascii="Calibri" w:eastAsia="Calibri" w:hAnsi="Calibri" w:cs="Calibri"/>
          <w:szCs w:val="24"/>
          <w:lang w:eastAsia="en-AU"/>
        </w:rPr>
        <w:t>specific regulatory improvement</w:t>
      </w:r>
      <w:r w:rsidR="00B66129">
        <w:rPr>
          <w:rFonts w:ascii="Calibri" w:eastAsia="Calibri" w:hAnsi="Calibri" w:cs="Calibri"/>
          <w:szCs w:val="24"/>
          <w:lang w:eastAsia="en-AU"/>
        </w:rPr>
        <w:t>s</w:t>
      </w:r>
      <w:r>
        <w:rPr>
          <w:rFonts w:ascii="Calibri" w:eastAsia="Calibri" w:hAnsi="Calibri" w:cs="Calibri"/>
          <w:szCs w:val="24"/>
          <w:lang w:eastAsia="en-AU"/>
        </w:rPr>
        <w:t xml:space="preserve"> and playing its role in implementing the actions and recommendations from</w:t>
      </w:r>
      <w:r w:rsidR="00B66129">
        <w:rPr>
          <w:rFonts w:ascii="Calibri" w:eastAsia="Calibri" w:hAnsi="Calibri" w:cs="Calibri"/>
          <w:szCs w:val="24"/>
          <w:lang w:eastAsia="en-AU"/>
        </w:rPr>
        <w:t xml:space="preserve"> the</w:t>
      </w:r>
      <w:r>
        <w:rPr>
          <w:rFonts w:ascii="Calibri" w:eastAsia="Calibri" w:hAnsi="Calibri" w:cs="Calibri"/>
          <w:szCs w:val="24"/>
          <w:lang w:eastAsia="en-AU"/>
        </w:rPr>
        <w:t xml:space="preserve"> </w:t>
      </w:r>
      <w:r w:rsidRPr="002442AC">
        <w:rPr>
          <w:rFonts w:ascii="Calibri" w:hAnsi="Calibri" w:cs="Calibri"/>
          <w:i/>
          <w:szCs w:val="24"/>
        </w:rPr>
        <w:t>Getting the Groundwork Right: Better regulation of mines and quarries</w:t>
      </w:r>
      <w:r w:rsidR="00B66129">
        <w:rPr>
          <w:rFonts w:ascii="Calibri" w:hAnsi="Calibri" w:cs="Calibri"/>
          <w:szCs w:val="24"/>
        </w:rPr>
        <w:t xml:space="preserve"> report</w:t>
      </w:r>
      <w:r>
        <w:rPr>
          <w:rFonts w:ascii="Calibri" w:hAnsi="Calibri" w:cs="Calibri"/>
          <w:szCs w:val="24"/>
        </w:rPr>
        <w:t>.</w:t>
      </w:r>
    </w:p>
    <w:p w14:paraId="54D498D2" w14:textId="77777777" w:rsidR="00E6763F" w:rsidRDefault="00E6763F" w:rsidP="00E6763F">
      <w:pPr>
        <w:spacing w:after="200"/>
        <w:rPr>
          <w:rFonts w:ascii="Calibri" w:eastAsia="Calibri" w:hAnsi="Calibri" w:cs="Calibri"/>
          <w:szCs w:val="24"/>
          <w:lang w:eastAsia="en-AU"/>
        </w:rPr>
      </w:pPr>
      <w:r w:rsidRPr="00C47665">
        <w:rPr>
          <w:rFonts w:ascii="Calibri" w:eastAsia="Calibri" w:hAnsi="Calibri" w:cs="Calibri"/>
          <w:b/>
          <w:szCs w:val="24"/>
          <w:lang w:eastAsia="en-AU"/>
        </w:rPr>
        <w:t>Table 2</w:t>
      </w:r>
      <w:r>
        <w:rPr>
          <w:rFonts w:ascii="Calibri" w:eastAsia="Calibri" w:hAnsi="Calibri" w:cs="Calibri"/>
          <w:szCs w:val="24"/>
          <w:lang w:eastAsia="en-AU"/>
        </w:rPr>
        <w:t xml:space="preserve"> below outlines Earth Resources Regulation’s approach to implementing the Minister’s </w:t>
      </w:r>
      <w:r w:rsidR="004D36C8">
        <w:rPr>
          <w:rFonts w:ascii="Calibri" w:eastAsia="Calibri" w:hAnsi="Calibri" w:cs="Calibri"/>
          <w:szCs w:val="24"/>
          <w:lang w:eastAsia="en-AU"/>
        </w:rPr>
        <w:t>fourteen</w:t>
      </w:r>
      <w:r>
        <w:rPr>
          <w:rFonts w:ascii="Calibri" w:eastAsia="Calibri" w:hAnsi="Calibri" w:cs="Calibri"/>
          <w:szCs w:val="24"/>
          <w:lang w:eastAsia="en-AU"/>
        </w:rPr>
        <w:t xml:space="preserve"> expectations</w:t>
      </w:r>
      <w:r w:rsidR="00B66129">
        <w:rPr>
          <w:rFonts w:ascii="Calibri" w:eastAsia="Calibri" w:hAnsi="Calibri" w:cs="Calibri"/>
          <w:szCs w:val="24"/>
          <w:lang w:eastAsia="en-AU"/>
        </w:rPr>
        <w:t xml:space="preserve"> for specific regulatory improvements</w:t>
      </w:r>
      <w:r>
        <w:rPr>
          <w:rFonts w:ascii="Calibri" w:eastAsia="Calibri" w:hAnsi="Calibri" w:cs="Calibri"/>
          <w:szCs w:val="24"/>
          <w:lang w:eastAsia="en-AU"/>
        </w:rPr>
        <w:t>.</w:t>
      </w:r>
    </w:p>
    <w:p w14:paraId="7AF78EEC" w14:textId="77777777" w:rsidR="00E6763F" w:rsidRPr="009B264A" w:rsidRDefault="00E6763F" w:rsidP="00E6763F">
      <w:pPr>
        <w:spacing w:after="200"/>
        <w:rPr>
          <w:rFonts w:cs="Calibri"/>
          <w:szCs w:val="24"/>
          <w:lang w:eastAsia="en-AU"/>
        </w:rPr>
      </w:pPr>
      <w:r>
        <w:rPr>
          <w:rFonts w:ascii="Calibri" w:eastAsia="Calibri" w:hAnsi="Calibri" w:cs="Calibri"/>
          <w:szCs w:val="24"/>
          <w:lang w:eastAsia="en-AU"/>
        </w:rPr>
        <w:t xml:space="preserve">Further, the </w:t>
      </w:r>
      <w:r w:rsidR="00B66129">
        <w:rPr>
          <w:rFonts w:ascii="Calibri" w:eastAsia="Calibri" w:hAnsi="Calibri" w:cs="Calibri"/>
          <w:szCs w:val="24"/>
          <w:lang w:eastAsia="en-AU"/>
        </w:rPr>
        <w:t xml:space="preserve">Department commits to embedding </w:t>
      </w:r>
      <w:r>
        <w:rPr>
          <w:rFonts w:ascii="Calibri" w:eastAsia="Calibri" w:hAnsi="Calibri" w:cs="Calibri"/>
          <w:szCs w:val="24"/>
          <w:lang w:eastAsia="en-AU"/>
        </w:rPr>
        <w:t xml:space="preserve">and reporting on the consultation by the </w:t>
      </w:r>
      <w:r w:rsidRPr="00BA15A3">
        <w:rPr>
          <w:rFonts w:ascii="Calibri" w:hAnsi="Calibri" w:cs="Calibri"/>
        </w:rPr>
        <w:t>Minister for Crown Land before making decisions relating to the amount of, or return of, rehabilitation bonds for that land.</w:t>
      </w:r>
    </w:p>
    <w:p w14:paraId="0632DD63" w14:textId="77777777" w:rsidR="00E6763F" w:rsidRDefault="00E6763F" w:rsidP="00E6763F">
      <w:pPr>
        <w:spacing w:after="120"/>
        <w:rPr>
          <w:rFonts w:ascii="Calibri" w:hAnsi="Calibri" w:cs="Calibri"/>
          <w:b/>
        </w:rPr>
      </w:pPr>
      <w:r w:rsidRPr="00A51135">
        <w:rPr>
          <w:rFonts w:ascii="Calibri" w:hAnsi="Calibri" w:cs="Calibri"/>
          <w:b/>
        </w:rPr>
        <w:t xml:space="preserve">Table 2: Earth Resource Regulation’s approach to implementing the </w:t>
      </w:r>
      <w:r w:rsidR="00B66129">
        <w:rPr>
          <w:rFonts w:ascii="Calibri" w:hAnsi="Calibri" w:cs="Calibri"/>
          <w:b/>
        </w:rPr>
        <w:t xml:space="preserve">Ministerial </w:t>
      </w:r>
      <w:r w:rsidRPr="00A51135">
        <w:rPr>
          <w:rFonts w:ascii="Calibri" w:hAnsi="Calibri" w:cs="Calibri"/>
          <w:b/>
        </w:rPr>
        <w:t>expectations</w:t>
      </w:r>
      <w:r w:rsidR="00B66129">
        <w:rPr>
          <w:rFonts w:ascii="Calibri" w:hAnsi="Calibri" w:cs="Calibri"/>
          <w:b/>
        </w:rPr>
        <w:t xml:space="preserve"> for specific regulatory improvements</w:t>
      </w:r>
    </w:p>
    <w:p w14:paraId="6863D6EF" w14:textId="77777777" w:rsidR="00036CD4" w:rsidRDefault="00036CD4" w:rsidP="00E6763F">
      <w:pPr>
        <w:spacing w:after="120"/>
        <w:rPr>
          <w:rFonts w:ascii="Calibri" w:hAnsi="Calibri" w:cs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2425"/>
        <w:gridCol w:w="4101"/>
      </w:tblGrid>
      <w:tr w:rsidR="00036CD4" w:rsidRPr="00946D9B" w14:paraId="2FD10E18" w14:textId="77777777" w:rsidTr="00F51FEF">
        <w:trPr>
          <w:cantSplit/>
          <w:tblHeader/>
        </w:trPr>
        <w:tc>
          <w:tcPr>
            <w:tcW w:w="3080" w:type="dxa"/>
            <w:shd w:val="clear" w:color="auto" w:fill="AEAAAA"/>
          </w:tcPr>
          <w:p w14:paraId="593982F6" w14:textId="77777777" w:rsidR="00036CD4" w:rsidRPr="00946D9B" w:rsidRDefault="00036CD4" w:rsidP="00A71F1C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 w:rsidRPr="00946D9B">
              <w:rPr>
                <w:rFonts w:ascii="Calibri" w:hAnsi="Calibri" w:cs="Calibri"/>
                <w:b/>
                <w:szCs w:val="24"/>
              </w:rPr>
              <w:t>Report source</w:t>
            </w:r>
          </w:p>
        </w:tc>
        <w:tc>
          <w:tcPr>
            <w:tcW w:w="2425" w:type="dxa"/>
            <w:shd w:val="clear" w:color="auto" w:fill="AEAAAA"/>
          </w:tcPr>
          <w:p w14:paraId="0E62060A" w14:textId="77777777" w:rsidR="00036CD4" w:rsidRPr="00946D9B" w:rsidRDefault="00036CD4" w:rsidP="00A71F1C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Completion date</w:t>
            </w:r>
          </w:p>
        </w:tc>
        <w:tc>
          <w:tcPr>
            <w:tcW w:w="4101" w:type="dxa"/>
            <w:shd w:val="clear" w:color="auto" w:fill="AEAAAA"/>
          </w:tcPr>
          <w:p w14:paraId="618E6BF9" w14:textId="77777777" w:rsidR="00036CD4" w:rsidRPr="00946D9B" w:rsidRDefault="00036CD4" w:rsidP="00A71F1C">
            <w:pPr>
              <w:spacing w:before="120" w:after="12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Approach to implementation</w:t>
            </w:r>
          </w:p>
        </w:tc>
      </w:tr>
      <w:tr w:rsidR="00036CD4" w:rsidRPr="00126768" w14:paraId="32206E8D" w14:textId="77777777" w:rsidTr="00A71F1C">
        <w:trPr>
          <w:cantSplit/>
        </w:trPr>
        <w:tc>
          <w:tcPr>
            <w:tcW w:w="9606" w:type="dxa"/>
            <w:gridSpan w:val="3"/>
            <w:shd w:val="clear" w:color="auto" w:fill="A6A6A6"/>
          </w:tcPr>
          <w:p w14:paraId="02167202" w14:textId="77777777" w:rsidR="00036CD4" w:rsidRPr="00126768" w:rsidRDefault="00036CD4" w:rsidP="00A71F1C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Streamlined approvals pathways</w:t>
            </w:r>
          </w:p>
        </w:tc>
      </w:tr>
      <w:tr w:rsidR="00036CD4" w:rsidRPr="00E83500" w14:paraId="5C70685D" w14:textId="77777777" w:rsidTr="00A71F1C">
        <w:trPr>
          <w:cantSplit/>
        </w:trPr>
        <w:tc>
          <w:tcPr>
            <w:tcW w:w="9606" w:type="dxa"/>
            <w:gridSpan w:val="3"/>
            <w:shd w:val="clear" w:color="auto" w:fill="auto"/>
          </w:tcPr>
          <w:p w14:paraId="213DD711" w14:textId="77777777" w:rsidR="00036CD4" w:rsidRPr="00E83500" w:rsidRDefault="00036CD4" w:rsidP="00A71F1C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E83500">
              <w:rPr>
                <w:rFonts w:ascii="Calibri" w:hAnsi="Calibri" w:cs="Calibri"/>
                <w:b/>
                <w:szCs w:val="24"/>
              </w:rPr>
              <w:t>Stage 1</w:t>
            </w:r>
          </w:p>
        </w:tc>
      </w:tr>
      <w:tr w:rsidR="004B1F90" w14:paraId="55D5C308" w14:textId="77777777" w:rsidTr="00F51FEF">
        <w:trPr>
          <w:cantSplit/>
        </w:trPr>
        <w:tc>
          <w:tcPr>
            <w:tcW w:w="3080" w:type="dxa"/>
          </w:tcPr>
          <w:p w14:paraId="5F6092AC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Publish Statement of Operating Change for the extractives industry</w:t>
            </w:r>
          </w:p>
          <w:p w14:paraId="16E7B6FD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Publish Statement of Operating Change for the mining industry</w:t>
            </w:r>
          </w:p>
        </w:tc>
        <w:tc>
          <w:tcPr>
            <w:tcW w:w="2425" w:type="dxa"/>
          </w:tcPr>
          <w:p w14:paraId="5263CDF8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 July 2018</w:t>
            </w:r>
          </w:p>
          <w:p w14:paraId="59E17690" w14:textId="77777777" w:rsidR="004B1F90" w:rsidRPr="002C0F9A" w:rsidRDefault="004B1F90" w:rsidP="004B1F90">
            <w:pPr>
              <w:spacing w:before="120" w:after="120"/>
              <w:rPr>
                <w:rFonts w:ascii="Calibri" w:hAnsi="Calibri" w:cs="Calibri"/>
                <w:sz w:val="32"/>
                <w:szCs w:val="24"/>
              </w:rPr>
            </w:pPr>
          </w:p>
          <w:p w14:paraId="398E597D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August 2018</w:t>
            </w:r>
          </w:p>
        </w:tc>
        <w:tc>
          <w:tcPr>
            <w:tcW w:w="4101" w:type="dxa"/>
            <w:shd w:val="clear" w:color="auto" w:fill="FFFFFF"/>
          </w:tcPr>
          <w:p w14:paraId="250BEED2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These documents will be developed in consultation with industry to ensure that clarity is provided to the extractive and minerals sectors.</w:t>
            </w:r>
          </w:p>
        </w:tc>
      </w:tr>
      <w:tr w:rsidR="004B1F90" w:rsidRPr="00946D9B" w14:paraId="11716111" w14:textId="77777777" w:rsidTr="00F51FEF">
        <w:trPr>
          <w:cantSplit/>
        </w:trPr>
        <w:tc>
          <w:tcPr>
            <w:tcW w:w="3080" w:type="dxa"/>
          </w:tcPr>
          <w:p w14:paraId="04A7F475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lastRenderedPageBreak/>
              <w:t>Develop and socialise with industry and co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noBreakHyphen/>
              <w:t>regulators a new risk matrix to support regulatory decision making</w:t>
            </w:r>
          </w:p>
          <w:p w14:paraId="3A59EB38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Complete draft 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Standard Risk Management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Standard Control templates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for extractives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and minerals</w:t>
            </w:r>
          </w:p>
          <w:p w14:paraId="26A19E75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</w:rPr>
              <w:t xml:space="preserve">Release final Standard Risk Management Plans Standard Control templates 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for extractives and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minerals</w:t>
            </w:r>
          </w:p>
        </w:tc>
        <w:tc>
          <w:tcPr>
            <w:tcW w:w="2425" w:type="dxa"/>
          </w:tcPr>
          <w:p w14:paraId="2148C38D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July 2018</w:t>
            </w:r>
          </w:p>
          <w:p w14:paraId="7F82B1EA" w14:textId="77777777" w:rsidR="004B1F90" w:rsidRPr="002C0F9A" w:rsidRDefault="004B1F90" w:rsidP="004B1F90">
            <w:pPr>
              <w:spacing w:before="120" w:after="120"/>
              <w:rPr>
                <w:rFonts w:ascii="Calibri" w:hAnsi="Calibri" w:cs="Calibri"/>
                <w:sz w:val="56"/>
                <w:szCs w:val="24"/>
              </w:rPr>
            </w:pPr>
          </w:p>
          <w:p w14:paraId="53F058F7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July 2018</w:t>
            </w:r>
          </w:p>
          <w:p w14:paraId="4691D86B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64284ECB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7963BE59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January 2019</w:t>
            </w:r>
          </w:p>
        </w:tc>
        <w:tc>
          <w:tcPr>
            <w:tcW w:w="4101" w:type="dxa"/>
            <w:shd w:val="clear" w:color="auto" w:fill="FFFFFF"/>
          </w:tcPr>
          <w:p w14:paraId="028A5F29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036CD4">
              <w:rPr>
                <w:rFonts w:ascii="Calibri" w:hAnsi="Calibri" w:cs="Calibri"/>
                <w:szCs w:val="24"/>
              </w:rPr>
              <w:t xml:space="preserve">These will support the </w:t>
            </w:r>
            <w:proofErr w:type="gramStart"/>
            <w:r w:rsidRPr="00036CD4">
              <w:rPr>
                <w:rFonts w:ascii="Calibri" w:hAnsi="Calibri" w:cs="Calibri"/>
                <w:szCs w:val="24"/>
              </w:rPr>
              <w:t>risk based</w:t>
            </w:r>
            <w:proofErr w:type="gramEnd"/>
            <w:r w:rsidRPr="00036CD4">
              <w:rPr>
                <w:rFonts w:ascii="Calibri" w:hAnsi="Calibri" w:cs="Calibri"/>
                <w:szCs w:val="24"/>
              </w:rPr>
              <w:t xml:space="preserve"> approach for new work plans and variations to existing work plans and will set out: a new risk matrix</w:t>
            </w:r>
            <w:r>
              <w:rPr>
                <w:rFonts w:ascii="Calibri" w:hAnsi="Calibri" w:cs="Calibri"/>
                <w:szCs w:val="24"/>
              </w:rPr>
              <w:t xml:space="preserve">; </w:t>
            </w:r>
            <w:r w:rsidRPr="00036CD4">
              <w:rPr>
                <w:rFonts w:ascii="Calibri" w:hAnsi="Calibri" w:cs="Calibri"/>
                <w:szCs w:val="24"/>
              </w:rPr>
              <w:t>a comprehensive range of standard risks</w:t>
            </w:r>
            <w:r>
              <w:rPr>
                <w:rFonts w:ascii="Calibri" w:hAnsi="Calibri" w:cs="Calibri"/>
                <w:szCs w:val="24"/>
              </w:rPr>
              <w:t xml:space="preserve">; and, </w:t>
            </w:r>
            <w:r w:rsidRPr="00036CD4">
              <w:rPr>
                <w:rFonts w:ascii="Calibri" w:hAnsi="Calibri" w:cs="Calibri"/>
                <w:szCs w:val="24"/>
              </w:rPr>
              <w:t>standard controls that can be applied by operators to manage those standard risks, drawing on available and recognised industry standards that already exist.</w:t>
            </w:r>
          </w:p>
        </w:tc>
      </w:tr>
      <w:tr w:rsidR="00F93FE9" w:rsidRPr="00E83500" w14:paraId="7C12F427" w14:textId="77777777" w:rsidTr="00A71F1C">
        <w:trPr>
          <w:cantSplit/>
        </w:trPr>
        <w:tc>
          <w:tcPr>
            <w:tcW w:w="9606" w:type="dxa"/>
            <w:gridSpan w:val="3"/>
          </w:tcPr>
          <w:p w14:paraId="45A5935B" w14:textId="77777777" w:rsidR="00F93FE9" w:rsidRPr="00E83500" w:rsidRDefault="00F93FE9" w:rsidP="00F93FE9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E83500">
              <w:rPr>
                <w:rFonts w:ascii="Calibri" w:hAnsi="Calibri" w:cs="Calibri"/>
                <w:b/>
                <w:szCs w:val="24"/>
              </w:rPr>
              <w:t>Stage 2</w:t>
            </w:r>
          </w:p>
        </w:tc>
      </w:tr>
      <w:tr w:rsidR="004B1F90" w:rsidRPr="00946D9B" w14:paraId="11D1C04F" w14:textId="77777777" w:rsidTr="00F51FEF">
        <w:trPr>
          <w:cantSplit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8429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>Review and amend the standard licence and work authority conditions to ensure enforceability and provide certainty to industry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CCF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December 2018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C3B09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Conditions will be reviewed to minimise unnecessary duplication with other legally enforceable and potentially more appropriate mechanisms.</w:t>
            </w:r>
          </w:p>
        </w:tc>
      </w:tr>
      <w:tr w:rsidR="004B1F90" w:rsidRPr="00946D9B" w14:paraId="48F81BBC" w14:textId="77777777" w:rsidTr="00F51FEF">
        <w:trPr>
          <w:cantSplit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9E0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Undertake a review of all existing codes of practices to support the delivery of a new regulatory model for extractive and mineral resources approvals</w:t>
            </w:r>
          </w:p>
          <w:p w14:paraId="2FDDF28A" w14:textId="77777777" w:rsidR="004B1F90" w:rsidRPr="00A514A2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5BA4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December 2018</w:t>
            </w:r>
          </w:p>
          <w:p w14:paraId="6BFE95AA" w14:textId="77777777" w:rsidR="004B1F90" w:rsidRPr="00A514A2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20C09AF6" w14:textId="77777777" w:rsidR="004B1F90" w:rsidRPr="00A514A2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1805A11E" w14:textId="77777777" w:rsidR="004B1F90" w:rsidRPr="00A514A2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2B02B5E5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8DC4C" w14:textId="77777777" w:rsidR="004B1F90" w:rsidRPr="00CB206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4B1F90" w14:paraId="2427C860" w14:textId="77777777" w:rsidTr="00F51FEF">
        <w:trPr>
          <w:cantSplit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EA1D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lastRenderedPageBreak/>
              <w:t>Publish a new code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of practice under Part 8A of the MRSDA to reinforce the standard risk management plans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for extractive and mineral resources</w:t>
            </w:r>
          </w:p>
          <w:p w14:paraId="2EBE4D2D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DE4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By 30 June </w:t>
            </w:r>
            <w:r w:rsidRPr="00946D9B">
              <w:rPr>
                <w:rFonts w:ascii="Calibri" w:hAnsi="Calibri" w:cs="Calibri"/>
                <w:szCs w:val="24"/>
              </w:rPr>
              <w:t>2019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35CC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00927">
              <w:rPr>
                <w:rFonts w:ascii="Calibri" w:hAnsi="Calibri" w:cs="Calibri"/>
                <w:szCs w:val="24"/>
              </w:rPr>
              <w:t>A review of the code of practice for low-risk mines and quarries will commence once the new Standard Risk Management Plans have been finalised</w:t>
            </w:r>
            <w:r>
              <w:rPr>
                <w:rFonts w:ascii="Calibri" w:hAnsi="Calibri" w:cs="Calibri"/>
                <w:szCs w:val="24"/>
              </w:rPr>
              <w:t>.</w:t>
            </w:r>
          </w:p>
        </w:tc>
      </w:tr>
      <w:tr w:rsidR="004B1F90" w14:paraId="76F75F1E" w14:textId="77777777" w:rsidTr="00F51FEF">
        <w:trPr>
          <w:cantSplit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C8B1" w14:textId="77777777" w:rsidR="004B1F90" w:rsidRPr="00367D29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367D29">
              <w:rPr>
                <w:rFonts w:cs="Calibri"/>
                <w:color w:val="auto"/>
                <w:sz w:val="24"/>
                <w:szCs w:val="24"/>
                <w:lang w:eastAsia="en-US"/>
              </w:rPr>
              <w:t>Continue to provide case management for strategically significant and complex earth resources projects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0284" w14:textId="77777777" w:rsidR="004B1F90" w:rsidRPr="00367D29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367D29">
              <w:rPr>
                <w:rFonts w:ascii="Calibri" w:hAnsi="Calibri" w:cs="Calibri"/>
                <w:szCs w:val="24"/>
              </w:rPr>
              <w:t>Ongoing</w:t>
            </w:r>
          </w:p>
          <w:p w14:paraId="1FBB8874" w14:textId="77777777" w:rsidR="004B1F90" w:rsidRPr="00367D29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786E7F69" w14:textId="77777777" w:rsidR="004B1F90" w:rsidRPr="00367D29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4F7" w14:textId="77777777" w:rsidR="004B1F90" w:rsidRPr="00CB206B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As part of developing a case manager model, a review will ascertain what constitutes strategically significant and complex earth resources projects. Such projects may include operations that</w:t>
            </w:r>
            <w:r w:rsidRPr="00CB206B">
              <w:rPr>
                <w:rFonts w:cs="Calibri"/>
                <w:color w:val="auto"/>
                <w:sz w:val="24"/>
                <w:szCs w:val="24"/>
                <w:lang w:eastAsia="en-US"/>
              </w:rPr>
              <w:t>:</w:t>
            </w:r>
          </w:p>
          <w:p w14:paraId="1CCEC175" w14:textId="77777777" w:rsidR="004B1F90" w:rsidRPr="00CB206B" w:rsidRDefault="004B1F90" w:rsidP="004B1F90">
            <w:pPr>
              <w:pStyle w:val="Boxcolourtext"/>
              <w:numPr>
                <w:ilvl w:val="0"/>
                <w:numId w:val="10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CB206B">
              <w:rPr>
                <w:rFonts w:cs="Calibri"/>
                <w:color w:val="auto"/>
                <w:sz w:val="24"/>
                <w:szCs w:val="24"/>
                <w:lang w:eastAsia="en-US"/>
              </w:rPr>
              <w:t>are located in a Strategic Resource Area</w:t>
            </w:r>
          </w:p>
          <w:p w14:paraId="42E0644B" w14:textId="77777777" w:rsidR="004B1F90" w:rsidRDefault="004B1F90" w:rsidP="004B1F90">
            <w:pPr>
              <w:pStyle w:val="Boxcolourtext"/>
              <w:numPr>
                <w:ilvl w:val="0"/>
                <w:numId w:val="10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CB206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contribute significantly to employment or economic output at a regional level </w:t>
            </w:r>
          </w:p>
          <w:p w14:paraId="35747354" w14:textId="77777777" w:rsidR="004B1F90" w:rsidRDefault="004B1F90" w:rsidP="004B1F90">
            <w:pPr>
              <w:pStyle w:val="Boxcolourtext"/>
              <w:numPr>
                <w:ilvl w:val="0"/>
                <w:numId w:val="10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00927">
              <w:rPr>
                <w:rFonts w:cs="Calibri"/>
                <w:color w:val="auto"/>
                <w:sz w:val="24"/>
                <w:szCs w:val="24"/>
                <w:lang w:eastAsia="en-US"/>
              </w:rPr>
              <w:t>are complex in terms of approvals across government</w:t>
            </w:r>
          </w:p>
          <w:p w14:paraId="4F792E70" w14:textId="77777777" w:rsidR="004B1F90" w:rsidRPr="00900927" w:rsidRDefault="004B1F90" w:rsidP="004B1F90">
            <w:pPr>
              <w:pStyle w:val="Boxcolourtext"/>
              <w:numPr>
                <w:ilvl w:val="0"/>
                <w:numId w:val="10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00927">
              <w:rPr>
                <w:rFonts w:cs="Calibri"/>
                <w:color w:val="auto"/>
                <w:sz w:val="24"/>
                <w:szCs w:val="24"/>
                <w:lang w:eastAsia="en-US"/>
              </w:rPr>
              <w:t>will deliver essential materials for a major infrastructure project, at an appreciably lower cost than alternative sources.</w:t>
            </w:r>
          </w:p>
        </w:tc>
      </w:tr>
      <w:tr w:rsidR="00F93FE9" w:rsidRPr="00E7508E" w14:paraId="72522065" w14:textId="77777777" w:rsidTr="00A71F1C">
        <w:trPr>
          <w:cantSplit/>
        </w:trPr>
        <w:tc>
          <w:tcPr>
            <w:tcW w:w="9606" w:type="dxa"/>
            <w:gridSpan w:val="3"/>
            <w:shd w:val="clear" w:color="auto" w:fill="A6A6A6"/>
          </w:tcPr>
          <w:p w14:paraId="0B08F956" w14:textId="77777777" w:rsidR="00F93FE9" w:rsidRPr="00E7508E" w:rsidRDefault="00F93FE9" w:rsidP="00F93FE9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E7508E">
              <w:rPr>
                <w:rFonts w:ascii="Calibri" w:hAnsi="Calibri" w:cs="Calibri"/>
                <w:b/>
                <w:szCs w:val="24"/>
              </w:rPr>
              <w:t xml:space="preserve">Develop guidance, processes and procedures </w:t>
            </w:r>
          </w:p>
        </w:tc>
      </w:tr>
      <w:tr w:rsidR="004B1F90" w14:paraId="4023BE0A" w14:textId="77777777" w:rsidTr="006D5A85">
        <w:trPr>
          <w:cantSplit/>
          <w:trHeight w:val="4592"/>
        </w:trPr>
        <w:tc>
          <w:tcPr>
            <w:tcW w:w="3080" w:type="dxa"/>
          </w:tcPr>
          <w:p w14:paraId="53B1BFD2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lastRenderedPageBreak/>
              <w:t>Consult on draft guidance material and training for industry, co-regulators, local government and ERR to operationalise the Statements of Operating Change and draft Standard Risk Management Plans for extractive and mineral resources</w:t>
            </w:r>
          </w:p>
          <w:p w14:paraId="6518C250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Finalise guidance material for industry, co regulators, local government and ERR following implementation of the streamlined approvals pathways for extractive and mineral resources</w:t>
            </w:r>
          </w:p>
        </w:tc>
        <w:tc>
          <w:tcPr>
            <w:tcW w:w="2425" w:type="dxa"/>
          </w:tcPr>
          <w:p w14:paraId="01E36DE7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30 September 2018</w:t>
            </w:r>
          </w:p>
          <w:p w14:paraId="0CFBED8B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37D4B0EF" w14:textId="77777777" w:rsidR="004B1F90" w:rsidRPr="00367D29" w:rsidRDefault="004B1F90" w:rsidP="004B1F90">
            <w:pPr>
              <w:spacing w:before="120" w:after="120"/>
              <w:rPr>
                <w:rFonts w:ascii="Calibri" w:hAnsi="Calibri" w:cs="Calibri"/>
                <w:sz w:val="16"/>
                <w:szCs w:val="24"/>
              </w:rPr>
            </w:pPr>
          </w:p>
          <w:p w14:paraId="75949D93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616DFC5F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5377BEF9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 w:val="16"/>
                <w:szCs w:val="24"/>
              </w:rPr>
            </w:pPr>
          </w:p>
          <w:p w14:paraId="33E636F7" w14:textId="77777777" w:rsidR="004B1F90" w:rsidRPr="00367D29" w:rsidRDefault="004B1F90" w:rsidP="004B1F90">
            <w:pPr>
              <w:spacing w:before="120" w:after="120"/>
              <w:rPr>
                <w:rFonts w:ascii="Calibri" w:hAnsi="Calibri" w:cs="Calibri"/>
                <w:sz w:val="16"/>
                <w:szCs w:val="24"/>
              </w:rPr>
            </w:pPr>
          </w:p>
          <w:p w14:paraId="21D779C6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28 February 2019</w:t>
            </w:r>
          </w:p>
        </w:tc>
        <w:tc>
          <w:tcPr>
            <w:tcW w:w="4101" w:type="dxa"/>
            <w:shd w:val="clear" w:color="auto" w:fill="FFFFFF"/>
          </w:tcPr>
          <w:p w14:paraId="626764D0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51FEF">
              <w:rPr>
                <w:rFonts w:ascii="Calibri" w:hAnsi="Calibri" w:cs="Calibri"/>
                <w:szCs w:val="24"/>
              </w:rPr>
              <w:t>Guidance and engagement will focus on improving local councils’ understanding of approvals processes</w:t>
            </w:r>
            <w:r>
              <w:rPr>
                <w:rFonts w:ascii="Calibri" w:hAnsi="Calibri" w:cs="Calibri"/>
                <w:szCs w:val="24"/>
              </w:rPr>
              <w:t>, and requirements on industry,</w:t>
            </w:r>
            <w:r w:rsidRPr="00F51FEF">
              <w:rPr>
                <w:rFonts w:ascii="Calibri" w:hAnsi="Calibri" w:cs="Calibri"/>
                <w:szCs w:val="24"/>
              </w:rPr>
              <w:t xml:space="preserve"> under the MRSDA and support </w:t>
            </w:r>
            <w:r>
              <w:rPr>
                <w:rFonts w:ascii="Calibri" w:hAnsi="Calibri" w:cs="Calibri"/>
                <w:szCs w:val="24"/>
              </w:rPr>
              <w:t>local councils</w:t>
            </w:r>
            <w:r w:rsidRPr="00F51FEF">
              <w:rPr>
                <w:rFonts w:ascii="Calibri" w:hAnsi="Calibri" w:cs="Calibri"/>
                <w:szCs w:val="24"/>
              </w:rPr>
              <w:t xml:space="preserve"> to make well-informed approvals decisions.</w:t>
            </w:r>
          </w:p>
          <w:p w14:paraId="33936F22" w14:textId="77777777" w:rsidR="004B1F90" w:rsidRPr="00940CCD" w:rsidRDefault="004B1F90" w:rsidP="004B1F90">
            <w:pPr>
              <w:spacing w:before="120" w:after="120"/>
              <w:rPr>
                <w:rFonts w:ascii="Calibri" w:hAnsi="Calibri" w:cs="Calibri"/>
                <w:sz w:val="12"/>
                <w:szCs w:val="24"/>
              </w:rPr>
            </w:pPr>
          </w:p>
          <w:p w14:paraId="3A1B3096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As above, g</w:t>
            </w:r>
            <w:r w:rsidRPr="00F51FEF">
              <w:rPr>
                <w:rFonts w:ascii="Calibri" w:hAnsi="Calibri" w:cs="Calibri"/>
                <w:szCs w:val="24"/>
              </w:rPr>
              <w:t>uidance and engagement will focus on improving local councils’ understanding of approvals processes</w:t>
            </w:r>
            <w:r>
              <w:rPr>
                <w:rFonts w:ascii="Calibri" w:hAnsi="Calibri" w:cs="Calibri"/>
                <w:szCs w:val="24"/>
              </w:rPr>
              <w:t>, and requirements on industry,</w:t>
            </w:r>
            <w:r w:rsidRPr="00F51FEF">
              <w:rPr>
                <w:rFonts w:ascii="Calibri" w:hAnsi="Calibri" w:cs="Calibri"/>
                <w:szCs w:val="24"/>
              </w:rPr>
              <w:t xml:space="preserve"> under the MRSDA and support </w:t>
            </w:r>
            <w:r>
              <w:rPr>
                <w:rFonts w:ascii="Calibri" w:hAnsi="Calibri" w:cs="Calibri"/>
                <w:szCs w:val="24"/>
              </w:rPr>
              <w:t>local councils</w:t>
            </w:r>
            <w:r w:rsidRPr="00F51FEF">
              <w:rPr>
                <w:rFonts w:ascii="Calibri" w:hAnsi="Calibri" w:cs="Calibri"/>
                <w:szCs w:val="24"/>
              </w:rPr>
              <w:t xml:space="preserve"> to make well-informed approvals decisions.</w:t>
            </w:r>
          </w:p>
        </w:tc>
      </w:tr>
      <w:tr w:rsidR="004B1F90" w:rsidRPr="00946D9B" w14:paraId="174A4C30" w14:textId="77777777" w:rsidTr="00F51FEF">
        <w:trPr>
          <w:cantSplit/>
          <w:trHeight w:val="70"/>
        </w:trPr>
        <w:tc>
          <w:tcPr>
            <w:tcW w:w="3080" w:type="dxa"/>
          </w:tcPr>
          <w:p w14:paraId="363E4D6A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Distribution of a summary of relevant 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>Standard Operating Procedures (SOPs)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process maps for feedback from industry and co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noBreakHyphen/>
              <w:t>regulators for the assessment of extractive and mineral resources applications</w:t>
            </w:r>
          </w:p>
          <w:p w14:paraId="0F2CB5CD" w14:textId="77777777" w:rsidR="004B1F90" w:rsidRPr="00C9031E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Commence implementation of these new SOPs as business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noBreakHyphen/>
              <w:t>as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noBreakHyphen/>
              <w:t>usual processes for ERR</w:t>
            </w:r>
          </w:p>
        </w:tc>
        <w:tc>
          <w:tcPr>
            <w:tcW w:w="2425" w:type="dxa"/>
          </w:tcPr>
          <w:p w14:paraId="4147283A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30 October 2018</w:t>
            </w:r>
          </w:p>
          <w:p w14:paraId="61DF2018" w14:textId="77777777" w:rsidR="004B1F90" w:rsidRPr="0097217D" w:rsidRDefault="004B1F90" w:rsidP="004B1F90">
            <w:pPr>
              <w:spacing w:before="120" w:after="120"/>
              <w:rPr>
                <w:rFonts w:ascii="Calibri" w:hAnsi="Calibri" w:cs="Calibri"/>
                <w:sz w:val="8"/>
                <w:szCs w:val="24"/>
              </w:rPr>
            </w:pPr>
          </w:p>
          <w:p w14:paraId="47DF2F8E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58303792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 w:val="40"/>
                <w:szCs w:val="24"/>
              </w:rPr>
            </w:pPr>
          </w:p>
          <w:p w14:paraId="4CD0C5D6" w14:textId="77777777" w:rsidR="004B1F90" w:rsidRPr="002A7C11" w:rsidRDefault="004B1F90" w:rsidP="004B1F90">
            <w:pPr>
              <w:spacing w:before="120" w:after="120"/>
              <w:rPr>
                <w:rFonts w:ascii="Calibri" w:hAnsi="Calibri" w:cs="Calibri"/>
                <w:sz w:val="40"/>
                <w:szCs w:val="24"/>
              </w:rPr>
            </w:pPr>
          </w:p>
          <w:p w14:paraId="00428EDE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By 30 June </w:t>
            </w:r>
            <w:r w:rsidRPr="00946D9B">
              <w:rPr>
                <w:rFonts w:ascii="Calibri" w:hAnsi="Calibri" w:cs="Calibri"/>
                <w:szCs w:val="24"/>
              </w:rPr>
              <w:t>2019</w:t>
            </w:r>
          </w:p>
        </w:tc>
        <w:tc>
          <w:tcPr>
            <w:tcW w:w="4101" w:type="dxa"/>
            <w:shd w:val="clear" w:color="auto" w:fill="FFFFFF"/>
          </w:tcPr>
          <w:p w14:paraId="146F9240" w14:textId="77777777" w:rsidR="004B1F90" w:rsidRPr="00CB206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These SOPs will be implemented into the business-as-usual operations of ERR. SOPs that heavily involve industry will be circulated with industry and co-regulators for feedback on ERR business processes.</w:t>
            </w:r>
          </w:p>
        </w:tc>
      </w:tr>
      <w:tr w:rsidR="00F93FE9" w:rsidRPr="00946D9B" w14:paraId="3F506C94" w14:textId="77777777" w:rsidTr="00A71F1C">
        <w:trPr>
          <w:cantSplit/>
          <w:trHeight w:val="511"/>
        </w:trPr>
        <w:tc>
          <w:tcPr>
            <w:tcW w:w="9606" w:type="dxa"/>
            <w:gridSpan w:val="3"/>
            <w:shd w:val="clear" w:color="auto" w:fill="A6A6A6"/>
          </w:tcPr>
          <w:p w14:paraId="1859925B" w14:textId="77777777" w:rsidR="00F93FE9" w:rsidRPr="00946D9B" w:rsidRDefault="00F93FE9" w:rsidP="00F93FE9">
            <w:pPr>
              <w:spacing w:before="120" w:after="120"/>
              <w:rPr>
                <w:rFonts w:ascii="Calibri" w:hAnsi="Calibri" w:cs="Calibri"/>
                <w:b/>
                <w:szCs w:val="24"/>
              </w:rPr>
            </w:pPr>
            <w:r w:rsidRPr="00946D9B">
              <w:rPr>
                <w:rFonts w:ascii="Calibri" w:hAnsi="Calibri" w:cs="Calibri"/>
                <w:b/>
                <w:szCs w:val="24"/>
              </w:rPr>
              <w:t>Staff Training</w:t>
            </w:r>
          </w:p>
        </w:tc>
      </w:tr>
      <w:tr w:rsidR="004B1F90" w:rsidRPr="00946D9B" w14:paraId="2303C5C3" w14:textId="77777777" w:rsidTr="00F51FEF">
        <w:trPr>
          <w:cantSplit/>
          <w:trHeight w:val="485"/>
        </w:trPr>
        <w:tc>
          <w:tcPr>
            <w:tcW w:w="3080" w:type="dxa"/>
          </w:tcPr>
          <w:p w14:paraId="0B624CA8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lastRenderedPageBreak/>
              <w:t>Continue to provide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options for joint interdepartmental training and secondment programs</w:t>
            </w:r>
          </w:p>
        </w:tc>
        <w:tc>
          <w:tcPr>
            <w:tcW w:w="2425" w:type="dxa"/>
          </w:tcPr>
          <w:p w14:paraId="55237B62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Ongoing</w:t>
            </w:r>
          </w:p>
          <w:p w14:paraId="4D413AD6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5A7B1495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101" w:type="dxa"/>
            <w:shd w:val="clear" w:color="auto" w:fill="FFFFFF"/>
          </w:tcPr>
          <w:p w14:paraId="3ED18719" w14:textId="77777777" w:rsidR="004B1F90" w:rsidRPr="00F51FEF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51FEF">
              <w:rPr>
                <w:rFonts w:ascii="Calibri" w:hAnsi="Calibri" w:cs="Calibri"/>
                <w:szCs w:val="24"/>
              </w:rPr>
              <w:t xml:space="preserve">In exploring and developing the programs, referral authorities; DEDJTR's Earth Resources Policy and Programs branch; and relevant departments will be consulted. </w:t>
            </w:r>
          </w:p>
          <w:p w14:paraId="0738A44D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51FEF">
              <w:rPr>
                <w:rFonts w:ascii="Calibri" w:hAnsi="Calibri" w:cs="Calibri"/>
                <w:szCs w:val="24"/>
              </w:rPr>
              <w:t>Once options have been developed, they will be tabled for consideration by the Earth Resources Regulators’ Forum.</w:t>
            </w:r>
          </w:p>
        </w:tc>
      </w:tr>
      <w:tr w:rsidR="004B1F90" w:rsidRPr="00946D9B" w14:paraId="2579D462" w14:textId="77777777" w:rsidTr="00F51FEF">
        <w:trPr>
          <w:cantSplit/>
          <w:trHeight w:val="493"/>
        </w:trPr>
        <w:tc>
          <w:tcPr>
            <w:tcW w:w="3080" w:type="dxa"/>
          </w:tcPr>
          <w:p w14:paraId="62C68E9F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Continue to s</w:t>
            </w:r>
            <w:r w:rsidRPr="00946D9B">
              <w:rPr>
                <w:rFonts w:cs="Calibri"/>
                <w:color w:val="auto"/>
                <w:sz w:val="24"/>
                <w:szCs w:val="24"/>
                <w:lang w:eastAsia="en-US"/>
              </w:rPr>
              <w:t>ustain an internship program</w:t>
            </w:r>
          </w:p>
        </w:tc>
        <w:tc>
          <w:tcPr>
            <w:tcW w:w="2425" w:type="dxa"/>
          </w:tcPr>
          <w:p w14:paraId="765A6038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46D9B">
              <w:rPr>
                <w:rFonts w:ascii="Calibri" w:hAnsi="Calibri" w:cs="Calibri"/>
                <w:szCs w:val="24"/>
              </w:rPr>
              <w:t>Ongoing</w:t>
            </w:r>
          </w:p>
          <w:p w14:paraId="042A4B38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65945505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101" w:type="dxa"/>
            <w:shd w:val="clear" w:color="auto" w:fill="FFFFFF"/>
          </w:tcPr>
          <w:p w14:paraId="068E8B12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F51FEF">
              <w:rPr>
                <w:rFonts w:ascii="Calibri" w:hAnsi="Calibri" w:cs="Calibri"/>
                <w:szCs w:val="24"/>
              </w:rPr>
              <w:t xml:space="preserve">An internship </w:t>
            </w:r>
            <w:r>
              <w:rPr>
                <w:rFonts w:ascii="Calibri" w:hAnsi="Calibri" w:cs="Calibri"/>
                <w:szCs w:val="24"/>
              </w:rPr>
              <w:t xml:space="preserve">program </w:t>
            </w:r>
            <w:r w:rsidRPr="00F51FEF">
              <w:rPr>
                <w:rFonts w:ascii="Calibri" w:hAnsi="Calibri" w:cs="Calibri"/>
                <w:szCs w:val="24"/>
              </w:rPr>
              <w:t>will be fostered to support the long-term supply of technical staff. This may include offering internships for students in relevant tertiary education programs (university and TAFE) and include placements for students in regional offices.</w:t>
            </w:r>
          </w:p>
        </w:tc>
      </w:tr>
      <w:tr w:rsidR="004B1F90" w:rsidRPr="00946D9B" w14:paraId="78920409" w14:textId="77777777" w:rsidTr="00F51FEF">
        <w:trPr>
          <w:cantSplit/>
          <w:trHeight w:val="144"/>
        </w:trPr>
        <w:tc>
          <w:tcPr>
            <w:tcW w:w="3080" w:type="dxa"/>
          </w:tcPr>
          <w:p w14:paraId="4DD578D6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b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Implement a new tailored induction program for all new ERR staff</w:t>
            </w:r>
          </w:p>
          <w:p w14:paraId="11897D4A" w14:textId="77777777" w:rsidR="004B1F90" w:rsidRPr="00DB41BD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E7508E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Complete Stage 1 of ERR capability review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– establish baseline capability</w:t>
            </w:r>
          </w:p>
          <w:p w14:paraId="629847AA" w14:textId="77777777" w:rsidR="004B1F90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Complete Stage 2 of ERR capability review -implementation of capability framework</w:t>
            </w:r>
          </w:p>
          <w:p w14:paraId="07021F0D" w14:textId="77777777" w:rsidR="004B1F90" w:rsidRPr="00946D9B" w:rsidRDefault="004B1F90" w:rsidP="004B1F90">
            <w:pPr>
              <w:pStyle w:val="Boxcolourtext"/>
              <w:spacing w:before="120" w:after="120"/>
              <w:rPr>
                <w:rFonts w:cs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Complete Authorised Officer Training for all current ERR Inspectors</w:t>
            </w:r>
          </w:p>
        </w:tc>
        <w:tc>
          <w:tcPr>
            <w:tcW w:w="2425" w:type="dxa"/>
          </w:tcPr>
          <w:p w14:paraId="776DE47A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July 2018</w:t>
            </w:r>
          </w:p>
          <w:p w14:paraId="4DE30359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19043DE2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4D0111">
              <w:rPr>
                <w:rFonts w:ascii="Calibri" w:hAnsi="Calibri" w:cs="Calibri"/>
                <w:szCs w:val="24"/>
              </w:rPr>
              <w:t xml:space="preserve">By </w:t>
            </w:r>
            <w:r>
              <w:rPr>
                <w:rFonts w:ascii="Calibri" w:hAnsi="Calibri" w:cs="Calibri"/>
                <w:szCs w:val="24"/>
              </w:rPr>
              <w:t>30 September</w:t>
            </w:r>
            <w:r w:rsidRPr="004D0111">
              <w:rPr>
                <w:rFonts w:ascii="Calibri" w:hAnsi="Calibri" w:cs="Calibri"/>
                <w:szCs w:val="24"/>
              </w:rPr>
              <w:t xml:space="preserve"> 2018</w:t>
            </w:r>
          </w:p>
          <w:p w14:paraId="52C6C4B1" w14:textId="77777777" w:rsidR="004B1F90" w:rsidRPr="000F19ED" w:rsidRDefault="004B1F90" w:rsidP="004B1F90">
            <w:pPr>
              <w:spacing w:before="120" w:after="120"/>
              <w:rPr>
                <w:rFonts w:ascii="Calibri" w:hAnsi="Calibri" w:cs="Calibri"/>
                <w:sz w:val="36"/>
                <w:szCs w:val="24"/>
              </w:rPr>
            </w:pPr>
          </w:p>
          <w:p w14:paraId="2E749FFB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March 2019</w:t>
            </w:r>
          </w:p>
          <w:p w14:paraId="4B2A2651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2B0CCBDE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24F5C058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By 31 December 2018 (ongoing thereafter)</w:t>
            </w:r>
          </w:p>
          <w:p w14:paraId="02E0A865" w14:textId="77777777" w:rsidR="004B1F90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14:paraId="7FA8D58C" w14:textId="77777777" w:rsidR="004B1F90" w:rsidRPr="00946D9B" w:rsidRDefault="004B1F90" w:rsidP="004B1F90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  <w:tc>
          <w:tcPr>
            <w:tcW w:w="4101" w:type="dxa"/>
            <w:shd w:val="clear" w:color="auto" w:fill="FFFFFF"/>
          </w:tcPr>
          <w:p w14:paraId="0B15582C" w14:textId="77777777" w:rsidR="004B1F90" w:rsidRPr="00957C77" w:rsidRDefault="004B1F90" w:rsidP="004B1F90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Induction and training activities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will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focus on:</w:t>
            </w:r>
          </w:p>
          <w:p w14:paraId="4CE44136" w14:textId="77777777" w:rsidR="004B1F90" w:rsidRPr="00957C77" w:rsidRDefault="004B1F90" w:rsidP="004B1F90">
            <w:pPr>
              <w:pStyle w:val="Boxcolourtext"/>
              <w:numPr>
                <w:ilvl w:val="0"/>
                <w:numId w:val="11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the role of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Earth Resources Regulation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>, its regulatory functions and how these meet the community’s expectations</w:t>
            </w:r>
          </w:p>
          <w:p w14:paraId="6BA69B6B" w14:textId="77777777" w:rsidR="004B1F90" w:rsidRPr="00957C77" w:rsidRDefault="004B1F90" w:rsidP="004B1F90">
            <w:pPr>
              <w:pStyle w:val="Boxcolourtext"/>
              <w:numPr>
                <w:ilvl w:val="0"/>
                <w:numId w:val="11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>what the earth resources sector does and how it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works (including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through site visits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)</w:t>
            </w:r>
          </w:p>
          <w:p w14:paraId="71A539CD" w14:textId="77777777" w:rsidR="004B1F90" w:rsidRPr="00957C77" w:rsidRDefault="004B1F90" w:rsidP="004B1F90">
            <w:pPr>
              <w:pStyle w:val="Boxcolourtext"/>
              <w:numPr>
                <w:ilvl w:val="0"/>
                <w:numId w:val="11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>the wider earth r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esources regulatory environment and 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>referral authority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roles and relationships </w:t>
            </w:r>
          </w:p>
          <w:p w14:paraId="6AA756E5" w14:textId="77777777" w:rsidR="004B1F90" w:rsidRDefault="004B1F90" w:rsidP="004B1F90">
            <w:pPr>
              <w:pStyle w:val="Boxcolourtext"/>
              <w:numPr>
                <w:ilvl w:val="0"/>
                <w:numId w:val="11"/>
              </w:numPr>
              <w:spacing w:before="0" w:after="0"/>
              <w:ind w:left="357" w:hanging="357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Earth Resources Regulation’s regulatory processes, systems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and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interactions</w:t>
            </w:r>
            <w:r w:rsidRPr="00957C77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 with industry.</w:t>
            </w:r>
          </w:p>
          <w:p w14:paraId="30BD7EE9" w14:textId="77777777" w:rsidR="004B1F90" w:rsidRDefault="004B1F90" w:rsidP="004B1F90">
            <w:pPr>
              <w:pStyle w:val="Boxcolourtext"/>
              <w:spacing w:before="0" w:after="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  <w:p w14:paraId="70BA83D0" w14:textId="77777777" w:rsidR="004B1F90" w:rsidRDefault="004B1F90" w:rsidP="004B1F90">
            <w:pPr>
              <w:pStyle w:val="Boxcolourtext"/>
              <w:spacing w:before="0" w:after="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  <w:p w14:paraId="3E5FB43B" w14:textId="77777777" w:rsidR="004B1F90" w:rsidRDefault="004B1F90" w:rsidP="004B1F90">
            <w:pPr>
              <w:pStyle w:val="Boxcolourtext"/>
              <w:spacing w:before="0" w:after="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F93FE9" w:rsidRPr="00946D9B" w14:paraId="0432CBFC" w14:textId="77777777" w:rsidTr="00A71F1C">
        <w:trPr>
          <w:cantSplit/>
          <w:trHeight w:val="560"/>
        </w:trPr>
        <w:tc>
          <w:tcPr>
            <w:tcW w:w="9606" w:type="dxa"/>
            <w:gridSpan w:val="3"/>
            <w:shd w:val="clear" w:color="auto" w:fill="D9D9D9"/>
          </w:tcPr>
          <w:p w14:paraId="14B1CDD9" w14:textId="77777777" w:rsidR="00F93FE9" w:rsidRPr="00946D9B" w:rsidRDefault="00F93FE9" w:rsidP="00F93FE9">
            <w:pPr>
              <w:spacing w:before="120" w:after="120"/>
              <w:rPr>
                <w:rFonts w:cs="Calibri"/>
                <w:szCs w:val="24"/>
              </w:rPr>
            </w:pPr>
            <w:r w:rsidRPr="00946D9B">
              <w:rPr>
                <w:rFonts w:ascii="Calibri" w:hAnsi="Calibri" w:cs="Calibri"/>
                <w:b/>
                <w:szCs w:val="24"/>
              </w:rPr>
              <w:lastRenderedPageBreak/>
              <w:t>ICT systems</w:t>
            </w:r>
          </w:p>
        </w:tc>
      </w:tr>
      <w:tr w:rsidR="00F93FE9" w:rsidRPr="00946D9B" w14:paraId="67074A9F" w14:textId="77777777" w:rsidTr="00F51FEF">
        <w:trPr>
          <w:cantSplit/>
          <w:trHeight w:val="732"/>
        </w:trPr>
        <w:tc>
          <w:tcPr>
            <w:tcW w:w="3080" w:type="dxa"/>
          </w:tcPr>
          <w:p w14:paraId="2BC84755" w14:textId="77777777" w:rsidR="00F93FE9" w:rsidRPr="00E83500" w:rsidRDefault="00F93FE9" w:rsidP="00F93FE9">
            <w:pPr>
              <w:rPr>
                <w:rFonts w:ascii="Calibri" w:hAnsi="Calibri" w:cs="Calibri"/>
                <w:bCs/>
              </w:rPr>
            </w:pPr>
            <w:r w:rsidRPr="00E83500">
              <w:rPr>
                <w:rFonts w:ascii="Calibri" w:hAnsi="Calibri" w:cs="Calibri"/>
                <w:b/>
                <w:bCs/>
              </w:rPr>
              <w:t xml:space="preserve">Deliver Resource Rights Allocation Management (RRAM) Quick Wins project </w:t>
            </w:r>
            <w:r w:rsidRPr="00E83500">
              <w:rPr>
                <w:rFonts w:ascii="Calibri" w:hAnsi="Calibri" w:cs="Calibri"/>
                <w:bCs/>
              </w:rPr>
              <w:t>(short term project)</w:t>
            </w:r>
          </w:p>
          <w:p w14:paraId="3D6557FA" w14:textId="77777777" w:rsidR="00F93FE9" w:rsidRPr="00E83500" w:rsidRDefault="00F93FE9" w:rsidP="00F93FE9">
            <w:pPr>
              <w:rPr>
                <w:rFonts w:ascii="Calibri" w:hAnsi="Calibri" w:cs="Calibri"/>
                <w:b/>
                <w:bCs/>
              </w:rPr>
            </w:pPr>
          </w:p>
          <w:p w14:paraId="73ECF253" w14:textId="77777777" w:rsidR="00F93FE9" w:rsidRPr="00E83500" w:rsidRDefault="00F93FE9" w:rsidP="00F93FE9">
            <w:pPr>
              <w:rPr>
                <w:rFonts w:ascii="Calibri" w:hAnsi="Calibri" w:cs="Calibri"/>
                <w:sz w:val="22"/>
              </w:rPr>
            </w:pPr>
            <w:r w:rsidRPr="00E83500">
              <w:rPr>
                <w:rFonts w:ascii="Calibri" w:hAnsi="Calibri" w:cs="Calibri"/>
              </w:rPr>
              <w:t>Industry Stakeholder workshop</w:t>
            </w:r>
          </w:p>
          <w:p w14:paraId="6419588E" w14:textId="77777777" w:rsidR="00F93FE9" w:rsidRPr="00E83500" w:rsidRDefault="00F93FE9" w:rsidP="00F93FE9">
            <w:pPr>
              <w:ind w:left="360"/>
              <w:rPr>
                <w:rFonts w:ascii="Calibri" w:hAnsi="Calibri" w:cs="Calibri"/>
              </w:rPr>
            </w:pPr>
          </w:p>
          <w:p w14:paraId="3B6729E9" w14:textId="77777777" w:rsidR="00F93FE9" w:rsidRPr="00E83500" w:rsidRDefault="00F93FE9" w:rsidP="00F93FE9">
            <w:pPr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Prioritised catalogue of changes</w:t>
            </w:r>
          </w:p>
          <w:p w14:paraId="7FBF9FD0" w14:textId="77777777" w:rsidR="00F93FE9" w:rsidRPr="00E83500" w:rsidRDefault="00F93FE9" w:rsidP="00F93FE9">
            <w:pPr>
              <w:ind w:left="360"/>
              <w:rPr>
                <w:rFonts w:ascii="Calibri" w:hAnsi="Calibri" w:cs="Calibri"/>
              </w:rPr>
            </w:pPr>
          </w:p>
          <w:p w14:paraId="7562FC66" w14:textId="77777777" w:rsidR="00F93FE9" w:rsidRPr="00E83500" w:rsidRDefault="00F93FE9" w:rsidP="00F93FE9">
            <w:pPr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Plan to roll out changes</w:t>
            </w:r>
          </w:p>
          <w:p w14:paraId="7179CF69" w14:textId="77777777" w:rsidR="00F93FE9" w:rsidRPr="00E83500" w:rsidRDefault="00F93FE9" w:rsidP="00F93FE9">
            <w:pPr>
              <w:ind w:left="360"/>
              <w:rPr>
                <w:rFonts w:ascii="Calibri" w:hAnsi="Calibri" w:cs="Calibri"/>
              </w:rPr>
            </w:pPr>
          </w:p>
          <w:p w14:paraId="6916E0CF" w14:textId="77777777" w:rsidR="00F93FE9" w:rsidRPr="00E77DBA" w:rsidRDefault="00F93FE9" w:rsidP="00F93F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Iterative rollout of i</w:t>
            </w:r>
            <w:r w:rsidRPr="00E83500">
              <w:rPr>
                <w:rFonts w:ascii="Calibri" w:hAnsi="Calibri" w:cs="Calibri"/>
              </w:rPr>
              <w:t>mmediate changes</w:t>
            </w:r>
          </w:p>
        </w:tc>
        <w:tc>
          <w:tcPr>
            <w:tcW w:w="2425" w:type="dxa"/>
          </w:tcPr>
          <w:p w14:paraId="2DBB542B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40"/>
                <w:szCs w:val="24"/>
                <w:lang w:eastAsia="en-US"/>
              </w:rPr>
            </w:pPr>
          </w:p>
          <w:p w14:paraId="0698CFD7" w14:textId="77777777" w:rsidR="00F93FE9" w:rsidRPr="00EF29FF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  <w:p w14:paraId="2F6A12E5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31 July 2018</w:t>
            </w:r>
          </w:p>
          <w:p w14:paraId="13639FFB" w14:textId="77777777" w:rsidR="00FB3F04" w:rsidRDefault="00FB3F04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  <w:p w14:paraId="6FFD09EB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31 August 2018</w:t>
            </w:r>
          </w:p>
          <w:p w14:paraId="59725CE1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30 September 2018</w:t>
            </w:r>
          </w:p>
          <w:p w14:paraId="1361FBC8" w14:textId="77777777" w:rsidR="00F93FE9" w:rsidRPr="002C0F9A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"/>
                <w:szCs w:val="24"/>
                <w:lang w:eastAsia="en-US"/>
              </w:rPr>
            </w:pPr>
          </w:p>
          <w:p w14:paraId="3104EB8B" w14:textId="77777777" w:rsidR="00F93FE9" w:rsidRPr="00946D9B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31 October 2018</w:t>
            </w:r>
          </w:p>
        </w:tc>
        <w:tc>
          <w:tcPr>
            <w:tcW w:w="4101" w:type="dxa"/>
            <w:shd w:val="clear" w:color="auto" w:fill="FFFFFF"/>
          </w:tcPr>
          <w:p w14:paraId="24CCFCB4" w14:textId="77777777" w:rsidR="00F93FE9" w:rsidRPr="00946D9B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ICT reforms will be developed and timed to support the </w:t>
            </w:r>
            <w:r w:rsidRPr="00F45741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delivery of the regulatory improvements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across the regulator.</w:t>
            </w:r>
          </w:p>
        </w:tc>
      </w:tr>
      <w:tr w:rsidR="00F93FE9" w14:paraId="1200B4CA" w14:textId="77777777" w:rsidTr="00F51FEF">
        <w:trPr>
          <w:cantSplit/>
          <w:trHeight w:val="511"/>
        </w:trPr>
        <w:tc>
          <w:tcPr>
            <w:tcW w:w="3080" w:type="dxa"/>
          </w:tcPr>
          <w:p w14:paraId="1DC6AFAC" w14:textId="77777777" w:rsidR="00F93FE9" w:rsidRPr="00E83500" w:rsidRDefault="00F93FE9" w:rsidP="00F93FE9">
            <w:pPr>
              <w:rPr>
                <w:rFonts w:ascii="Calibri" w:hAnsi="Calibri" w:cs="Calibri"/>
                <w:bCs/>
              </w:rPr>
            </w:pPr>
            <w:r w:rsidRPr="00E83500">
              <w:rPr>
                <w:rFonts w:ascii="Calibri" w:hAnsi="Calibri" w:cs="Calibri"/>
                <w:b/>
                <w:bCs/>
              </w:rPr>
              <w:t xml:space="preserve">Deliver the RRAM Enhancement project </w:t>
            </w:r>
            <w:r w:rsidRPr="00E83500">
              <w:rPr>
                <w:rFonts w:ascii="Calibri" w:hAnsi="Calibri" w:cs="Calibri"/>
                <w:bCs/>
              </w:rPr>
              <w:t>(medium term project)</w:t>
            </w:r>
          </w:p>
          <w:p w14:paraId="6A4E2143" w14:textId="77777777" w:rsidR="00F93FE9" w:rsidRPr="00E83500" w:rsidRDefault="00F93FE9" w:rsidP="00F93FE9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14:paraId="525F07FE" w14:textId="77777777" w:rsidR="00F93FE9" w:rsidRPr="00E83500" w:rsidRDefault="00F93FE9" w:rsidP="00F93FE9">
            <w:pPr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Business Solution document including:</w:t>
            </w:r>
          </w:p>
          <w:p w14:paraId="22C27065" w14:textId="77777777" w:rsidR="00F93FE9" w:rsidRPr="00E83500" w:rsidRDefault="00F93FE9" w:rsidP="00F93FE9">
            <w:pPr>
              <w:ind w:left="313"/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Business process</w:t>
            </w:r>
          </w:p>
          <w:p w14:paraId="185E935B" w14:textId="77777777" w:rsidR="00F93FE9" w:rsidRPr="00E83500" w:rsidRDefault="00F93FE9" w:rsidP="00F93FE9">
            <w:pPr>
              <w:ind w:left="313"/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Data Architecture</w:t>
            </w:r>
          </w:p>
          <w:p w14:paraId="7F47DA87" w14:textId="77777777" w:rsidR="00F93FE9" w:rsidRPr="00E83500" w:rsidRDefault="00F93FE9" w:rsidP="00F93FE9">
            <w:pPr>
              <w:ind w:left="313"/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Business Requirements</w:t>
            </w:r>
          </w:p>
          <w:p w14:paraId="02977065" w14:textId="77777777" w:rsidR="00F93FE9" w:rsidRPr="00E83500" w:rsidRDefault="00F93FE9" w:rsidP="00F93FE9">
            <w:pPr>
              <w:rPr>
                <w:rFonts w:ascii="Calibri" w:hAnsi="Calibri" w:cs="Calibri"/>
              </w:rPr>
            </w:pPr>
          </w:p>
          <w:p w14:paraId="06BF9635" w14:textId="77777777" w:rsidR="00F93FE9" w:rsidRDefault="00F93FE9" w:rsidP="00F93FE9">
            <w:pPr>
              <w:rPr>
                <w:rFonts w:ascii="Calibri" w:hAnsi="Calibri" w:cs="Calibri"/>
              </w:rPr>
            </w:pPr>
            <w:r w:rsidRPr="00E83500">
              <w:rPr>
                <w:rFonts w:ascii="Calibri" w:hAnsi="Calibri" w:cs="Calibri"/>
              </w:rPr>
              <w:t>RRAM Implementation Plan</w:t>
            </w:r>
          </w:p>
          <w:p w14:paraId="7EF2159E" w14:textId="77777777" w:rsidR="00F93FE9" w:rsidRDefault="00F93FE9" w:rsidP="00F93FE9">
            <w:pPr>
              <w:rPr>
                <w:rFonts w:ascii="Calibri" w:hAnsi="Calibri" w:cs="Calibri"/>
              </w:rPr>
            </w:pPr>
          </w:p>
          <w:p w14:paraId="28343F3C" w14:textId="77777777" w:rsidR="00F93FE9" w:rsidRDefault="00F93FE9" w:rsidP="00F93FE9">
            <w:pPr>
              <w:rPr>
                <w:rFonts w:cs="Calibri"/>
                <w:szCs w:val="24"/>
              </w:rPr>
            </w:pPr>
            <w:r w:rsidRPr="00E83500">
              <w:rPr>
                <w:rFonts w:ascii="Calibri" w:hAnsi="Calibri" w:cs="Calibri"/>
              </w:rPr>
              <w:t>RRAM Enhancements rolled out iteratively from October 2018</w:t>
            </w:r>
          </w:p>
        </w:tc>
        <w:tc>
          <w:tcPr>
            <w:tcW w:w="2425" w:type="dxa"/>
          </w:tcPr>
          <w:p w14:paraId="776A9A44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</w:p>
          <w:p w14:paraId="4FAD08C1" w14:textId="77777777" w:rsidR="00F93FE9" w:rsidRPr="00D11C0B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16"/>
                <w:szCs w:val="24"/>
                <w:lang w:eastAsia="en-US"/>
              </w:rPr>
            </w:pPr>
          </w:p>
          <w:p w14:paraId="3C35BD3D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30 September 2018</w:t>
            </w:r>
          </w:p>
          <w:p w14:paraId="74A9A0ED" w14:textId="77777777" w:rsidR="00F93FE9" w:rsidRPr="00D11C0B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52"/>
                <w:szCs w:val="24"/>
                <w:lang w:eastAsia="en-US"/>
              </w:rPr>
            </w:pPr>
          </w:p>
          <w:p w14:paraId="2A8FA726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By 31 October 2018</w:t>
            </w:r>
          </w:p>
          <w:p w14:paraId="640C2ACE" w14:textId="77777777" w:rsidR="00F93FE9" w:rsidRPr="00EF29FF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"/>
                <w:szCs w:val="24"/>
                <w:lang w:eastAsia="en-US"/>
              </w:rPr>
            </w:pPr>
          </w:p>
          <w:p w14:paraId="41D2FE0C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By 30 </w:t>
            </w:r>
            <w:r w:rsidRPr="00CA5993">
              <w:rPr>
                <w:rFonts w:cs="Calibri"/>
                <w:color w:val="auto"/>
                <w:sz w:val="24"/>
                <w:szCs w:val="24"/>
                <w:lang w:eastAsia="en-US"/>
              </w:rPr>
              <w:t>June 2019</w:t>
            </w:r>
          </w:p>
        </w:tc>
        <w:tc>
          <w:tcPr>
            <w:tcW w:w="4101" w:type="dxa"/>
            <w:shd w:val="clear" w:color="auto" w:fill="FFFFFF"/>
          </w:tcPr>
          <w:p w14:paraId="5668EAB3" w14:textId="77777777" w:rsidR="00F93FE9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As above, ICT reforms will be developed and timed to support the </w:t>
            </w:r>
            <w:r w:rsidRPr="00F45741">
              <w:rPr>
                <w:rFonts w:cs="Calibri"/>
                <w:color w:val="auto"/>
                <w:sz w:val="24"/>
                <w:szCs w:val="24"/>
                <w:lang w:eastAsia="en-US"/>
              </w:rPr>
              <w:t xml:space="preserve">delivery of the regulatory improvements </w:t>
            </w: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across the regulator.</w:t>
            </w:r>
          </w:p>
        </w:tc>
      </w:tr>
      <w:tr w:rsidR="00F93FE9" w:rsidRPr="00946D9B" w14:paraId="391D1F00" w14:textId="77777777" w:rsidTr="00F51FEF">
        <w:trPr>
          <w:cantSplit/>
          <w:trHeight w:val="511"/>
        </w:trPr>
        <w:tc>
          <w:tcPr>
            <w:tcW w:w="3080" w:type="dxa"/>
          </w:tcPr>
          <w:p w14:paraId="4024621B" w14:textId="77777777" w:rsidR="00F93FE9" w:rsidRPr="00CD0029" w:rsidRDefault="00F93FE9" w:rsidP="00F93FE9">
            <w:pPr>
              <w:pStyle w:val="Boxcolourtext"/>
              <w:spacing w:before="120" w:after="120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rFonts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>Update the Earth Resources website</w:t>
            </w:r>
            <w:r w:rsidRPr="00CD0029">
              <w:rPr>
                <w:rFonts w:cs="Calibri"/>
                <w:color w:val="000000"/>
                <w:sz w:val="24"/>
                <w:szCs w:val="24"/>
                <w:lang w:eastAsia="en-US"/>
              </w:rPr>
              <w:t xml:space="preserve"> to improve provision of information in a usable format for industry, referral authorities and the community</w:t>
            </w:r>
          </w:p>
          <w:p w14:paraId="4ED46C8A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Website redevelopment project plan</w:t>
            </w:r>
          </w:p>
          <w:p w14:paraId="4654D5F4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Proposed technical implementation of the website</w:t>
            </w:r>
          </w:p>
          <w:p w14:paraId="3FA0DA17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Proposed website design determined</w:t>
            </w:r>
          </w:p>
          <w:p w14:paraId="18DB8624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Stakeholder Reference Group consulted on proposed redevelopment</w:t>
            </w:r>
          </w:p>
          <w:p w14:paraId="38B5C821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Technical implementation and testing and content review and migration</w:t>
            </w:r>
          </w:p>
          <w:p w14:paraId="30CB648B" w14:textId="77777777" w:rsidR="00F93FE9" w:rsidRPr="00CD0029" w:rsidRDefault="00F93FE9" w:rsidP="00F93FE9">
            <w:pPr>
              <w:pStyle w:val="Boxcolourtext"/>
              <w:spacing w:before="120" w:after="120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</w:rPr>
              <w:t>Website goes live</w:t>
            </w:r>
          </w:p>
        </w:tc>
        <w:tc>
          <w:tcPr>
            <w:tcW w:w="2425" w:type="dxa"/>
          </w:tcPr>
          <w:p w14:paraId="05DCF813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</w:p>
          <w:p w14:paraId="0925A0A3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</w:p>
          <w:p w14:paraId="03903561" w14:textId="77777777" w:rsidR="00F93FE9" w:rsidRDefault="00F93FE9" w:rsidP="00F93FE9">
            <w:pPr>
              <w:pStyle w:val="Boxcolourtext"/>
              <w:spacing w:before="120" w:after="120"/>
              <w:rPr>
                <w:color w:val="000000"/>
                <w:sz w:val="36"/>
                <w:szCs w:val="24"/>
                <w:lang w:eastAsia="en-US"/>
              </w:rPr>
            </w:pPr>
          </w:p>
          <w:p w14:paraId="4E5C8B80" w14:textId="77777777" w:rsidR="00FB3F04" w:rsidRPr="00FB3F04" w:rsidRDefault="00FB3F04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</w:p>
          <w:p w14:paraId="4F608F5B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By 31 August 2018</w:t>
            </w:r>
          </w:p>
          <w:p w14:paraId="46687870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Cs w:val="24"/>
                <w:lang w:eastAsia="en-US"/>
              </w:rPr>
            </w:pPr>
          </w:p>
          <w:p w14:paraId="30E14D7C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By 31 December 2018</w:t>
            </w:r>
          </w:p>
          <w:p w14:paraId="4E665DFF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"/>
                <w:szCs w:val="24"/>
                <w:lang w:eastAsia="en-US"/>
              </w:rPr>
            </w:pPr>
          </w:p>
          <w:p w14:paraId="4830D235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By 31 December 2018</w:t>
            </w:r>
          </w:p>
          <w:p w14:paraId="13FD1B8A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</w:p>
          <w:p w14:paraId="70164044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By 31 December 2018</w:t>
            </w:r>
          </w:p>
          <w:p w14:paraId="20AC6751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"/>
                <w:szCs w:val="24"/>
                <w:lang w:eastAsia="en-US"/>
              </w:rPr>
            </w:pPr>
          </w:p>
          <w:p w14:paraId="11045696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  <w:lang w:eastAsia="en-US"/>
              </w:rPr>
              <w:t>January to May 2019</w:t>
            </w:r>
          </w:p>
          <w:p w14:paraId="6E7A68E5" w14:textId="77777777" w:rsidR="00F93FE9" w:rsidRPr="00CD0029" w:rsidRDefault="00F93FE9" w:rsidP="00F93FE9">
            <w:pPr>
              <w:pStyle w:val="Boxcolourtext"/>
              <w:spacing w:before="120" w:after="120"/>
              <w:rPr>
                <w:color w:val="000000"/>
                <w:sz w:val="24"/>
                <w:szCs w:val="24"/>
                <w:lang w:eastAsia="en-US"/>
              </w:rPr>
            </w:pPr>
          </w:p>
          <w:p w14:paraId="69170011" w14:textId="77777777" w:rsidR="00F93FE9" w:rsidRPr="00CD0029" w:rsidRDefault="00F93FE9" w:rsidP="00F93FE9">
            <w:pPr>
              <w:pStyle w:val="Boxcolourtext"/>
              <w:spacing w:before="120" w:after="120"/>
              <w:rPr>
                <w:rFonts w:cs="Calibri"/>
                <w:color w:val="000000"/>
                <w:sz w:val="24"/>
                <w:szCs w:val="24"/>
                <w:lang w:eastAsia="en-US"/>
              </w:rPr>
            </w:pPr>
            <w:r w:rsidRPr="00CD0029">
              <w:rPr>
                <w:color w:val="000000"/>
                <w:sz w:val="24"/>
                <w:szCs w:val="24"/>
              </w:rPr>
              <w:t>By 31 May 2019</w:t>
            </w:r>
          </w:p>
        </w:tc>
        <w:tc>
          <w:tcPr>
            <w:tcW w:w="4101" w:type="dxa"/>
            <w:shd w:val="clear" w:color="auto" w:fill="FFFFFF"/>
          </w:tcPr>
          <w:p w14:paraId="326A7527" w14:textId="77777777" w:rsidR="00F93FE9" w:rsidRPr="00946D9B" w:rsidRDefault="00F93FE9" w:rsidP="00F93FE9">
            <w:pPr>
              <w:pStyle w:val="Boxcolourtext"/>
              <w:spacing w:before="120" w:after="120"/>
              <w:rPr>
                <w:rFonts w:cs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cs="Calibri"/>
                <w:color w:val="auto"/>
                <w:sz w:val="24"/>
                <w:szCs w:val="24"/>
                <w:lang w:eastAsia="en-US"/>
              </w:rPr>
              <w:t>The updated to the website will work towards providing for an upgraded online application system for industry.</w:t>
            </w:r>
          </w:p>
        </w:tc>
      </w:tr>
    </w:tbl>
    <w:p w14:paraId="2D3B27EE" w14:textId="77777777" w:rsidR="00036CD4" w:rsidRDefault="00036CD4" w:rsidP="00E6763F">
      <w:pPr>
        <w:spacing w:after="120"/>
        <w:rPr>
          <w:rFonts w:ascii="Calibri" w:hAnsi="Calibri" w:cs="Calibri"/>
          <w:b/>
        </w:rPr>
      </w:pPr>
    </w:p>
    <w:p w14:paraId="5177A2A3" w14:textId="77777777" w:rsidR="00E6763F" w:rsidRPr="00CB206B" w:rsidRDefault="00E6763F" w:rsidP="00E6763F">
      <w:pPr>
        <w:spacing w:after="200"/>
        <w:rPr>
          <w:rFonts w:ascii="Calibri" w:hAnsi="Calibri" w:cs="Calibri"/>
          <w:b/>
          <w:sz w:val="18"/>
          <w:szCs w:val="24"/>
        </w:rPr>
      </w:pPr>
      <w:r w:rsidRPr="00CB206B">
        <w:rPr>
          <w:rFonts w:ascii="Calibri" w:hAnsi="Calibri" w:cs="Calibri"/>
          <w:b/>
          <w:szCs w:val="24"/>
        </w:rPr>
        <w:t>Evaluation and Reporting</w:t>
      </w:r>
    </w:p>
    <w:p w14:paraId="75A7247F" w14:textId="77777777" w:rsidR="00E6763F" w:rsidRDefault="00E6763F" w:rsidP="00E6763F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Earth Resources Regulation will support the Department’s policy area to evaluate its performance against the Statement of Expectations and the Statement of Expectations development process more broadly.</w:t>
      </w:r>
    </w:p>
    <w:p w14:paraId="283021D0" w14:textId="77777777" w:rsidR="00E6763F" w:rsidRDefault="00E6763F" w:rsidP="00E6763F">
      <w:pPr>
        <w:rPr>
          <w:rFonts w:ascii="Calibri" w:hAnsi="Calibri" w:cs="Calibri"/>
          <w:color w:val="000000"/>
          <w:szCs w:val="24"/>
        </w:rPr>
      </w:pPr>
    </w:p>
    <w:p w14:paraId="598DDDD6" w14:textId="77777777" w:rsidR="00E6763F" w:rsidRPr="009B264A" w:rsidRDefault="00E6763F" w:rsidP="00E6763F">
      <w:pPr>
        <w:rPr>
          <w:rFonts w:ascii="Calibri" w:hAnsi="Calibri" w:cs="Calibri"/>
          <w:color w:val="000000"/>
          <w:szCs w:val="24"/>
        </w:rPr>
      </w:pPr>
      <w:bookmarkStart w:id="1" w:name="_Hlk517111322"/>
      <w:r>
        <w:rPr>
          <w:rFonts w:ascii="Calibri" w:hAnsi="Calibri" w:cs="Calibri"/>
          <w:color w:val="000000"/>
          <w:szCs w:val="24"/>
        </w:rPr>
        <w:t>Progress against regulator</w:t>
      </w:r>
      <w:r w:rsidRPr="009B264A">
        <w:rPr>
          <w:rFonts w:ascii="Calibri" w:hAnsi="Calibri" w:cs="Calibri"/>
          <w:color w:val="000000"/>
          <w:szCs w:val="24"/>
        </w:rPr>
        <w:t xml:space="preserve"> performance targets</w:t>
      </w:r>
      <w:r>
        <w:rPr>
          <w:rFonts w:ascii="Calibri" w:hAnsi="Calibri" w:cs="Calibri"/>
          <w:color w:val="000000"/>
          <w:szCs w:val="24"/>
        </w:rPr>
        <w:t xml:space="preserve"> (in </w:t>
      </w:r>
      <w:r w:rsidRPr="009B264A">
        <w:rPr>
          <w:rFonts w:ascii="Calibri" w:hAnsi="Calibri" w:cs="Calibri"/>
          <w:b/>
          <w:color w:val="000000"/>
          <w:szCs w:val="24"/>
        </w:rPr>
        <w:t xml:space="preserve">Table 1 </w:t>
      </w:r>
      <w:r>
        <w:rPr>
          <w:rFonts w:ascii="Calibri" w:hAnsi="Calibri" w:cs="Calibri"/>
          <w:color w:val="000000"/>
          <w:szCs w:val="24"/>
        </w:rPr>
        <w:t>above)</w:t>
      </w:r>
      <w:r w:rsidRPr="009B264A">
        <w:rPr>
          <w:rFonts w:ascii="Calibri" w:hAnsi="Calibri" w:cs="Calibri"/>
          <w:color w:val="000000"/>
          <w:szCs w:val="24"/>
        </w:rPr>
        <w:t xml:space="preserve"> </w:t>
      </w:r>
      <w:r>
        <w:rPr>
          <w:rFonts w:ascii="Calibri" w:hAnsi="Calibri" w:cs="Calibri"/>
          <w:color w:val="000000"/>
          <w:szCs w:val="24"/>
        </w:rPr>
        <w:t>will be included in annual financial reporting and the following matters will be included in standard annual reporting:</w:t>
      </w:r>
    </w:p>
    <w:p w14:paraId="32843A34" w14:textId="77777777" w:rsidR="00E6763F" w:rsidRPr="009B264A" w:rsidRDefault="00E6763F" w:rsidP="00E6763F">
      <w:pPr>
        <w:numPr>
          <w:ilvl w:val="0"/>
          <w:numId w:val="17"/>
        </w:numPr>
        <w:rPr>
          <w:rFonts w:ascii="Calibri" w:hAnsi="Calibri" w:cs="Calibri"/>
          <w:color w:val="000000"/>
          <w:szCs w:val="24"/>
        </w:rPr>
      </w:pPr>
      <w:r w:rsidRPr="009B264A">
        <w:rPr>
          <w:rFonts w:ascii="Calibri" w:hAnsi="Calibri" w:cs="Calibri"/>
          <w:color w:val="000000"/>
          <w:szCs w:val="24"/>
        </w:rPr>
        <w:t xml:space="preserve">current baseline levels for </w:t>
      </w:r>
      <w:r>
        <w:rPr>
          <w:rFonts w:ascii="Calibri" w:hAnsi="Calibri" w:cs="Calibri"/>
          <w:color w:val="000000"/>
          <w:szCs w:val="24"/>
        </w:rPr>
        <w:t xml:space="preserve">the regulator </w:t>
      </w:r>
      <w:r w:rsidRPr="009B264A">
        <w:rPr>
          <w:rFonts w:ascii="Calibri" w:hAnsi="Calibri" w:cs="Calibri"/>
          <w:color w:val="000000"/>
          <w:szCs w:val="24"/>
        </w:rPr>
        <w:t>performance targets; and</w:t>
      </w:r>
    </w:p>
    <w:p w14:paraId="15B9A01B" w14:textId="77777777" w:rsidR="00E6763F" w:rsidRPr="009B264A" w:rsidRDefault="00E6763F" w:rsidP="00E6763F">
      <w:pPr>
        <w:numPr>
          <w:ilvl w:val="0"/>
          <w:numId w:val="17"/>
        </w:numPr>
        <w:rPr>
          <w:rFonts w:ascii="Calibri" w:hAnsi="Calibri" w:cs="Calibri"/>
          <w:color w:val="000000"/>
          <w:szCs w:val="24"/>
        </w:rPr>
      </w:pPr>
      <w:r w:rsidRPr="009B264A">
        <w:rPr>
          <w:rFonts w:ascii="Calibri" w:hAnsi="Calibri" w:cs="Calibri"/>
          <w:color w:val="000000"/>
          <w:szCs w:val="24"/>
        </w:rPr>
        <w:t>activities to be undertaken to reach the performance targets and improvements.</w:t>
      </w:r>
    </w:p>
    <w:bookmarkEnd w:id="1"/>
    <w:p w14:paraId="0D3FDCAA" w14:textId="77777777" w:rsidR="00E6763F" w:rsidRDefault="00E6763F" w:rsidP="00E6763F">
      <w:pPr>
        <w:rPr>
          <w:rFonts w:ascii="Calibri" w:hAnsi="Calibri" w:cs="Calibri"/>
          <w:color w:val="000000"/>
          <w:szCs w:val="24"/>
        </w:rPr>
      </w:pPr>
    </w:p>
    <w:p w14:paraId="660129B7" w14:textId="77777777" w:rsidR="00FB3F04" w:rsidRDefault="00FB3F04" w:rsidP="00E6763F">
      <w:pPr>
        <w:spacing w:after="200"/>
        <w:rPr>
          <w:rFonts w:ascii="Calibri" w:hAnsi="Calibri" w:cs="Calibri"/>
          <w:b/>
          <w:szCs w:val="24"/>
        </w:rPr>
      </w:pPr>
    </w:p>
    <w:p w14:paraId="55AA4804" w14:textId="77777777" w:rsidR="00E6763F" w:rsidRPr="00CB206B" w:rsidRDefault="00E6763F" w:rsidP="00E6763F">
      <w:pPr>
        <w:spacing w:after="200"/>
        <w:rPr>
          <w:rFonts w:ascii="Calibri" w:hAnsi="Calibri" w:cs="Calibri"/>
          <w:b/>
          <w:szCs w:val="24"/>
        </w:rPr>
      </w:pPr>
      <w:r w:rsidRPr="00CB206B">
        <w:rPr>
          <w:rFonts w:ascii="Calibri" w:hAnsi="Calibri" w:cs="Calibri"/>
          <w:b/>
          <w:szCs w:val="24"/>
        </w:rPr>
        <w:lastRenderedPageBreak/>
        <w:t>Publication</w:t>
      </w:r>
    </w:p>
    <w:p w14:paraId="0099A8EF" w14:textId="77777777" w:rsidR="00E6763F" w:rsidRDefault="00E6763F" w:rsidP="00E6763F">
      <w:pPr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Earth Resource Regulat</w:t>
      </w:r>
      <w:r w:rsidR="00FF45F4">
        <w:rPr>
          <w:rFonts w:ascii="Calibri" w:hAnsi="Calibri" w:cs="Calibri"/>
          <w:color w:val="000000"/>
          <w:szCs w:val="24"/>
        </w:rPr>
        <w:t xml:space="preserve">ion will publish the Statement </w:t>
      </w:r>
      <w:r>
        <w:rPr>
          <w:rFonts w:ascii="Calibri" w:hAnsi="Calibri" w:cs="Calibri"/>
          <w:color w:val="000000"/>
          <w:szCs w:val="24"/>
        </w:rPr>
        <w:t>of Expect</w:t>
      </w:r>
      <w:r w:rsidR="00316FCB">
        <w:rPr>
          <w:rFonts w:ascii="Calibri" w:hAnsi="Calibri" w:cs="Calibri"/>
          <w:color w:val="000000"/>
          <w:szCs w:val="24"/>
        </w:rPr>
        <w:t>ations and this response letter</w:t>
      </w:r>
      <w:r>
        <w:rPr>
          <w:rFonts w:ascii="Calibri" w:hAnsi="Calibri" w:cs="Calibri"/>
          <w:color w:val="000000"/>
          <w:szCs w:val="24"/>
        </w:rPr>
        <w:t xml:space="preserve"> on its website</w:t>
      </w:r>
      <w:r w:rsidR="00316FCB">
        <w:rPr>
          <w:rFonts w:ascii="Calibri" w:hAnsi="Calibri" w:cs="Calibri"/>
          <w:color w:val="000000"/>
          <w:szCs w:val="24"/>
        </w:rPr>
        <w:t xml:space="preserve"> as soon as practicable</w:t>
      </w:r>
      <w:r>
        <w:rPr>
          <w:rFonts w:ascii="Calibri" w:hAnsi="Calibri" w:cs="Calibri"/>
          <w:color w:val="000000"/>
          <w:szCs w:val="24"/>
        </w:rPr>
        <w:t>. This will be followed by the Statement of Expectations evaluation report</w:t>
      </w:r>
      <w:r w:rsidR="00316FCB">
        <w:rPr>
          <w:rFonts w:ascii="Calibri" w:hAnsi="Calibri" w:cs="Calibri"/>
          <w:color w:val="000000"/>
          <w:szCs w:val="24"/>
        </w:rPr>
        <w:t xml:space="preserve"> which will be completed by 31 December 2019</w:t>
      </w:r>
      <w:r>
        <w:rPr>
          <w:rFonts w:ascii="Calibri" w:hAnsi="Calibri" w:cs="Calibri"/>
          <w:color w:val="000000"/>
          <w:szCs w:val="24"/>
        </w:rPr>
        <w:t>.</w:t>
      </w:r>
    </w:p>
    <w:p w14:paraId="21F28662" w14:textId="77777777" w:rsidR="00E6763F" w:rsidRDefault="00E6763F" w:rsidP="00E6763F">
      <w:pPr>
        <w:rPr>
          <w:rFonts w:ascii="Calibri" w:hAnsi="Calibri" w:cs="Calibri"/>
          <w:color w:val="000000"/>
          <w:szCs w:val="24"/>
        </w:rPr>
      </w:pPr>
    </w:p>
    <w:p w14:paraId="701A21DC" w14:textId="77777777" w:rsidR="00E6763F" w:rsidRPr="00E6417A" w:rsidRDefault="00E6763F" w:rsidP="00E6763F">
      <w:pPr>
        <w:rPr>
          <w:rFonts w:ascii="Calibri" w:hAnsi="Calibri" w:cs="Calibri"/>
          <w:color w:val="000000"/>
          <w:szCs w:val="24"/>
        </w:rPr>
      </w:pPr>
      <w:r w:rsidRPr="008D1E8D">
        <w:rPr>
          <w:rFonts w:ascii="Calibri" w:eastAsia="Calibri" w:hAnsi="Calibri" w:cs="Calibri"/>
          <w:szCs w:val="24"/>
          <w:lang w:eastAsia="en-AU"/>
        </w:rPr>
        <w:t xml:space="preserve">I </w:t>
      </w:r>
      <w:r>
        <w:rPr>
          <w:rFonts w:ascii="Calibri" w:eastAsia="Calibri" w:hAnsi="Calibri" w:cs="Calibri"/>
          <w:szCs w:val="24"/>
          <w:lang w:eastAsia="en-AU"/>
        </w:rPr>
        <w:t>also acknowledge</w:t>
      </w:r>
      <w:r w:rsidRPr="008D1E8D">
        <w:rPr>
          <w:rFonts w:ascii="Calibri" w:eastAsia="Calibri" w:hAnsi="Calibri" w:cs="Calibri"/>
          <w:szCs w:val="24"/>
          <w:lang w:eastAsia="en-AU"/>
        </w:rPr>
        <w:t xml:space="preserve"> that the Commissioner for Better Regulation will review the progress of the implementation plan every six months and deliver status updates</w:t>
      </w:r>
      <w:r>
        <w:rPr>
          <w:rFonts w:ascii="Calibri" w:eastAsia="Calibri" w:hAnsi="Calibri" w:cs="Calibri"/>
          <w:szCs w:val="24"/>
          <w:lang w:eastAsia="en-AU"/>
        </w:rPr>
        <w:t xml:space="preserve"> to the Treasurer</w:t>
      </w:r>
      <w:r w:rsidRPr="008D1E8D">
        <w:rPr>
          <w:rFonts w:ascii="Calibri" w:eastAsia="Calibri" w:hAnsi="Calibri" w:cs="Calibri"/>
          <w:szCs w:val="24"/>
          <w:lang w:eastAsia="en-AU"/>
        </w:rPr>
        <w:t>.</w:t>
      </w:r>
    </w:p>
    <w:p w14:paraId="3591EC79" w14:textId="77777777" w:rsidR="00E6763F" w:rsidRDefault="00E6763F" w:rsidP="00E6763F">
      <w:pPr>
        <w:rPr>
          <w:rFonts w:ascii="Calibri" w:eastAsia="Calibri" w:hAnsi="Calibri" w:cs="Calibri"/>
          <w:szCs w:val="24"/>
          <w:lang w:eastAsia="en-AU"/>
        </w:rPr>
      </w:pPr>
    </w:p>
    <w:p w14:paraId="3A299D46" w14:textId="77777777" w:rsidR="00E6763F" w:rsidRPr="00C571F0" w:rsidRDefault="00E6763F" w:rsidP="00E6763F">
      <w:pPr>
        <w:spacing w:after="200"/>
        <w:rPr>
          <w:rFonts w:ascii="Calibri" w:eastAsia="Calibri" w:hAnsi="Calibri" w:cs="Calibri"/>
          <w:szCs w:val="24"/>
          <w:lang w:eastAsia="en-AU"/>
        </w:rPr>
      </w:pPr>
      <w:r w:rsidRPr="00C571F0">
        <w:rPr>
          <w:rFonts w:ascii="Calibri" w:eastAsia="Calibri" w:hAnsi="Calibri" w:cs="Calibri"/>
          <w:szCs w:val="24"/>
          <w:lang w:eastAsia="en-AU"/>
        </w:rPr>
        <w:t>Thank you again for your direction in the future governance and regulatory performance of the earth resources sector in Victoria.</w:t>
      </w:r>
    </w:p>
    <w:p w14:paraId="69834C8F" w14:textId="77777777" w:rsidR="00E6763F" w:rsidRPr="00C571F0" w:rsidRDefault="00E6763F" w:rsidP="00E6763F">
      <w:pPr>
        <w:rPr>
          <w:rFonts w:ascii="Calibri" w:eastAsia="Calibri" w:hAnsi="Calibri"/>
          <w:szCs w:val="24"/>
        </w:rPr>
      </w:pPr>
      <w:r w:rsidRPr="00C571F0">
        <w:rPr>
          <w:rFonts w:ascii="Calibri" w:eastAsia="Calibri" w:hAnsi="Calibri"/>
          <w:szCs w:val="24"/>
        </w:rPr>
        <w:t>Yours sincerely</w:t>
      </w:r>
    </w:p>
    <w:p w14:paraId="6D1D0AC0" w14:textId="77777777" w:rsidR="00E6763F" w:rsidRDefault="00E6763F" w:rsidP="00E6763F">
      <w:pPr>
        <w:rPr>
          <w:rFonts w:ascii="Calibri" w:eastAsia="Calibri" w:hAnsi="Calibri"/>
          <w:b/>
          <w:szCs w:val="24"/>
        </w:rPr>
      </w:pPr>
    </w:p>
    <w:p w14:paraId="0E324ACF" w14:textId="77777777" w:rsidR="00E6763F" w:rsidRDefault="00E6763F" w:rsidP="00E6763F">
      <w:pPr>
        <w:rPr>
          <w:rFonts w:ascii="Calibri" w:eastAsia="Calibri" w:hAnsi="Calibri"/>
          <w:b/>
          <w:szCs w:val="24"/>
        </w:rPr>
      </w:pPr>
    </w:p>
    <w:p w14:paraId="3A6C9FC5" w14:textId="77777777" w:rsidR="00E6763F" w:rsidRDefault="00E6763F" w:rsidP="00E6763F">
      <w:pPr>
        <w:rPr>
          <w:rFonts w:ascii="Calibri" w:eastAsia="Calibri" w:hAnsi="Calibri"/>
          <w:b/>
          <w:szCs w:val="24"/>
        </w:rPr>
      </w:pPr>
    </w:p>
    <w:p w14:paraId="743A27B9" w14:textId="77777777" w:rsidR="00E6763F" w:rsidRPr="00C571F0" w:rsidRDefault="00E6763F" w:rsidP="00E6763F">
      <w:pPr>
        <w:rPr>
          <w:rFonts w:ascii="Calibri" w:eastAsia="Calibri" w:hAnsi="Calibri"/>
          <w:b/>
          <w:szCs w:val="24"/>
        </w:rPr>
      </w:pPr>
      <w:r w:rsidRPr="00C571F0">
        <w:rPr>
          <w:rFonts w:ascii="Calibri" w:eastAsia="Calibri" w:hAnsi="Calibri"/>
          <w:b/>
          <w:szCs w:val="24"/>
        </w:rPr>
        <w:t>Richard Bolt</w:t>
      </w:r>
    </w:p>
    <w:p w14:paraId="7612D845" w14:textId="77777777" w:rsidR="00E6763F" w:rsidRPr="00C571F0" w:rsidRDefault="00E6763F" w:rsidP="00E6763F">
      <w:pPr>
        <w:rPr>
          <w:rFonts w:ascii="Calibri" w:eastAsia="Calibri" w:hAnsi="Calibri"/>
          <w:szCs w:val="24"/>
        </w:rPr>
      </w:pPr>
      <w:r w:rsidRPr="00C571F0">
        <w:rPr>
          <w:rFonts w:ascii="Calibri" w:eastAsia="Calibri" w:hAnsi="Calibri"/>
          <w:szCs w:val="24"/>
        </w:rPr>
        <w:t>Secretary</w:t>
      </w:r>
      <w:bookmarkStart w:id="2" w:name="PCMSSignatureBlock"/>
      <w:bookmarkEnd w:id="2"/>
    </w:p>
    <w:p w14:paraId="4BFFB6D7" w14:textId="77777777" w:rsidR="00E6763F" w:rsidRPr="00BA15A3" w:rsidRDefault="00E6763F" w:rsidP="00E6763F">
      <w:pPr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D</w:t>
      </w:r>
      <w:r w:rsidRPr="00C571F0">
        <w:rPr>
          <w:rFonts w:ascii="Calibri" w:eastAsia="Calibri" w:hAnsi="Calibri"/>
          <w:szCs w:val="24"/>
        </w:rPr>
        <w:t xml:space="preserve">ate:    </w:t>
      </w:r>
      <w:r w:rsidR="00072FE2">
        <w:rPr>
          <w:rFonts w:ascii="Calibri" w:eastAsia="Calibri" w:hAnsi="Calibri"/>
          <w:szCs w:val="24"/>
        </w:rPr>
        <w:t xml:space="preserve">  </w:t>
      </w:r>
      <w:r w:rsidRPr="00C571F0">
        <w:rPr>
          <w:rFonts w:ascii="Calibri" w:eastAsia="Calibri" w:hAnsi="Calibri"/>
          <w:szCs w:val="24"/>
        </w:rPr>
        <w:t xml:space="preserve"> /     </w:t>
      </w:r>
      <w:r w:rsidR="00072FE2">
        <w:rPr>
          <w:rFonts w:ascii="Calibri" w:eastAsia="Calibri" w:hAnsi="Calibri"/>
          <w:szCs w:val="24"/>
        </w:rPr>
        <w:t xml:space="preserve">  </w:t>
      </w:r>
      <w:r w:rsidRPr="00C571F0">
        <w:rPr>
          <w:rFonts w:ascii="Calibri" w:eastAsia="Calibri" w:hAnsi="Calibri"/>
          <w:szCs w:val="24"/>
        </w:rPr>
        <w:t>/201</w:t>
      </w:r>
      <w:r>
        <w:rPr>
          <w:rFonts w:ascii="Calibri" w:eastAsia="Calibri" w:hAnsi="Calibri"/>
          <w:szCs w:val="24"/>
        </w:rPr>
        <w:t>8</w:t>
      </w:r>
    </w:p>
    <w:p w14:paraId="2C1645FA" w14:textId="77777777" w:rsidR="000709D8" w:rsidRPr="000A1932" w:rsidRDefault="000709D8" w:rsidP="00E6763F">
      <w:pPr>
        <w:tabs>
          <w:tab w:val="left" w:pos="6804"/>
        </w:tabs>
        <w:rPr>
          <w:rFonts w:ascii="Calibri" w:hAnsi="Calibri" w:cs="Calibri"/>
          <w:b/>
          <w:bCs/>
          <w:color w:val="000000"/>
          <w:szCs w:val="24"/>
          <w:lang w:eastAsia="en-AU"/>
        </w:rPr>
      </w:pPr>
    </w:p>
    <w:sectPr w:rsidR="000709D8" w:rsidRPr="000A1932" w:rsidSect="00770B01">
      <w:headerReference w:type="default" r:id="rId10"/>
      <w:footerReference w:type="default" r:id="rId11"/>
      <w:type w:val="continuous"/>
      <w:pgSz w:w="11907" w:h="16840" w:code="9"/>
      <w:pgMar w:top="3084" w:right="1412" w:bottom="1140" w:left="1701" w:header="851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83B29" w14:textId="77777777" w:rsidR="001228AA" w:rsidRDefault="001228AA">
      <w:r>
        <w:separator/>
      </w:r>
    </w:p>
  </w:endnote>
  <w:endnote w:type="continuationSeparator" w:id="0">
    <w:p w14:paraId="0C8F3EFE" w14:textId="77777777" w:rsidR="001228AA" w:rsidRDefault="0012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C923" w14:textId="77777777" w:rsidR="0073713B" w:rsidRDefault="0073713B">
    <w:pPr>
      <w:pStyle w:val="Footer"/>
    </w:pPr>
  </w:p>
  <w:p w14:paraId="6404F158" w14:textId="77777777" w:rsidR="0073713B" w:rsidRDefault="0073713B" w:rsidP="0073713B">
    <w:pPr>
      <w:pStyle w:val="Footer"/>
      <w:tabs>
        <w:tab w:val="clear" w:pos="4153"/>
        <w:tab w:val="clear" w:pos="8306"/>
        <w:tab w:val="left" w:pos="7095"/>
      </w:tabs>
    </w:pPr>
    <w:r>
      <w:tab/>
    </w:r>
    <w:r w:rsidR="008C19ED">
      <w:rPr>
        <w:noProof/>
      </w:rPr>
      <w:pict w14:anchorId="034E2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3" type="#_x0000_t75" style="position:absolute;margin-left:480.75pt;margin-top:779.5pt;width:75.85pt;height:51.55pt;z-index:-251658240;visibility:visible;mso-position-horizontal-relative:page;mso-position-vertical-relative:page;mso-width-relative:margin;mso-height-relative:margin" o:allowincell="f">
          <v:imagedata r:id="rId1" o:title="" croptop="-656f" cropbottom="23592f" cropleft="51190f" cropright="5993f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55B0" w14:textId="77777777" w:rsidR="0073713B" w:rsidRDefault="0073713B">
    <w:pPr>
      <w:pStyle w:val="Footer"/>
    </w:pPr>
  </w:p>
  <w:p w14:paraId="676A2770" w14:textId="77777777" w:rsidR="0073713B" w:rsidRDefault="0073713B" w:rsidP="0073713B">
    <w:pPr>
      <w:pStyle w:val="Footer"/>
      <w:tabs>
        <w:tab w:val="clear" w:pos="4153"/>
        <w:tab w:val="clear" w:pos="8306"/>
        <w:tab w:val="left" w:pos="7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50D53" w14:textId="77777777" w:rsidR="001228AA" w:rsidRDefault="001228AA">
      <w:r>
        <w:separator/>
      </w:r>
    </w:p>
  </w:footnote>
  <w:footnote w:type="continuationSeparator" w:id="0">
    <w:p w14:paraId="676A8D89" w14:textId="77777777" w:rsidR="001228AA" w:rsidRDefault="0012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EFE0" w14:textId="77777777" w:rsidR="00C21862" w:rsidRDefault="00C21862">
    <w:pPr>
      <w:pStyle w:val="Header"/>
    </w:pPr>
  </w:p>
  <w:p w14:paraId="015F5419" w14:textId="77777777" w:rsidR="00C21862" w:rsidRDefault="008C19ED">
    <w:pPr>
      <w:pStyle w:val="Header"/>
    </w:pPr>
    <w:r>
      <w:rPr>
        <w:noProof/>
      </w:rPr>
      <w:pict w14:anchorId="53912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margin-left:74.3pt;margin-top:23.1pt;width:491.35pt;height:143pt;z-index:-251659264;visibility:visible;mso-position-horizontal-relative:page;mso-position-vertical-relative:page;mso-width-relative:margin;mso-height-relative:margin" o:allowincell="f">
          <v:imagedata r:id="rId1" o:title="" croptop="7508f" cropbottom="-69f" cropleft="6961f" cropright="4497f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9757" w14:textId="77777777" w:rsidR="00770B01" w:rsidRDefault="00770B01">
    <w:pPr>
      <w:pStyle w:val="Header"/>
    </w:pPr>
  </w:p>
  <w:p w14:paraId="353EB3F5" w14:textId="77777777" w:rsidR="00770B01" w:rsidRDefault="00770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0DA"/>
    <w:multiLevelType w:val="hybridMultilevel"/>
    <w:tmpl w:val="3B2A3A88"/>
    <w:lvl w:ilvl="0" w:tplc="7C3C6AE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498"/>
    <w:multiLevelType w:val="hybridMultilevel"/>
    <w:tmpl w:val="982C351E"/>
    <w:lvl w:ilvl="0" w:tplc="EE4094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01B6E"/>
    <w:multiLevelType w:val="hybridMultilevel"/>
    <w:tmpl w:val="05304A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1077"/>
    <w:multiLevelType w:val="singleLevel"/>
    <w:tmpl w:val="D5E8A00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1447252C"/>
    <w:multiLevelType w:val="hybridMultilevel"/>
    <w:tmpl w:val="BA6C48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00F17"/>
    <w:multiLevelType w:val="hybridMultilevel"/>
    <w:tmpl w:val="295AB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22DF5"/>
    <w:multiLevelType w:val="multilevel"/>
    <w:tmpl w:val="E78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AD111B"/>
    <w:multiLevelType w:val="hybridMultilevel"/>
    <w:tmpl w:val="EFF66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01C48"/>
    <w:multiLevelType w:val="hybridMultilevel"/>
    <w:tmpl w:val="4CCE0F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E6994"/>
    <w:multiLevelType w:val="hybridMultilevel"/>
    <w:tmpl w:val="34BA38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8624A2"/>
    <w:multiLevelType w:val="hybridMultilevel"/>
    <w:tmpl w:val="3D52C856"/>
    <w:lvl w:ilvl="0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2" w15:restartNumberingAfterBreak="0">
    <w:nsid w:val="53FF24E9"/>
    <w:multiLevelType w:val="hybridMultilevel"/>
    <w:tmpl w:val="6914B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D0840"/>
    <w:multiLevelType w:val="multilevel"/>
    <w:tmpl w:val="E7844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5A66AF"/>
    <w:multiLevelType w:val="hybridMultilevel"/>
    <w:tmpl w:val="39E0A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8110A1"/>
    <w:multiLevelType w:val="hybridMultilevel"/>
    <w:tmpl w:val="5B1E007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460E47"/>
    <w:multiLevelType w:val="multilevel"/>
    <w:tmpl w:val="9F842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C26"/>
    <w:rsid w:val="00001FFF"/>
    <w:rsid w:val="00006D5F"/>
    <w:rsid w:val="00010B4D"/>
    <w:rsid w:val="00015273"/>
    <w:rsid w:val="000254CA"/>
    <w:rsid w:val="00036CD4"/>
    <w:rsid w:val="00054C0E"/>
    <w:rsid w:val="000709D8"/>
    <w:rsid w:val="00072FE2"/>
    <w:rsid w:val="00086B89"/>
    <w:rsid w:val="00092B58"/>
    <w:rsid w:val="000A1932"/>
    <w:rsid w:val="000A22A1"/>
    <w:rsid w:val="000A4181"/>
    <w:rsid w:val="000B7A1C"/>
    <w:rsid w:val="000C1A2F"/>
    <w:rsid w:val="000D63CD"/>
    <w:rsid w:val="00101C60"/>
    <w:rsid w:val="00117B38"/>
    <w:rsid w:val="00122017"/>
    <w:rsid w:val="001228AA"/>
    <w:rsid w:val="00135747"/>
    <w:rsid w:val="0015097B"/>
    <w:rsid w:val="001511BB"/>
    <w:rsid w:val="00152160"/>
    <w:rsid w:val="00180A1C"/>
    <w:rsid w:val="001919D7"/>
    <w:rsid w:val="00193C95"/>
    <w:rsid w:val="00195CA7"/>
    <w:rsid w:val="001A448F"/>
    <w:rsid w:val="001B4042"/>
    <w:rsid w:val="001C6E02"/>
    <w:rsid w:val="001D73EA"/>
    <w:rsid w:val="001F12E2"/>
    <w:rsid w:val="00206A62"/>
    <w:rsid w:val="00211961"/>
    <w:rsid w:val="00224457"/>
    <w:rsid w:val="00236CEC"/>
    <w:rsid w:val="0024018E"/>
    <w:rsid w:val="00251246"/>
    <w:rsid w:val="002569CE"/>
    <w:rsid w:val="00261140"/>
    <w:rsid w:val="00282173"/>
    <w:rsid w:val="00287BBE"/>
    <w:rsid w:val="00292C34"/>
    <w:rsid w:val="002B4A76"/>
    <w:rsid w:val="002D4B30"/>
    <w:rsid w:val="002E6225"/>
    <w:rsid w:val="00316FCB"/>
    <w:rsid w:val="00327267"/>
    <w:rsid w:val="00337E86"/>
    <w:rsid w:val="003548E9"/>
    <w:rsid w:val="00365EAE"/>
    <w:rsid w:val="0038759D"/>
    <w:rsid w:val="003A75D5"/>
    <w:rsid w:val="003B0F31"/>
    <w:rsid w:val="003B1357"/>
    <w:rsid w:val="003B5961"/>
    <w:rsid w:val="003E14C6"/>
    <w:rsid w:val="003E2FC9"/>
    <w:rsid w:val="003E4C61"/>
    <w:rsid w:val="003F1E73"/>
    <w:rsid w:val="003F31E7"/>
    <w:rsid w:val="003F3909"/>
    <w:rsid w:val="003F6FE0"/>
    <w:rsid w:val="00402795"/>
    <w:rsid w:val="00405928"/>
    <w:rsid w:val="004318EA"/>
    <w:rsid w:val="00434635"/>
    <w:rsid w:val="00440FE8"/>
    <w:rsid w:val="004443AA"/>
    <w:rsid w:val="004554A6"/>
    <w:rsid w:val="00457406"/>
    <w:rsid w:val="00462DC2"/>
    <w:rsid w:val="00465AF6"/>
    <w:rsid w:val="00481187"/>
    <w:rsid w:val="004A35E8"/>
    <w:rsid w:val="004B1F90"/>
    <w:rsid w:val="004D36C8"/>
    <w:rsid w:val="004D4758"/>
    <w:rsid w:val="004D529B"/>
    <w:rsid w:val="004F241D"/>
    <w:rsid w:val="00513C8B"/>
    <w:rsid w:val="00587233"/>
    <w:rsid w:val="00597D33"/>
    <w:rsid w:val="005A1A46"/>
    <w:rsid w:val="005B1552"/>
    <w:rsid w:val="005B356D"/>
    <w:rsid w:val="005C10DB"/>
    <w:rsid w:val="005C324D"/>
    <w:rsid w:val="005C70C4"/>
    <w:rsid w:val="006466D9"/>
    <w:rsid w:val="00650D70"/>
    <w:rsid w:val="006517D6"/>
    <w:rsid w:val="006524D3"/>
    <w:rsid w:val="00670C81"/>
    <w:rsid w:val="00675B28"/>
    <w:rsid w:val="00675D44"/>
    <w:rsid w:val="006A4521"/>
    <w:rsid w:val="006B3E00"/>
    <w:rsid w:val="006D3057"/>
    <w:rsid w:val="006D5A85"/>
    <w:rsid w:val="006E2C55"/>
    <w:rsid w:val="006F5590"/>
    <w:rsid w:val="006F65AD"/>
    <w:rsid w:val="00700C60"/>
    <w:rsid w:val="0071193E"/>
    <w:rsid w:val="00713F02"/>
    <w:rsid w:val="00723A9D"/>
    <w:rsid w:val="00727316"/>
    <w:rsid w:val="0073713B"/>
    <w:rsid w:val="00751555"/>
    <w:rsid w:val="00755BE3"/>
    <w:rsid w:val="00770B01"/>
    <w:rsid w:val="00773CE1"/>
    <w:rsid w:val="00774267"/>
    <w:rsid w:val="007877DD"/>
    <w:rsid w:val="007A6B89"/>
    <w:rsid w:val="007B5ADE"/>
    <w:rsid w:val="007B7847"/>
    <w:rsid w:val="007D23BA"/>
    <w:rsid w:val="007E328E"/>
    <w:rsid w:val="00857290"/>
    <w:rsid w:val="008628DE"/>
    <w:rsid w:val="00863A87"/>
    <w:rsid w:val="008739BF"/>
    <w:rsid w:val="00874082"/>
    <w:rsid w:val="008A6AD5"/>
    <w:rsid w:val="008C19ED"/>
    <w:rsid w:val="008C4F17"/>
    <w:rsid w:val="008D4353"/>
    <w:rsid w:val="008E7353"/>
    <w:rsid w:val="008F052C"/>
    <w:rsid w:val="00900927"/>
    <w:rsid w:val="00901EEE"/>
    <w:rsid w:val="00940CCD"/>
    <w:rsid w:val="00956DB4"/>
    <w:rsid w:val="009A18AE"/>
    <w:rsid w:val="009A2023"/>
    <w:rsid w:val="009A46A5"/>
    <w:rsid w:val="009B264A"/>
    <w:rsid w:val="009B7957"/>
    <w:rsid w:val="009C02EC"/>
    <w:rsid w:val="009D18A6"/>
    <w:rsid w:val="009F27DE"/>
    <w:rsid w:val="009F2FC1"/>
    <w:rsid w:val="00A21A9F"/>
    <w:rsid w:val="00A22949"/>
    <w:rsid w:val="00A42459"/>
    <w:rsid w:val="00A51135"/>
    <w:rsid w:val="00A52C26"/>
    <w:rsid w:val="00A53508"/>
    <w:rsid w:val="00A71F1C"/>
    <w:rsid w:val="00A85598"/>
    <w:rsid w:val="00A85889"/>
    <w:rsid w:val="00A9194C"/>
    <w:rsid w:val="00AB00A9"/>
    <w:rsid w:val="00AB270C"/>
    <w:rsid w:val="00AD1DBB"/>
    <w:rsid w:val="00AE354F"/>
    <w:rsid w:val="00AE37AE"/>
    <w:rsid w:val="00AE645D"/>
    <w:rsid w:val="00AE6A58"/>
    <w:rsid w:val="00AF3BAB"/>
    <w:rsid w:val="00B064A3"/>
    <w:rsid w:val="00B1200A"/>
    <w:rsid w:val="00B15CE6"/>
    <w:rsid w:val="00B66129"/>
    <w:rsid w:val="00B67FA6"/>
    <w:rsid w:val="00B779DC"/>
    <w:rsid w:val="00BA15A3"/>
    <w:rsid w:val="00BA256F"/>
    <w:rsid w:val="00BA6312"/>
    <w:rsid w:val="00BC116A"/>
    <w:rsid w:val="00BC3BB8"/>
    <w:rsid w:val="00BD12CC"/>
    <w:rsid w:val="00BE7D8A"/>
    <w:rsid w:val="00C16913"/>
    <w:rsid w:val="00C21862"/>
    <w:rsid w:val="00C252A4"/>
    <w:rsid w:val="00C27CCC"/>
    <w:rsid w:val="00C47665"/>
    <w:rsid w:val="00C72C03"/>
    <w:rsid w:val="00C92F9B"/>
    <w:rsid w:val="00C96CE8"/>
    <w:rsid w:val="00CA685B"/>
    <w:rsid w:val="00CA6FD0"/>
    <w:rsid w:val="00CE2363"/>
    <w:rsid w:val="00CF77E9"/>
    <w:rsid w:val="00D17D54"/>
    <w:rsid w:val="00D558B5"/>
    <w:rsid w:val="00D6508F"/>
    <w:rsid w:val="00D71DD8"/>
    <w:rsid w:val="00D7557F"/>
    <w:rsid w:val="00D96B80"/>
    <w:rsid w:val="00DC257D"/>
    <w:rsid w:val="00DD484D"/>
    <w:rsid w:val="00DF1514"/>
    <w:rsid w:val="00E00FED"/>
    <w:rsid w:val="00E05B52"/>
    <w:rsid w:val="00E14A7E"/>
    <w:rsid w:val="00E532A5"/>
    <w:rsid w:val="00E62BF4"/>
    <w:rsid w:val="00E6417A"/>
    <w:rsid w:val="00E6763F"/>
    <w:rsid w:val="00E73202"/>
    <w:rsid w:val="00E80B28"/>
    <w:rsid w:val="00EB0C15"/>
    <w:rsid w:val="00EB4DC3"/>
    <w:rsid w:val="00EC5EB8"/>
    <w:rsid w:val="00EE32F3"/>
    <w:rsid w:val="00EF2594"/>
    <w:rsid w:val="00F07236"/>
    <w:rsid w:val="00F251A3"/>
    <w:rsid w:val="00F342B9"/>
    <w:rsid w:val="00F477A6"/>
    <w:rsid w:val="00F50577"/>
    <w:rsid w:val="00F51FEF"/>
    <w:rsid w:val="00F57D49"/>
    <w:rsid w:val="00F6045A"/>
    <w:rsid w:val="00F628B5"/>
    <w:rsid w:val="00F93FE9"/>
    <w:rsid w:val="00F94EA8"/>
    <w:rsid w:val="00FB3F04"/>
    <w:rsid w:val="00FC1E7F"/>
    <w:rsid w:val="00FE2179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02E31C5"/>
  <w15:chartTrackingRefBased/>
  <w15:docId w15:val="{7983B6A1-13E9-42D8-BA64-0B14A824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C0C0C0"/>
      <w:sz w:val="7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color w:val="C0C0C0"/>
      <w:sz w:val="9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2"/>
    </w:rPr>
  </w:style>
  <w:style w:type="paragraph" w:customStyle="1" w:styleId="Suburb">
    <w:name w:val="Suburb"/>
    <w:basedOn w:val="Normal"/>
    <w:pPr>
      <w:jc w:val="both"/>
    </w:pPr>
    <w:rPr>
      <w:rFonts w:ascii="Arial" w:hAnsi="Arial"/>
      <w:b/>
      <w:caps/>
      <w:sz w:val="22"/>
    </w:rPr>
  </w:style>
  <w:style w:type="paragraph" w:styleId="BalloonText">
    <w:name w:val="Balloon Text"/>
    <w:basedOn w:val="Normal"/>
    <w:semiHidden/>
    <w:rsid w:val="006D3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DB4"/>
    <w:tblPr/>
  </w:style>
  <w:style w:type="paragraph" w:styleId="ListNumber">
    <w:name w:val="List Number"/>
    <w:basedOn w:val="Normal"/>
    <w:rsid w:val="00956DB4"/>
    <w:pPr>
      <w:keepLines/>
      <w:numPr>
        <w:numId w:val="3"/>
      </w:numPr>
      <w:spacing w:before="60" w:after="60"/>
      <w:jc w:val="both"/>
    </w:pPr>
    <w:rPr>
      <w:kern w:val="18"/>
      <w:lang w:eastAsia="en-AU"/>
    </w:rPr>
  </w:style>
  <w:style w:type="character" w:customStyle="1" w:styleId="HeaderChar">
    <w:name w:val="Header Char"/>
    <w:link w:val="Header"/>
    <w:uiPriority w:val="99"/>
    <w:rsid w:val="00C21862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73713B"/>
    <w:rPr>
      <w:lang w:eastAsia="en-US"/>
    </w:rPr>
  </w:style>
  <w:style w:type="paragraph" w:styleId="ListParagraph">
    <w:name w:val="List Paragraph"/>
    <w:basedOn w:val="Normal"/>
    <w:uiPriority w:val="34"/>
    <w:qFormat/>
    <w:rsid w:val="00BA15A3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B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0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B270C"/>
    <w:rPr>
      <w:lang w:eastAsia="en-US"/>
    </w:rPr>
  </w:style>
  <w:style w:type="paragraph" w:customStyle="1" w:styleId="Boxcolourtext">
    <w:name w:val="Box (colour) text"/>
    <w:basedOn w:val="Normal"/>
    <w:qFormat/>
    <w:rsid w:val="00650D70"/>
    <w:pPr>
      <w:spacing w:before="160" w:after="80" w:line="252" w:lineRule="auto"/>
    </w:pPr>
    <w:rPr>
      <w:rFonts w:ascii="Calibri" w:hAnsi="Calibri"/>
      <w:color w:val="FFFFFF"/>
      <w:sz w:val="22"/>
      <w:lang w:eastAsia="en-AU"/>
    </w:rPr>
  </w:style>
  <w:style w:type="paragraph" w:customStyle="1" w:styleId="Bullet1">
    <w:name w:val="Bullet 1"/>
    <w:basedOn w:val="Normal"/>
    <w:uiPriority w:val="11"/>
    <w:qFormat/>
    <w:rsid w:val="009B264A"/>
    <w:pPr>
      <w:numPr>
        <w:numId w:val="16"/>
      </w:numPr>
      <w:spacing w:before="80" w:after="80"/>
    </w:pPr>
    <w:rPr>
      <w:rFonts w:ascii="Calibri" w:hAnsi="Calibri" w:cs="Calibri"/>
      <w:sz w:val="22"/>
      <w:szCs w:val="22"/>
      <w:lang w:eastAsia="en-AU"/>
    </w:rPr>
  </w:style>
  <w:style w:type="paragraph" w:customStyle="1" w:styleId="Bullet2">
    <w:name w:val="Bullet 2"/>
    <w:basedOn w:val="Bullet1"/>
    <w:uiPriority w:val="11"/>
    <w:rsid w:val="009B264A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9B264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A9AE8-5DD0-494F-8EB1-3F41A02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Govt Draft Ministerial Reply fr MiBS</vt:lpstr>
    </vt:vector>
  </TitlesOfParts>
  <Company>DOI</Company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Govt Draft Ministerial Reply fr MiBS</dc:title>
  <dc:subject/>
  <dc:creator>Rosenthal M</dc:creator>
  <cp:keywords/>
  <cp:lastModifiedBy>Lenore Neath (DEDJTR)</cp:lastModifiedBy>
  <cp:revision>2</cp:revision>
  <cp:lastPrinted>2018-09-05T06:06:00Z</cp:lastPrinted>
  <dcterms:created xsi:type="dcterms:W3CDTF">2019-04-24T01:02:00Z</dcterms:created>
  <dcterms:modified xsi:type="dcterms:W3CDTF">2019-04-24T01:02:00Z</dcterms:modified>
  <cp:contentStatus/>
</cp:coreProperties>
</file>