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CDCF6A" w14:textId="77777777" w:rsidR="00261A1A" w:rsidRPr="0021359B" w:rsidRDefault="00261A1A" w:rsidP="00BE21E1">
      <w:pPr>
        <w:ind w:left="567" w:hanging="567"/>
        <w:outlineLvl w:val="9"/>
      </w:pPr>
    </w:p>
    <w:tbl>
      <w:tblPr>
        <w:tblpPr w:leftFromText="181" w:rightFromText="181" w:vertAnchor="page" w:horzAnchor="margin" w:tblpXSpec="right" w:tblpY="5388"/>
        <w:tblW w:w="6107" w:type="dxa"/>
        <w:tblLayout w:type="fixed"/>
        <w:tblCellMar>
          <w:left w:w="85" w:type="dxa"/>
          <w:right w:w="85" w:type="dxa"/>
        </w:tblCellMar>
        <w:tblLook w:val="04A0" w:firstRow="1" w:lastRow="0" w:firstColumn="1" w:lastColumn="0" w:noHBand="0" w:noVBand="1"/>
      </w:tblPr>
      <w:tblGrid>
        <w:gridCol w:w="6107"/>
      </w:tblGrid>
      <w:tr w:rsidR="00626BBF" w14:paraId="5A32E01A" w14:textId="77777777" w:rsidTr="00136A5A">
        <w:trPr>
          <w:trHeight w:val="4781"/>
          <w:tblHeader/>
        </w:trPr>
        <w:tc>
          <w:tcPr>
            <w:tcW w:w="6703" w:type="dxa"/>
            <w:tcBorders>
              <w:top w:val="single" w:sz="18" w:space="0" w:color="A6A6A6"/>
              <w:bottom w:val="single" w:sz="18" w:space="0" w:color="A6A6A6"/>
            </w:tcBorders>
            <w:shd w:val="clear" w:color="auto" w:fill="auto"/>
            <w:tcMar>
              <w:top w:w="142" w:type="dxa"/>
            </w:tcMar>
            <w:vAlign w:val="center"/>
          </w:tcPr>
          <w:p w14:paraId="499AFEEF" w14:textId="0884D221" w:rsidR="00626BBF" w:rsidRPr="00136A5A" w:rsidRDefault="0042444D" w:rsidP="0042444D">
            <w:pPr>
              <w:jc w:val="right"/>
              <w:rPr>
                <w:rFonts w:cs="Arial"/>
                <w:b/>
                <w:szCs w:val="22"/>
              </w:rPr>
            </w:pPr>
            <w:r>
              <w:rPr>
                <w:rStyle w:val="TitleChar"/>
                <w:b/>
                <w:spacing w:val="-5"/>
              </w:rPr>
              <w:t>Casino Henry Netherby</w:t>
            </w:r>
            <w:r w:rsidR="00E6688F" w:rsidRPr="00136A5A">
              <w:rPr>
                <w:rStyle w:val="TitleChar"/>
                <w:b/>
                <w:spacing w:val="-5"/>
              </w:rPr>
              <w:t xml:space="preserve"> Environment Plan</w:t>
            </w:r>
            <w:r w:rsidR="00BF56E2">
              <w:rPr>
                <w:rStyle w:val="TitleChar"/>
                <w:b/>
                <w:spacing w:val="-5"/>
              </w:rPr>
              <w:t xml:space="preserve"> Summary – State Waters</w:t>
            </w:r>
          </w:p>
        </w:tc>
      </w:tr>
      <w:tr w:rsidR="00626BBF" w14:paraId="718D9A83" w14:textId="77777777" w:rsidTr="00136A5A">
        <w:trPr>
          <w:trHeight w:val="3787"/>
        </w:trPr>
        <w:tc>
          <w:tcPr>
            <w:tcW w:w="6703" w:type="dxa"/>
            <w:tcBorders>
              <w:top w:val="single" w:sz="18" w:space="0" w:color="A6A6A6"/>
            </w:tcBorders>
            <w:shd w:val="clear" w:color="auto" w:fill="auto"/>
            <w:vAlign w:val="center"/>
          </w:tcPr>
          <w:p w14:paraId="28D269B1" w14:textId="3DE04E3F" w:rsidR="0042444D" w:rsidRDefault="0042444D" w:rsidP="0042444D">
            <w:pPr>
              <w:pStyle w:val="BodyText"/>
            </w:pPr>
          </w:p>
          <w:p w14:paraId="6CCC3802" w14:textId="5F475A8D" w:rsidR="00626BBF" w:rsidRPr="00136A5A" w:rsidRDefault="00411ABA" w:rsidP="007166AF">
            <w:pPr>
              <w:pStyle w:val="BodyText"/>
            </w:pPr>
            <w:r>
              <w:t>Licence</w:t>
            </w:r>
            <w:r w:rsidR="0042444D">
              <w:t>d Pipeline</w:t>
            </w:r>
            <w:r w:rsidR="00BF56E2">
              <w:t xml:space="preserve"> </w:t>
            </w:r>
            <w:r>
              <w:t xml:space="preserve">VIC/PL37(v) </w:t>
            </w:r>
          </w:p>
        </w:tc>
      </w:tr>
      <w:tr w:rsidR="00626BBF" w14:paraId="0488B7F0" w14:textId="77777777" w:rsidTr="00136A5A">
        <w:trPr>
          <w:trHeight w:val="1125"/>
        </w:trPr>
        <w:tc>
          <w:tcPr>
            <w:tcW w:w="6703" w:type="dxa"/>
            <w:shd w:val="clear" w:color="auto" w:fill="808080"/>
            <w:vAlign w:val="center"/>
          </w:tcPr>
          <w:p w14:paraId="606D821C" w14:textId="77777777" w:rsidR="00626BBF" w:rsidRPr="00136A5A" w:rsidRDefault="00626BBF" w:rsidP="00A665B1">
            <w:pPr>
              <w:pStyle w:val="Control"/>
              <w:framePr w:hSpace="0" w:wrap="auto" w:vAnchor="margin" w:hAnchor="text" w:xAlign="left" w:yAlign="inline"/>
            </w:pPr>
            <w:r w:rsidRPr="00136A5A">
              <w:t>CONTROLLED DOCUMENT</w:t>
            </w:r>
          </w:p>
          <w:p w14:paraId="64254303" w14:textId="54C595E6" w:rsidR="00626BBF" w:rsidRPr="00136A5A" w:rsidRDefault="00626BBF" w:rsidP="00D12EAF">
            <w:pPr>
              <w:pStyle w:val="Control"/>
              <w:framePr w:hSpace="0" w:wrap="auto" w:vAnchor="margin" w:hAnchor="text" w:xAlign="left" w:yAlign="inline"/>
              <w:rPr>
                <w:b/>
              </w:rPr>
            </w:pPr>
            <w:r w:rsidRPr="00136A5A">
              <w:t>(</w:t>
            </w:r>
            <w:r w:rsidR="0048387E">
              <w:rPr>
                <w:rStyle w:val="Code"/>
              </w:rPr>
              <w:t>CHN-EN-EMP-0006</w:t>
            </w:r>
            <w:r w:rsidRPr="00136A5A">
              <w:t>)</w:t>
            </w:r>
          </w:p>
        </w:tc>
      </w:tr>
      <w:tr w:rsidR="00626BBF" w14:paraId="3E26698C" w14:textId="77777777" w:rsidTr="00136A5A">
        <w:trPr>
          <w:trHeight w:val="715"/>
        </w:trPr>
        <w:tc>
          <w:tcPr>
            <w:tcW w:w="6703" w:type="dxa"/>
            <w:shd w:val="clear" w:color="auto" w:fill="auto"/>
            <w:vAlign w:val="center"/>
          </w:tcPr>
          <w:p w14:paraId="0C05309B" w14:textId="7373ED23" w:rsidR="00626BBF" w:rsidRPr="00136A5A" w:rsidRDefault="00626BBF" w:rsidP="00261E7A">
            <w:pPr>
              <w:pStyle w:val="Rev"/>
              <w:framePr w:hSpace="0" w:wrap="auto" w:vAnchor="margin" w:hAnchor="text" w:xAlign="left" w:yAlign="inline"/>
            </w:pPr>
            <w:r w:rsidRPr="00136A5A">
              <w:rPr>
                <w:rStyle w:val="Version"/>
              </w:rPr>
              <w:t xml:space="preserve">Revision </w:t>
            </w:r>
            <w:r w:rsidR="001D5008">
              <w:rPr>
                <w:rStyle w:val="Version"/>
              </w:rPr>
              <w:t>0</w:t>
            </w:r>
            <w:r w:rsidR="00906F26" w:rsidRPr="00136A5A">
              <w:t xml:space="preserve"> </w:t>
            </w:r>
            <w:r w:rsidRPr="00136A5A">
              <w:t xml:space="preserve">– </w:t>
            </w:r>
            <w:r w:rsidR="00BF56E2">
              <w:t>April 2018</w:t>
            </w:r>
          </w:p>
        </w:tc>
      </w:tr>
    </w:tbl>
    <w:p w14:paraId="62AC0563" w14:textId="77777777" w:rsidR="00B47A7D" w:rsidRPr="00F60141" w:rsidRDefault="00B47A7D" w:rsidP="00BE21E1">
      <w:pPr>
        <w:ind w:left="567" w:hanging="567"/>
        <w:outlineLvl w:val="9"/>
      </w:pPr>
    </w:p>
    <w:p w14:paraId="7C578585" w14:textId="77777777" w:rsidR="00556C77" w:rsidRPr="00F60141" w:rsidRDefault="00556C77" w:rsidP="00A665B1">
      <w:pPr>
        <w:sectPr w:rsidR="00556C77" w:rsidRPr="00F60141" w:rsidSect="00E439A6">
          <w:headerReference w:type="even" r:id="rId8"/>
          <w:headerReference w:type="default" r:id="rId9"/>
          <w:headerReference w:type="first" r:id="rId10"/>
          <w:footerReference w:type="first" r:id="rId11"/>
          <w:pgSz w:w="11907" w:h="16840" w:code="9"/>
          <w:pgMar w:top="1379" w:right="1440" w:bottom="567" w:left="1440" w:header="680" w:footer="680" w:gutter="0"/>
          <w:cols w:space="720"/>
        </w:sectPr>
      </w:pPr>
    </w:p>
    <w:p w14:paraId="44AA485C" w14:textId="77777777" w:rsidR="00397241" w:rsidRPr="003A50F5" w:rsidRDefault="0089333C" w:rsidP="00A30937">
      <w:pPr>
        <w:pStyle w:val="Heading"/>
      </w:pPr>
      <w:bookmarkStart w:id="0" w:name="_Toc393279715"/>
      <w:r w:rsidRPr="003A50F5">
        <w:lastRenderedPageBreak/>
        <w:t xml:space="preserve">Table </w:t>
      </w:r>
      <w:r w:rsidR="008D1F91" w:rsidRPr="003A50F5">
        <w:t>o</w:t>
      </w:r>
      <w:r w:rsidRPr="003A50F5">
        <w:t xml:space="preserve">f </w:t>
      </w:r>
      <w:r w:rsidRPr="00230BCE">
        <w:t>Contents</w:t>
      </w:r>
      <w:bookmarkEnd w:id="0"/>
    </w:p>
    <w:p w14:paraId="1E7AA969" w14:textId="2EF3274C" w:rsidR="003B3E7F" w:rsidRDefault="006531FE" w:rsidP="003B3E7F">
      <w:pPr>
        <w:pStyle w:val="TOC1"/>
        <w:outlineLvl w:val="9"/>
        <w:rPr>
          <w:rFonts w:asciiTheme="minorHAnsi" w:eastAsiaTheme="minorEastAsia" w:hAnsiTheme="minorHAnsi" w:cstheme="minorBidi"/>
          <w:b w:val="0"/>
          <w:noProof/>
          <w:kern w:val="0"/>
          <w:sz w:val="22"/>
          <w:szCs w:val="22"/>
        </w:rPr>
      </w:pPr>
      <w:r w:rsidRPr="00230BCE">
        <w:rPr>
          <w:rFonts w:cs="Arial"/>
          <w:b w:val="0"/>
          <w:caps/>
          <w:noProof/>
          <w:sz w:val="20"/>
          <w:szCs w:val="20"/>
          <w:lang w:val="en-US"/>
        </w:rPr>
        <w:fldChar w:fldCharType="begin"/>
      </w:r>
      <w:r w:rsidR="00434BB0" w:rsidRPr="00230BCE">
        <w:rPr>
          <w:rFonts w:cs="Arial"/>
          <w:b w:val="0"/>
          <w:caps/>
          <w:noProof/>
          <w:sz w:val="20"/>
          <w:szCs w:val="20"/>
          <w:lang w:val="en-US"/>
        </w:rPr>
        <w:instrText xml:space="preserve"> TOC \h \z \u \t "Heading 1,1,Heading 2,2" </w:instrText>
      </w:r>
      <w:r w:rsidRPr="00230BCE">
        <w:rPr>
          <w:rFonts w:cs="Arial"/>
          <w:b w:val="0"/>
          <w:caps/>
          <w:noProof/>
          <w:sz w:val="20"/>
          <w:szCs w:val="20"/>
          <w:lang w:val="en-US"/>
        </w:rPr>
        <w:fldChar w:fldCharType="separate"/>
      </w:r>
      <w:hyperlink w:anchor="_Toc512862453" w:history="1">
        <w:r w:rsidR="003B3E7F" w:rsidRPr="00C77735">
          <w:rPr>
            <w:rStyle w:val="Hyperlink"/>
            <w:noProof/>
          </w:rPr>
          <w:t>1</w:t>
        </w:r>
        <w:r w:rsidR="003B3E7F">
          <w:rPr>
            <w:rFonts w:asciiTheme="minorHAnsi" w:eastAsiaTheme="minorEastAsia" w:hAnsiTheme="minorHAnsi" w:cstheme="minorBidi"/>
            <w:b w:val="0"/>
            <w:noProof/>
            <w:kern w:val="0"/>
            <w:sz w:val="22"/>
            <w:szCs w:val="22"/>
          </w:rPr>
          <w:tab/>
        </w:r>
        <w:r w:rsidR="003B3E7F" w:rsidRPr="00C77735">
          <w:rPr>
            <w:rStyle w:val="Hyperlink"/>
            <w:noProof/>
          </w:rPr>
          <w:t>Introduction</w:t>
        </w:r>
        <w:r w:rsidR="003B3E7F">
          <w:rPr>
            <w:noProof/>
            <w:webHidden/>
          </w:rPr>
          <w:tab/>
        </w:r>
        <w:r w:rsidR="003B3E7F">
          <w:rPr>
            <w:noProof/>
            <w:webHidden/>
          </w:rPr>
          <w:fldChar w:fldCharType="begin"/>
        </w:r>
        <w:r w:rsidR="003B3E7F">
          <w:rPr>
            <w:noProof/>
            <w:webHidden/>
          </w:rPr>
          <w:instrText xml:space="preserve"> PAGEREF _Toc512862453 \h </w:instrText>
        </w:r>
        <w:r w:rsidR="003B3E7F">
          <w:rPr>
            <w:noProof/>
            <w:webHidden/>
          </w:rPr>
        </w:r>
        <w:r w:rsidR="003B3E7F">
          <w:rPr>
            <w:noProof/>
            <w:webHidden/>
          </w:rPr>
          <w:fldChar w:fldCharType="separate"/>
        </w:r>
        <w:r w:rsidR="003B3E7F">
          <w:rPr>
            <w:noProof/>
            <w:webHidden/>
          </w:rPr>
          <w:t>7</w:t>
        </w:r>
        <w:r w:rsidR="003B3E7F">
          <w:rPr>
            <w:noProof/>
            <w:webHidden/>
          </w:rPr>
          <w:fldChar w:fldCharType="end"/>
        </w:r>
      </w:hyperlink>
    </w:p>
    <w:p w14:paraId="62C1F224" w14:textId="6CBA7DEE"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54" w:history="1">
        <w:r w:rsidRPr="00C77735">
          <w:rPr>
            <w:rStyle w:val="Hyperlink"/>
            <w:noProof/>
          </w:rPr>
          <w:t>1.1</w:t>
        </w:r>
        <w:r>
          <w:rPr>
            <w:rFonts w:asciiTheme="minorHAnsi" w:eastAsiaTheme="minorEastAsia" w:hAnsiTheme="minorHAnsi" w:cstheme="minorBidi"/>
            <w:noProof/>
            <w:kern w:val="0"/>
            <w:sz w:val="22"/>
            <w:szCs w:val="22"/>
          </w:rPr>
          <w:tab/>
        </w:r>
        <w:r w:rsidRPr="00C77735">
          <w:rPr>
            <w:rStyle w:val="Hyperlink"/>
            <w:noProof/>
          </w:rPr>
          <w:t>Background</w:t>
        </w:r>
        <w:r>
          <w:rPr>
            <w:noProof/>
            <w:webHidden/>
          </w:rPr>
          <w:tab/>
        </w:r>
        <w:r>
          <w:rPr>
            <w:noProof/>
            <w:webHidden/>
          </w:rPr>
          <w:fldChar w:fldCharType="begin"/>
        </w:r>
        <w:r>
          <w:rPr>
            <w:noProof/>
            <w:webHidden/>
          </w:rPr>
          <w:instrText xml:space="preserve"> PAGEREF _Toc512862454 \h </w:instrText>
        </w:r>
        <w:r>
          <w:rPr>
            <w:noProof/>
            <w:webHidden/>
          </w:rPr>
        </w:r>
        <w:r>
          <w:rPr>
            <w:noProof/>
            <w:webHidden/>
          </w:rPr>
          <w:fldChar w:fldCharType="separate"/>
        </w:r>
        <w:r>
          <w:rPr>
            <w:noProof/>
            <w:webHidden/>
          </w:rPr>
          <w:t>7</w:t>
        </w:r>
        <w:r>
          <w:rPr>
            <w:noProof/>
            <w:webHidden/>
          </w:rPr>
          <w:fldChar w:fldCharType="end"/>
        </w:r>
      </w:hyperlink>
    </w:p>
    <w:p w14:paraId="4573367B" w14:textId="5D3F048E"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55" w:history="1">
        <w:r w:rsidRPr="00C77735">
          <w:rPr>
            <w:rStyle w:val="Hyperlink"/>
            <w:noProof/>
          </w:rPr>
          <w:t>1.2</w:t>
        </w:r>
        <w:r>
          <w:rPr>
            <w:rFonts w:asciiTheme="minorHAnsi" w:eastAsiaTheme="minorEastAsia" w:hAnsiTheme="minorHAnsi" w:cstheme="minorBidi"/>
            <w:noProof/>
            <w:kern w:val="0"/>
            <w:sz w:val="22"/>
            <w:szCs w:val="22"/>
          </w:rPr>
          <w:tab/>
        </w:r>
        <w:r w:rsidRPr="00C77735">
          <w:rPr>
            <w:rStyle w:val="Hyperlink"/>
            <w:noProof/>
          </w:rPr>
          <w:t>Scope</w:t>
        </w:r>
        <w:r>
          <w:rPr>
            <w:noProof/>
            <w:webHidden/>
          </w:rPr>
          <w:tab/>
        </w:r>
        <w:r>
          <w:rPr>
            <w:noProof/>
            <w:webHidden/>
          </w:rPr>
          <w:fldChar w:fldCharType="begin"/>
        </w:r>
        <w:r>
          <w:rPr>
            <w:noProof/>
            <w:webHidden/>
          </w:rPr>
          <w:instrText xml:space="preserve"> PAGEREF _Toc512862455 \h </w:instrText>
        </w:r>
        <w:r>
          <w:rPr>
            <w:noProof/>
            <w:webHidden/>
          </w:rPr>
        </w:r>
        <w:r>
          <w:rPr>
            <w:noProof/>
            <w:webHidden/>
          </w:rPr>
          <w:fldChar w:fldCharType="separate"/>
        </w:r>
        <w:r>
          <w:rPr>
            <w:noProof/>
            <w:webHidden/>
          </w:rPr>
          <w:t>7</w:t>
        </w:r>
        <w:r>
          <w:rPr>
            <w:noProof/>
            <w:webHidden/>
          </w:rPr>
          <w:fldChar w:fldCharType="end"/>
        </w:r>
      </w:hyperlink>
    </w:p>
    <w:p w14:paraId="6FFDD9A2" w14:textId="1D84FC4D"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56" w:history="1">
        <w:r w:rsidRPr="00C77735">
          <w:rPr>
            <w:rStyle w:val="Hyperlink"/>
            <w:noProof/>
          </w:rPr>
          <w:t>1.3</w:t>
        </w:r>
        <w:r>
          <w:rPr>
            <w:rFonts w:asciiTheme="minorHAnsi" w:eastAsiaTheme="minorEastAsia" w:hAnsiTheme="minorHAnsi" w:cstheme="minorBidi"/>
            <w:noProof/>
            <w:kern w:val="0"/>
            <w:sz w:val="22"/>
            <w:szCs w:val="22"/>
          </w:rPr>
          <w:tab/>
        </w:r>
        <w:r w:rsidRPr="00C77735">
          <w:rPr>
            <w:rStyle w:val="Hyperlink"/>
            <w:noProof/>
          </w:rPr>
          <w:t>Nominated Titleholder and Liaison Person</w:t>
        </w:r>
        <w:r>
          <w:rPr>
            <w:noProof/>
            <w:webHidden/>
          </w:rPr>
          <w:tab/>
        </w:r>
        <w:r>
          <w:rPr>
            <w:noProof/>
            <w:webHidden/>
          </w:rPr>
          <w:fldChar w:fldCharType="begin"/>
        </w:r>
        <w:r>
          <w:rPr>
            <w:noProof/>
            <w:webHidden/>
          </w:rPr>
          <w:instrText xml:space="preserve"> PAGEREF _Toc512862456 \h </w:instrText>
        </w:r>
        <w:r>
          <w:rPr>
            <w:noProof/>
            <w:webHidden/>
          </w:rPr>
        </w:r>
        <w:r>
          <w:rPr>
            <w:noProof/>
            <w:webHidden/>
          </w:rPr>
          <w:fldChar w:fldCharType="separate"/>
        </w:r>
        <w:r>
          <w:rPr>
            <w:noProof/>
            <w:webHidden/>
          </w:rPr>
          <w:t>8</w:t>
        </w:r>
        <w:r>
          <w:rPr>
            <w:noProof/>
            <w:webHidden/>
          </w:rPr>
          <w:fldChar w:fldCharType="end"/>
        </w:r>
      </w:hyperlink>
    </w:p>
    <w:p w14:paraId="78930A98" w14:textId="619A24C5" w:rsidR="003B3E7F" w:rsidRDefault="003B3E7F" w:rsidP="003B3E7F">
      <w:pPr>
        <w:pStyle w:val="TOC1"/>
        <w:outlineLvl w:val="9"/>
        <w:rPr>
          <w:rFonts w:asciiTheme="minorHAnsi" w:eastAsiaTheme="minorEastAsia" w:hAnsiTheme="minorHAnsi" w:cstheme="minorBidi"/>
          <w:b w:val="0"/>
          <w:noProof/>
          <w:kern w:val="0"/>
          <w:sz w:val="22"/>
          <w:szCs w:val="22"/>
        </w:rPr>
      </w:pPr>
      <w:hyperlink w:anchor="_Toc512862457" w:history="1">
        <w:r w:rsidRPr="00C77735">
          <w:rPr>
            <w:rStyle w:val="Hyperlink"/>
            <w:noProof/>
          </w:rPr>
          <w:t>2</w:t>
        </w:r>
        <w:r>
          <w:rPr>
            <w:rFonts w:asciiTheme="minorHAnsi" w:eastAsiaTheme="minorEastAsia" w:hAnsiTheme="minorHAnsi" w:cstheme="minorBidi"/>
            <w:b w:val="0"/>
            <w:noProof/>
            <w:kern w:val="0"/>
            <w:sz w:val="22"/>
            <w:szCs w:val="22"/>
          </w:rPr>
          <w:tab/>
        </w:r>
        <w:r w:rsidRPr="00C77735">
          <w:rPr>
            <w:rStyle w:val="Hyperlink"/>
            <w:noProof/>
          </w:rPr>
          <w:t>Activity and Location Details</w:t>
        </w:r>
        <w:r>
          <w:rPr>
            <w:noProof/>
            <w:webHidden/>
          </w:rPr>
          <w:tab/>
        </w:r>
        <w:r>
          <w:rPr>
            <w:noProof/>
            <w:webHidden/>
          </w:rPr>
          <w:fldChar w:fldCharType="begin"/>
        </w:r>
        <w:r>
          <w:rPr>
            <w:noProof/>
            <w:webHidden/>
          </w:rPr>
          <w:instrText xml:space="preserve"> PAGEREF _Toc512862457 \h </w:instrText>
        </w:r>
        <w:r>
          <w:rPr>
            <w:noProof/>
            <w:webHidden/>
          </w:rPr>
        </w:r>
        <w:r>
          <w:rPr>
            <w:noProof/>
            <w:webHidden/>
          </w:rPr>
          <w:fldChar w:fldCharType="separate"/>
        </w:r>
        <w:r>
          <w:rPr>
            <w:noProof/>
            <w:webHidden/>
          </w:rPr>
          <w:t>9</w:t>
        </w:r>
        <w:r>
          <w:rPr>
            <w:noProof/>
            <w:webHidden/>
          </w:rPr>
          <w:fldChar w:fldCharType="end"/>
        </w:r>
      </w:hyperlink>
    </w:p>
    <w:p w14:paraId="3C0A550B" w14:textId="6D894AD0"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58" w:history="1">
        <w:r w:rsidRPr="00C77735">
          <w:rPr>
            <w:rStyle w:val="Hyperlink"/>
            <w:noProof/>
          </w:rPr>
          <w:t>2.1</w:t>
        </w:r>
        <w:r>
          <w:rPr>
            <w:rFonts w:asciiTheme="minorHAnsi" w:eastAsiaTheme="minorEastAsia" w:hAnsiTheme="minorHAnsi" w:cstheme="minorBidi"/>
            <w:noProof/>
            <w:kern w:val="0"/>
            <w:sz w:val="22"/>
            <w:szCs w:val="22"/>
          </w:rPr>
          <w:tab/>
        </w:r>
        <w:r w:rsidRPr="00C77735">
          <w:rPr>
            <w:rStyle w:val="Hyperlink"/>
            <w:noProof/>
          </w:rPr>
          <w:t>Activity Location</w:t>
        </w:r>
        <w:r>
          <w:rPr>
            <w:noProof/>
            <w:webHidden/>
          </w:rPr>
          <w:tab/>
        </w:r>
        <w:r>
          <w:rPr>
            <w:noProof/>
            <w:webHidden/>
          </w:rPr>
          <w:fldChar w:fldCharType="begin"/>
        </w:r>
        <w:r>
          <w:rPr>
            <w:noProof/>
            <w:webHidden/>
          </w:rPr>
          <w:instrText xml:space="preserve"> PAGEREF _Toc512862458 \h </w:instrText>
        </w:r>
        <w:r>
          <w:rPr>
            <w:noProof/>
            <w:webHidden/>
          </w:rPr>
        </w:r>
        <w:r>
          <w:rPr>
            <w:noProof/>
            <w:webHidden/>
          </w:rPr>
          <w:fldChar w:fldCharType="separate"/>
        </w:r>
        <w:r>
          <w:rPr>
            <w:noProof/>
            <w:webHidden/>
          </w:rPr>
          <w:t>9</w:t>
        </w:r>
        <w:r>
          <w:rPr>
            <w:noProof/>
            <w:webHidden/>
          </w:rPr>
          <w:fldChar w:fldCharType="end"/>
        </w:r>
      </w:hyperlink>
    </w:p>
    <w:p w14:paraId="736D4928" w14:textId="66BE5E02"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59" w:history="1">
        <w:r w:rsidRPr="00C77735">
          <w:rPr>
            <w:rStyle w:val="Hyperlink"/>
            <w:noProof/>
          </w:rPr>
          <w:t>2.2</w:t>
        </w:r>
        <w:r>
          <w:rPr>
            <w:rFonts w:asciiTheme="minorHAnsi" w:eastAsiaTheme="minorEastAsia" w:hAnsiTheme="minorHAnsi" w:cstheme="minorBidi"/>
            <w:noProof/>
            <w:kern w:val="0"/>
            <w:sz w:val="22"/>
            <w:szCs w:val="22"/>
          </w:rPr>
          <w:tab/>
        </w:r>
        <w:r w:rsidRPr="00C77735">
          <w:rPr>
            <w:rStyle w:val="Hyperlink"/>
            <w:noProof/>
          </w:rPr>
          <w:t>Field Characteristics and Production</w:t>
        </w:r>
        <w:r>
          <w:rPr>
            <w:noProof/>
            <w:webHidden/>
          </w:rPr>
          <w:tab/>
        </w:r>
        <w:r>
          <w:rPr>
            <w:noProof/>
            <w:webHidden/>
          </w:rPr>
          <w:fldChar w:fldCharType="begin"/>
        </w:r>
        <w:r>
          <w:rPr>
            <w:noProof/>
            <w:webHidden/>
          </w:rPr>
          <w:instrText xml:space="preserve"> PAGEREF _Toc512862459 \h </w:instrText>
        </w:r>
        <w:r>
          <w:rPr>
            <w:noProof/>
            <w:webHidden/>
          </w:rPr>
        </w:r>
        <w:r>
          <w:rPr>
            <w:noProof/>
            <w:webHidden/>
          </w:rPr>
          <w:fldChar w:fldCharType="separate"/>
        </w:r>
        <w:r>
          <w:rPr>
            <w:noProof/>
            <w:webHidden/>
          </w:rPr>
          <w:t>10</w:t>
        </w:r>
        <w:r>
          <w:rPr>
            <w:noProof/>
            <w:webHidden/>
          </w:rPr>
          <w:fldChar w:fldCharType="end"/>
        </w:r>
      </w:hyperlink>
    </w:p>
    <w:p w14:paraId="429C6C48" w14:textId="40A289CA"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60" w:history="1">
        <w:r w:rsidRPr="00C77735">
          <w:rPr>
            <w:rStyle w:val="Hyperlink"/>
            <w:noProof/>
          </w:rPr>
          <w:t>2.3</w:t>
        </w:r>
        <w:r>
          <w:rPr>
            <w:rFonts w:asciiTheme="minorHAnsi" w:eastAsiaTheme="minorEastAsia" w:hAnsiTheme="minorHAnsi" w:cstheme="minorBidi"/>
            <w:noProof/>
            <w:kern w:val="0"/>
            <w:sz w:val="22"/>
            <w:szCs w:val="22"/>
          </w:rPr>
          <w:tab/>
        </w:r>
        <w:r w:rsidRPr="00C77735">
          <w:rPr>
            <w:rStyle w:val="Hyperlink"/>
            <w:noProof/>
          </w:rPr>
          <w:t>Support Vessels</w:t>
        </w:r>
        <w:r>
          <w:rPr>
            <w:noProof/>
            <w:webHidden/>
          </w:rPr>
          <w:tab/>
        </w:r>
        <w:r>
          <w:rPr>
            <w:noProof/>
            <w:webHidden/>
          </w:rPr>
          <w:fldChar w:fldCharType="begin"/>
        </w:r>
        <w:r>
          <w:rPr>
            <w:noProof/>
            <w:webHidden/>
          </w:rPr>
          <w:instrText xml:space="preserve"> PAGEREF _Toc512862460 \h </w:instrText>
        </w:r>
        <w:r>
          <w:rPr>
            <w:noProof/>
            <w:webHidden/>
          </w:rPr>
        </w:r>
        <w:r>
          <w:rPr>
            <w:noProof/>
            <w:webHidden/>
          </w:rPr>
          <w:fldChar w:fldCharType="separate"/>
        </w:r>
        <w:r>
          <w:rPr>
            <w:noProof/>
            <w:webHidden/>
          </w:rPr>
          <w:t>12</w:t>
        </w:r>
        <w:r>
          <w:rPr>
            <w:noProof/>
            <w:webHidden/>
          </w:rPr>
          <w:fldChar w:fldCharType="end"/>
        </w:r>
      </w:hyperlink>
    </w:p>
    <w:p w14:paraId="05F2DD9A" w14:textId="70F0264B"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61" w:history="1">
        <w:r w:rsidRPr="00C77735">
          <w:rPr>
            <w:rStyle w:val="Hyperlink"/>
            <w:noProof/>
          </w:rPr>
          <w:t>2.4</w:t>
        </w:r>
        <w:r>
          <w:rPr>
            <w:rFonts w:asciiTheme="minorHAnsi" w:eastAsiaTheme="minorEastAsia" w:hAnsiTheme="minorHAnsi" w:cstheme="minorBidi"/>
            <w:noProof/>
            <w:kern w:val="0"/>
            <w:sz w:val="22"/>
            <w:szCs w:val="22"/>
          </w:rPr>
          <w:tab/>
        </w:r>
        <w:r w:rsidRPr="00C77735">
          <w:rPr>
            <w:rStyle w:val="Hyperlink"/>
            <w:noProof/>
          </w:rPr>
          <w:t>Logistics Support</w:t>
        </w:r>
        <w:r>
          <w:rPr>
            <w:noProof/>
            <w:webHidden/>
          </w:rPr>
          <w:tab/>
        </w:r>
        <w:r>
          <w:rPr>
            <w:noProof/>
            <w:webHidden/>
          </w:rPr>
          <w:fldChar w:fldCharType="begin"/>
        </w:r>
        <w:r>
          <w:rPr>
            <w:noProof/>
            <w:webHidden/>
          </w:rPr>
          <w:instrText xml:space="preserve"> PAGEREF _Toc512862461 \h </w:instrText>
        </w:r>
        <w:r>
          <w:rPr>
            <w:noProof/>
            <w:webHidden/>
          </w:rPr>
        </w:r>
        <w:r>
          <w:rPr>
            <w:noProof/>
            <w:webHidden/>
          </w:rPr>
          <w:fldChar w:fldCharType="separate"/>
        </w:r>
        <w:r>
          <w:rPr>
            <w:noProof/>
            <w:webHidden/>
          </w:rPr>
          <w:t>12</w:t>
        </w:r>
        <w:r>
          <w:rPr>
            <w:noProof/>
            <w:webHidden/>
          </w:rPr>
          <w:fldChar w:fldCharType="end"/>
        </w:r>
      </w:hyperlink>
    </w:p>
    <w:p w14:paraId="512C0F72" w14:textId="6C3D9E01" w:rsidR="003B3E7F" w:rsidRDefault="003B3E7F" w:rsidP="003B3E7F">
      <w:pPr>
        <w:pStyle w:val="TOC1"/>
        <w:outlineLvl w:val="9"/>
        <w:rPr>
          <w:rFonts w:asciiTheme="minorHAnsi" w:eastAsiaTheme="minorEastAsia" w:hAnsiTheme="minorHAnsi" w:cstheme="minorBidi"/>
          <w:b w:val="0"/>
          <w:noProof/>
          <w:kern w:val="0"/>
          <w:sz w:val="22"/>
          <w:szCs w:val="22"/>
        </w:rPr>
      </w:pPr>
      <w:hyperlink w:anchor="_Toc512862462" w:history="1">
        <w:r w:rsidRPr="00C77735">
          <w:rPr>
            <w:rStyle w:val="Hyperlink"/>
            <w:noProof/>
          </w:rPr>
          <w:t>3</w:t>
        </w:r>
        <w:r>
          <w:rPr>
            <w:rFonts w:asciiTheme="minorHAnsi" w:eastAsiaTheme="minorEastAsia" w:hAnsiTheme="minorHAnsi" w:cstheme="minorBidi"/>
            <w:b w:val="0"/>
            <w:noProof/>
            <w:kern w:val="0"/>
            <w:sz w:val="22"/>
            <w:szCs w:val="22"/>
          </w:rPr>
          <w:tab/>
        </w:r>
        <w:r w:rsidRPr="00C77735">
          <w:rPr>
            <w:rStyle w:val="Hyperlink"/>
            <w:noProof/>
          </w:rPr>
          <w:t>Description of the Existing Environment</w:t>
        </w:r>
        <w:r>
          <w:rPr>
            <w:noProof/>
            <w:webHidden/>
          </w:rPr>
          <w:tab/>
        </w:r>
        <w:r>
          <w:rPr>
            <w:noProof/>
            <w:webHidden/>
          </w:rPr>
          <w:fldChar w:fldCharType="begin"/>
        </w:r>
        <w:r>
          <w:rPr>
            <w:noProof/>
            <w:webHidden/>
          </w:rPr>
          <w:instrText xml:space="preserve"> PAGEREF _Toc512862462 \h </w:instrText>
        </w:r>
        <w:r>
          <w:rPr>
            <w:noProof/>
            <w:webHidden/>
          </w:rPr>
        </w:r>
        <w:r>
          <w:rPr>
            <w:noProof/>
            <w:webHidden/>
          </w:rPr>
          <w:fldChar w:fldCharType="separate"/>
        </w:r>
        <w:r>
          <w:rPr>
            <w:noProof/>
            <w:webHidden/>
          </w:rPr>
          <w:t>13</w:t>
        </w:r>
        <w:r>
          <w:rPr>
            <w:noProof/>
            <w:webHidden/>
          </w:rPr>
          <w:fldChar w:fldCharType="end"/>
        </w:r>
      </w:hyperlink>
    </w:p>
    <w:p w14:paraId="22597297" w14:textId="27E41CC0"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63" w:history="1">
        <w:r w:rsidRPr="00C77735">
          <w:rPr>
            <w:rStyle w:val="Hyperlink"/>
            <w:noProof/>
          </w:rPr>
          <w:t>3.1</w:t>
        </w:r>
        <w:r>
          <w:rPr>
            <w:rFonts w:asciiTheme="minorHAnsi" w:eastAsiaTheme="minorEastAsia" w:hAnsiTheme="minorHAnsi" w:cstheme="minorBidi"/>
            <w:noProof/>
            <w:kern w:val="0"/>
            <w:sz w:val="22"/>
            <w:szCs w:val="22"/>
          </w:rPr>
          <w:tab/>
        </w:r>
        <w:r w:rsidRPr="00C77735">
          <w:rPr>
            <w:rStyle w:val="Hyperlink"/>
            <w:noProof/>
          </w:rPr>
          <w:t>Regional Setting</w:t>
        </w:r>
        <w:r>
          <w:rPr>
            <w:noProof/>
            <w:webHidden/>
          </w:rPr>
          <w:tab/>
        </w:r>
        <w:r>
          <w:rPr>
            <w:noProof/>
            <w:webHidden/>
          </w:rPr>
          <w:fldChar w:fldCharType="begin"/>
        </w:r>
        <w:r>
          <w:rPr>
            <w:noProof/>
            <w:webHidden/>
          </w:rPr>
          <w:instrText xml:space="preserve"> PAGEREF _Toc512862463 \h </w:instrText>
        </w:r>
        <w:r>
          <w:rPr>
            <w:noProof/>
            <w:webHidden/>
          </w:rPr>
        </w:r>
        <w:r>
          <w:rPr>
            <w:noProof/>
            <w:webHidden/>
          </w:rPr>
          <w:fldChar w:fldCharType="separate"/>
        </w:r>
        <w:r>
          <w:rPr>
            <w:noProof/>
            <w:webHidden/>
          </w:rPr>
          <w:t>13</w:t>
        </w:r>
        <w:r>
          <w:rPr>
            <w:noProof/>
            <w:webHidden/>
          </w:rPr>
          <w:fldChar w:fldCharType="end"/>
        </w:r>
      </w:hyperlink>
    </w:p>
    <w:p w14:paraId="5C8DCD17" w14:textId="4B79854F"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64" w:history="1">
        <w:r w:rsidRPr="00C77735">
          <w:rPr>
            <w:rStyle w:val="Hyperlink"/>
            <w:noProof/>
          </w:rPr>
          <w:t>3.2</w:t>
        </w:r>
        <w:r>
          <w:rPr>
            <w:rFonts w:asciiTheme="minorHAnsi" w:eastAsiaTheme="minorEastAsia" w:hAnsiTheme="minorHAnsi" w:cstheme="minorBidi"/>
            <w:noProof/>
            <w:kern w:val="0"/>
            <w:sz w:val="22"/>
            <w:szCs w:val="22"/>
          </w:rPr>
          <w:tab/>
        </w:r>
        <w:r w:rsidRPr="00C77735">
          <w:rPr>
            <w:rStyle w:val="Hyperlink"/>
            <w:noProof/>
          </w:rPr>
          <w:t>Physical Environment</w:t>
        </w:r>
        <w:r>
          <w:rPr>
            <w:noProof/>
            <w:webHidden/>
          </w:rPr>
          <w:tab/>
        </w:r>
        <w:r>
          <w:rPr>
            <w:noProof/>
            <w:webHidden/>
          </w:rPr>
          <w:fldChar w:fldCharType="begin"/>
        </w:r>
        <w:r>
          <w:rPr>
            <w:noProof/>
            <w:webHidden/>
          </w:rPr>
          <w:instrText xml:space="preserve"> PAGEREF _Toc512862464 \h </w:instrText>
        </w:r>
        <w:r>
          <w:rPr>
            <w:noProof/>
            <w:webHidden/>
          </w:rPr>
        </w:r>
        <w:r>
          <w:rPr>
            <w:noProof/>
            <w:webHidden/>
          </w:rPr>
          <w:fldChar w:fldCharType="separate"/>
        </w:r>
        <w:r>
          <w:rPr>
            <w:noProof/>
            <w:webHidden/>
          </w:rPr>
          <w:t>14</w:t>
        </w:r>
        <w:r>
          <w:rPr>
            <w:noProof/>
            <w:webHidden/>
          </w:rPr>
          <w:fldChar w:fldCharType="end"/>
        </w:r>
      </w:hyperlink>
    </w:p>
    <w:p w14:paraId="4701DB13" w14:textId="1BE1F0FB"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65" w:history="1">
        <w:r w:rsidRPr="00C77735">
          <w:rPr>
            <w:rStyle w:val="Hyperlink"/>
            <w:noProof/>
          </w:rPr>
          <w:t>3.3</w:t>
        </w:r>
        <w:r>
          <w:rPr>
            <w:rFonts w:asciiTheme="minorHAnsi" w:eastAsiaTheme="minorEastAsia" w:hAnsiTheme="minorHAnsi" w:cstheme="minorBidi"/>
            <w:noProof/>
            <w:kern w:val="0"/>
            <w:sz w:val="22"/>
            <w:szCs w:val="22"/>
          </w:rPr>
          <w:tab/>
        </w:r>
        <w:r w:rsidRPr="00C77735">
          <w:rPr>
            <w:rStyle w:val="Hyperlink"/>
            <w:noProof/>
          </w:rPr>
          <w:t>Coastal Environment</w:t>
        </w:r>
        <w:r>
          <w:rPr>
            <w:noProof/>
            <w:webHidden/>
          </w:rPr>
          <w:tab/>
        </w:r>
        <w:r>
          <w:rPr>
            <w:noProof/>
            <w:webHidden/>
          </w:rPr>
          <w:fldChar w:fldCharType="begin"/>
        </w:r>
        <w:r>
          <w:rPr>
            <w:noProof/>
            <w:webHidden/>
          </w:rPr>
          <w:instrText xml:space="preserve"> PAGEREF _Toc512862465 \h </w:instrText>
        </w:r>
        <w:r>
          <w:rPr>
            <w:noProof/>
            <w:webHidden/>
          </w:rPr>
        </w:r>
        <w:r>
          <w:rPr>
            <w:noProof/>
            <w:webHidden/>
          </w:rPr>
          <w:fldChar w:fldCharType="separate"/>
        </w:r>
        <w:r>
          <w:rPr>
            <w:noProof/>
            <w:webHidden/>
          </w:rPr>
          <w:t>15</w:t>
        </w:r>
        <w:r>
          <w:rPr>
            <w:noProof/>
            <w:webHidden/>
          </w:rPr>
          <w:fldChar w:fldCharType="end"/>
        </w:r>
      </w:hyperlink>
    </w:p>
    <w:p w14:paraId="2D3E3B13" w14:textId="10C8AEA7"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66" w:history="1">
        <w:r w:rsidRPr="00C77735">
          <w:rPr>
            <w:rStyle w:val="Hyperlink"/>
            <w:noProof/>
          </w:rPr>
          <w:t>3.4</w:t>
        </w:r>
        <w:r>
          <w:rPr>
            <w:rFonts w:asciiTheme="minorHAnsi" w:eastAsiaTheme="minorEastAsia" w:hAnsiTheme="minorHAnsi" w:cstheme="minorBidi"/>
            <w:noProof/>
            <w:kern w:val="0"/>
            <w:sz w:val="22"/>
            <w:szCs w:val="22"/>
          </w:rPr>
          <w:tab/>
        </w:r>
        <w:r w:rsidRPr="00C77735">
          <w:rPr>
            <w:rStyle w:val="Hyperlink"/>
            <w:noProof/>
          </w:rPr>
          <w:t>Biological Environment</w:t>
        </w:r>
        <w:r>
          <w:rPr>
            <w:noProof/>
            <w:webHidden/>
          </w:rPr>
          <w:tab/>
        </w:r>
        <w:r>
          <w:rPr>
            <w:noProof/>
            <w:webHidden/>
          </w:rPr>
          <w:fldChar w:fldCharType="begin"/>
        </w:r>
        <w:r>
          <w:rPr>
            <w:noProof/>
            <w:webHidden/>
          </w:rPr>
          <w:instrText xml:space="preserve"> PAGEREF _Toc512862466 \h </w:instrText>
        </w:r>
        <w:r>
          <w:rPr>
            <w:noProof/>
            <w:webHidden/>
          </w:rPr>
        </w:r>
        <w:r>
          <w:rPr>
            <w:noProof/>
            <w:webHidden/>
          </w:rPr>
          <w:fldChar w:fldCharType="separate"/>
        </w:r>
        <w:r>
          <w:rPr>
            <w:noProof/>
            <w:webHidden/>
          </w:rPr>
          <w:t>16</w:t>
        </w:r>
        <w:r>
          <w:rPr>
            <w:noProof/>
            <w:webHidden/>
          </w:rPr>
          <w:fldChar w:fldCharType="end"/>
        </w:r>
      </w:hyperlink>
    </w:p>
    <w:p w14:paraId="476D1335" w14:textId="15F460C3"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67" w:history="1">
        <w:r w:rsidRPr="00C77735">
          <w:rPr>
            <w:rStyle w:val="Hyperlink"/>
            <w:noProof/>
          </w:rPr>
          <w:t>3.5</w:t>
        </w:r>
        <w:r>
          <w:rPr>
            <w:rFonts w:asciiTheme="minorHAnsi" w:eastAsiaTheme="minorEastAsia" w:hAnsiTheme="minorHAnsi" w:cstheme="minorBidi"/>
            <w:noProof/>
            <w:kern w:val="0"/>
            <w:sz w:val="22"/>
            <w:szCs w:val="22"/>
          </w:rPr>
          <w:tab/>
        </w:r>
        <w:r w:rsidRPr="00C77735">
          <w:rPr>
            <w:rStyle w:val="Hyperlink"/>
            <w:noProof/>
          </w:rPr>
          <w:t>Conservation Values</w:t>
        </w:r>
        <w:r>
          <w:rPr>
            <w:noProof/>
            <w:webHidden/>
          </w:rPr>
          <w:tab/>
        </w:r>
        <w:r>
          <w:rPr>
            <w:noProof/>
            <w:webHidden/>
          </w:rPr>
          <w:fldChar w:fldCharType="begin"/>
        </w:r>
        <w:r>
          <w:rPr>
            <w:noProof/>
            <w:webHidden/>
          </w:rPr>
          <w:instrText xml:space="preserve"> PAGEREF _Toc512862467 \h </w:instrText>
        </w:r>
        <w:r>
          <w:rPr>
            <w:noProof/>
            <w:webHidden/>
          </w:rPr>
        </w:r>
        <w:r>
          <w:rPr>
            <w:noProof/>
            <w:webHidden/>
          </w:rPr>
          <w:fldChar w:fldCharType="separate"/>
        </w:r>
        <w:r>
          <w:rPr>
            <w:noProof/>
            <w:webHidden/>
          </w:rPr>
          <w:t>25</w:t>
        </w:r>
        <w:r>
          <w:rPr>
            <w:noProof/>
            <w:webHidden/>
          </w:rPr>
          <w:fldChar w:fldCharType="end"/>
        </w:r>
      </w:hyperlink>
    </w:p>
    <w:p w14:paraId="3E86A0C9" w14:textId="711ECC80"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68" w:history="1">
        <w:r w:rsidRPr="00C77735">
          <w:rPr>
            <w:rStyle w:val="Hyperlink"/>
            <w:noProof/>
          </w:rPr>
          <w:t>3.6</w:t>
        </w:r>
        <w:r>
          <w:rPr>
            <w:rFonts w:asciiTheme="minorHAnsi" w:eastAsiaTheme="minorEastAsia" w:hAnsiTheme="minorHAnsi" w:cstheme="minorBidi"/>
            <w:noProof/>
            <w:kern w:val="0"/>
            <w:sz w:val="22"/>
            <w:szCs w:val="22"/>
          </w:rPr>
          <w:tab/>
        </w:r>
        <w:r w:rsidRPr="00C77735">
          <w:rPr>
            <w:rStyle w:val="Hyperlink"/>
            <w:noProof/>
          </w:rPr>
          <w:t>Cultural Heritage</w:t>
        </w:r>
        <w:r>
          <w:rPr>
            <w:noProof/>
            <w:webHidden/>
          </w:rPr>
          <w:tab/>
        </w:r>
        <w:r>
          <w:rPr>
            <w:noProof/>
            <w:webHidden/>
          </w:rPr>
          <w:fldChar w:fldCharType="begin"/>
        </w:r>
        <w:r>
          <w:rPr>
            <w:noProof/>
            <w:webHidden/>
          </w:rPr>
          <w:instrText xml:space="preserve"> PAGEREF _Toc512862468 \h </w:instrText>
        </w:r>
        <w:r>
          <w:rPr>
            <w:noProof/>
            <w:webHidden/>
          </w:rPr>
        </w:r>
        <w:r>
          <w:rPr>
            <w:noProof/>
            <w:webHidden/>
          </w:rPr>
          <w:fldChar w:fldCharType="separate"/>
        </w:r>
        <w:r>
          <w:rPr>
            <w:noProof/>
            <w:webHidden/>
          </w:rPr>
          <w:t>27</w:t>
        </w:r>
        <w:r>
          <w:rPr>
            <w:noProof/>
            <w:webHidden/>
          </w:rPr>
          <w:fldChar w:fldCharType="end"/>
        </w:r>
      </w:hyperlink>
    </w:p>
    <w:p w14:paraId="4DD31244" w14:textId="402E6816"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69" w:history="1">
        <w:r w:rsidRPr="00C77735">
          <w:rPr>
            <w:rStyle w:val="Hyperlink"/>
            <w:noProof/>
          </w:rPr>
          <w:t>3.7</w:t>
        </w:r>
        <w:r>
          <w:rPr>
            <w:rFonts w:asciiTheme="minorHAnsi" w:eastAsiaTheme="minorEastAsia" w:hAnsiTheme="minorHAnsi" w:cstheme="minorBidi"/>
            <w:noProof/>
            <w:kern w:val="0"/>
            <w:sz w:val="22"/>
            <w:szCs w:val="22"/>
          </w:rPr>
          <w:tab/>
        </w:r>
        <w:r w:rsidRPr="00C77735">
          <w:rPr>
            <w:rStyle w:val="Hyperlink"/>
            <w:noProof/>
          </w:rPr>
          <w:t>Socio-economic Environment</w:t>
        </w:r>
        <w:r>
          <w:rPr>
            <w:noProof/>
            <w:webHidden/>
          </w:rPr>
          <w:tab/>
        </w:r>
        <w:r>
          <w:rPr>
            <w:noProof/>
            <w:webHidden/>
          </w:rPr>
          <w:fldChar w:fldCharType="begin"/>
        </w:r>
        <w:r>
          <w:rPr>
            <w:noProof/>
            <w:webHidden/>
          </w:rPr>
          <w:instrText xml:space="preserve"> PAGEREF _Toc512862469 \h </w:instrText>
        </w:r>
        <w:r>
          <w:rPr>
            <w:noProof/>
            <w:webHidden/>
          </w:rPr>
        </w:r>
        <w:r>
          <w:rPr>
            <w:noProof/>
            <w:webHidden/>
          </w:rPr>
          <w:fldChar w:fldCharType="separate"/>
        </w:r>
        <w:r>
          <w:rPr>
            <w:noProof/>
            <w:webHidden/>
          </w:rPr>
          <w:t>28</w:t>
        </w:r>
        <w:r>
          <w:rPr>
            <w:noProof/>
            <w:webHidden/>
          </w:rPr>
          <w:fldChar w:fldCharType="end"/>
        </w:r>
      </w:hyperlink>
    </w:p>
    <w:p w14:paraId="35708CFA" w14:textId="387B45C3" w:rsidR="003B3E7F" w:rsidRDefault="003B3E7F" w:rsidP="003B3E7F">
      <w:pPr>
        <w:pStyle w:val="TOC1"/>
        <w:outlineLvl w:val="9"/>
        <w:rPr>
          <w:rFonts w:asciiTheme="minorHAnsi" w:eastAsiaTheme="minorEastAsia" w:hAnsiTheme="minorHAnsi" w:cstheme="minorBidi"/>
          <w:b w:val="0"/>
          <w:noProof/>
          <w:kern w:val="0"/>
          <w:sz w:val="22"/>
          <w:szCs w:val="22"/>
        </w:rPr>
      </w:pPr>
      <w:hyperlink w:anchor="_Toc512862470" w:history="1">
        <w:r w:rsidRPr="00C77735">
          <w:rPr>
            <w:rStyle w:val="Hyperlink"/>
            <w:noProof/>
          </w:rPr>
          <w:t>4</w:t>
        </w:r>
        <w:r>
          <w:rPr>
            <w:rFonts w:asciiTheme="minorHAnsi" w:eastAsiaTheme="minorEastAsia" w:hAnsiTheme="minorHAnsi" w:cstheme="minorBidi"/>
            <w:b w:val="0"/>
            <w:noProof/>
            <w:kern w:val="0"/>
            <w:sz w:val="22"/>
            <w:szCs w:val="22"/>
          </w:rPr>
          <w:tab/>
        </w:r>
        <w:r w:rsidRPr="00C77735">
          <w:rPr>
            <w:rStyle w:val="Hyperlink"/>
            <w:noProof/>
          </w:rPr>
          <w:t>Environmental Impact and Risk Assessment Methodology</w:t>
        </w:r>
        <w:r>
          <w:rPr>
            <w:noProof/>
            <w:webHidden/>
          </w:rPr>
          <w:tab/>
        </w:r>
        <w:r>
          <w:rPr>
            <w:noProof/>
            <w:webHidden/>
          </w:rPr>
          <w:fldChar w:fldCharType="begin"/>
        </w:r>
        <w:r>
          <w:rPr>
            <w:noProof/>
            <w:webHidden/>
          </w:rPr>
          <w:instrText xml:space="preserve"> PAGEREF _Toc512862470 \h </w:instrText>
        </w:r>
        <w:r>
          <w:rPr>
            <w:noProof/>
            <w:webHidden/>
          </w:rPr>
        </w:r>
        <w:r>
          <w:rPr>
            <w:noProof/>
            <w:webHidden/>
          </w:rPr>
          <w:fldChar w:fldCharType="separate"/>
        </w:r>
        <w:r>
          <w:rPr>
            <w:noProof/>
            <w:webHidden/>
          </w:rPr>
          <w:t>30</w:t>
        </w:r>
        <w:r>
          <w:rPr>
            <w:noProof/>
            <w:webHidden/>
          </w:rPr>
          <w:fldChar w:fldCharType="end"/>
        </w:r>
      </w:hyperlink>
    </w:p>
    <w:p w14:paraId="39DD173B" w14:textId="0C3F4D06"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71" w:history="1">
        <w:r w:rsidRPr="00C77735">
          <w:rPr>
            <w:rStyle w:val="Hyperlink"/>
            <w:noProof/>
          </w:rPr>
          <w:t>4.1</w:t>
        </w:r>
        <w:r>
          <w:rPr>
            <w:rFonts w:asciiTheme="minorHAnsi" w:eastAsiaTheme="minorEastAsia" w:hAnsiTheme="minorHAnsi" w:cstheme="minorBidi"/>
            <w:noProof/>
            <w:kern w:val="0"/>
            <w:sz w:val="22"/>
            <w:szCs w:val="22"/>
          </w:rPr>
          <w:tab/>
        </w:r>
        <w:r w:rsidRPr="00C77735">
          <w:rPr>
            <w:rStyle w:val="Hyperlink"/>
            <w:noProof/>
          </w:rPr>
          <w:t>Hazard Assessment Methodology</w:t>
        </w:r>
        <w:r>
          <w:rPr>
            <w:noProof/>
            <w:webHidden/>
          </w:rPr>
          <w:tab/>
        </w:r>
        <w:r>
          <w:rPr>
            <w:noProof/>
            <w:webHidden/>
          </w:rPr>
          <w:fldChar w:fldCharType="begin"/>
        </w:r>
        <w:r>
          <w:rPr>
            <w:noProof/>
            <w:webHidden/>
          </w:rPr>
          <w:instrText xml:space="preserve"> PAGEREF _Toc512862471 \h </w:instrText>
        </w:r>
        <w:r>
          <w:rPr>
            <w:noProof/>
            <w:webHidden/>
          </w:rPr>
        </w:r>
        <w:r>
          <w:rPr>
            <w:noProof/>
            <w:webHidden/>
          </w:rPr>
          <w:fldChar w:fldCharType="separate"/>
        </w:r>
        <w:r>
          <w:rPr>
            <w:noProof/>
            <w:webHidden/>
          </w:rPr>
          <w:t>30</w:t>
        </w:r>
        <w:r>
          <w:rPr>
            <w:noProof/>
            <w:webHidden/>
          </w:rPr>
          <w:fldChar w:fldCharType="end"/>
        </w:r>
      </w:hyperlink>
    </w:p>
    <w:p w14:paraId="71D1060D" w14:textId="14667CD1"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72" w:history="1">
        <w:r w:rsidRPr="00C77735">
          <w:rPr>
            <w:rStyle w:val="Hyperlink"/>
            <w:noProof/>
          </w:rPr>
          <w:t>4.2</w:t>
        </w:r>
        <w:r>
          <w:rPr>
            <w:rFonts w:asciiTheme="minorHAnsi" w:eastAsiaTheme="minorEastAsia" w:hAnsiTheme="minorHAnsi" w:cstheme="minorBidi"/>
            <w:noProof/>
            <w:kern w:val="0"/>
            <w:sz w:val="22"/>
            <w:szCs w:val="22"/>
          </w:rPr>
          <w:tab/>
        </w:r>
        <w:r w:rsidRPr="00C77735">
          <w:rPr>
            <w:rStyle w:val="Hyperlink"/>
            <w:noProof/>
          </w:rPr>
          <w:t>ALARP Criteria</w:t>
        </w:r>
        <w:r>
          <w:rPr>
            <w:noProof/>
            <w:webHidden/>
          </w:rPr>
          <w:tab/>
        </w:r>
        <w:r>
          <w:rPr>
            <w:noProof/>
            <w:webHidden/>
          </w:rPr>
          <w:fldChar w:fldCharType="begin"/>
        </w:r>
        <w:r>
          <w:rPr>
            <w:noProof/>
            <w:webHidden/>
          </w:rPr>
          <w:instrText xml:space="preserve"> PAGEREF _Toc512862472 \h </w:instrText>
        </w:r>
        <w:r>
          <w:rPr>
            <w:noProof/>
            <w:webHidden/>
          </w:rPr>
        </w:r>
        <w:r>
          <w:rPr>
            <w:noProof/>
            <w:webHidden/>
          </w:rPr>
          <w:fldChar w:fldCharType="separate"/>
        </w:r>
        <w:r>
          <w:rPr>
            <w:noProof/>
            <w:webHidden/>
          </w:rPr>
          <w:t>34</w:t>
        </w:r>
        <w:r>
          <w:rPr>
            <w:noProof/>
            <w:webHidden/>
          </w:rPr>
          <w:fldChar w:fldCharType="end"/>
        </w:r>
      </w:hyperlink>
    </w:p>
    <w:p w14:paraId="7AE215D5" w14:textId="701F7EA2" w:rsidR="003B3E7F" w:rsidRDefault="003B3E7F" w:rsidP="003B3E7F">
      <w:pPr>
        <w:pStyle w:val="TOC1"/>
        <w:outlineLvl w:val="9"/>
        <w:rPr>
          <w:rFonts w:asciiTheme="minorHAnsi" w:eastAsiaTheme="minorEastAsia" w:hAnsiTheme="minorHAnsi" w:cstheme="minorBidi"/>
          <w:b w:val="0"/>
          <w:noProof/>
          <w:kern w:val="0"/>
          <w:sz w:val="22"/>
          <w:szCs w:val="22"/>
        </w:rPr>
      </w:pPr>
      <w:hyperlink w:anchor="_Toc512862473" w:history="1">
        <w:r w:rsidRPr="00C77735">
          <w:rPr>
            <w:rStyle w:val="Hyperlink"/>
            <w:noProof/>
          </w:rPr>
          <w:t>5</w:t>
        </w:r>
        <w:r>
          <w:rPr>
            <w:rFonts w:asciiTheme="minorHAnsi" w:eastAsiaTheme="minorEastAsia" w:hAnsiTheme="minorHAnsi" w:cstheme="minorBidi"/>
            <w:b w:val="0"/>
            <w:noProof/>
            <w:kern w:val="0"/>
            <w:sz w:val="22"/>
            <w:szCs w:val="22"/>
          </w:rPr>
          <w:tab/>
        </w:r>
        <w:r w:rsidRPr="00C77735">
          <w:rPr>
            <w:rStyle w:val="Hyperlink"/>
            <w:noProof/>
          </w:rPr>
          <w:t>Environmental Impact and Risk Assessment</w:t>
        </w:r>
        <w:r>
          <w:rPr>
            <w:noProof/>
            <w:webHidden/>
          </w:rPr>
          <w:tab/>
        </w:r>
        <w:r>
          <w:rPr>
            <w:noProof/>
            <w:webHidden/>
          </w:rPr>
          <w:fldChar w:fldCharType="begin"/>
        </w:r>
        <w:r>
          <w:rPr>
            <w:noProof/>
            <w:webHidden/>
          </w:rPr>
          <w:instrText xml:space="preserve"> PAGEREF _Toc512862473 \h </w:instrText>
        </w:r>
        <w:r>
          <w:rPr>
            <w:noProof/>
            <w:webHidden/>
          </w:rPr>
        </w:r>
        <w:r>
          <w:rPr>
            <w:noProof/>
            <w:webHidden/>
          </w:rPr>
          <w:fldChar w:fldCharType="separate"/>
        </w:r>
        <w:r>
          <w:rPr>
            <w:noProof/>
            <w:webHidden/>
          </w:rPr>
          <w:t>37</w:t>
        </w:r>
        <w:r>
          <w:rPr>
            <w:noProof/>
            <w:webHidden/>
          </w:rPr>
          <w:fldChar w:fldCharType="end"/>
        </w:r>
      </w:hyperlink>
    </w:p>
    <w:p w14:paraId="4E6C88FC" w14:textId="0926AAEA"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74" w:history="1">
        <w:r w:rsidRPr="00C77735">
          <w:rPr>
            <w:rStyle w:val="Hyperlink"/>
            <w:noProof/>
          </w:rPr>
          <w:t>5.1</w:t>
        </w:r>
        <w:r>
          <w:rPr>
            <w:rFonts w:asciiTheme="minorHAnsi" w:eastAsiaTheme="minorEastAsia" w:hAnsiTheme="minorHAnsi" w:cstheme="minorBidi"/>
            <w:noProof/>
            <w:kern w:val="0"/>
            <w:sz w:val="22"/>
            <w:szCs w:val="22"/>
          </w:rPr>
          <w:tab/>
        </w:r>
        <w:r w:rsidRPr="00C77735">
          <w:rPr>
            <w:rStyle w:val="Hyperlink"/>
            <w:noProof/>
          </w:rPr>
          <w:t>IMPACT: Seabed Disturbance</w:t>
        </w:r>
        <w:r>
          <w:rPr>
            <w:noProof/>
            <w:webHidden/>
          </w:rPr>
          <w:tab/>
        </w:r>
        <w:r>
          <w:rPr>
            <w:noProof/>
            <w:webHidden/>
          </w:rPr>
          <w:fldChar w:fldCharType="begin"/>
        </w:r>
        <w:r>
          <w:rPr>
            <w:noProof/>
            <w:webHidden/>
          </w:rPr>
          <w:instrText xml:space="preserve"> PAGEREF _Toc512862474 \h </w:instrText>
        </w:r>
        <w:r>
          <w:rPr>
            <w:noProof/>
            <w:webHidden/>
          </w:rPr>
        </w:r>
        <w:r>
          <w:rPr>
            <w:noProof/>
            <w:webHidden/>
          </w:rPr>
          <w:fldChar w:fldCharType="separate"/>
        </w:r>
        <w:r>
          <w:rPr>
            <w:noProof/>
            <w:webHidden/>
          </w:rPr>
          <w:t>39</w:t>
        </w:r>
        <w:r>
          <w:rPr>
            <w:noProof/>
            <w:webHidden/>
          </w:rPr>
          <w:fldChar w:fldCharType="end"/>
        </w:r>
      </w:hyperlink>
    </w:p>
    <w:p w14:paraId="34D00816" w14:textId="76491AD7"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75" w:history="1">
        <w:r w:rsidRPr="00C77735">
          <w:rPr>
            <w:rStyle w:val="Hyperlink"/>
            <w:noProof/>
          </w:rPr>
          <w:t>5.2</w:t>
        </w:r>
        <w:r>
          <w:rPr>
            <w:rFonts w:asciiTheme="minorHAnsi" w:eastAsiaTheme="minorEastAsia" w:hAnsiTheme="minorHAnsi" w:cstheme="minorBidi"/>
            <w:noProof/>
            <w:kern w:val="0"/>
            <w:sz w:val="22"/>
            <w:szCs w:val="22"/>
          </w:rPr>
          <w:tab/>
        </w:r>
        <w:r w:rsidRPr="00C77735">
          <w:rPr>
            <w:rStyle w:val="Hyperlink"/>
            <w:noProof/>
          </w:rPr>
          <w:t>IMPACT: Removal of Marine Growth from Subsea Infrastructure</w:t>
        </w:r>
        <w:r>
          <w:rPr>
            <w:noProof/>
            <w:webHidden/>
          </w:rPr>
          <w:tab/>
        </w:r>
        <w:r>
          <w:rPr>
            <w:noProof/>
            <w:webHidden/>
          </w:rPr>
          <w:fldChar w:fldCharType="begin"/>
        </w:r>
        <w:r>
          <w:rPr>
            <w:noProof/>
            <w:webHidden/>
          </w:rPr>
          <w:instrText xml:space="preserve"> PAGEREF _Toc512862475 \h </w:instrText>
        </w:r>
        <w:r>
          <w:rPr>
            <w:noProof/>
            <w:webHidden/>
          </w:rPr>
        </w:r>
        <w:r>
          <w:rPr>
            <w:noProof/>
            <w:webHidden/>
          </w:rPr>
          <w:fldChar w:fldCharType="separate"/>
        </w:r>
        <w:r>
          <w:rPr>
            <w:noProof/>
            <w:webHidden/>
          </w:rPr>
          <w:t>42</w:t>
        </w:r>
        <w:r>
          <w:rPr>
            <w:noProof/>
            <w:webHidden/>
          </w:rPr>
          <w:fldChar w:fldCharType="end"/>
        </w:r>
      </w:hyperlink>
    </w:p>
    <w:p w14:paraId="2BD2F3FC" w14:textId="3C6A45C3"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76" w:history="1">
        <w:r w:rsidRPr="00C77735">
          <w:rPr>
            <w:rStyle w:val="Hyperlink"/>
            <w:noProof/>
          </w:rPr>
          <w:t>5.3</w:t>
        </w:r>
        <w:r>
          <w:rPr>
            <w:rFonts w:asciiTheme="minorHAnsi" w:eastAsiaTheme="minorEastAsia" w:hAnsiTheme="minorHAnsi" w:cstheme="minorBidi"/>
            <w:noProof/>
            <w:kern w:val="0"/>
            <w:sz w:val="22"/>
            <w:szCs w:val="22"/>
          </w:rPr>
          <w:tab/>
        </w:r>
        <w:r w:rsidRPr="00C77735">
          <w:rPr>
            <w:rStyle w:val="Hyperlink"/>
            <w:noProof/>
          </w:rPr>
          <w:t>IMPACT: Underwater Sound Disturbance (Vessel &amp; Helicopter)</w:t>
        </w:r>
        <w:r>
          <w:rPr>
            <w:noProof/>
            <w:webHidden/>
          </w:rPr>
          <w:tab/>
        </w:r>
        <w:r>
          <w:rPr>
            <w:noProof/>
            <w:webHidden/>
          </w:rPr>
          <w:fldChar w:fldCharType="begin"/>
        </w:r>
        <w:r>
          <w:rPr>
            <w:noProof/>
            <w:webHidden/>
          </w:rPr>
          <w:instrText xml:space="preserve"> PAGEREF _Toc512862476 \h </w:instrText>
        </w:r>
        <w:r>
          <w:rPr>
            <w:noProof/>
            <w:webHidden/>
          </w:rPr>
        </w:r>
        <w:r>
          <w:rPr>
            <w:noProof/>
            <w:webHidden/>
          </w:rPr>
          <w:fldChar w:fldCharType="separate"/>
        </w:r>
        <w:r>
          <w:rPr>
            <w:noProof/>
            <w:webHidden/>
          </w:rPr>
          <w:t>44</w:t>
        </w:r>
        <w:r>
          <w:rPr>
            <w:noProof/>
            <w:webHidden/>
          </w:rPr>
          <w:fldChar w:fldCharType="end"/>
        </w:r>
      </w:hyperlink>
    </w:p>
    <w:p w14:paraId="56E6C2AB" w14:textId="5C864C9E"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77" w:history="1">
        <w:r w:rsidRPr="00C77735">
          <w:rPr>
            <w:rStyle w:val="Hyperlink"/>
            <w:noProof/>
          </w:rPr>
          <w:t>5.4</w:t>
        </w:r>
        <w:r>
          <w:rPr>
            <w:rFonts w:asciiTheme="minorHAnsi" w:eastAsiaTheme="minorEastAsia" w:hAnsiTheme="minorHAnsi" w:cstheme="minorBidi"/>
            <w:noProof/>
            <w:kern w:val="0"/>
            <w:sz w:val="22"/>
            <w:szCs w:val="22"/>
          </w:rPr>
          <w:tab/>
        </w:r>
        <w:r w:rsidRPr="00C77735">
          <w:rPr>
            <w:rStyle w:val="Hyperlink"/>
            <w:noProof/>
          </w:rPr>
          <w:t>IMPACT: Atmospheric Emissions (Vessels)</w:t>
        </w:r>
        <w:r>
          <w:rPr>
            <w:noProof/>
            <w:webHidden/>
          </w:rPr>
          <w:tab/>
        </w:r>
        <w:r>
          <w:rPr>
            <w:noProof/>
            <w:webHidden/>
          </w:rPr>
          <w:fldChar w:fldCharType="begin"/>
        </w:r>
        <w:r>
          <w:rPr>
            <w:noProof/>
            <w:webHidden/>
          </w:rPr>
          <w:instrText xml:space="preserve"> PAGEREF _Toc512862477 \h </w:instrText>
        </w:r>
        <w:r>
          <w:rPr>
            <w:noProof/>
            <w:webHidden/>
          </w:rPr>
        </w:r>
        <w:r>
          <w:rPr>
            <w:noProof/>
            <w:webHidden/>
          </w:rPr>
          <w:fldChar w:fldCharType="separate"/>
        </w:r>
        <w:r>
          <w:rPr>
            <w:noProof/>
            <w:webHidden/>
          </w:rPr>
          <w:t>48</w:t>
        </w:r>
        <w:r>
          <w:rPr>
            <w:noProof/>
            <w:webHidden/>
          </w:rPr>
          <w:fldChar w:fldCharType="end"/>
        </w:r>
      </w:hyperlink>
    </w:p>
    <w:p w14:paraId="6DC6F5D5" w14:textId="6E2D0C2D"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78" w:history="1">
        <w:r w:rsidRPr="00C77735">
          <w:rPr>
            <w:rStyle w:val="Hyperlink"/>
            <w:noProof/>
          </w:rPr>
          <w:t>5.5</w:t>
        </w:r>
        <w:r>
          <w:rPr>
            <w:rFonts w:asciiTheme="minorHAnsi" w:eastAsiaTheme="minorEastAsia" w:hAnsiTheme="minorHAnsi" w:cstheme="minorBidi"/>
            <w:noProof/>
            <w:kern w:val="0"/>
            <w:sz w:val="22"/>
            <w:szCs w:val="22"/>
          </w:rPr>
          <w:tab/>
        </w:r>
        <w:r w:rsidRPr="00C77735">
          <w:rPr>
            <w:rStyle w:val="Hyperlink"/>
            <w:noProof/>
          </w:rPr>
          <w:t>IMPACT: Light Emissions (Vessels)</w:t>
        </w:r>
        <w:r>
          <w:rPr>
            <w:noProof/>
            <w:webHidden/>
          </w:rPr>
          <w:tab/>
        </w:r>
        <w:r>
          <w:rPr>
            <w:noProof/>
            <w:webHidden/>
          </w:rPr>
          <w:fldChar w:fldCharType="begin"/>
        </w:r>
        <w:r>
          <w:rPr>
            <w:noProof/>
            <w:webHidden/>
          </w:rPr>
          <w:instrText xml:space="preserve"> PAGEREF _Toc512862478 \h </w:instrText>
        </w:r>
        <w:r>
          <w:rPr>
            <w:noProof/>
            <w:webHidden/>
          </w:rPr>
        </w:r>
        <w:r>
          <w:rPr>
            <w:noProof/>
            <w:webHidden/>
          </w:rPr>
          <w:fldChar w:fldCharType="separate"/>
        </w:r>
        <w:r>
          <w:rPr>
            <w:noProof/>
            <w:webHidden/>
          </w:rPr>
          <w:t>49</w:t>
        </w:r>
        <w:r>
          <w:rPr>
            <w:noProof/>
            <w:webHidden/>
          </w:rPr>
          <w:fldChar w:fldCharType="end"/>
        </w:r>
      </w:hyperlink>
    </w:p>
    <w:p w14:paraId="04D1D2CF" w14:textId="3F6AE163"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79" w:history="1">
        <w:r w:rsidRPr="00C77735">
          <w:rPr>
            <w:rStyle w:val="Hyperlink"/>
            <w:noProof/>
          </w:rPr>
          <w:t>5.6</w:t>
        </w:r>
        <w:r>
          <w:rPr>
            <w:rFonts w:asciiTheme="minorHAnsi" w:eastAsiaTheme="minorEastAsia" w:hAnsiTheme="minorHAnsi" w:cstheme="minorBidi"/>
            <w:noProof/>
            <w:kern w:val="0"/>
            <w:sz w:val="22"/>
            <w:szCs w:val="22"/>
          </w:rPr>
          <w:tab/>
        </w:r>
        <w:r w:rsidRPr="00C77735">
          <w:rPr>
            <w:rStyle w:val="Hyperlink"/>
            <w:noProof/>
          </w:rPr>
          <w:t>IMPACT: Treated Sewage and Grey Water Discharges (Vessels)</w:t>
        </w:r>
        <w:r>
          <w:rPr>
            <w:noProof/>
            <w:webHidden/>
          </w:rPr>
          <w:tab/>
        </w:r>
        <w:r>
          <w:rPr>
            <w:noProof/>
            <w:webHidden/>
          </w:rPr>
          <w:fldChar w:fldCharType="begin"/>
        </w:r>
        <w:r>
          <w:rPr>
            <w:noProof/>
            <w:webHidden/>
          </w:rPr>
          <w:instrText xml:space="preserve"> PAGEREF _Toc512862479 \h </w:instrText>
        </w:r>
        <w:r>
          <w:rPr>
            <w:noProof/>
            <w:webHidden/>
          </w:rPr>
        </w:r>
        <w:r>
          <w:rPr>
            <w:noProof/>
            <w:webHidden/>
          </w:rPr>
          <w:fldChar w:fldCharType="separate"/>
        </w:r>
        <w:r>
          <w:rPr>
            <w:noProof/>
            <w:webHidden/>
          </w:rPr>
          <w:t>51</w:t>
        </w:r>
        <w:r>
          <w:rPr>
            <w:noProof/>
            <w:webHidden/>
          </w:rPr>
          <w:fldChar w:fldCharType="end"/>
        </w:r>
      </w:hyperlink>
    </w:p>
    <w:p w14:paraId="00910E5E" w14:textId="08D26800"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80" w:history="1">
        <w:r w:rsidRPr="00C77735">
          <w:rPr>
            <w:rStyle w:val="Hyperlink"/>
            <w:noProof/>
          </w:rPr>
          <w:t>5.7</w:t>
        </w:r>
        <w:r>
          <w:rPr>
            <w:rFonts w:asciiTheme="minorHAnsi" w:eastAsiaTheme="minorEastAsia" w:hAnsiTheme="minorHAnsi" w:cstheme="minorBidi"/>
            <w:noProof/>
            <w:kern w:val="0"/>
            <w:sz w:val="22"/>
            <w:szCs w:val="22"/>
          </w:rPr>
          <w:tab/>
        </w:r>
        <w:r w:rsidRPr="00C77735">
          <w:rPr>
            <w:rStyle w:val="Hyperlink"/>
            <w:noProof/>
          </w:rPr>
          <w:t>IMPACT: Cooling Water and Brine Discharges (Vessels)</w:t>
        </w:r>
        <w:r>
          <w:rPr>
            <w:noProof/>
            <w:webHidden/>
          </w:rPr>
          <w:tab/>
        </w:r>
        <w:r>
          <w:rPr>
            <w:noProof/>
            <w:webHidden/>
          </w:rPr>
          <w:fldChar w:fldCharType="begin"/>
        </w:r>
        <w:r>
          <w:rPr>
            <w:noProof/>
            <w:webHidden/>
          </w:rPr>
          <w:instrText xml:space="preserve"> PAGEREF _Toc512862480 \h </w:instrText>
        </w:r>
        <w:r>
          <w:rPr>
            <w:noProof/>
            <w:webHidden/>
          </w:rPr>
        </w:r>
        <w:r>
          <w:rPr>
            <w:noProof/>
            <w:webHidden/>
          </w:rPr>
          <w:fldChar w:fldCharType="separate"/>
        </w:r>
        <w:r>
          <w:rPr>
            <w:noProof/>
            <w:webHidden/>
          </w:rPr>
          <w:t>53</w:t>
        </w:r>
        <w:r>
          <w:rPr>
            <w:noProof/>
            <w:webHidden/>
          </w:rPr>
          <w:fldChar w:fldCharType="end"/>
        </w:r>
      </w:hyperlink>
    </w:p>
    <w:p w14:paraId="57E0E458" w14:textId="78C77C16"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81" w:history="1">
        <w:r w:rsidRPr="00C77735">
          <w:rPr>
            <w:rStyle w:val="Hyperlink"/>
            <w:noProof/>
          </w:rPr>
          <w:t>5.8</w:t>
        </w:r>
        <w:r>
          <w:rPr>
            <w:rFonts w:asciiTheme="minorHAnsi" w:eastAsiaTheme="minorEastAsia" w:hAnsiTheme="minorHAnsi" w:cstheme="minorBidi"/>
            <w:noProof/>
            <w:kern w:val="0"/>
            <w:sz w:val="22"/>
            <w:szCs w:val="22"/>
          </w:rPr>
          <w:tab/>
        </w:r>
        <w:r w:rsidRPr="00C77735">
          <w:rPr>
            <w:rStyle w:val="Hyperlink"/>
            <w:noProof/>
          </w:rPr>
          <w:t>IMPACT: Putrescible Waste Discharges (Vessels)</w:t>
        </w:r>
        <w:r>
          <w:rPr>
            <w:noProof/>
            <w:webHidden/>
          </w:rPr>
          <w:tab/>
        </w:r>
        <w:r>
          <w:rPr>
            <w:noProof/>
            <w:webHidden/>
          </w:rPr>
          <w:fldChar w:fldCharType="begin"/>
        </w:r>
        <w:r>
          <w:rPr>
            <w:noProof/>
            <w:webHidden/>
          </w:rPr>
          <w:instrText xml:space="preserve"> PAGEREF _Toc512862481 \h </w:instrText>
        </w:r>
        <w:r>
          <w:rPr>
            <w:noProof/>
            <w:webHidden/>
          </w:rPr>
        </w:r>
        <w:r>
          <w:rPr>
            <w:noProof/>
            <w:webHidden/>
          </w:rPr>
          <w:fldChar w:fldCharType="separate"/>
        </w:r>
        <w:r>
          <w:rPr>
            <w:noProof/>
            <w:webHidden/>
          </w:rPr>
          <w:t>55</w:t>
        </w:r>
        <w:r>
          <w:rPr>
            <w:noProof/>
            <w:webHidden/>
          </w:rPr>
          <w:fldChar w:fldCharType="end"/>
        </w:r>
      </w:hyperlink>
    </w:p>
    <w:p w14:paraId="69A4E6A6" w14:textId="6564EC33"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82" w:history="1">
        <w:r w:rsidRPr="00C77735">
          <w:rPr>
            <w:rStyle w:val="Hyperlink"/>
            <w:noProof/>
          </w:rPr>
          <w:t>5.9</w:t>
        </w:r>
        <w:r>
          <w:rPr>
            <w:rFonts w:asciiTheme="minorHAnsi" w:eastAsiaTheme="minorEastAsia" w:hAnsiTheme="minorHAnsi" w:cstheme="minorBidi"/>
            <w:noProof/>
            <w:kern w:val="0"/>
            <w:sz w:val="22"/>
            <w:szCs w:val="22"/>
          </w:rPr>
          <w:tab/>
        </w:r>
        <w:r w:rsidRPr="00C77735">
          <w:rPr>
            <w:rStyle w:val="Hyperlink"/>
            <w:noProof/>
          </w:rPr>
          <w:t>IMPACT: Bilge Water Discharges (Vessels)</w:t>
        </w:r>
        <w:r>
          <w:rPr>
            <w:noProof/>
            <w:webHidden/>
          </w:rPr>
          <w:tab/>
        </w:r>
        <w:r>
          <w:rPr>
            <w:noProof/>
            <w:webHidden/>
          </w:rPr>
          <w:fldChar w:fldCharType="begin"/>
        </w:r>
        <w:r>
          <w:rPr>
            <w:noProof/>
            <w:webHidden/>
          </w:rPr>
          <w:instrText xml:space="preserve"> PAGEREF _Toc512862482 \h </w:instrText>
        </w:r>
        <w:r>
          <w:rPr>
            <w:noProof/>
            <w:webHidden/>
          </w:rPr>
        </w:r>
        <w:r>
          <w:rPr>
            <w:noProof/>
            <w:webHidden/>
          </w:rPr>
          <w:fldChar w:fldCharType="separate"/>
        </w:r>
        <w:r>
          <w:rPr>
            <w:noProof/>
            <w:webHidden/>
          </w:rPr>
          <w:t>56</w:t>
        </w:r>
        <w:r>
          <w:rPr>
            <w:noProof/>
            <w:webHidden/>
          </w:rPr>
          <w:fldChar w:fldCharType="end"/>
        </w:r>
      </w:hyperlink>
    </w:p>
    <w:p w14:paraId="76315C12" w14:textId="7A034EAF"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83" w:history="1">
        <w:r w:rsidRPr="00C77735">
          <w:rPr>
            <w:rStyle w:val="Hyperlink"/>
            <w:noProof/>
          </w:rPr>
          <w:t>5.10</w:t>
        </w:r>
        <w:r>
          <w:rPr>
            <w:rFonts w:asciiTheme="minorHAnsi" w:eastAsiaTheme="minorEastAsia" w:hAnsiTheme="minorHAnsi" w:cstheme="minorBidi"/>
            <w:noProof/>
            <w:kern w:val="0"/>
            <w:sz w:val="22"/>
            <w:szCs w:val="22"/>
          </w:rPr>
          <w:tab/>
        </w:r>
        <w:r w:rsidRPr="00C77735">
          <w:rPr>
            <w:rStyle w:val="Hyperlink"/>
            <w:noProof/>
          </w:rPr>
          <w:t>RISK: Discharge of Contaminated Deck Drainage (Vessels)</w:t>
        </w:r>
        <w:r>
          <w:rPr>
            <w:noProof/>
            <w:webHidden/>
          </w:rPr>
          <w:tab/>
        </w:r>
        <w:r>
          <w:rPr>
            <w:noProof/>
            <w:webHidden/>
          </w:rPr>
          <w:fldChar w:fldCharType="begin"/>
        </w:r>
        <w:r>
          <w:rPr>
            <w:noProof/>
            <w:webHidden/>
          </w:rPr>
          <w:instrText xml:space="preserve"> PAGEREF _Toc512862483 \h </w:instrText>
        </w:r>
        <w:r>
          <w:rPr>
            <w:noProof/>
            <w:webHidden/>
          </w:rPr>
        </w:r>
        <w:r>
          <w:rPr>
            <w:noProof/>
            <w:webHidden/>
          </w:rPr>
          <w:fldChar w:fldCharType="separate"/>
        </w:r>
        <w:r>
          <w:rPr>
            <w:noProof/>
            <w:webHidden/>
          </w:rPr>
          <w:t>57</w:t>
        </w:r>
        <w:r>
          <w:rPr>
            <w:noProof/>
            <w:webHidden/>
          </w:rPr>
          <w:fldChar w:fldCharType="end"/>
        </w:r>
      </w:hyperlink>
    </w:p>
    <w:p w14:paraId="5EA622B6" w14:textId="532DCA15"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84" w:history="1">
        <w:r w:rsidRPr="00C77735">
          <w:rPr>
            <w:rStyle w:val="Hyperlink"/>
            <w:noProof/>
          </w:rPr>
          <w:t>5.11</w:t>
        </w:r>
        <w:r>
          <w:rPr>
            <w:rFonts w:asciiTheme="minorHAnsi" w:eastAsiaTheme="minorEastAsia" w:hAnsiTheme="minorHAnsi" w:cstheme="minorBidi"/>
            <w:noProof/>
            <w:kern w:val="0"/>
            <w:sz w:val="22"/>
            <w:szCs w:val="22"/>
          </w:rPr>
          <w:tab/>
        </w:r>
        <w:r w:rsidRPr="00C77735">
          <w:rPr>
            <w:rStyle w:val="Hyperlink"/>
            <w:noProof/>
          </w:rPr>
          <w:t>RISK: Production Chemical Release</w:t>
        </w:r>
        <w:r>
          <w:rPr>
            <w:noProof/>
            <w:webHidden/>
          </w:rPr>
          <w:tab/>
        </w:r>
        <w:r>
          <w:rPr>
            <w:noProof/>
            <w:webHidden/>
          </w:rPr>
          <w:fldChar w:fldCharType="begin"/>
        </w:r>
        <w:r>
          <w:rPr>
            <w:noProof/>
            <w:webHidden/>
          </w:rPr>
          <w:instrText xml:space="preserve"> PAGEREF _Toc512862484 \h </w:instrText>
        </w:r>
        <w:r>
          <w:rPr>
            <w:noProof/>
            <w:webHidden/>
          </w:rPr>
        </w:r>
        <w:r>
          <w:rPr>
            <w:noProof/>
            <w:webHidden/>
          </w:rPr>
          <w:fldChar w:fldCharType="separate"/>
        </w:r>
        <w:r>
          <w:rPr>
            <w:noProof/>
            <w:webHidden/>
          </w:rPr>
          <w:t>59</w:t>
        </w:r>
        <w:r>
          <w:rPr>
            <w:noProof/>
            <w:webHidden/>
          </w:rPr>
          <w:fldChar w:fldCharType="end"/>
        </w:r>
      </w:hyperlink>
    </w:p>
    <w:p w14:paraId="268E89D8" w14:textId="6A85D42B"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85" w:history="1">
        <w:r w:rsidRPr="00C77735">
          <w:rPr>
            <w:rStyle w:val="Hyperlink"/>
            <w:noProof/>
          </w:rPr>
          <w:t>5.12</w:t>
        </w:r>
        <w:r>
          <w:rPr>
            <w:rFonts w:asciiTheme="minorHAnsi" w:eastAsiaTheme="minorEastAsia" w:hAnsiTheme="minorHAnsi" w:cstheme="minorBidi"/>
            <w:noProof/>
            <w:kern w:val="0"/>
            <w:sz w:val="22"/>
            <w:szCs w:val="22"/>
          </w:rPr>
          <w:tab/>
        </w:r>
        <w:r w:rsidRPr="00C77735">
          <w:rPr>
            <w:rStyle w:val="Hyperlink"/>
            <w:noProof/>
          </w:rPr>
          <w:t>RISK: Displacement of Third-Party Vessels</w:t>
        </w:r>
        <w:r>
          <w:rPr>
            <w:noProof/>
            <w:webHidden/>
          </w:rPr>
          <w:tab/>
        </w:r>
        <w:r>
          <w:rPr>
            <w:noProof/>
            <w:webHidden/>
          </w:rPr>
          <w:fldChar w:fldCharType="begin"/>
        </w:r>
        <w:r>
          <w:rPr>
            <w:noProof/>
            <w:webHidden/>
          </w:rPr>
          <w:instrText xml:space="preserve"> PAGEREF _Toc512862485 \h </w:instrText>
        </w:r>
        <w:r>
          <w:rPr>
            <w:noProof/>
            <w:webHidden/>
          </w:rPr>
        </w:r>
        <w:r>
          <w:rPr>
            <w:noProof/>
            <w:webHidden/>
          </w:rPr>
          <w:fldChar w:fldCharType="separate"/>
        </w:r>
        <w:r>
          <w:rPr>
            <w:noProof/>
            <w:webHidden/>
          </w:rPr>
          <w:t>60</w:t>
        </w:r>
        <w:r>
          <w:rPr>
            <w:noProof/>
            <w:webHidden/>
          </w:rPr>
          <w:fldChar w:fldCharType="end"/>
        </w:r>
      </w:hyperlink>
    </w:p>
    <w:p w14:paraId="454AE242" w14:textId="5341600B"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86" w:history="1">
        <w:r w:rsidRPr="00C77735">
          <w:rPr>
            <w:rStyle w:val="Hyperlink"/>
            <w:noProof/>
          </w:rPr>
          <w:t>5.13</w:t>
        </w:r>
        <w:r>
          <w:rPr>
            <w:rFonts w:asciiTheme="minorHAnsi" w:eastAsiaTheme="minorEastAsia" w:hAnsiTheme="minorHAnsi" w:cstheme="minorBidi"/>
            <w:noProof/>
            <w:kern w:val="0"/>
            <w:sz w:val="22"/>
            <w:szCs w:val="22"/>
          </w:rPr>
          <w:tab/>
        </w:r>
        <w:r w:rsidRPr="00C77735">
          <w:rPr>
            <w:rStyle w:val="Hyperlink"/>
            <w:noProof/>
          </w:rPr>
          <w:t>RISK: Introduction of Invasive Marine Species</w:t>
        </w:r>
        <w:r>
          <w:rPr>
            <w:noProof/>
            <w:webHidden/>
          </w:rPr>
          <w:tab/>
        </w:r>
        <w:r>
          <w:rPr>
            <w:noProof/>
            <w:webHidden/>
          </w:rPr>
          <w:fldChar w:fldCharType="begin"/>
        </w:r>
        <w:r>
          <w:rPr>
            <w:noProof/>
            <w:webHidden/>
          </w:rPr>
          <w:instrText xml:space="preserve"> PAGEREF _Toc512862486 \h </w:instrText>
        </w:r>
        <w:r>
          <w:rPr>
            <w:noProof/>
            <w:webHidden/>
          </w:rPr>
        </w:r>
        <w:r>
          <w:rPr>
            <w:noProof/>
            <w:webHidden/>
          </w:rPr>
          <w:fldChar w:fldCharType="separate"/>
        </w:r>
        <w:r>
          <w:rPr>
            <w:noProof/>
            <w:webHidden/>
          </w:rPr>
          <w:t>62</w:t>
        </w:r>
        <w:r>
          <w:rPr>
            <w:noProof/>
            <w:webHidden/>
          </w:rPr>
          <w:fldChar w:fldCharType="end"/>
        </w:r>
      </w:hyperlink>
    </w:p>
    <w:p w14:paraId="64D6E00E" w14:textId="2CEB5DC5"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87" w:history="1">
        <w:r w:rsidRPr="00C77735">
          <w:rPr>
            <w:rStyle w:val="Hyperlink"/>
            <w:noProof/>
          </w:rPr>
          <w:t>5.14</w:t>
        </w:r>
        <w:r>
          <w:rPr>
            <w:rFonts w:asciiTheme="minorHAnsi" w:eastAsiaTheme="minorEastAsia" w:hAnsiTheme="minorHAnsi" w:cstheme="minorBidi"/>
            <w:noProof/>
            <w:kern w:val="0"/>
            <w:sz w:val="22"/>
            <w:szCs w:val="22"/>
          </w:rPr>
          <w:tab/>
        </w:r>
        <w:r w:rsidRPr="00C77735">
          <w:rPr>
            <w:rStyle w:val="Hyperlink"/>
            <w:noProof/>
          </w:rPr>
          <w:t>RISK: Vessel Strike with Megafauna</w:t>
        </w:r>
        <w:r>
          <w:rPr>
            <w:noProof/>
            <w:webHidden/>
          </w:rPr>
          <w:tab/>
        </w:r>
        <w:r>
          <w:rPr>
            <w:noProof/>
            <w:webHidden/>
          </w:rPr>
          <w:fldChar w:fldCharType="begin"/>
        </w:r>
        <w:r>
          <w:rPr>
            <w:noProof/>
            <w:webHidden/>
          </w:rPr>
          <w:instrText xml:space="preserve"> PAGEREF _Toc512862487 \h </w:instrText>
        </w:r>
        <w:r>
          <w:rPr>
            <w:noProof/>
            <w:webHidden/>
          </w:rPr>
        </w:r>
        <w:r>
          <w:rPr>
            <w:noProof/>
            <w:webHidden/>
          </w:rPr>
          <w:fldChar w:fldCharType="separate"/>
        </w:r>
        <w:r>
          <w:rPr>
            <w:noProof/>
            <w:webHidden/>
          </w:rPr>
          <w:t>64</w:t>
        </w:r>
        <w:r>
          <w:rPr>
            <w:noProof/>
            <w:webHidden/>
          </w:rPr>
          <w:fldChar w:fldCharType="end"/>
        </w:r>
      </w:hyperlink>
    </w:p>
    <w:p w14:paraId="225E7060" w14:textId="64CE98C4"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88" w:history="1">
        <w:r w:rsidRPr="00C77735">
          <w:rPr>
            <w:rStyle w:val="Hyperlink"/>
            <w:noProof/>
          </w:rPr>
          <w:t>5.15</w:t>
        </w:r>
        <w:r>
          <w:rPr>
            <w:rFonts w:asciiTheme="minorHAnsi" w:eastAsiaTheme="minorEastAsia" w:hAnsiTheme="minorHAnsi" w:cstheme="minorBidi"/>
            <w:noProof/>
            <w:kern w:val="0"/>
            <w:sz w:val="22"/>
            <w:szCs w:val="22"/>
          </w:rPr>
          <w:tab/>
        </w:r>
        <w:r w:rsidRPr="00C77735">
          <w:rPr>
            <w:rStyle w:val="Hyperlink"/>
            <w:noProof/>
          </w:rPr>
          <w:t>RISK: Accidental Release of Waste Overboard</w:t>
        </w:r>
        <w:r>
          <w:rPr>
            <w:noProof/>
            <w:webHidden/>
          </w:rPr>
          <w:tab/>
        </w:r>
        <w:r>
          <w:rPr>
            <w:noProof/>
            <w:webHidden/>
          </w:rPr>
          <w:fldChar w:fldCharType="begin"/>
        </w:r>
        <w:r>
          <w:rPr>
            <w:noProof/>
            <w:webHidden/>
          </w:rPr>
          <w:instrText xml:space="preserve"> PAGEREF _Toc512862488 \h </w:instrText>
        </w:r>
        <w:r>
          <w:rPr>
            <w:noProof/>
            <w:webHidden/>
          </w:rPr>
        </w:r>
        <w:r>
          <w:rPr>
            <w:noProof/>
            <w:webHidden/>
          </w:rPr>
          <w:fldChar w:fldCharType="separate"/>
        </w:r>
        <w:r>
          <w:rPr>
            <w:noProof/>
            <w:webHidden/>
          </w:rPr>
          <w:t>66</w:t>
        </w:r>
        <w:r>
          <w:rPr>
            <w:noProof/>
            <w:webHidden/>
          </w:rPr>
          <w:fldChar w:fldCharType="end"/>
        </w:r>
      </w:hyperlink>
    </w:p>
    <w:p w14:paraId="1C09CCF2" w14:textId="3C33A15D"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89" w:history="1">
        <w:r w:rsidRPr="00C77735">
          <w:rPr>
            <w:rStyle w:val="Hyperlink"/>
            <w:noProof/>
          </w:rPr>
          <w:t>5.16</w:t>
        </w:r>
        <w:r>
          <w:rPr>
            <w:rFonts w:asciiTheme="minorHAnsi" w:eastAsiaTheme="minorEastAsia" w:hAnsiTheme="minorHAnsi" w:cstheme="minorBidi"/>
            <w:noProof/>
            <w:kern w:val="0"/>
            <w:sz w:val="22"/>
            <w:szCs w:val="22"/>
          </w:rPr>
          <w:tab/>
        </w:r>
        <w:r w:rsidRPr="00C77735">
          <w:rPr>
            <w:rStyle w:val="Hyperlink"/>
            <w:noProof/>
          </w:rPr>
          <w:t>RISK: Equipment Loss to the Marine Environment</w:t>
        </w:r>
        <w:r>
          <w:rPr>
            <w:noProof/>
            <w:webHidden/>
          </w:rPr>
          <w:tab/>
        </w:r>
        <w:r>
          <w:rPr>
            <w:noProof/>
            <w:webHidden/>
          </w:rPr>
          <w:fldChar w:fldCharType="begin"/>
        </w:r>
        <w:r>
          <w:rPr>
            <w:noProof/>
            <w:webHidden/>
          </w:rPr>
          <w:instrText xml:space="preserve"> PAGEREF _Toc512862489 \h </w:instrText>
        </w:r>
        <w:r>
          <w:rPr>
            <w:noProof/>
            <w:webHidden/>
          </w:rPr>
        </w:r>
        <w:r>
          <w:rPr>
            <w:noProof/>
            <w:webHidden/>
          </w:rPr>
          <w:fldChar w:fldCharType="separate"/>
        </w:r>
        <w:r>
          <w:rPr>
            <w:noProof/>
            <w:webHidden/>
          </w:rPr>
          <w:t>68</w:t>
        </w:r>
        <w:r>
          <w:rPr>
            <w:noProof/>
            <w:webHidden/>
          </w:rPr>
          <w:fldChar w:fldCharType="end"/>
        </w:r>
      </w:hyperlink>
    </w:p>
    <w:p w14:paraId="3F0830FD" w14:textId="0C56BC12"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90" w:history="1">
        <w:r w:rsidRPr="00C77735">
          <w:rPr>
            <w:rStyle w:val="Hyperlink"/>
            <w:noProof/>
          </w:rPr>
          <w:t>5.17</w:t>
        </w:r>
        <w:r>
          <w:rPr>
            <w:rFonts w:asciiTheme="minorHAnsi" w:eastAsiaTheme="minorEastAsia" w:hAnsiTheme="minorHAnsi" w:cstheme="minorBidi"/>
            <w:noProof/>
            <w:kern w:val="0"/>
            <w:sz w:val="22"/>
            <w:szCs w:val="22"/>
          </w:rPr>
          <w:tab/>
        </w:r>
        <w:r w:rsidRPr="00C77735">
          <w:rPr>
            <w:rStyle w:val="Hyperlink"/>
            <w:noProof/>
          </w:rPr>
          <w:t>RISK: Gas Condensate Loss of Containment</w:t>
        </w:r>
        <w:r>
          <w:rPr>
            <w:noProof/>
            <w:webHidden/>
          </w:rPr>
          <w:tab/>
        </w:r>
        <w:r>
          <w:rPr>
            <w:noProof/>
            <w:webHidden/>
          </w:rPr>
          <w:fldChar w:fldCharType="begin"/>
        </w:r>
        <w:r>
          <w:rPr>
            <w:noProof/>
            <w:webHidden/>
          </w:rPr>
          <w:instrText xml:space="preserve"> PAGEREF _Toc512862490 \h </w:instrText>
        </w:r>
        <w:r>
          <w:rPr>
            <w:noProof/>
            <w:webHidden/>
          </w:rPr>
        </w:r>
        <w:r>
          <w:rPr>
            <w:noProof/>
            <w:webHidden/>
          </w:rPr>
          <w:fldChar w:fldCharType="separate"/>
        </w:r>
        <w:r>
          <w:rPr>
            <w:noProof/>
            <w:webHidden/>
          </w:rPr>
          <w:t>69</w:t>
        </w:r>
        <w:r>
          <w:rPr>
            <w:noProof/>
            <w:webHidden/>
          </w:rPr>
          <w:fldChar w:fldCharType="end"/>
        </w:r>
      </w:hyperlink>
    </w:p>
    <w:p w14:paraId="384C21EB" w14:textId="5762A8B2"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91" w:history="1">
        <w:r w:rsidRPr="00C77735">
          <w:rPr>
            <w:rStyle w:val="Hyperlink"/>
            <w:noProof/>
          </w:rPr>
          <w:t>5.18</w:t>
        </w:r>
        <w:r>
          <w:rPr>
            <w:rFonts w:asciiTheme="minorHAnsi" w:eastAsiaTheme="minorEastAsia" w:hAnsiTheme="minorHAnsi" w:cstheme="minorBidi"/>
            <w:noProof/>
            <w:kern w:val="0"/>
            <w:sz w:val="22"/>
            <w:szCs w:val="22"/>
          </w:rPr>
          <w:tab/>
        </w:r>
        <w:r w:rsidRPr="00C77735">
          <w:rPr>
            <w:rStyle w:val="Hyperlink"/>
            <w:noProof/>
          </w:rPr>
          <w:t>RISK: Diesel Spill (Vessel)</w:t>
        </w:r>
        <w:r>
          <w:rPr>
            <w:noProof/>
            <w:webHidden/>
          </w:rPr>
          <w:tab/>
        </w:r>
        <w:r>
          <w:rPr>
            <w:noProof/>
            <w:webHidden/>
          </w:rPr>
          <w:fldChar w:fldCharType="begin"/>
        </w:r>
        <w:r>
          <w:rPr>
            <w:noProof/>
            <w:webHidden/>
          </w:rPr>
          <w:instrText xml:space="preserve"> PAGEREF _Toc512862491 \h </w:instrText>
        </w:r>
        <w:r>
          <w:rPr>
            <w:noProof/>
            <w:webHidden/>
          </w:rPr>
        </w:r>
        <w:r>
          <w:rPr>
            <w:noProof/>
            <w:webHidden/>
          </w:rPr>
          <w:fldChar w:fldCharType="separate"/>
        </w:r>
        <w:r>
          <w:rPr>
            <w:noProof/>
            <w:webHidden/>
          </w:rPr>
          <w:t>91</w:t>
        </w:r>
        <w:r>
          <w:rPr>
            <w:noProof/>
            <w:webHidden/>
          </w:rPr>
          <w:fldChar w:fldCharType="end"/>
        </w:r>
      </w:hyperlink>
    </w:p>
    <w:p w14:paraId="5BBDFD33" w14:textId="12E6A6D5" w:rsidR="003B3E7F" w:rsidRDefault="003B3E7F" w:rsidP="003B3E7F">
      <w:pPr>
        <w:pStyle w:val="TOC1"/>
        <w:outlineLvl w:val="9"/>
        <w:rPr>
          <w:rFonts w:asciiTheme="minorHAnsi" w:eastAsiaTheme="minorEastAsia" w:hAnsiTheme="minorHAnsi" w:cstheme="minorBidi"/>
          <w:b w:val="0"/>
          <w:noProof/>
          <w:kern w:val="0"/>
          <w:sz w:val="22"/>
          <w:szCs w:val="22"/>
        </w:rPr>
      </w:pPr>
      <w:hyperlink w:anchor="_Toc512862492" w:history="1">
        <w:r w:rsidRPr="00C77735">
          <w:rPr>
            <w:rStyle w:val="Hyperlink"/>
            <w:noProof/>
          </w:rPr>
          <w:t>6</w:t>
        </w:r>
        <w:r>
          <w:rPr>
            <w:rFonts w:asciiTheme="minorHAnsi" w:eastAsiaTheme="minorEastAsia" w:hAnsiTheme="minorHAnsi" w:cstheme="minorBidi"/>
            <w:b w:val="0"/>
            <w:noProof/>
            <w:kern w:val="0"/>
            <w:sz w:val="22"/>
            <w:szCs w:val="22"/>
          </w:rPr>
          <w:tab/>
        </w:r>
        <w:r w:rsidRPr="00C77735">
          <w:rPr>
            <w:rStyle w:val="Hyperlink"/>
            <w:noProof/>
          </w:rPr>
          <w:t>Environmental Performance Monitoring</w:t>
        </w:r>
        <w:r>
          <w:rPr>
            <w:noProof/>
            <w:webHidden/>
          </w:rPr>
          <w:tab/>
        </w:r>
        <w:r>
          <w:rPr>
            <w:noProof/>
            <w:webHidden/>
          </w:rPr>
          <w:fldChar w:fldCharType="begin"/>
        </w:r>
        <w:r>
          <w:rPr>
            <w:noProof/>
            <w:webHidden/>
          </w:rPr>
          <w:instrText xml:space="preserve"> PAGEREF _Toc512862492 \h </w:instrText>
        </w:r>
        <w:r>
          <w:rPr>
            <w:noProof/>
            <w:webHidden/>
          </w:rPr>
        </w:r>
        <w:r>
          <w:rPr>
            <w:noProof/>
            <w:webHidden/>
          </w:rPr>
          <w:fldChar w:fldCharType="separate"/>
        </w:r>
        <w:r>
          <w:rPr>
            <w:noProof/>
            <w:webHidden/>
          </w:rPr>
          <w:t>109</w:t>
        </w:r>
        <w:r>
          <w:rPr>
            <w:noProof/>
            <w:webHidden/>
          </w:rPr>
          <w:fldChar w:fldCharType="end"/>
        </w:r>
      </w:hyperlink>
    </w:p>
    <w:p w14:paraId="22A77CA6" w14:textId="4A1FBF83"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93" w:history="1">
        <w:r w:rsidRPr="00C77735">
          <w:rPr>
            <w:rStyle w:val="Hyperlink"/>
            <w:noProof/>
          </w:rPr>
          <w:t>6.5</w:t>
        </w:r>
        <w:r>
          <w:rPr>
            <w:rFonts w:asciiTheme="minorHAnsi" w:eastAsiaTheme="minorEastAsia" w:hAnsiTheme="minorHAnsi" w:cstheme="minorBidi"/>
            <w:noProof/>
            <w:kern w:val="0"/>
            <w:sz w:val="22"/>
            <w:szCs w:val="22"/>
          </w:rPr>
          <w:tab/>
        </w:r>
        <w:r w:rsidRPr="00C77735">
          <w:rPr>
            <w:rStyle w:val="Hyperlink"/>
            <w:noProof/>
          </w:rPr>
          <w:t>Implementation</w:t>
        </w:r>
        <w:r>
          <w:rPr>
            <w:noProof/>
            <w:webHidden/>
          </w:rPr>
          <w:tab/>
        </w:r>
        <w:r>
          <w:rPr>
            <w:noProof/>
            <w:webHidden/>
          </w:rPr>
          <w:fldChar w:fldCharType="begin"/>
        </w:r>
        <w:r>
          <w:rPr>
            <w:noProof/>
            <w:webHidden/>
          </w:rPr>
          <w:instrText xml:space="preserve"> PAGEREF _Toc512862493 \h </w:instrText>
        </w:r>
        <w:r>
          <w:rPr>
            <w:noProof/>
            <w:webHidden/>
          </w:rPr>
        </w:r>
        <w:r>
          <w:rPr>
            <w:noProof/>
            <w:webHidden/>
          </w:rPr>
          <w:fldChar w:fldCharType="separate"/>
        </w:r>
        <w:r>
          <w:rPr>
            <w:noProof/>
            <w:webHidden/>
          </w:rPr>
          <w:t>109</w:t>
        </w:r>
        <w:r>
          <w:rPr>
            <w:noProof/>
            <w:webHidden/>
          </w:rPr>
          <w:fldChar w:fldCharType="end"/>
        </w:r>
      </w:hyperlink>
    </w:p>
    <w:p w14:paraId="0E65AE18" w14:textId="345CD283"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94" w:history="1">
        <w:r w:rsidRPr="00C77735">
          <w:rPr>
            <w:rStyle w:val="Hyperlink"/>
            <w:noProof/>
          </w:rPr>
          <w:t>6.6</w:t>
        </w:r>
        <w:r>
          <w:rPr>
            <w:rFonts w:asciiTheme="minorHAnsi" w:eastAsiaTheme="minorEastAsia" w:hAnsiTheme="minorHAnsi" w:cstheme="minorBidi"/>
            <w:noProof/>
            <w:kern w:val="0"/>
            <w:sz w:val="22"/>
            <w:szCs w:val="22"/>
          </w:rPr>
          <w:tab/>
        </w:r>
        <w:r w:rsidRPr="00C77735">
          <w:rPr>
            <w:rStyle w:val="Hyperlink"/>
            <w:noProof/>
          </w:rPr>
          <w:t>Ongoing Monitoring of Environmental Performance</w:t>
        </w:r>
        <w:r>
          <w:rPr>
            <w:noProof/>
            <w:webHidden/>
          </w:rPr>
          <w:tab/>
        </w:r>
        <w:r>
          <w:rPr>
            <w:noProof/>
            <w:webHidden/>
          </w:rPr>
          <w:fldChar w:fldCharType="begin"/>
        </w:r>
        <w:r>
          <w:rPr>
            <w:noProof/>
            <w:webHidden/>
          </w:rPr>
          <w:instrText xml:space="preserve"> PAGEREF _Toc512862494 \h </w:instrText>
        </w:r>
        <w:r>
          <w:rPr>
            <w:noProof/>
            <w:webHidden/>
          </w:rPr>
        </w:r>
        <w:r>
          <w:rPr>
            <w:noProof/>
            <w:webHidden/>
          </w:rPr>
          <w:fldChar w:fldCharType="separate"/>
        </w:r>
        <w:r>
          <w:rPr>
            <w:noProof/>
            <w:webHidden/>
          </w:rPr>
          <w:t>109</w:t>
        </w:r>
        <w:r>
          <w:rPr>
            <w:noProof/>
            <w:webHidden/>
          </w:rPr>
          <w:fldChar w:fldCharType="end"/>
        </w:r>
      </w:hyperlink>
    </w:p>
    <w:p w14:paraId="6DD494A0" w14:textId="7D921097"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95" w:history="1">
        <w:r w:rsidRPr="00C77735">
          <w:rPr>
            <w:rStyle w:val="Hyperlink"/>
            <w:noProof/>
          </w:rPr>
          <w:t>6.7</w:t>
        </w:r>
        <w:r>
          <w:rPr>
            <w:rFonts w:asciiTheme="minorHAnsi" w:eastAsiaTheme="minorEastAsia" w:hAnsiTheme="minorHAnsi" w:cstheme="minorBidi"/>
            <w:noProof/>
            <w:kern w:val="0"/>
            <w:sz w:val="22"/>
            <w:szCs w:val="22"/>
          </w:rPr>
          <w:tab/>
        </w:r>
        <w:r w:rsidRPr="00C77735">
          <w:rPr>
            <w:rStyle w:val="Hyperlink"/>
            <w:noProof/>
          </w:rPr>
          <w:t>Oil Pollution Emergency Plan</w:t>
        </w:r>
        <w:r>
          <w:rPr>
            <w:noProof/>
            <w:webHidden/>
          </w:rPr>
          <w:tab/>
        </w:r>
        <w:r>
          <w:rPr>
            <w:noProof/>
            <w:webHidden/>
          </w:rPr>
          <w:fldChar w:fldCharType="begin"/>
        </w:r>
        <w:r>
          <w:rPr>
            <w:noProof/>
            <w:webHidden/>
          </w:rPr>
          <w:instrText xml:space="preserve"> PAGEREF _Toc512862495 \h </w:instrText>
        </w:r>
        <w:r>
          <w:rPr>
            <w:noProof/>
            <w:webHidden/>
          </w:rPr>
        </w:r>
        <w:r>
          <w:rPr>
            <w:noProof/>
            <w:webHidden/>
          </w:rPr>
          <w:fldChar w:fldCharType="separate"/>
        </w:r>
        <w:r>
          <w:rPr>
            <w:noProof/>
            <w:webHidden/>
          </w:rPr>
          <w:t>111</w:t>
        </w:r>
        <w:r>
          <w:rPr>
            <w:noProof/>
            <w:webHidden/>
          </w:rPr>
          <w:fldChar w:fldCharType="end"/>
        </w:r>
      </w:hyperlink>
    </w:p>
    <w:p w14:paraId="0F56AA06" w14:textId="0E1603CD"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96" w:history="1">
        <w:r w:rsidRPr="00C77735">
          <w:rPr>
            <w:rStyle w:val="Hyperlink"/>
            <w:noProof/>
          </w:rPr>
          <w:t>6.8</w:t>
        </w:r>
        <w:r>
          <w:rPr>
            <w:rFonts w:asciiTheme="minorHAnsi" w:eastAsiaTheme="minorEastAsia" w:hAnsiTheme="minorHAnsi" w:cstheme="minorBidi"/>
            <w:noProof/>
            <w:kern w:val="0"/>
            <w:sz w:val="22"/>
            <w:szCs w:val="22"/>
          </w:rPr>
          <w:tab/>
        </w:r>
        <w:r w:rsidRPr="00C77735">
          <w:rPr>
            <w:rStyle w:val="Hyperlink"/>
            <w:noProof/>
          </w:rPr>
          <w:t>Oil Spill Response Arrangements</w:t>
        </w:r>
        <w:r>
          <w:rPr>
            <w:noProof/>
            <w:webHidden/>
          </w:rPr>
          <w:tab/>
        </w:r>
        <w:r>
          <w:rPr>
            <w:noProof/>
            <w:webHidden/>
          </w:rPr>
          <w:fldChar w:fldCharType="begin"/>
        </w:r>
        <w:r>
          <w:rPr>
            <w:noProof/>
            <w:webHidden/>
          </w:rPr>
          <w:instrText xml:space="preserve"> PAGEREF _Toc512862496 \h </w:instrText>
        </w:r>
        <w:r>
          <w:rPr>
            <w:noProof/>
            <w:webHidden/>
          </w:rPr>
        </w:r>
        <w:r>
          <w:rPr>
            <w:noProof/>
            <w:webHidden/>
          </w:rPr>
          <w:fldChar w:fldCharType="separate"/>
        </w:r>
        <w:r>
          <w:rPr>
            <w:noProof/>
            <w:webHidden/>
          </w:rPr>
          <w:t>112</w:t>
        </w:r>
        <w:r>
          <w:rPr>
            <w:noProof/>
            <w:webHidden/>
          </w:rPr>
          <w:fldChar w:fldCharType="end"/>
        </w:r>
      </w:hyperlink>
    </w:p>
    <w:p w14:paraId="0AC5713D" w14:textId="26CB831E"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97" w:history="1">
        <w:r w:rsidRPr="00C77735">
          <w:rPr>
            <w:rStyle w:val="Hyperlink"/>
            <w:noProof/>
          </w:rPr>
          <w:t>6.9</w:t>
        </w:r>
        <w:r>
          <w:rPr>
            <w:rFonts w:asciiTheme="minorHAnsi" w:eastAsiaTheme="minorEastAsia" w:hAnsiTheme="minorHAnsi" w:cstheme="minorBidi"/>
            <w:noProof/>
            <w:kern w:val="0"/>
            <w:sz w:val="22"/>
            <w:szCs w:val="22"/>
          </w:rPr>
          <w:tab/>
        </w:r>
        <w:r w:rsidRPr="00C77735">
          <w:rPr>
            <w:rStyle w:val="Hyperlink"/>
            <w:noProof/>
          </w:rPr>
          <w:t>Preparedness</w:t>
        </w:r>
        <w:r>
          <w:rPr>
            <w:noProof/>
            <w:webHidden/>
          </w:rPr>
          <w:tab/>
        </w:r>
        <w:r>
          <w:rPr>
            <w:noProof/>
            <w:webHidden/>
          </w:rPr>
          <w:fldChar w:fldCharType="begin"/>
        </w:r>
        <w:r>
          <w:rPr>
            <w:noProof/>
            <w:webHidden/>
          </w:rPr>
          <w:instrText xml:space="preserve"> PAGEREF _Toc512862497 \h </w:instrText>
        </w:r>
        <w:r>
          <w:rPr>
            <w:noProof/>
            <w:webHidden/>
          </w:rPr>
        </w:r>
        <w:r>
          <w:rPr>
            <w:noProof/>
            <w:webHidden/>
          </w:rPr>
          <w:fldChar w:fldCharType="separate"/>
        </w:r>
        <w:r>
          <w:rPr>
            <w:noProof/>
            <w:webHidden/>
          </w:rPr>
          <w:t>112</w:t>
        </w:r>
        <w:r>
          <w:rPr>
            <w:noProof/>
            <w:webHidden/>
          </w:rPr>
          <w:fldChar w:fldCharType="end"/>
        </w:r>
      </w:hyperlink>
    </w:p>
    <w:p w14:paraId="5395E875" w14:textId="415E80B5" w:rsidR="003B3E7F" w:rsidRDefault="003B3E7F" w:rsidP="003B3E7F">
      <w:pPr>
        <w:pStyle w:val="TOC1"/>
        <w:outlineLvl w:val="9"/>
        <w:rPr>
          <w:rFonts w:asciiTheme="minorHAnsi" w:eastAsiaTheme="minorEastAsia" w:hAnsiTheme="minorHAnsi" w:cstheme="minorBidi"/>
          <w:b w:val="0"/>
          <w:noProof/>
          <w:kern w:val="0"/>
          <w:sz w:val="22"/>
          <w:szCs w:val="22"/>
        </w:rPr>
      </w:pPr>
      <w:hyperlink w:anchor="_Toc512862498" w:history="1">
        <w:r w:rsidRPr="00C77735">
          <w:rPr>
            <w:rStyle w:val="Hyperlink"/>
            <w:noProof/>
          </w:rPr>
          <w:t>7</w:t>
        </w:r>
        <w:r>
          <w:rPr>
            <w:rFonts w:asciiTheme="minorHAnsi" w:eastAsiaTheme="minorEastAsia" w:hAnsiTheme="minorHAnsi" w:cstheme="minorBidi"/>
            <w:b w:val="0"/>
            <w:noProof/>
            <w:kern w:val="0"/>
            <w:sz w:val="22"/>
            <w:szCs w:val="22"/>
          </w:rPr>
          <w:tab/>
        </w:r>
        <w:r w:rsidRPr="00C77735">
          <w:rPr>
            <w:rStyle w:val="Hyperlink"/>
            <w:noProof/>
          </w:rPr>
          <w:t>Stakeholder Consultation</w:t>
        </w:r>
        <w:r>
          <w:rPr>
            <w:noProof/>
            <w:webHidden/>
          </w:rPr>
          <w:tab/>
        </w:r>
        <w:r>
          <w:rPr>
            <w:noProof/>
            <w:webHidden/>
          </w:rPr>
          <w:fldChar w:fldCharType="begin"/>
        </w:r>
        <w:r>
          <w:rPr>
            <w:noProof/>
            <w:webHidden/>
          </w:rPr>
          <w:instrText xml:space="preserve"> PAGEREF _Toc512862498 \h </w:instrText>
        </w:r>
        <w:r>
          <w:rPr>
            <w:noProof/>
            <w:webHidden/>
          </w:rPr>
        </w:r>
        <w:r>
          <w:rPr>
            <w:noProof/>
            <w:webHidden/>
          </w:rPr>
          <w:fldChar w:fldCharType="separate"/>
        </w:r>
        <w:r>
          <w:rPr>
            <w:noProof/>
            <w:webHidden/>
          </w:rPr>
          <w:t>114</w:t>
        </w:r>
        <w:r>
          <w:rPr>
            <w:noProof/>
            <w:webHidden/>
          </w:rPr>
          <w:fldChar w:fldCharType="end"/>
        </w:r>
      </w:hyperlink>
    </w:p>
    <w:p w14:paraId="3903AC4B" w14:textId="44E823E6" w:rsidR="003B3E7F" w:rsidRDefault="003B3E7F" w:rsidP="003B3E7F">
      <w:pPr>
        <w:pStyle w:val="TOC2"/>
        <w:outlineLvl w:val="9"/>
        <w:rPr>
          <w:rFonts w:asciiTheme="minorHAnsi" w:eastAsiaTheme="minorEastAsia" w:hAnsiTheme="minorHAnsi" w:cstheme="minorBidi"/>
          <w:noProof/>
          <w:kern w:val="0"/>
          <w:sz w:val="22"/>
          <w:szCs w:val="22"/>
        </w:rPr>
      </w:pPr>
      <w:hyperlink w:anchor="_Toc512862499" w:history="1">
        <w:r w:rsidRPr="00C77735">
          <w:rPr>
            <w:rStyle w:val="Hyperlink"/>
            <w:noProof/>
          </w:rPr>
          <w:t>7.1</w:t>
        </w:r>
        <w:r>
          <w:rPr>
            <w:rFonts w:asciiTheme="minorHAnsi" w:eastAsiaTheme="minorEastAsia" w:hAnsiTheme="minorHAnsi" w:cstheme="minorBidi"/>
            <w:noProof/>
            <w:kern w:val="0"/>
            <w:sz w:val="22"/>
            <w:szCs w:val="22"/>
          </w:rPr>
          <w:tab/>
        </w:r>
        <w:r w:rsidRPr="00C77735">
          <w:rPr>
            <w:rStyle w:val="Hyperlink"/>
            <w:noProof/>
          </w:rPr>
          <w:t>Consultation (Environment Plan Collation)</w:t>
        </w:r>
        <w:r>
          <w:rPr>
            <w:noProof/>
            <w:webHidden/>
          </w:rPr>
          <w:tab/>
        </w:r>
        <w:r>
          <w:rPr>
            <w:noProof/>
            <w:webHidden/>
          </w:rPr>
          <w:fldChar w:fldCharType="begin"/>
        </w:r>
        <w:r>
          <w:rPr>
            <w:noProof/>
            <w:webHidden/>
          </w:rPr>
          <w:instrText xml:space="preserve"> PAGEREF _Toc512862499 \h </w:instrText>
        </w:r>
        <w:r>
          <w:rPr>
            <w:noProof/>
            <w:webHidden/>
          </w:rPr>
        </w:r>
        <w:r>
          <w:rPr>
            <w:noProof/>
            <w:webHidden/>
          </w:rPr>
          <w:fldChar w:fldCharType="separate"/>
        </w:r>
        <w:r>
          <w:rPr>
            <w:noProof/>
            <w:webHidden/>
          </w:rPr>
          <w:t>115</w:t>
        </w:r>
        <w:r>
          <w:rPr>
            <w:noProof/>
            <w:webHidden/>
          </w:rPr>
          <w:fldChar w:fldCharType="end"/>
        </w:r>
      </w:hyperlink>
    </w:p>
    <w:p w14:paraId="5CF58047" w14:textId="1AFF2226" w:rsidR="003B3E7F" w:rsidRDefault="003B3E7F" w:rsidP="003B3E7F">
      <w:pPr>
        <w:pStyle w:val="TOC2"/>
        <w:outlineLvl w:val="9"/>
        <w:rPr>
          <w:rFonts w:asciiTheme="minorHAnsi" w:eastAsiaTheme="minorEastAsia" w:hAnsiTheme="minorHAnsi" w:cstheme="minorBidi"/>
          <w:noProof/>
          <w:kern w:val="0"/>
          <w:sz w:val="22"/>
          <w:szCs w:val="22"/>
        </w:rPr>
      </w:pPr>
      <w:hyperlink w:anchor="_Toc512862500" w:history="1">
        <w:r w:rsidRPr="00C77735">
          <w:rPr>
            <w:rStyle w:val="Hyperlink"/>
            <w:noProof/>
          </w:rPr>
          <w:t>7.2</w:t>
        </w:r>
        <w:r>
          <w:rPr>
            <w:rFonts w:asciiTheme="minorHAnsi" w:eastAsiaTheme="minorEastAsia" w:hAnsiTheme="minorHAnsi" w:cstheme="minorBidi"/>
            <w:noProof/>
            <w:kern w:val="0"/>
            <w:sz w:val="22"/>
            <w:szCs w:val="22"/>
          </w:rPr>
          <w:tab/>
        </w:r>
        <w:r w:rsidRPr="00C77735">
          <w:rPr>
            <w:rStyle w:val="Hyperlink"/>
            <w:noProof/>
          </w:rPr>
          <w:t>Ongoing Consultation</w:t>
        </w:r>
        <w:r>
          <w:rPr>
            <w:noProof/>
            <w:webHidden/>
          </w:rPr>
          <w:tab/>
        </w:r>
        <w:r>
          <w:rPr>
            <w:noProof/>
            <w:webHidden/>
          </w:rPr>
          <w:fldChar w:fldCharType="begin"/>
        </w:r>
        <w:r>
          <w:rPr>
            <w:noProof/>
            <w:webHidden/>
          </w:rPr>
          <w:instrText xml:space="preserve"> PAGEREF _Toc512862500 \h </w:instrText>
        </w:r>
        <w:r>
          <w:rPr>
            <w:noProof/>
            <w:webHidden/>
          </w:rPr>
        </w:r>
        <w:r>
          <w:rPr>
            <w:noProof/>
            <w:webHidden/>
          </w:rPr>
          <w:fldChar w:fldCharType="separate"/>
        </w:r>
        <w:r>
          <w:rPr>
            <w:noProof/>
            <w:webHidden/>
          </w:rPr>
          <w:t>124</w:t>
        </w:r>
        <w:r>
          <w:rPr>
            <w:noProof/>
            <w:webHidden/>
          </w:rPr>
          <w:fldChar w:fldCharType="end"/>
        </w:r>
      </w:hyperlink>
    </w:p>
    <w:p w14:paraId="51470520" w14:textId="015195DE" w:rsidR="003B3E7F" w:rsidRDefault="003B3E7F" w:rsidP="003B3E7F">
      <w:pPr>
        <w:pStyle w:val="TOC1"/>
        <w:outlineLvl w:val="9"/>
        <w:rPr>
          <w:rFonts w:asciiTheme="minorHAnsi" w:eastAsiaTheme="minorEastAsia" w:hAnsiTheme="minorHAnsi" w:cstheme="minorBidi"/>
          <w:b w:val="0"/>
          <w:noProof/>
          <w:kern w:val="0"/>
          <w:sz w:val="22"/>
          <w:szCs w:val="22"/>
        </w:rPr>
      </w:pPr>
      <w:hyperlink w:anchor="_Toc512862501" w:history="1">
        <w:r w:rsidRPr="00C77735">
          <w:rPr>
            <w:rStyle w:val="Hyperlink"/>
            <w:noProof/>
          </w:rPr>
          <w:t>8</w:t>
        </w:r>
        <w:r>
          <w:rPr>
            <w:rFonts w:asciiTheme="minorHAnsi" w:eastAsiaTheme="minorEastAsia" w:hAnsiTheme="minorHAnsi" w:cstheme="minorBidi"/>
            <w:b w:val="0"/>
            <w:noProof/>
            <w:kern w:val="0"/>
            <w:sz w:val="22"/>
            <w:szCs w:val="22"/>
          </w:rPr>
          <w:tab/>
        </w:r>
        <w:r w:rsidRPr="00C77735">
          <w:rPr>
            <w:rStyle w:val="Hyperlink"/>
            <w:noProof/>
          </w:rPr>
          <w:t>References</w:t>
        </w:r>
        <w:r>
          <w:rPr>
            <w:noProof/>
            <w:webHidden/>
          </w:rPr>
          <w:tab/>
        </w:r>
        <w:r>
          <w:rPr>
            <w:noProof/>
            <w:webHidden/>
          </w:rPr>
          <w:fldChar w:fldCharType="begin"/>
        </w:r>
        <w:r>
          <w:rPr>
            <w:noProof/>
            <w:webHidden/>
          </w:rPr>
          <w:instrText xml:space="preserve"> PAGEREF _Toc512862501 \h </w:instrText>
        </w:r>
        <w:r>
          <w:rPr>
            <w:noProof/>
            <w:webHidden/>
          </w:rPr>
        </w:r>
        <w:r>
          <w:rPr>
            <w:noProof/>
            <w:webHidden/>
          </w:rPr>
          <w:fldChar w:fldCharType="separate"/>
        </w:r>
        <w:r>
          <w:rPr>
            <w:noProof/>
            <w:webHidden/>
          </w:rPr>
          <w:t>125</w:t>
        </w:r>
        <w:r>
          <w:rPr>
            <w:noProof/>
            <w:webHidden/>
          </w:rPr>
          <w:fldChar w:fldCharType="end"/>
        </w:r>
      </w:hyperlink>
    </w:p>
    <w:p w14:paraId="2E569595" w14:textId="79F74763" w:rsidR="002F59E4" w:rsidRPr="003A50F5" w:rsidRDefault="006531FE" w:rsidP="003B3E7F">
      <w:pPr>
        <w:ind w:left="567" w:hanging="567"/>
        <w:outlineLvl w:val="9"/>
        <w:rPr>
          <w:rFonts w:asciiTheme="majorHAnsi" w:hAnsiTheme="majorHAnsi" w:cstheme="majorHAnsi"/>
          <w:b/>
          <w:caps/>
          <w:noProof/>
          <w:kern w:val="28"/>
          <w:sz w:val="18"/>
          <w:szCs w:val="18"/>
          <w:lang w:val="en-US"/>
        </w:rPr>
      </w:pPr>
      <w:r w:rsidRPr="00230BCE">
        <w:rPr>
          <w:rFonts w:cs="Arial"/>
          <w:b/>
          <w:caps/>
          <w:noProof/>
          <w:kern w:val="28"/>
          <w:sz w:val="20"/>
          <w:szCs w:val="20"/>
          <w:lang w:val="en-US"/>
        </w:rPr>
        <w:fldChar w:fldCharType="end"/>
      </w:r>
    </w:p>
    <w:p w14:paraId="0D5246F2" w14:textId="60F21FF4" w:rsidR="009110B6" w:rsidRPr="00230BCE" w:rsidRDefault="009110B6" w:rsidP="00230BCE">
      <w:pPr>
        <w:pStyle w:val="Heading"/>
      </w:pPr>
      <w:r w:rsidRPr="00230BCE">
        <w:t>F</w:t>
      </w:r>
      <w:r w:rsidR="001D5008">
        <w:t>igures</w:t>
      </w:r>
    </w:p>
    <w:p w14:paraId="081F6E0F" w14:textId="696B9975" w:rsidR="00E80C0C" w:rsidRPr="003B3E7F" w:rsidRDefault="009110B6" w:rsidP="00230BCE">
      <w:pPr>
        <w:pStyle w:val="TableofFigures"/>
        <w:tabs>
          <w:tab w:val="right" w:leader="dot" w:pos="9017"/>
        </w:tabs>
        <w:outlineLvl w:val="9"/>
        <w:rPr>
          <w:rFonts w:eastAsiaTheme="minorEastAsia" w:cs="Arial"/>
          <w:noProof/>
          <w:kern w:val="0"/>
        </w:rPr>
      </w:pPr>
      <w:r w:rsidRPr="003B3E7F">
        <w:rPr>
          <w:rFonts w:cs="Arial"/>
          <w:b/>
          <w:caps/>
          <w:noProof/>
          <w:kern w:val="28"/>
          <w:lang w:val="en-US"/>
        </w:rPr>
        <w:fldChar w:fldCharType="begin"/>
      </w:r>
      <w:r w:rsidRPr="003B3E7F">
        <w:rPr>
          <w:rFonts w:cs="Arial"/>
          <w:b/>
          <w:caps/>
          <w:noProof/>
          <w:kern w:val="28"/>
          <w:lang w:val="en-US"/>
        </w:rPr>
        <w:instrText xml:space="preserve"> TOC \h \z \c "Figure" </w:instrText>
      </w:r>
      <w:r w:rsidRPr="003B3E7F">
        <w:rPr>
          <w:rFonts w:cs="Arial"/>
          <w:b/>
          <w:caps/>
          <w:noProof/>
          <w:kern w:val="28"/>
          <w:lang w:val="en-US"/>
        </w:rPr>
        <w:fldChar w:fldCharType="separate"/>
      </w:r>
      <w:hyperlink w:anchor="_Toc510779249" w:history="1">
        <w:r w:rsidR="00E80C0C" w:rsidRPr="003B3E7F">
          <w:rPr>
            <w:rStyle w:val="Hyperlink"/>
            <w:rFonts w:cs="Arial"/>
            <w:noProof/>
          </w:rPr>
          <w:t>Figure 2</w:t>
        </w:r>
        <w:r w:rsidR="00E80C0C" w:rsidRPr="003B3E7F">
          <w:rPr>
            <w:rStyle w:val="Hyperlink"/>
            <w:rFonts w:cs="Arial"/>
            <w:noProof/>
          </w:rPr>
          <w:noBreakHyphen/>
          <w:t>1: CHN location</w:t>
        </w:r>
        <w:r w:rsidR="00E80C0C" w:rsidRPr="003B3E7F">
          <w:rPr>
            <w:rFonts w:cs="Arial"/>
            <w:noProof/>
            <w:webHidden/>
          </w:rPr>
          <w:tab/>
        </w:r>
        <w:r w:rsidR="00E80C0C" w:rsidRPr="003B3E7F">
          <w:rPr>
            <w:rFonts w:cs="Arial"/>
            <w:noProof/>
            <w:webHidden/>
          </w:rPr>
          <w:fldChar w:fldCharType="begin"/>
        </w:r>
        <w:r w:rsidR="00E80C0C" w:rsidRPr="003B3E7F">
          <w:rPr>
            <w:rFonts w:cs="Arial"/>
            <w:noProof/>
            <w:webHidden/>
          </w:rPr>
          <w:instrText xml:space="preserve"> PAGEREF _Toc510779249 \h </w:instrText>
        </w:r>
        <w:r w:rsidR="00E80C0C" w:rsidRPr="003B3E7F">
          <w:rPr>
            <w:rFonts w:cs="Arial"/>
            <w:noProof/>
            <w:webHidden/>
          </w:rPr>
        </w:r>
        <w:r w:rsidR="00E80C0C" w:rsidRPr="003B3E7F">
          <w:rPr>
            <w:rFonts w:cs="Arial"/>
            <w:noProof/>
            <w:webHidden/>
          </w:rPr>
          <w:fldChar w:fldCharType="separate"/>
        </w:r>
        <w:r w:rsidR="00CC4C35" w:rsidRPr="003B3E7F">
          <w:rPr>
            <w:rFonts w:cs="Arial"/>
            <w:noProof/>
            <w:webHidden/>
          </w:rPr>
          <w:t>8</w:t>
        </w:r>
        <w:r w:rsidR="00E80C0C" w:rsidRPr="003B3E7F">
          <w:rPr>
            <w:rFonts w:cs="Arial"/>
            <w:noProof/>
            <w:webHidden/>
          </w:rPr>
          <w:fldChar w:fldCharType="end"/>
        </w:r>
      </w:hyperlink>
    </w:p>
    <w:p w14:paraId="38CDE089" w14:textId="5961001D" w:rsidR="00E80C0C" w:rsidRPr="003B3E7F" w:rsidRDefault="009C6E0E" w:rsidP="00230BCE">
      <w:pPr>
        <w:pStyle w:val="TableofFigures"/>
        <w:tabs>
          <w:tab w:val="right" w:leader="dot" w:pos="9017"/>
        </w:tabs>
        <w:outlineLvl w:val="9"/>
        <w:rPr>
          <w:rFonts w:eastAsiaTheme="minorEastAsia" w:cs="Arial"/>
          <w:noProof/>
          <w:kern w:val="0"/>
        </w:rPr>
      </w:pPr>
      <w:hyperlink w:anchor="_Toc510779250" w:history="1">
        <w:r w:rsidR="00E80C0C" w:rsidRPr="003B3E7F">
          <w:rPr>
            <w:rStyle w:val="Hyperlink"/>
            <w:rFonts w:cs="Arial"/>
            <w:noProof/>
          </w:rPr>
          <w:t>Figure 3</w:t>
        </w:r>
        <w:r w:rsidR="00E80C0C" w:rsidRPr="003B3E7F">
          <w:rPr>
            <w:rStyle w:val="Hyperlink"/>
            <w:rFonts w:cs="Arial"/>
            <w:noProof/>
          </w:rPr>
          <w:noBreakHyphen/>
          <w:t>1: CHN petroleum activity EMBA</w:t>
        </w:r>
        <w:r w:rsidR="00E80C0C" w:rsidRPr="003B3E7F">
          <w:rPr>
            <w:rFonts w:cs="Arial"/>
            <w:noProof/>
            <w:webHidden/>
          </w:rPr>
          <w:tab/>
        </w:r>
        <w:r w:rsidR="00E80C0C" w:rsidRPr="003B3E7F">
          <w:rPr>
            <w:rFonts w:cs="Arial"/>
            <w:noProof/>
            <w:webHidden/>
          </w:rPr>
          <w:fldChar w:fldCharType="begin"/>
        </w:r>
        <w:r w:rsidR="00E80C0C" w:rsidRPr="003B3E7F">
          <w:rPr>
            <w:rFonts w:cs="Arial"/>
            <w:noProof/>
            <w:webHidden/>
          </w:rPr>
          <w:instrText xml:space="preserve"> PAGEREF _Toc510779250 \h </w:instrText>
        </w:r>
        <w:r w:rsidR="00E80C0C" w:rsidRPr="003B3E7F">
          <w:rPr>
            <w:rFonts w:cs="Arial"/>
            <w:noProof/>
            <w:webHidden/>
          </w:rPr>
        </w:r>
        <w:r w:rsidR="00E80C0C" w:rsidRPr="003B3E7F">
          <w:rPr>
            <w:rFonts w:cs="Arial"/>
            <w:noProof/>
            <w:webHidden/>
          </w:rPr>
          <w:fldChar w:fldCharType="separate"/>
        </w:r>
        <w:r w:rsidR="00CC4C35" w:rsidRPr="003B3E7F">
          <w:rPr>
            <w:rFonts w:cs="Arial"/>
            <w:noProof/>
            <w:webHidden/>
          </w:rPr>
          <w:t>12</w:t>
        </w:r>
        <w:r w:rsidR="00E80C0C" w:rsidRPr="003B3E7F">
          <w:rPr>
            <w:rFonts w:cs="Arial"/>
            <w:noProof/>
            <w:webHidden/>
          </w:rPr>
          <w:fldChar w:fldCharType="end"/>
        </w:r>
      </w:hyperlink>
    </w:p>
    <w:p w14:paraId="4D2BAC41" w14:textId="4C0B6F37" w:rsidR="00E80C0C" w:rsidRPr="003B3E7F" w:rsidRDefault="009C6E0E" w:rsidP="00230BCE">
      <w:pPr>
        <w:pStyle w:val="TableofFigures"/>
        <w:tabs>
          <w:tab w:val="right" w:leader="dot" w:pos="9017"/>
        </w:tabs>
        <w:outlineLvl w:val="9"/>
        <w:rPr>
          <w:rFonts w:eastAsiaTheme="minorEastAsia" w:cs="Arial"/>
          <w:noProof/>
          <w:kern w:val="0"/>
        </w:rPr>
      </w:pPr>
      <w:hyperlink w:anchor="_Toc510779251" w:history="1">
        <w:r w:rsidR="00E80C0C" w:rsidRPr="003B3E7F">
          <w:rPr>
            <w:rStyle w:val="Hyperlink"/>
            <w:rFonts w:cs="Arial"/>
            <w:noProof/>
          </w:rPr>
          <w:t>Figure 3</w:t>
        </w:r>
        <w:r w:rsidR="00E80C0C" w:rsidRPr="003B3E7F">
          <w:rPr>
            <w:rStyle w:val="Hyperlink"/>
            <w:rFonts w:cs="Arial"/>
            <w:noProof/>
          </w:rPr>
          <w:noBreakHyphen/>
          <w:t xml:space="preserve">2: </w:t>
        </w:r>
        <w:r w:rsidR="00E80C0C" w:rsidRPr="003B3E7F">
          <w:rPr>
            <w:rStyle w:val="Hyperlink"/>
            <w:rFonts w:cs="Arial"/>
            <w:noProof/>
            <w:lang w:val="fr-FR"/>
          </w:rPr>
          <w:t>Seabed habitat classification of the Casino Pipeline route</w:t>
        </w:r>
        <w:r w:rsidR="00E80C0C" w:rsidRPr="003B3E7F">
          <w:rPr>
            <w:rFonts w:cs="Arial"/>
            <w:noProof/>
            <w:webHidden/>
          </w:rPr>
          <w:tab/>
        </w:r>
        <w:r w:rsidR="00E80C0C" w:rsidRPr="003B3E7F">
          <w:rPr>
            <w:rFonts w:cs="Arial"/>
            <w:noProof/>
            <w:webHidden/>
          </w:rPr>
          <w:fldChar w:fldCharType="begin"/>
        </w:r>
        <w:r w:rsidR="00E80C0C" w:rsidRPr="003B3E7F">
          <w:rPr>
            <w:rFonts w:cs="Arial"/>
            <w:noProof/>
            <w:webHidden/>
          </w:rPr>
          <w:instrText xml:space="preserve"> PAGEREF _Toc510779251 \h </w:instrText>
        </w:r>
        <w:r w:rsidR="00E80C0C" w:rsidRPr="003B3E7F">
          <w:rPr>
            <w:rFonts w:cs="Arial"/>
            <w:noProof/>
            <w:webHidden/>
          </w:rPr>
        </w:r>
        <w:r w:rsidR="00E80C0C" w:rsidRPr="003B3E7F">
          <w:rPr>
            <w:rFonts w:cs="Arial"/>
            <w:noProof/>
            <w:webHidden/>
          </w:rPr>
          <w:fldChar w:fldCharType="separate"/>
        </w:r>
        <w:r w:rsidR="00CC4C35" w:rsidRPr="003B3E7F">
          <w:rPr>
            <w:rFonts w:cs="Arial"/>
            <w:noProof/>
            <w:webHidden/>
          </w:rPr>
          <w:t>16</w:t>
        </w:r>
        <w:r w:rsidR="00E80C0C" w:rsidRPr="003B3E7F">
          <w:rPr>
            <w:rFonts w:cs="Arial"/>
            <w:noProof/>
            <w:webHidden/>
          </w:rPr>
          <w:fldChar w:fldCharType="end"/>
        </w:r>
      </w:hyperlink>
    </w:p>
    <w:p w14:paraId="1F7C1434" w14:textId="0849E1B1" w:rsidR="00E80C0C" w:rsidRPr="003B3E7F" w:rsidRDefault="009C6E0E" w:rsidP="00230BCE">
      <w:pPr>
        <w:pStyle w:val="TableofFigures"/>
        <w:tabs>
          <w:tab w:val="right" w:leader="dot" w:pos="9017"/>
        </w:tabs>
        <w:outlineLvl w:val="9"/>
        <w:rPr>
          <w:rFonts w:eastAsiaTheme="minorEastAsia" w:cs="Arial"/>
          <w:noProof/>
          <w:kern w:val="0"/>
        </w:rPr>
      </w:pPr>
      <w:hyperlink w:anchor="_Toc510779252" w:history="1">
        <w:r w:rsidR="00E80C0C" w:rsidRPr="003B3E7F">
          <w:rPr>
            <w:rStyle w:val="Hyperlink"/>
            <w:rFonts w:cs="Arial"/>
            <w:noProof/>
          </w:rPr>
          <w:t>Figure 3</w:t>
        </w:r>
        <w:r w:rsidR="00E80C0C" w:rsidRPr="003B3E7F">
          <w:rPr>
            <w:rStyle w:val="Hyperlink"/>
            <w:rFonts w:cs="Arial"/>
            <w:noProof/>
          </w:rPr>
          <w:noBreakHyphen/>
          <w:t>3: Victorian Protected Marine Areas</w:t>
        </w:r>
        <w:r w:rsidR="00E80C0C" w:rsidRPr="003B3E7F">
          <w:rPr>
            <w:rFonts w:cs="Arial"/>
            <w:noProof/>
            <w:webHidden/>
          </w:rPr>
          <w:tab/>
        </w:r>
        <w:r w:rsidR="00E80C0C" w:rsidRPr="003B3E7F">
          <w:rPr>
            <w:rFonts w:cs="Arial"/>
            <w:noProof/>
            <w:webHidden/>
          </w:rPr>
          <w:fldChar w:fldCharType="begin"/>
        </w:r>
        <w:r w:rsidR="00E80C0C" w:rsidRPr="003B3E7F">
          <w:rPr>
            <w:rFonts w:cs="Arial"/>
            <w:noProof/>
            <w:webHidden/>
          </w:rPr>
          <w:instrText xml:space="preserve"> PAGEREF _Toc510779252 \h </w:instrText>
        </w:r>
        <w:r w:rsidR="00E80C0C" w:rsidRPr="003B3E7F">
          <w:rPr>
            <w:rFonts w:cs="Arial"/>
            <w:noProof/>
            <w:webHidden/>
          </w:rPr>
        </w:r>
        <w:r w:rsidR="00E80C0C" w:rsidRPr="003B3E7F">
          <w:rPr>
            <w:rFonts w:cs="Arial"/>
            <w:noProof/>
            <w:webHidden/>
          </w:rPr>
          <w:fldChar w:fldCharType="separate"/>
        </w:r>
        <w:r w:rsidR="00CC4C35" w:rsidRPr="003B3E7F">
          <w:rPr>
            <w:rFonts w:cs="Arial"/>
            <w:noProof/>
            <w:webHidden/>
          </w:rPr>
          <w:t>25</w:t>
        </w:r>
        <w:r w:rsidR="00E80C0C" w:rsidRPr="003B3E7F">
          <w:rPr>
            <w:rFonts w:cs="Arial"/>
            <w:noProof/>
            <w:webHidden/>
          </w:rPr>
          <w:fldChar w:fldCharType="end"/>
        </w:r>
      </w:hyperlink>
    </w:p>
    <w:p w14:paraId="761FD984" w14:textId="37387F61" w:rsidR="00E80C0C" w:rsidRPr="003B3E7F" w:rsidRDefault="009C6E0E" w:rsidP="00230BCE">
      <w:pPr>
        <w:pStyle w:val="TableofFigures"/>
        <w:tabs>
          <w:tab w:val="right" w:leader="dot" w:pos="9017"/>
        </w:tabs>
        <w:outlineLvl w:val="9"/>
        <w:rPr>
          <w:rFonts w:eastAsiaTheme="minorEastAsia" w:cs="Arial"/>
          <w:noProof/>
          <w:kern w:val="0"/>
        </w:rPr>
      </w:pPr>
      <w:hyperlink w:anchor="_Toc510779253" w:history="1">
        <w:r w:rsidR="00E80C0C" w:rsidRPr="003B3E7F">
          <w:rPr>
            <w:rStyle w:val="Hyperlink"/>
            <w:rFonts w:cs="Arial"/>
            <w:noProof/>
          </w:rPr>
          <w:t>Figure 4</w:t>
        </w:r>
        <w:r w:rsidR="00E80C0C" w:rsidRPr="003B3E7F">
          <w:rPr>
            <w:rStyle w:val="Hyperlink"/>
            <w:rFonts w:cs="Arial"/>
            <w:noProof/>
          </w:rPr>
          <w:noBreakHyphen/>
          <w:t>1: AS/NZS ISO 31000 – Risk Management Methodology</w:t>
        </w:r>
        <w:r w:rsidR="00E80C0C" w:rsidRPr="003B3E7F">
          <w:rPr>
            <w:rFonts w:cs="Arial"/>
            <w:noProof/>
            <w:webHidden/>
          </w:rPr>
          <w:tab/>
        </w:r>
        <w:r w:rsidR="00E80C0C" w:rsidRPr="003B3E7F">
          <w:rPr>
            <w:rFonts w:cs="Arial"/>
            <w:noProof/>
            <w:webHidden/>
          </w:rPr>
          <w:fldChar w:fldCharType="begin"/>
        </w:r>
        <w:r w:rsidR="00E80C0C" w:rsidRPr="003B3E7F">
          <w:rPr>
            <w:rFonts w:cs="Arial"/>
            <w:noProof/>
            <w:webHidden/>
          </w:rPr>
          <w:instrText xml:space="preserve"> PAGEREF _Toc510779253 \h </w:instrText>
        </w:r>
        <w:r w:rsidR="00E80C0C" w:rsidRPr="003B3E7F">
          <w:rPr>
            <w:rFonts w:cs="Arial"/>
            <w:noProof/>
            <w:webHidden/>
          </w:rPr>
        </w:r>
        <w:r w:rsidR="00E80C0C" w:rsidRPr="003B3E7F">
          <w:rPr>
            <w:rFonts w:cs="Arial"/>
            <w:noProof/>
            <w:webHidden/>
          </w:rPr>
          <w:fldChar w:fldCharType="separate"/>
        </w:r>
        <w:r w:rsidR="00CC4C35" w:rsidRPr="003B3E7F">
          <w:rPr>
            <w:rFonts w:cs="Arial"/>
            <w:noProof/>
            <w:webHidden/>
          </w:rPr>
          <w:t>29</w:t>
        </w:r>
        <w:r w:rsidR="00E80C0C" w:rsidRPr="003B3E7F">
          <w:rPr>
            <w:rFonts w:cs="Arial"/>
            <w:noProof/>
            <w:webHidden/>
          </w:rPr>
          <w:fldChar w:fldCharType="end"/>
        </w:r>
      </w:hyperlink>
    </w:p>
    <w:p w14:paraId="3EE899DC" w14:textId="55E7C98B" w:rsidR="00E80C0C" w:rsidRPr="003B3E7F" w:rsidRDefault="009C6E0E" w:rsidP="00230BCE">
      <w:pPr>
        <w:pStyle w:val="TableofFigures"/>
        <w:tabs>
          <w:tab w:val="right" w:leader="dot" w:pos="9017"/>
        </w:tabs>
        <w:outlineLvl w:val="9"/>
        <w:rPr>
          <w:rFonts w:eastAsiaTheme="minorEastAsia" w:cs="Arial"/>
          <w:noProof/>
          <w:kern w:val="0"/>
        </w:rPr>
      </w:pPr>
      <w:hyperlink w:anchor="_Toc510779254" w:history="1">
        <w:r w:rsidR="00E80C0C" w:rsidRPr="003B3E7F">
          <w:rPr>
            <w:rStyle w:val="Hyperlink"/>
            <w:rFonts w:cs="Arial"/>
            <w:noProof/>
          </w:rPr>
          <w:t>Figure 4</w:t>
        </w:r>
        <w:r w:rsidR="00E80C0C" w:rsidRPr="003B3E7F">
          <w:rPr>
            <w:rStyle w:val="Hyperlink"/>
            <w:rFonts w:cs="Arial"/>
            <w:noProof/>
          </w:rPr>
          <w:noBreakHyphen/>
          <w:t>2: Hierarchy of Control</w:t>
        </w:r>
        <w:r w:rsidR="00E80C0C" w:rsidRPr="003B3E7F">
          <w:rPr>
            <w:rFonts w:cs="Arial"/>
            <w:noProof/>
            <w:webHidden/>
          </w:rPr>
          <w:tab/>
        </w:r>
        <w:r w:rsidR="00E80C0C" w:rsidRPr="003B3E7F">
          <w:rPr>
            <w:rFonts w:cs="Arial"/>
            <w:noProof/>
            <w:webHidden/>
          </w:rPr>
          <w:fldChar w:fldCharType="begin"/>
        </w:r>
        <w:r w:rsidR="00E80C0C" w:rsidRPr="003B3E7F">
          <w:rPr>
            <w:rFonts w:cs="Arial"/>
            <w:noProof/>
            <w:webHidden/>
          </w:rPr>
          <w:instrText xml:space="preserve"> PAGEREF _Toc510779254 \h </w:instrText>
        </w:r>
        <w:r w:rsidR="00E80C0C" w:rsidRPr="003B3E7F">
          <w:rPr>
            <w:rFonts w:cs="Arial"/>
            <w:noProof/>
            <w:webHidden/>
          </w:rPr>
        </w:r>
        <w:r w:rsidR="00E80C0C" w:rsidRPr="003B3E7F">
          <w:rPr>
            <w:rFonts w:cs="Arial"/>
            <w:noProof/>
            <w:webHidden/>
          </w:rPr>
          <w:fldChar w:fldCharType="separate"/>
        </w:r>
        <w:r w:rsidR="00CC4C35" w:rsidRPr="003B3E7F">
          <w:rPr>
            <w:rFonts w:cs="Arial"/>
            <w:noProof/>
            <w:webHidden/>
          </w:rPr>
          <w:t>31</w:t>
        </w:r>
        <w:r w:rsidR="00E80C0C" w:rsidRPr="003B3E7F">
          <w:rPr>
            <w:rFonts w:cs="Arial"/>
            <w:noProof/>
            <w:webHidden/>
          </w:rPr>
          <w:fldChar w:fldCharType="end"/>
        </w:r>
      </w:hyperlink>
    </w:p>
    <w:p w14:paraId="7C635EF7" w14:textId="7E60C95C" w:rsidR="00E80C0C" w:rsidRPr="003B3E7F" w:rsidRDefault="009C6E0E" w:rsidP="00230BCE">
      <w:pPr>
        <w:pStyle w:val="TableofFigures"/>
        <w:tabs>
          <w:tab w:val="right" w:leader="dot" w:pos="9017"/>
        </w:tabs>
        <w:outlineLvl w:val="9"/>
        <w:rPr>
          <w:rFonts w:eastAsiaTheme="minorEastAsia" w:cs="Arial"/>
          <w:noProof/>
          <w:kern w:val="0"/>
        </w:rPr>
      </w:pPr>
      <w:hyperlink w:anchor="_Toc510779255" w:history="1">
        <w:r w:rsidR="00E80C0C" w:rsidRPr="003B3E7F">
          <w:rPr>
            <w:rStyle w:val="Hyperlink"/>
            <w:rFonts w:cs="Arial"/>
            <w:noProof/>
          </w:rPr>
          <w:t>Figure 4</w:t>
        </w:r>
        <w:r w:rsidR="00E80C0C" w:rsidRPr="003B3E7F">
          <w:rPr>
            <w:rStyle w:val="Hyperlink"/>
            <w:rFonts w:cs="Arial"/>
            <w:noProof/>
          </w:rPr>
          <w:noBreakHyphen/>
          <w:t>3: Impact and risk ‘uncertainty decision-making framework</w:t>
        </w:r>
        <w:r w:rsidR="00E80C0C" w:rsidRPr="003B3E7F">
          <w:rPr>
            <w:rFonts w:cs="Arial"/>
            <w:noProof/>
            <w:webHidden/>
          </w:rPr>
          <w:tab/>
        </w:r>
        <w:r w:rsidR="00E80C0C" w:rsidRPr="003B3E7F">
          <w:rPr>
            <w:rFonts w:cs="Arial"/>
            <w:noProof/>
            <w:webHidden/>
          </w:rPr>
          <w:fldChar w:fldCharType="begin"/>
        </w:r>
        <w:r w:rsidR="00E80C0C" w:rsidRPr="003B3E7F">
          <w:rPr>
            <w:rFonts w:cs="Arial"/>
            <w:noProof/>
            <w:webHidden/>
          </w:rPr>
          <w:instrText xml:space="preserve"> PAGEREF _Toc510779255 \h </w:instrText>
        </w:r>
        <w:r w:rsidR="00E80C0C" w:rsidRPr="003B3E7F">
          <w:rPr>
            <w:rFonts w:cs="Arial"/>
            <w:noProof/>
            <w:webHidden/>
          </w:rPr>
        </w:r>
        <w:r w:rsidR="00E80C0C" w:rsidRPr="003B3E7F">
          <w:rPr>
            <w:rFonts w:cs="Arial"/>
            <w:noProof/>
            <w:webHidden/>
          </w:rPr>
          <w:fldChar w:fldCharType="separate"/>
        </w:r>
        <w:r w:rsidR="00CC4C35" w:rsidRPr="003B3E7F">
          <w:rPr>
            <w:rFonts w:cs="Arial"/>
            <w:noProof/>
            <w:webHidden/>
          </w:rPr>
          <w:t>33</w:t>
        </w:r>
        <w:r w:rsidR="00E80C0C" w:rsidRPr="003B3E7F">
          <w:rPr>
            <w:rFonts w:cs="Arial"/>
            <w:noProof/>
            <w:webHidden/>
          </w:rPr>
          <w:fldChar w:fldCharType="end"/>
        </w:r>
      </w:hyperlink>
    </w:p>
    <w:p w14:paraId="0B3F25F7" w14:textId="14045745" w:rsidR="00E80C0C" w:rsidRPr="003B3E7F" w:rsidRDefault="009C6E0E" w:rsidP="00230BCE">
      <w:pPr>
        <w:pStyle w:val="TableofFigures"/>
        <w:tabs>
          <w:tab w:val="right" w:leader="dot" w:pos="9017"/>
        </w:tabs>
        <w:ind w:left="993" w:hanging="993"/>
        <w:outlineLvl w:val="9"/>
        <w:rPr>
          <w:rFonts w:eastAsiaTheme="minorEastAsia" w:cs="Arial"/>
          <w:noProof/>
          <w:kern w:val="0"/>
        </w:rPr>
      </w:pPr>
      <w:hyperlink w:anchor="_Toc510779256" w:history="1">
        <w:r w:rsidR="00E80C0C" w:rsidRPr="003B3E7F">
          <w:rPr>
            <w:rStyle w:val="Hyperlink"/>
            <w:rFonts w:cs="Arial"/>
            <w:noProof/>
          </w:rPr>
          <w:t>Figure 5</w:t>
        </w:r>
        <w:r w:rsidR="00E80C0C" w:rsidRPr="003B3E7F">
          <w:rPr>
            <w:rStyle w:val="Hyperlink"/>
            <w:rFonts w:cs="Arial"/>
            <w:noProof/>
          </w:rPr>
          <w:noBreakHyphen/>
          <w:t>1: Predicted weathering an fate graph of Netherby Condensate based upon a 100 m</w:t>
        </w:r>
        <w:r w:rsidR="00E80C0C" w:rsidRPr="003B3E7F">
          <w:rPr>
            <w:rStyle w:val="Hyperlink"/>
            <w:rFonts w:cs="Arial"/>
            <w:noProof/>
            <w:vertAlign w:val="superscript"/>
          </w:rPr>
          <w:t xml:space="preserve">3 </w:t>
        </w:r>
        <w:r w:rsidR="00E80C0C" w:rsidRPr="003B3E7F">
          <w:rPr>
            <w:rStyle w:val="Hyperlink"/>
            <w:rFonts w:cs="Arial"/>
            <w:noProof/>
          </w:rPr>
          <w:t xml:space="preserve">subsea </w:t>
        </w:r>
        <w:r w:rsidR="00F527EB" w:rsidRPr="003B3E7F">
          <w:rPr>
            <w:rStyle w:val="Hyperlink"/>
            <w:rFonts w:cs="Arial"/>
            <w:noProof/>
          </w:rPr>
          <w:t xml:space="preserve"> </w:t>
        </w:r>
        <w:r w:rsidR="00E80C0C" w:rsidRPr="003B3E7F">
          <w:rPr>
            <w:rStyle w:val="Hyperlink"/>
            <w:rFonts w:cs="Arial"/>
            <w:noProof/>
          </w:rPr>
          <w:t>release over 24 hours (APASA, 2013).</w:t>
        </w:r>
        <w:r w:rsidR="00E80C0C" w:rsidRPr="003B3E7F">
          <w:rPr>
            <w:rFonts w:cs="Arial"/>
            <w:noProof/>
            <w:webHidden/>
          </w:rPr>
          <w:tab/>
        </w:r>
        <w:r w:rsidR="00E80C0C" w:rsidRPr="003B3E7F">
          <w:rPr>
            <w:rFonts w:cs="Arial"/>
            <w:noProof/>
            <w:webHidden/>
          </w:rPr>
          <w:fldChar w:fldCharType="begin"/>
        </w:r>
        <w:r w:rsidR="00E80C0C" w:rsidRPr="003B3E7F">
          <w:rPr>
            <w:rFonts w:cs="Arial"/>
            <w:noProof/>
            <w:webHidden/>
          </w:rPr>
          <w:instrText xml:space="preserve"> PAGEREF _Toc510779256 \h </w:instrText>
        </w:r>
        <w:r w:rsidR="00E80C0C" w:rsidRPr="003B3E7F">
          <w:rPr>
            <w:rFonts w:cs="Arial"/>
            <w:noProof/>
            <w:webHidden/>
          </w:rPr>
        </w:r>
        <w:r w:rsidR="00E80C0C" w:rsidRPr="003B3E7F">
          <w:rPr>
            <w:rFonts w:cs="Arial"/>
            <w:noProof/>
            <w:webHidden/>
          </w:rPr>
          <w:fldChar w:fldCharType="separate"/>
        </w:r>
        <w:r w:rsidR="00CC4C35" w:rsidRPr="003B3E7F">
          <w:rPr>
            <w:rFonts w:cs="Arial"/>
            <w:noProof/>
            <w:webHidden/>
          </w:rPr>
          <w:t>70</w:t>
        </w:r>
        <w:r w:rsidR="00E80C0C" w:rsidRPr="003B3E7F">
          <w:rPr>
            <w:rFonts w:cs="Arial"/>
            <w:noProof/>
            <w:webHidden/>
          </w:rPr>
          <w:fldChar w:fldCharType="end"/>
        </w:r>
      </w:hyperlink>
    </w:p>
    <w:p w14:paraId="10A02E81" w14:textId="34B35F3E" w:rsidR="00E80C0C" w:rsidRPr="003B3E7F" w:rsidRDefault="009C6E0E" w:rsidP="00230BCE">
      <w:pPr>
        <w:pStyle w:val="TableofFigures"/>
        <w:tabs>
          <w:tab w:val="right" w:leader="dot" w:pos="9017"/>
        </w:tabs>
        <w:outlineLvl w:val="9"/>
        <w:rPr>
          <w:rFonts w:eastAsiaTheme="minorEastAsia" w:cs="Arial"/>
          <w:noProof/>
          <w:kern w:val="0"/>
        </w:rPr>
      </w:pPr>
      <w:hyperlink w:anchor="_Toc510779257" w:history="1">
        <w:r w:rsidR="00E80C0C" w:rsidRPr="003B3E7F">
          <w:rPr>
            <w:rStyle w:val="Hyperlink"/>
            <w:rFonts w:cs="Arial"/>
            <w:noProof/>
          </w:rPr>
          <w:t>Figure 5</w:t>
        </w:r>
        <w:r w:rsidR="00E80C0C" w:rsidRPr="003B3E7F">
          <w:rPr>
            <w:rStyle w:val="Hyperlink"/>
            <w:rFonts w:cs="Arial"/>
            <w:noProof/>
          </w:rPr>
          <w:noBreakHyphen/>
          <w:t>2: Predicted 160 m</w:t>
        </w:r>
        <w:r w:rsidR="00E80C0C" w:rsidRPr="003B3E7F">
          <w:rPr>
            <w:rStyle w:val="Hyperlink"/>
            <w:rFonts w:cs="Arial"/>
            <w:noProof/>
            <w:vertAlign w:val="superscript"/>
          </w:rPr>
          <w:t>3</w:t>
        </w:r>
        <w:r w:rsidR="00E80C0C" w:rsidRPr="003B3E7F">
          <w:rPr>
            <w:rStyle w:val="Hyperlink"/>
            <w:rFonts w:cs="Arial"/>
            <w:noProof/>
          </w:rPr>
          <w:t xml:space="preserve"> MDO EMBA</w:t>
        </w:r>
        <w:r w:rsidR="00E80C0C" w:rsidRPr="003B3E7F">
          <w:rPr>
            <w:rFonts w:cs="Arial"/>
            <w:noProof/>
            <w:webHidden/>
          </w:rPr>
          <w:tab/>
        </w:r>
        <w:r w:rsidR="00E80C0C" w:rsidRPr="003B3E7F">
          <w:rPr>
            <w:rFonts w:cs="Arial"/>
            <w:noProof/>
            <w:webHidden/>
          </w:rPr>
          <w:fldChar w:fldCharType="begin"/>
        </w:r>
        <w:r w:rsidR="00E80C0C" w:rsidRPr="003B3E7F">
          <w:rPr>
            <w:rFonts w:cs="Arial"/>
            <w:noProof/>
            <w:webHidden/>
          </w:rPr>
          <w:instrText xml:space="preserve"> PAGEREF _Toc510779257 \h </w:instrText>
        </w:r>
        <w:r w:rsidR="00E80C0C" w:rsidRPr="003B3E7F">
          <w:rPr>
            <w:rFonts w:cs="Arial"/>
            <w:noProof/>
            <w:webHidden/>
          </w:rPr>
        </w:r>
        <w:r w:rsidR="00E80C0C" w:rsidRPr="003B3E7F">
          <w:rPr>
            <w:rFonts w:cs="Arial"/>
            <w:noProof/>
            <w:webHidden/>
          </w:rPr>
          <w:fldChar w:fldCharType="separate"/>
        </w:r>
        <w:r w:rsidR="00CC4C35" w:rsidRPr="003B3E7F">
          <w:rPr>
            <w:rFonts w:cs="Arial"/>
            <w:noProof/>
            <w:webHidden/>
          </w:rPr>
          <w:t>93</w:t>
        </w:r>
        <w:r w:rsidR="00E80C0C" w:rsidRPr="003B3E7F">
          <w:rPr>
            <w:rFonts w:cs="Arial"/>
            <w:noProof/>
            <w:webHidden/>
          </w:rPr>
          <w:fldChar w:fldCharType="end"/>
        </w:r>
      </w:hyperlink>
    </w:p>
    <w:p w14:paraId="3F94A934" w14:textId="43C0C5E8" w:rsidR="009110B6" w:rsidRPr="00230BCE" w:rsidRDefault="009110B6" w:rsidP="00230BCE">
      <w:pPr>
        <w:pStyle w:val="Heading"/>
      </w:pPr>
      <w:r w:rsidRPr="003B3E7F">
        <w:rPr>
          <w:caps/>
          <w:noProof/>
          <w:kern w:val="28"/>
          <w:sz w:val="24"/>
          <w:szCs w:val="24"/>
          <w:lang w:val="en-US"/>
        </w:rPr>
        <w:lastRenderedPageBreak/>
        <w:fldChar w:fldCharType="end"/>
      </w:r>
      <w:r w:rsidRPr="00230BCE">
        <w:t>T</w:t>
      </w:r>
      <w:r w:rsidR="001D5008">
        <w:t>ables</w:t>
      </w:r>
      <w:r w:rsidR="004D775C" w:rsidRPr="00230BCE">
        <w:tab/>
      </w:r>
    </w:p>
    <w:p w14:paraId="640E14CB" w14:textId="6B2004D3" w:rsidR="00836B0E" w:rsidRPr="003B3E7F" w:rsidRDefault="009110B6" w:rsidP="00230BCE">
      <w:pPr>
        <w:pStyle w:val="TableofFigures"/>
        <w:tabs>
          <w:tab w:val="right" w:leader="dot" w:pos="9017"/>
        </w:tabs>
        <w:outlineLvl w:val="9"/>
        <w:rPr>
          <w:rFonts w:eastAsiaTheme="minorEastAsia" w:cs="Arial"/>
          <w:noProof/>
          <w:kern w:val="0"/>
        </w:rPr>
      </w:pPr>
      <w:r w:rsidRPr="003B3E7F">
        <w:rPr>
          <w:rFonts w:cs="Arial"/>
          <w:b/>
          <w:caps/>
          <w:noProof/>
          <w:kern w:val="28"/>
          <w:lang w:val="en-US"/>
        </w:rPr>
        <w:fldChar w:fldCharType="begin"/>
      </w:r>
      <w:r w:rsidRPr="003B3E7F">
        <w:rPr>
          <w:rFonts w:cs="Arial"/>
          <w:b/>
          <w:caps/>
          <w:noProof/>
          <w:kern w:val="28"/>
          <w:lang w:val="en-US"/>
        </w:rPr>
        <w:instrText xml:space="preserve"> TOC \h \z \c "Table" </w:instrText>
      </w:r>
      <w:r w:rsidRPr="003B3E7F">
        <w:rPr>
          <w:rFonts w:cs="Arial"/>
          <w:b/>
          <w:caps/>
          <w:noProof/>
          <w:kern w:val="28"/>
          <w:lang w:val="en-US"/>
        </w:rPr>
        <w:fldChar w:fldCharType="separate"/>
      </w:r>
      <w:hyperlink w:anchor="_Toc511032577" w:history="1">
        <w:r w:rsidR="00836B0E" w:rsidRPr="003B3E7F">
          <w:rPr>
            <w:rStyle w:val="Hyperlink"/>
            <w:rFonts w:cs="Arial"/>
            <w:noProof/>
          </w:rPr>
          <w:t>Table 1</w:t>
        </w:r>
        <w:r w:rsidR="00836B0E" w:rsidRPr="003B3E7F">
          <w:rPr>
            <w:rStyle w:val="Hyperlink"/>
            <w:rFonts w:cs="Arial"/>
            <w:noProof/>
          </w:rPr>
          <w:noBreakHyphen/>
          <w:t>1: Titleholder and Liaison Person</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_Toc511032577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7</w:t>
        </w:r>
        <w:r w:rsidR="00836B0E" w:rsidRPr="003B3E7F">
          <w:rPr>
            <w:rFonts w:cs="Arial"/>
            <w:noProof/>
            <w:webHidden/>
          </w:rPr>
          <w:fldChar w:fldCharType="end"/>
        </w:r>
      </w:hyperlink>
    </w:p>
    <w:p w14:paraId="0B409A26" w14:textId="52EBA461" w:rsidR="00836B0E" w:rsidRPr="003B3E7F" w:rsidRDefault="009C6E0E" w:rsidP="00230BCE">
      <w:pPr>
        <w:pStyle w:val="TableofFigures"/>
        <w:tabs>
          <w:tab w:val="right" w:leader="dot" w:pos="9017"/>
        </w:tabs>
        <w:outlineLvl w:val="9"/>
        <w:rPr>
          <w:rFonts w:eastAsiaTheme="minorEastAsia" w:cs="Arial"/>
          <w:noProof/>
          <w:kern w:val="0"/>
        </w:rPr>
      </w:pPr>
      <w:hyperlink w:anchor="_Toc511032578" w:history="1">
        <w:r w:rsidR="00836B0E" w:rsidRPr="003B3E7F">
          <w:rPr>
            <w:rStyle w:val="Hyperlink"/>
            <w:rFonts w:cs="Arial"/>
            <w:noProof/>
          </w:rPr>
          <w:t>Table 2</w:t>
        </w:r>
        <w:r w:rsidR="00836B0E" w:rsidRPr="003B3E7F">
          <w:rPr>
            <w:rStyle w:val="Hyperlink"/>
            <w:rFonts w:cs="Arial"/>
            <w:noProof/>
          </w:rPr>
          <w:noBreakHyphen/>
          <w:t>1: Coordinates of the Casino pipeline</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_Toc511032578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8</w:t>
        </w:r>
        <w:r w:rsidR="00836B0E" w:rsidRPr="003B3E7F">
          <w:rPr>
            <w:rFonts w:cs="Arial"/>
            <w:noProof/>
            <w:webHidden/>
          </w:rPr>
          <w:fldChar w:fldCharType="end"/>
        </w:r>
      </w:hyperlink>
    </w:p>
    <w:p w14:paraId="48665495" w14:textId="750B9D94" w:rsidR="00836B0E" w:rsidRPr="003B3E7F" w:rsidRDefault="009C6E0E" w:rsidP="00230BCE">
      <w:pPr>
        <w:pStyle w:val="TableofFigures"/>
        <w:tabs>
          <w:tab w:val="right" w:leader="dot" w:pos="9017"/>
        </w:tabs>
        <w:outlineLvl w:val="9"/>
        <w:rPr>
          <w:rFonts w:eastAsiaTheme="minorEastAsia" w:cs="Arial"/>
          <w:noProof/>
          <w:kern w:val="0"/>
        </w:rPr>
      </w:pPr>
      <w:hyperlink w:anchor="_Toc511032579" w:history="1">
        <w:r w:rsidR="00836B0E" w:rsidRPr="003B3E7F">
          <w:rPr>
            <w:rStyle w:val="Hyperlink"/>
            <w:rFonts w:cs="Arial"/>
            <w:noProof/>
          </w:rPr>
          <w:t>Table 2</w:t>
        </w:r>
        <w:r w:rsidR="00836B0E" w:rsidRPr="003B3E7F">
          <w:rPr>
            <w:rStyle w:val="Hyperlink"/>
            <w:rFonts w:cs="Arial"/>
            <w:noProof/>
          </w:rPr>
          <w:noBreakHyphen/>
          <w:t>2: Physical characteristics of the Netherby condensate</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_Toc511032579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9</w:t>
        </w:r>
        <w:r w:rsidR="00836B0E" w:rsidRPr="003B3E7F">
          <w:rPr>
            <w:rFonts w:cs="Arial"/>
            <w:noProof/>
            <w:webHidden/>
          </w:rPr>
          <w:fldChar w:fldCharType="end"/>
        </w:r>
      </w:hyperlink>
    </w:p>
    <w:p w14:paraId="18C7BB7D" w14:textId="4C0D757F" w:rsidR="00836B0E" w:rsidRPr="003B3E7F" w:rsidRDefault="009C6E0E" w:rsidP="00230BCE">
      <w:pPr>
        <w:pStyle w:val="TableofFigures"/>
        <w:tabs>
          <w:tab w:val="right" w:leader="dot" w:pos="9017"/>
        </w:tabs>
        <w:outlineLvl w:val="9"/>
        <w:rPr>
          <w:rFonts w:eastAsiaTheme="minorEastAsia" w:cs="Arial"/>
          <w:noProof/>
          <w:kern w:val="0"/>
        </w:rPr>
      </w:pPr>
      <w:hyperlink w:anchor="_Toc511032580" w:history="1">
        <w:r w:rsidR="00836B0E" w:rsidRPr="003B3E7F">
          <w:rPr>
            <w:rStyle w:val="Hyperlink"/>
            <w:rFonts w:cs="Arial"/>
            <w:noProof/>
          </w:rPr>
          <w:t>Table 3</w:t>
        </w:r>
        <w:r w:rsidR="00836B0E" w:rsidRPr="003B3E7F">
          <w:rPr>
            <w:rStyle w:val="Hyperlink"/>
            <w:rFonts w:cs="Arial"/>
            <w:noProof/>
          </w:rPr>
          <w:noBreakHyphen/>
          <w:t>1: EPBC Act-listed fish species that may occur in the EMBA</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_Toc511032580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17</w:t>
        </w:r>
        <w:r w:rsidR="00836B0E" w:rsidRPr="003B3E7F">
          <w:rPr>
            <w:rFonts w:cs="Arial"/>
            <w:noProof/>
            <w:webHidden/>
          </w:rPr>
          <w:fldChar w:fldCharType="end"/>
        </w:r>
      </w:hyperlink>
    </w:p>
    <w:p w14:paraId="41705857" w14:textId="24AB6523" w:rsidR="00836B0E" w:rsidRPr="003B3E7F" w:rsidRDefault="009C6E0E" w:rsidP="00230BCE">
      <w:pPr>
        <w:pStyle w:val="TableofFigures"/>
        <w:tabs>
          <w:tab w:val="right" w:leader="dot" w:pos="9017"/>
        </w:tabs>
        <w:outlineLvl w:val="9"/>
        <w:rPr>
          <w:rFonts w:eastAsiaTheme="minorEastAsia" w:cs="Arial"/>
          <w:noProof/>
          <w:kern w:val="0"/>
        </w:rPr>
      </w:pPr>
      <w:hyperlink w:anchor="_Toc511032581" w:history="1">
        <w:r w:rsidR="00836B0E" w:rsidRPr="003B3E7F">
          <w:rPr>
            <w:rStyle w:val="Hyperlink"/>
            <w:rFonts w:cs="Arial"/>
            <w:noProof/>
          </w:rPr>
          <w:t>Table 3</w:t>
        </w:r>
        <w:r w:rsidR="00836B0E" w:rsidRPr="003B3E7F">
          <w:rPr>
            <w:rStyle w:val="Hyperlink"/>
            <w:rFonts w:cs="Arial"/>
            <w:noProof/>
          </w:rPr>
          <w:noBreakHyphen/>
          <w:t>2: EPBC Act-listed cetacean species that may occur in the EMBA</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_Toc511032581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19</w:t>
        </w:r>
        <w:r w:rsidR="00836B0E" w:rsidRPr="003B3E7F">
          <w:rPr>
            <w:rFonts w:cs="Arial"/>
            <w:noProof/>
            <w:webHidden/>
          </w:rPr>
          <w:fldChar w:fldCharType="end"/>
        </w:r>
      </w:hyperlink>
    </w:p>
    <w:p w14:paraId="0DF9E8B6" w14:textId="4D209883" w:rsidR="00836B0E" w:rsidRPr="003B3E7F" w:rsidRDefault="009C6E0E" w:rsidP="00230BCE">
      <w:pPr>
        <w:pStyle w:val="TableofFigures"/>
        <w:tabs>
          <w:tab w:val="right" w:leader="dot" w:pos="9017"/>
        </w:tabs>
        <w:outlineLvl w:val="9"/>
        <w:rPr>
          <w:rFonts w:eastAsiaTheme="minorEastAsia" w:cs="Arial"/>
          <w:noProof/>
          <w:kern w:val="0"/>
        </w:rPr>
      </w:pPr>
      <w:hyperlink w:anchor="_Toc511032582" w:history="1">
        <w:r w:rsidR="00836B0E" w:rsidRPr="003B3E7F">
          <w:rPr>
            <w:rStyle w:val="Hyperlink"/>
            <w:rFonts w:cs="Arial"/>
            <w:noProof/>
          </w:rPr>
          <w:t>Table 3</w:t>
        </w:r>
        <w:r w:rsidR="00836B0E" w:rsidRPr="003B3E7F">
          <w:rPr>
            <w:rStyle w:val="Hyperlink"/>
            <w:rFonts w:cs="Arial"/>
            <w:noProof/>
          </w:rPr>
          <w:noBreakHyphen/>
          <w:t>3: EPBC Act-listed pinniped species that may occur in the EMBA</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_Toc511032582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21</w:t>
        </w:r>
        <w:r w:rsidR="00836B0E" w:rsidRPr="003B3E7F">
          <w:rPr>
            <w:rFonts w:cs="Arial"/>
            <w:noProof/>
            <w:webHidden/>
          </w:rPr>
          <w:fldChar w:fldCharType="end"/>
        </w:r>
      </w:hyperlink>
    </w:p>
    <w:p w14:paraId="47613F32" w14:textId="4DCD8236" w:rsidR="00836B0E" w:rsidRPr="003B3E7F" w:rsidRDefault="009C6E0E" w:rsidP="00230BCE">
      <w:pPr>
        <w:pStyle w:val="TableofFigures"/>
        <w:tabs>
          <w:tab w:val="right" w:leader="dot" w:pos="9017"/>
        </w:tabs>
        <w:outlineLvl w:val="9"/>
        <w:rPr>
          <w:rFonts w:eastAsiaTheme="minorEastAsia" w:cs="Arial"/>
          <w:noProof/>
          <w:kern w:val="0"/>
        </w:rPr>
      </w:pPr>
      <w:hyperlink w:anchor="_Toc511032583" w:history="1">
        <w:r w:rsidR="00836B0E" w:rsidRPr="003B3E7F">
          <w:rPr>
            <w:rStyle w:val="Hyperlink"/>
            <w:rFonts w:cs="Arial"/>
            <w:noProof/>
          </w:rPr>
          <w:t>Table 3</w:t>
        </w:r>
        <w:r w:rsidR="00836B0E" w:rsidRPr="003B3E7F">
          <w:rPr>
            <w:rStyle w:val="Hyperlink"/>
            <w:rFonts w:cs="Arial"/>
            <w:noProof/>
          </w:rPr>
          <w:noBreakHyphen/>
          <w:t>4: EPBC Act listed reptile species that may occur in the EMBA</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_Toc511032583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21</w:t>
        </w:r>
        <w:r w:rsidR="00836B0E" w:rsidRPr="003B3E7F">
          <w:rPr>
            <w:rFonts w:cs="Arial"/>
            <w:noProof/>
            <w:webHidden/>
          </w:rPr>
          <w:fldChar w:fldCharType="end"/>
        </w:r>
      </w:hyperlink>
    </w:p>
    <w:p w14:paraId="78C23A07" w14:textId="5C61A754" w:rsidR="00836B0E" w:rsidRPr="003B3E7F" w:rsidRDefault="009C6E0E" w:rsidP="00230BCE">
      <w:pPr>
        <w:pStyle w:val="TableofFigures"/>
        <w:tabs>
          <w:tab w:val="right" w:leader="dot" w:pos="9017"/>
        </w:tabs>
        <w:outlineLvl w:val="9"/>
        <w:rPr>
          <w:rFonts w:eastAsiaTheme="minorEastAsia" w:cs="Arial"/>
          <w:noProof/>
          <w:kern w:val="0"/>
        </w:rPr>
      </w:pPr>
      <w:hyperlink w:anchor="_Toc511032584" w:history="1">
        <w:r w:rsidR="00836B0E" w:rsidRPr="003B3E7F">
          <w:rPr>
            <w:rStyle w:val="Hyperlink"/>
            <w:rFonts w:cs="Arial"/>
            <w:noProof/>
          </w:rPr>
          <w:t>Table 3</w:t>
        </w:r>
        <w:r w:rsidR="00836B0E" w:rsidRPr="003B3E7F">
          <w:rPr>
            <w:rStyle w:val="Hyperlink"/>
            <w:rFonts w:cs="Arial"/>
            <w:noProof/>
          </w:rPr>
          <w:noBreakHyphen/>
          <w:t>5: EPBC Act Listed avifauna that may occur in the EMBA</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_Toc511032584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22</w:t>
        </w:r>
        <w:r w:rsidR="00836B0E" w:rsidRPr="003B3E7F">
          <w:rPr>
            <w:rFonts w:cs="Arial"/>
            <w:noProof/>
            <w:webHidden/>
          </w:rPr>
          <w:fldChar w:fldCharType="end"/>
        </w:r>
      </w:hyperlink>
    </w:p>
    <w:p w14:paraId="4E3908B7" w14:textId="74E0B8DD" w:rsidR="00836B0E" w:rsidRPr="003B3E7F" w:rsidRDefault="009C6E0E" w:rsidP="00230BCE">
      <w:pPr>
        <w:pStyle w:val="TableofFigures"/>
        <w:tabs>
          <w:tab w:val="right" w:leader="dot" w:pos="9017"/>
        </w:tabs>
        <w:outlineLvl w:val="9"/>
        <w:rPr>
          <w:rFonts w:eastAsiaTheme="minorEastAsia" w:cs="Arial"/>
          <w:noProof/>
          <w:kern w:val="0"/>
        </w:rPr>
      </w:pPr>
      <w:hyperlink w:anchor="_Toc511032585" w:history="1">
        <w:r w:rsidR="00836B0E" w:rsidRPr="003B3E7F">
          <w:rPr>
            <w:rStyle w:val="Hyperlink"/>
            <w:rFonts w:cs="Arial"/>
            <w:noProof/>
          </w:rPr>
          <w:t>Table 4</w:t>
        </w:r>
        <w:r w:rsidR="00836B0E" w:rsidRPr="003B3E7F">
          <w:rPr>
            <w:rStyle w:val="Hyperlink"/>
            <w:rFonts w:cs="Arial"/>
            <w:noProof/>
          </w:rPr>
          <w:noBreakHyphen/>
          <w:t>1: Definition of Consequence</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_Toc511032585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31</w:t>
        </w:r>
        <w:r w:rsidR="00836B0E" w:rsidRPr="003B3E7F">
          <w:rPr>
            <w:rFonts w:cs="Arial"/>
            <w:noProof/>
            <w:webHidden/>
          </w:rPr>
          <w:fldChar w:fldCharType="end"/>
        </w:r>
      </w:hyperlink>
    </w:p>
    <w:p w14:paraId="7D103D27" w14:textId="47692D7C" w:rsidR="00836B0E" w:rsidRPr="003B3E7F" w:rsidRDefault="009C6E0E" w:rsidP="00230BCE">
      <w:pPr>
        <w:pStyle w:val="TableofFigures"/>
        <w:tabs>
          <w:tab w:val="right" w:leader="dot" w:pos="9017"/>
        </w:tabs>
        <w:outlineLvl w:val="9"/>
        <w:rPr>
          <w:rFonts w:eastAsiaTheme="minorEastAsia" w:cs="Arial"/>
          <w:noProof/>
          <w:kern w:val="0"/>
        </w:rPr>
      </w:pPr>
      <w:hyperlink w:anchor="_Toc511032586" w:history="1">
        <w:r w:rsidR="00836B0E" w:rsidRPr="003B3E7F">
          <w:rPr>
            <w:rStyle w:val="Hyperlink"/>
            <w:rFonts w:cs="Arial"/>
            <w:noProof/>
          </w:rPr>
          <w:t>Table 4</w:t>
        </w:r>
        <w:r w:rsidR="00836B0E" w:rsidRPr="003B3E7F">
          <w:rPr>
            <w:rStyle w:val="Hyperlink"/>
            <w:rFonts w:cs="Arial"/>
            <w:noProof/>
          </w:rPr>
          <w:noBreakHyphen/>
          <w:t>2: Definition of likelihood</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_Toc511032586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32</w:t>
        </w:r>
        <w:r w:rsidR="00836B0E" w:rsidRPr="003B3E7F">
          <w:rPr>
            <w:rFonts w:cs="Arial"/>
            <w:noProof/>
            <w:webHidden/>
          </w:rPr>
          <w:fldChar w:fldCharType="end"/>
        </w:r>
      </w:hyperlink>
    </w:p>
    <w:p w14:paraId="7306F7DA" w14:textId="6B565A27" w:rsidR="00836B0E" w:rsidRPr="003B3E7F" w:rsidRDefault="009C6E0E" w:rsidP="00230BCE">
      <w:pPr>
        <w:pStyle w:val="TableofFigures"/>
        <w:tabs>
          <w:tab w:val="right" w:leader="dot" w:pos="9017"/>
        </w:tabs>
        <w:outlineLvl w:val="9"/>
        <w:rPr>
          <w:rFonts w:eastAsiaTheme="minorEastAsia" w:cs="Arial"/>
          <w:noProof/>
          <w:kern w:val="0"/>
        </w:rPr>
      </w:pPr>
      <w:hyperlink w:anchor="_Toc511032587" w:history="1">
        <w:r w:rsidR="00836B0E" w:rsidRPr="003B3E7F">
          <w:rPr>
            <w:rStyle w:val="Hyperlink"/>
            <w:rFonts w:cs="Arial"/>
            <w:noProof/>
          </w:rPr>
          <w:t>Table 4</w:t>
        </w:r>
        <w:r w:rsidR="00836B0E" w:rsidRPr="003B3E7F">
          <w:rPr>
            <w:rStyle w:val="Hyperlink"/>
            <w:rFonts w:cs="Arial"/>
            <w:noProof/>
          </w:rPr>
          <w:noBreakHyphen/>
          <w:t>3: Cooper Energy Qualitative Risk Matrix</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_Toc511032587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32</w:t>
        </w:r>
        <w:r w:rsidR="00836B0E" w:rsidRPr="003B3E7F">
          <w:rPr>
            <w:rFonts w:cs="Arial"/>
            <w:noProof/>
            <w:webHidden/>
          </w:rPr>
          <w:fldChar w:fldCharType="end"/>
        </w:r>
      </w:hyperlink>
    </w:p>
    <w:p w14:paraId="6D5F5B9B" w14:textId="6596660E" w:rsidR="00836B0E" w:rsidRPr="003B3E7F" w:rsidRDefault="009C6E0E" w:rsidP="00230BCE">
      <w:pPr>
        <w:pStyle w:val="TableofFigures"/>
        <w:tabs>
          <w:tab w:val="right" w:leader="dot" w:pos="9017"/>
        </w:tabs>
        <w:outlineLvl w:val="9"/>
        <w:rPr>
          <w:rFonts w:eastAsiaTheme="minorEastAsia" w:cs="Arial"/>
          <w:noProof/>
          <w:kern w:val="0"/>
        </w:rPr>
      </w:pPr>
      <w:hyperlink w:anchor="_Toc511032588" w:history="1">
        <w:r w:rsidR="00836B0E" w:rsidRPr="003B3E7F">
          <w:rPr>
            <w:rStyle w:val="Hyperlink"/>
            <w:rFonts w:cs="Arial"/>
            <w:noProof/>
          </w:rPr>
          <w:t>Table 4</w:t>
        </w:r>
        <w:r w:rsidR="00836B0E" w:rsidRPr="003B3E7F">
          <w:rPr>
            <w:rStyle w:val="Hyperlink"/>
            <w:rFonts w:cs="Arial"/>
            <w:noProof/>
          </w:rPr>
          <w:noBreakHyphen/>
          <w:t>4: ALARP Determination for consequence and risk</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_Toc511032588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32</w:t>
        </w:r>
        <w:r w:rsidR="00836B0E" w:rsidRPr="003B3E7F">
          <w:rPr>
            <w:rFonts w:cs="Arial"/>
            <w:noProof/>
            <w:webHidden/>
          </w:rPr>
          <w:fldChar w:fldCharType="end"/>
        </w:r>
      </w:hyperlink>
    </w:p>
    <w:p w14:paraId="7E4A3B6C" w14:textId="12DF1CDF" w:rsidR="00836B0E" w:rsidRPr="003B3E7F" w:rsidRDefault="009C6E0E" w:rsidP="00230BCE">
      <w:pPr>
        <w:pStyle w:val="TableofFigures"/>
        <w:tabs>
          <w:tab w:val="right" w:leader="dot" w:pos="9017"/>
        </w:tabs>
        <w:outlineLvl w:val="9"/>
        <w:rPr>
          <w:rFonts w:eastAsiaTheme="minorEastAsia" w:cs="Arial"/>
          <w:noProof/>
          <w:kern w:val="0"/>
        </w:rPr>
      </w:pPr>
      <w:hyperlink w:anchor="_Toc511032589" w:history="1">
        <w:r w:rsidR="00836B0E" w:rsidRPr="003B3E7F">
          <w:rPr>
            <w:rStyle w:val="Hyperlink"/>
            <w:rFonts w:cs="Arial"/>
            <w:noProof/>
          </w:rPr>
          <w:t>Table 4</w:t>
        </w:r>
        <w:r w:rsidR="00836B0E" w:rsidRPr="003B3E7F">
          <w:rPr>
            <w:rStyle w:val="Hyperlink"/>
            <w:rFonts w:cs="Arial"/>
            <w:noProof/>
          </w:rPr>
          <w:noBreakHyphen/>
          <w:t>5: Management response to impact and risk determination</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_Toc511032589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32</w:t>
        </w:r>
        <w:r w:rsidR="00836B0E" w:rsidRPr="003B3E7F">
          <w:rPr>
            <w:rFonts w:cs="Arial"/>
            <w:noProof/>
            <w:webHidden/>
          </w:rPr>
          <w:fldChar w:fldCharType="end"/>
        </w:r>
      </w:hyperlink>
    </w:p>
    <w:p w14:paraId="00D690A7" w14:textId="3E954172" w:rsidR="00836B0E" w:rsidRPr="003B3E7F" w:rsidRDefault="009C6E0E" w:rsidP="00230BCE">
      <w:pPr>
        <w:pStyle w:val="TableofFigures"/>
        <w:tabs>
          <w:tab w:val="right" w:leader="dot" w:pos="9017"/>
        </w:tabs>
        <w:outlineLvl w:val="9"/>
        <w:rPr>
          <w:rFonts w:eastAsiaTheme="minorEastAsia" w:cs="Arial"/>
          <w:noProof/>
          <w:kern w:val="0"/>
        </w:rPr>
      </w:pPr>
      <w:hyperlink w:anchor="_Toc511032590" w:history="1">
        <w:r w:rsidR="00836B0E" w:rsidRPr="003B3E7F">
          <w:rPr>
            <w:rStyle w:val="Hyperlink"/>
            <w:rFonts w:cs="Arial"/>
            <w:noProof/>
          </w:rPr>
          <w:t>Table 4</w:t>
        </w:r>
        <w:r w:rsidR="00836B0E" w:rsidRPr="003B3E7F">
          <w:rPr>
            <w:rStyle w:val="Hyperlink"/>
            <w:rFonts w:cs="Arial"/>
            <w:noProof/>
          </w:rPr>
          <w:noBreakHyphen/>
          <w:t>6: ALARP decision-making based upon level of uncertainty</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_Toc511032590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34</w:t>
        </w:r>
        <w:r w:rsidR="00836B0E" w:rsidRPr="003B3E7F">
          <w:rPr>
            <w:rFonts w:cs="Arial"/>
            <w:noProof/>
            <w:webHidden/>
          </w:rPr>
          <w:fldChar w:fldCharType="end"/>
        </w:r>
      </w:hyperlink>
    </w:p>
    <w:p w14:paraId="4278183B" w14:textId="3B01DB40" w:rsidR="00836B0E" w:rsidRPr="003B3E7F" w:rsidRDefault="009C6E0E" w:rsidP="00230BCE">
      <w:pPr>
        <w:pStyle w:val="TableofFigures"/>
        <w:tabs>
          <w:tab w:val="right" w:leader="dot" w:pos="9017"/>
        </w:tabs>
        <w:outlineLvl w:val="9"/>
        <w:rPr>
          <w:rFonts w:eastAsiaTheme="minorEastAsia" w:cs="Arial"/>
          <w:noProof/>
          <w:kern w:val="0"/>
        </w:rPr>
      </w:pPr>
      <w:hyperlink w:anchor="_Toc511032591" w:history="1">
        <w:r w:rsidR="00836B0E" w:rsidRPr="003B3E7F">
          <w:rPr>
            <w:rStyle w:val="Hyperlink"/>
            <w:rFonts w:cs="Arial"/>
            <w:noProof/>
          </w:rPr>
          <w:t>Table 4</w:t>
        </w:r>
        <w:r w:rsidR="00836B0E" w:rsidRPr="003B3E7F">
          <w:rPr>
            <w:rStyle w:val="Hyperlink"/>
            <w:rFonts w:cs="Arial"/>
            <w:noProof/>
          </w:rPr>
          <w:noBreakHyphen/>
          <w:t>7: Cooper Energy acceptability criteria</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_Toc511032591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34</w:t>
        </w:r>
        <w:r w:rsidR="00836B0E" w:rsidRPr="003B3E7F">
          <w:rPr>
            <w:rFonts w:cs="Arial"/>
            <w:noProof/>
            <w:webHidden/>
          </w:rPr>
          <w:fldChar w:fldCharType="end"/>
        </w:r>
      </w:hyperlink>
    </w:p>
    <w:p w14:paraId="144666CE" w14:textId="5D3E59C1" w:rsidR="00836B0E" w:rsidRPr="003B3E7F" w:rsidRDefault="009C6E0E" w:rsidP="00230BCE">
      <w:pPr>
        <w:pStyle w:val="TableofFigures"/>
        <w:tabs>
          <w:tab w:val="right" w:leader="dot" w:pos="9017"/>
        </w:tabs>
        <w:outlineLvl w:val="9"/>
        <w:rPr>
          <w:rFonts w:eastAsiaTheme="minorEastAsia" w:cs="Arial"/>
          <w:noProof/>
          <w:kern w:val="0"/>
        </w:rPr>
      </w:pPr>
      <w:hyperlink w:anchor="_Toc511032592" w:history="1">
        <w:r w:rsidR="00836B0E" w:rsidRPr="003B3E7F">
          <w:rPr>
            <w:rStyle w:val="Hyperlink"/>
            <w:rFonts w:cs="Arial"/>
            <w:noProof/>
          </w:rPr>
          <w:t>Table 5</w:t>
        </w:r>
        <w:r w:rsidR="00836B0E" w:rsidRPr="003B3E7F">
          <w:rPr>
            <w:rStyle w:val="Hyperlink"/>
            <w:rFonts w:cs="Arial"/>
            <w:noProof/>
          </w:rPr>
          <w:noBreakHyphen/>
          <w:t>1: CHN assets operations and maintenance environmental impact and risk rankings summary</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_Toc511032592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36</w:t>
        </w:r>
        <w:r w:rsidR="00836B0E" w:rsidRPr="003B3E7F">
          <w:rPr>
            <w:rFonts w:cs="Arial"/>
            <w:noProof/>
            <w:webHidden/>
          </w:rPr>
          <w:fldChar w:fldCharType="end"/>
        </w:r>
      </w:hyperlink>
    </w:p>
    <w:p w14:paraId="6BE2A3D5" w14:textId="517891FC" w:rsidR="00836B0E" w:rsidRPr="003B3E7F" w:rsidRDefault="009C6E0E" w:rsidP="00230BCE">
      <w:pPr>
        <w:pStyle w:val="TableofFigures"/>
        <w:tabs>
          <w:tab w:val="right" w:leader="dot" w:pos="9017"/>
        </w:tabs>
        <w:outlineLvl w:val="9"/>
        <w:rPr>
          <w:rFonts w:eastAsiaTheme="minorEastAsia" w:cs="Arial"/>
          <w:noProof/>
          <w:kern w:val="0"/>
        </w:rPr>
      </w:pPr>
      <w:hyperlink w:anchor="_Toc511032593" w:history="1">
        <w:r w:rsidR="00836B0E" w:rsidRPr="003B3E7F">
          <w:rPr>
            <w:rStyle w:val="Hyperlink"/>
            <w:rFonts w:cs="Arial"/>
            <w:noProof/>
          </w:rPr>
          <w:t>Table 5</w:t>
        </w:r>
        <w:r w:rsidR="00836B0E" w:rsidRPr="003B3E7F">
          <w:rPr>
            <w:rStyle w:val="Hyperlink"/>
            <w:rFonts w:cs="Arial"/>
            <w:noProof/>
          </w:rPr>
          <w:noBreakHyphen/>
          <w:t>2: EIA for seabed disturbance associated with routine maintenance activities</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_Toc511032593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41</w:t>
        </w:r>
        <w:r w:rsidR="00836B0E" w:rsidRPr="003B3E7F">
          <w:rPr>
            <w:rFonts w:cs="Arial"/>
            <w:noProof/>
            <w:webHidden/>
          </w:rPr>
          <w:fldChar w:fldCharType="end"/>
        </w:r>
      </w:hyperlink>
    </w:p>
    <w:p w14:paraId="70B408A7" w14:textId="29D40604" w:rsidR="00836B0E" w:rsidRPr="003B3E7F" w:rsidRDefault="009C6E0E" w:rsidP="00230BCE">
      <w:pPr>
        <w:pStyle w:val="TableofFigures"/>
        <w:tabs>
          <w:tab w:val="right" w:leader="dot" w:pos="9017"/>
        </w:tabs>
        <w:outlineLvl w:val="9"/>
        <w:rPr>
          <w:rFonts w:eastAsiaTheme="minorEastAsia" w:cs="Arial"/>
          <w:noProof/>
          <w:kern w:val="0"/>
        </w:rPr>
      </w:pPr>
      <w:hyperlink w:anchor="_Toc511032594" w:history="1">
        <w:r w:rsidR="00836B0E" w:rsidRPr="003B3E7F">
          <w:rPr>
            <w:rStyle w:val="Hyperlink"/>
            <w:rFonts w:cs="Arial"/>
            <w:noProof/>
          </w:rPr>
          <w:t>Table 5</w:t>
        </w:r>
        <w:r w:rsidR="00836B0E" w:rsidRPr="003B3E7F">
          <w:rPr>
            <w:rStyle w:val="Hyperlink"/>
            <w:rFonts w:cs="Arial"/>
            <w:noProof/>
          </w:rPr>
          <w:noBreakHyphen/>
          <w:t>3: EIA for the removal of marine growth</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_Toc511032594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43</w:t>
        </w:r>
        <w:r w:rsidR="00836B0E" w:rsidRPr="003B3E7F">
          <w:rPr>
            <w:rFonts w:cs="Arial"/>
            <w:noProof/>
            <w:webHidden/>
          </w:rPr>
          <w:fldChar w:fldCharType="end"/>
        </w:r>
      </w:hyperlink>
    </w:p>
    <w:p w14:paraId="45BCEC9F" w14:textId="47D6CD36" w:rsidR="00836B0E" w:rsidRPr="003B3E7F" w:rsidRDefault="009C6E0E" w:rsidP="00230BCE">
      <w:pPr>
        <w:pStyle w:val="TableofFigures"/>
        <w:tabs>
          <w:tab w:val="right" w:leader="dot" w:pos="9017"/>
        </w:tabs>
        <w:outlineLvl w:val="9"/>
        <w:rPr>
          <w:rFonts w:eastAsiaTheme="minorEastAsia" w:cs="Arial"/>
          <w:noProof/>
          <w:kern w:val="0"/>
        </w:rPr>
      </w:pPr>
      <w:hyperlink w:anchor="_Toc511032595" w:history="1">
        <w:r w:rsidR="00836B0E" w:rsidRPr="003B3E7F">
          <w:rPr>
            <w:rStyle w:val="Hyperlink"/>
            <w:rFonts w:cs="Arial"/>
            <w:noProof/>
          </w:rPr>
          <w:t>Table 5</w:t>
        </w:r>
        <w:r w:rsidR="00836B0E" w:rsidRPr="003B3E7F">
          <w:rPr>
            <w:rStyle w:val="Hyperlink"/>
            <w:rFonts w:cs="Arial"/>
            <w:noProof/>
          </w:rPr>
          <w:noBreakHyphen/>
          <w:t>4: EIA for underwater sound</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_Toc511032595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46</w:t>
        </w:r>
        <w:r w:rsidR="00836B0E" w:rsidRPr="003B3E7F">
          <w:rPr>
            <w:rFonts w:cs="Arial"/>
            <w:noProof/>
            <w:webHidden/>
          </w:rPr>
          <w:fldChar w:fldCharType="end"/>
        </w:r>
      </w:hyperlink>
    </w:p>
    <w:p w14:paraId="7BCE76A3" w14:textId="7DDBD809" w:rsidR="00836B0E" w:rsidRPr="003B3E7F" w:rsidRDefault="009C6E0E" w:rsidP="00230BCE">
      <w:pPr>
        <w:pStyle w:val="TableofFigures"/>
        <w:tabs>
          <w:tab w:val="right" w:leader="dot" w:pos="9017"/>
        </w:tabs>
        <w:outlineLvl w:val="9"/>
        <w:rPr>
          <w:rFonts w:eastAsiaTheme="minorEastAsia" w:cs="Arial"/>
          <w:noProof/>
          <w:kern w:val="0"/>
        </w:rPr>
      </w:pPr>
      <w:hyperlink w:anchor="_Toc511032596" w:history="1">
        <w:r w:rsidR="00836B0E" w:rsidRPr="003B3E7F">
          <w:rPr>
            <w:rStyle w:val="Hyperlink"/>
            <w:rFonts w:cs="Arial"/>
            <w:noProof/>
          </w:rPr>
          <w:t>Table 5</w:t>
        </w:r>
        <w:r w:rsidR="00836B0E" w:rsidRPr="003B3E7F">
          <w:rPr>
            <w:rStyle w:val="Hyperlink"/>
            <w:rFonts w:cs="Arial"/>
            <w:noProof/>
          </w:rPr>
          <w:noBreakHyphen/>
          <w:t>5: EIA for atmospheric emissions</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_Toc511032596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48</w:t>
        </w:r>
        <w:r w:rsidR="00836B0E" w:rsidRPr="003B3E7F">
          <w:rPr>
            <w:rFonts w:cs="Arial"/>
            <w:noProof/>
            <w:webHidden/>
          </w:rPr>
          <w:fldChar w:fldCharType="end"/>
        </w:r>
      </w:hyperlink>
    </w:p>
    <w:p w14:paraId="3AAA341D" w14:textId="560ABE73" w:rsidR="00836B0E" w:rsidRPr="003B3E7F" w:rsidRDefault="009C6E0E" w:rsidP="00230BCE">
      <w:pPr>
        <w:pStyle w:val="TableofFigures"/>
        <w:tabs>
          <w:tab w:val="right" w:leader="dot" w:pos="9017"/>
        </w:tabs>
        <w:outlineLvl w:val="9"/>
        <w:rPr>
          <w:rFonts w:eastAsiaTheme="minorEastAsia" w:cs="Arial"/>
          <w:noProof/>
          <w:kern w:val="0"/>
        </w:rPr>
      </w:pPr>
      <w:hyperlink w:anchor="_Toc511032597" w:history="1">
        <w:r w:rsidR="00836B0E" w:rsidRPr="003B3E7F">
          <w:rPr>
            <w:rStyle w:val="Hyperlink"/>
            <w:rFonts w:cs="Arial"/>
            <w:noProof/>
          </w:rPr>
          <w:t>Table 5</w:t>
        </w:r>
        <w:r w:rsidR="00836B0E" w:rsidRPr="003B3E7F">
          <w:rPr>
            <w:rStyle w:val="Hyperlink"/>
            <w:rFonts w:cs="Arial"/>
            <w:noProof/>
          </w:rPr>
          <w:noBreakHyphen/>
          <w:t>6: EIA for light emissions</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_Toc511032597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50</w:t>
        </w:r>
        <w:r w:rsidR="00836B0E" w:rsidRPr="003B3E7F">
          <w:rPr>
            <w:rFonts w:cs="Arial"/>
            <w:noProof/>
            <w:webHidden/>
          </w:rPr>
          <w:fldChar w:fldCharType="end"/>
        </w:r>
      </w:hyperlink>
    </w:p>
    <w:p w14:paraId="2E9E21C4" w14:textId="2A331617" w:rsidR="00836B0E" w:rsidRPr="003B3E7F" w:rsidRDefault="009C6E0E" w:rsidP="00230BCE">
      <w:pPr>
        <w:pStyle w:val="TableofFigures"/>
        <w:tabs>
          <w:tab w:val="right" w:leader="dot" w:pos="9017"/>
        </w:tabs>
        <w:outlineLvl w:val="9"/>
        <w:rPr>
          <w:rFonts w:eastAsiaTheme="minorEastAsia" w:cs="Arial"/>
          <w:noProof/>
          <w:kern w:val="0"/>
        </w:rPr>
      </w:pPr>
      <w:hyperlink w:anchor="_Toc511032598" w:history="1">
        <w:r w:rsidR="00836B0E" w:rsidRPr="003B3E7F">
          <w:rPr>
            <w:rStyle w:val="Hyperlink"/>
            <w:rFonts w:cs="Arial"/>
            <w:noProof/>
          </w:rPr>
          <w:t>Table 5</w:t>
        </w:r>
        <w:r w:rsidR="00836B0E" w:rsidRPr="003B3E7F">
          <w:rPr>
            <w:rStyle w:val="Hyperlink"/>
            <w:rFonts w:cs="Arial"/>
            <w:noProof/>
          </w:rPr>
          <w:noBreakHyphen/>
          <w:t>7: EIA for treated sewage and grey water</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_Toc511032598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52</w:t>
        </w:r>
        <w:r w:rsidR="00836B0E" w:rsidRPr="003B3E7F">
          <w:rPr>
            <w:rFonts w:cs="Arial"/>
            <w:noProof/>
            <w:webHidden/>
          </w:rPr>
          <w:fldChar w:fldCharType="end"/>
        </w:r>
      </w:hyperlink>
    </w:p>
    <w:p w14:paraId="03821EE5" w14:textId="1C9CC91E" w:rsidR="00836B0E" w:rsidRPr="003B3E7F" w:rsidRDefault="009C6E0E" w:rsidP="00230BCE">
      <w:pPr>
        <w:pStyle w:val="TableofFigures"/>
        <w:tabs>
          <w:tab w:val="right" w:leader="dot" w:pos="9017"/>
        </w:tabs>
        <w:outlineLvl w:val="9"/>
        <w:rPr>
          <w:rFonts w:eastAsiaTheme="minorEastAsia" w:cs="Arial"/>
          <w:noProof/>
          <w:kern w:val="0"/>
        </w:rPr>
      </w:pPr>
      <w:hyperlink w:anchor="_Toc511032599" w:history="1">
        <w:r w:rsidR="00836B0E" w:rsidRPr="003B3E7F">
          <w:rPr>
            <w:rStyle w:val="Hyperlink"/>
            <w:rFonts w:cs="Arial"/>
            <w:noProof/>
          </w:rPr>
          <w:t>Table 5</w:t>
        </w:r>
        <w:r w:rsidR="00836B0E" w:rsidRPr="003B3E7F">
          <w:rPr>
            <w:rStyle w:val="Hyperlink"/>
            <w:rFonts w:cs="Arial"/>
            <w:noProof/>
          </w:rPr>
          <w:noBreakHyphen/>
          <w:t>8: EIA for cooling water and brine discharges</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_Toc511032599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54</w:t>
        </w:r>
        <w:r w:rsidR="00836B0E" w:rsidRPr="003B3E7F">
          <w:rPr>
            <w:rFonts w:cs="Arial"/>
            <w:noProof/>
            <w:webHidden/>
          </w:rPr>
          <w:fldChar w:fldCharType="end"/>
        </w:r>
      </w:hyperlink>
    </w:p>
    <w:p w14:paraId="31E7DDA1" w14:textId="2E225A15" w:rsidR="00836B0E" w:rsidRPr="003B3E7F" w:rsidRDefault="009C6E0E" w:rsidP="00230BCE">
      <w:pPr>
        <w:pStyle w:val="TableofFigures"/>
        <w:tabs>
          <w:tab w:val="right" w:leader="dot" w:pos="9017"/>
        </w:tabs>
        <w:outlineLvl w:val="9"/>
        <w:rPr>
          <w:rFonts w:eastAsiaTheme="minorEastAsia" w:cs="Arial"/>
          <w:noProof/>
          <w:kern w:val="0"/>
        </w:rPr>
      </w:pPr>
      <w:hyperlink w:anchor="_Toc511032600" w:history="1">
        <w:r w:rsidR="00836B0E" w:rsidRPr="003B3E7F">
          <w:rPr>
            <w:rStyle w:val="Hyperlink"/>
            <w:rFonts w:cs="Arial"/>
            <w:noProof/>
          </w:rPr>
          <w:t>Table 5</w:t>
        </w:r>
        <w:r w:rsidR="00836B0E" w:rsidRPr="003B3E7F">
          <w:rPr>
            <w:rStyle w:val="Hyperlink"/>
            <w:rFonts w:cs="Arial"/>
            <w:noProof/>
          </w:rPr>
          <w:noBreakHyphen/>
          <w:t>9: EIA for putrescible waste discharges</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_Toc511032600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55</w:t>
        </w:r>
        <w:r w:rsidR="00836B0E" w:rsidRPr="003B3E7F">
          <w:rPr>
            <w:rFonts w:cs="Arial"/>
            <w:noProof/>
            <w:webHidden/>
          </w:rPr>
          <w:fldChar w:fldCharType="end"/>
        </w:r>
      </w:hyperlink>
    </w:p>
    <w:p w14:paraId="272E4A4C" w14:textId="06595223" w:rsidR="00836B0E" w:rsidRPr="003B3E7F" w:rsidRDefault="009C6E0E" w:rsidP="00230BCE">
      <w:pPr>
        <w:pStyle w:val="TableofFigures"/>
        <w:tabs>
          <w:tab w:val="right" w:leader="dot" w:pos="9017"/>
        </w:tabs>
        <w:outlineLvl w:val="9"/>
        <w:rPr>
          <w:rFonts w:eastAsiaTheme="minorEastAsia" w:cs="Arial"/>
          <w:noProof/>
          <w:kern w:val="0"/>
        </w:rPr>
      </w:pPr>
      <w:hyperlink w:anchor="_Toc511032601" w:history="1">
        <w:r w:rsidR="00836B0E" w:rsidRPr="003B3E7F">
          <w:rPr>
            <w:rStyle w:val="Hyperlink"/>
            <w:rFonts w:cs="Arial"/>
            <w:noProof/>
          </w:rPr>
          <w:t>Table 5</w:t>
        </w:r>
        <w:r w:rsidR="00836B0E" w:rsidRPr="003B3E7F">
          <w:rPr>
            <w:rStyle w:val="Hyperlink"/>
            <w:rFonts w:cs="Arial"/>
            <w:noProof/>
          </w:rPr>
          <w:noBreakHyphen/>
          <w:t>10: EIA for treated bilge water discharge</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_Toc511032601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56</w:t>
        </w:r>
        <w:r w:rsidR="00836B0E" w:rsidRPr="003B3E7F">
          <w:rPr>
            <w:rFonts w:cs="Arial"/>
            <w:noProof/>
            <w:webHidden/>
          </w:rPr>
          <w:fldChar w:fldCharType="end"/>
        </w:r>
      </w:hyperlink>
    </w:p>
    <w:p w14:paraId="35E51329" w14:textId="387ADB17" w:rsidR="00836B0E" w:rsidRPr="003B3E7F" w:rsidRDefault="009C6E0E" w:rsidP="00230BCE">
      <w:pPr>
        <w:pStyle w:val="TableofFigures"/>
        <w:tabs>
          <w:tab w:val="right" w:leader="dot" w:pos="9017"/>
        </w:tabs>
        <w:outlineLvl w:val="9"/>
        <w:rPr>
          <w:rFonts w:eastAsiaTheme="minorEastAsia" w:cs="Arial"/>
          <w:noProof/>
          <w:kern w:val="0"/>
        </w:rPr>
      </w:pPr>
      <w:hyperlink w:anchor="_Toc511032602" w:history="1">
        <w:r w:rsidR="00836B0E" w:rsidRPr="003B3E7F">
          <w:rPr>
            <w:rStyle w:val="Hyperlink"/>
            <w:rFonts w:cs="Arial"/>
            <w:noProof/>
          </w:rPr>
          <w:t>Table 5</w:t>
        </w:r>
        <w:r w:rsidR="00836B0E" w:rsidRPr="003B3E7F">
          <w:rPr>
            <w:rStyle w:val="Hyperlink"/>
            <w:rFonts w:cs="Arial"/>
            <w:noProof/>
          </w:rPr>
          <w:noBreakHyphen/>
          <w:t>11: Risk assessment for contaminated deck drainage discharges</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_Toc511032602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57</w:t>
        </w:r>
        <w:r w:rsidR="00836B0E" w:rsidRPr="003B3E7F">
          <w:rPr>
            <w:rFonts w:cs="Arial"/>
            <w:noProof/>
            <w:webHidden/>
          </w:rPr>
          <w:fldChar w:fldCharType="end"/>
        </w:r>
      </w:hyperlink>
    </w:p>
    <w:p w14:paraId="301CE5A9" w14:textId="4CDA19EC" w:rsidR="00836B0E" w:rsidRPr="003B3E7F" w:rsidRDefault="009C6E0E" w:rsidP="00230BCE">
      <w:pPr>
        <w:pStyle w:val="TableofFigures"/>
        <w:tabs>
          <w:tab w:val="right" w:leader="dot" w:pos="9017"/>
        </w:tabs>
        <w:outlineLvl w:val="9"/>
        <w:rPr>
          <w:rFonts w:eastAsiaTheme="minorEastAsia" w:cs="Arial"/>
          <w:noProof/>
          <w:kern w:val="0"/>
        </w:rPr>
      </w:pPr>
      <w:hyperlink w:anchor="_Toc511032603" w:history="1">
        <w:r w:rsidR="00836B0E" w:rsidRPr="003B3E7F">
          <w:rPr>
            <w:rStyle w:val="Hyperlink"/>
            <w:rFonts w:cs="Arial"/>
            <w:noProof/>
          </w:rPr>
          <w:t>Table 5</w:t>
        </w:r>
        <w:r w:rsidR="00836B0E" w:rsidRPr="003B3E7F">
          <w:rPr>
            <w:rStyle w:val="Hyperlink"/>
            <w:rFonts w:cs="Arial"/>
            <w:noProof/>
          </w:rPr>
          <w:noBreakHyphen/>
          <w:t>12: ERA for unplanned production chemical release</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_Toc511032603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59</w:t>
        </w:r>
        <w:r w:rsidR="00836B0E" w:rsidRPr="003B3E7F">
          <w:rPr>
            <w:rFonts w:cs="Arial"/>
            <w:noProof/>
            <w:webHidden/>
          </w:rPr>
          <w:fldChar w:fldCharType="end"/>
        </w:r>
      </w:hyperlink>
    </w:p>
    <w:p w14:paraId="5FA34F19" w14:textId="25F97B49" w:rsidR="00836B0E" w:rsidRPr="003B3E7F" w:rsidRDefault="009C6E0E" w:rsidP="00230BCE">
      <w:pPr>
        <w:pStyle w:val="TableofFigures"/>
        <w:tabs>
          <w:tab w:val="right" w:leader="dot" w:pos="9017"/>
        </w:tabs>
        <w:outlineLvl w:val="9"/>
        <w:rPr>
          <w:rFonts w:eastAsiaTheme="minorEastAsia" w:cs="Arial"/>
          <w:noProof/>
          <w:kern w:val="0"/>
        </w:rPr>
      </w:pPr>
      <w:hyperlink w:anchor="_Toc511032604" w:history="1">
        <w:r w:rsidR="00836B0E" w:rsidRPr="003B3E7F">
          <w:rPr>
            <w:rStyle w:val="Hyperlink"/>
            <w:rFonts w:cs="Arial"/>
            <w:noProof/>
          </w:rPr>
          <w:t>Table 5</w:t>
        </w:r>
        <w:r w:rsidR="00836B0E" w:rsidRPr="003B3E7F">
          <w:rPr>
            <w:rStyle w:val="Hyperlink"/>
            <w:rFonts w:cs="Arial"/>
            <w:noProof/>
          </w:rPr>
          <w:noBreakHyphen/>
          <w:t>13: ERA for displacement of third-party vessels</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_Toc511032604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61</w:t>
        </w:r>
        <w:r w:rsidR="00836B0E" w:rsidRPr="003B3E7F">
          <w:rPr>
            <w:rFonts w:cs="Arial"/>
            <w:noProof/>
            <w:webHidden/>
          </w:rPr>
          <w:fldChar w:fldCharType="end"/>
        </w:r>
      </w:hyperlink>
    </w:p>
    <w:p w14:paraId="171E4F98" w14:textId="3B8088BD" w:rsidR="00836B0E" w:rsidRPr="003B3E7F" w:rsidRDefault="009C6E0E" w:rsidP="00230BCE">
      <w:pPr>
        <w:pStyle w:val="TableofFigures"/>
        <w:tabs>
          <w:tab w:val="right" w:leader="dot" w:pos="9017"/>
        </w:tabs>
        <w:outlineLvl w:val="9"/>
        <w:rPr>
          <w:rFonts w:eastAsiaTheme="minorEastAsia" w:cs="Arial"/>
          <w:noProof/>
          <w:kern w:val="0"/>
        </w:rPr>
      </w:pPr>
      <w:hyperlink w:anchor="_Toc511032605" w:history="1">
        <w:r w:rsidR="00836B0E" w:rsidRPr="003B3E7F">
          <w:rPr>
            <w:rStyle w:val="Hyperlink"/>
            <w:rFonts w:cs="Arial"/>
            <w:noProof/>
          </w:rPr>
          <w:t>Table 5</w:t>
        </w:r>
        <w:r w:rsidR="00836B0E" w:rsidRPr="003B3E7F">
          <w:rPr>
            <w:rStyle w:val="Hyperlink"/>
            <w:rFonts w:cs="Arial"/>
            <w:noProof/>
          </w:rPr>
          <w:noBreakHyphen/>
          <w:t>14: ERA for the introduction of IMS.</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_Toc511032605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63</w:t>
        </w:r>
        <w:r w:rsidR="00836B0E" w:rsidRPr="003B3E7F">
          <w:rPr>
            <w:rFonts w:cs="Arial"/>
            <w:noProof/>
            <w:webHidden/>
          </w:rPr>
          <w:fldChar w:fldCharType="end"/>
        </w:r>
      </w:hyperlink>
    </w:p>
    <w:p w14:paraId="00E04813" w14:textId="2A294196" w:rsidR="00836B0E" w:rsidRPr="003B3E7F" w:rsidRDefault="009C6E0E" w:rsidP="00230BCE">
      <w:pPr>
        <w:pStyle w:val="TableofFigures"/>
        <w:tabs>
          <w:tab w:val="right" w:leader="dot" w:pos="9017"/>
        </w:tabs>
        <w:outlineLvl w:val="9"/>
        <w:rPr>
          <w:rFonts w:eastAsiaTheme="minorEastAsia" w:cs="Arial"/>
          <w:noProof/>
          <w:kern w:val="0"/>
        </w:rPr>
      </w:pPr>
      <w:hyperlink w:anchor="_Toc511032606" w:history="1">
        <w:r w:rsidR="00836B0E" w:rsidRPr="003B3E7F">
          <w:rPr>
            <w:rStyle w:val="Hyperlink"/>
            <w:rFonts w:cs="Arial"/>
            <w:noProof/>
          </w:rPr>
          <w:t>Table 5</w:t>
        </w:r>
        <w:r w:rsidR="00836B0E" w:rsidRPr="003B3E7F">
          <w:rPr>
            <w:rStyle w:val="Hyperlink"/>
            <w:rFonts w:cs="Arial"/>
            <w:noProof/>
          </w:rPr>
          <w:noBreakHyphen/>
          <w:t>15: ERA for vessel strike to megafauna</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_Toc511032606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65</w:t>
        </w:r>
        <w:r w:rsidR="00836B0E" w:rsidRPr="003B3E7F">
          <w:rPr>
            <w:rFonts w:cs="Arial"/>
            <w:noProof/>
            <w:webHidden/>
          </w:rPr>
          <w:fldChar w:fldCharType="end"/>
        </w:r>
      </w:hyperlink>
    </w:p>
    <w:p w14:paraId="3739A9D0" w14:textId="42DC6628" w:rsidR="00836B0E" w:rsidRPr="003B3E7F" w:rsidRDefault="009C6E0E" w:rsidP="00230BCE">
      <w:pPr>
        <w:pStyle w:val="TableofFigures"/>
        <w:tabs>
          <w:tab w:val="right" w:leader="dot" w:pos="9017"/>
        </w:tabs>
        <w:outlineLvl w:val="9"/>
        <w:rPr>
          <w:rFonts w:eastAsiaTheme="minorEastAsia" w:cs="Arial"/>
          <w:noProof/>
          <w:kern w:val="0"/>
        </w:rPr>
      </w:pPr>
      <w:hyperlink w:anchor="_Toc511032607" w:history="1">
        <w:r w:rsidR="00836B0E" w:rsidRPr="003B3E7F">
          <w:rPr>
            <w:rStyle w:val="Hyperlink"/>
            <w:rFonts w:cs="Arial"/>
            <w:noProof/>
          </w:rPr>
          <w:t>Table 5</w:t>
        </w:r>
        <w:r w:rsidR="00836B0E" w:rsidRPr="003B3E7F">
          <w:rPr>
            <w:rStyle w:val="Hyperlink"/>
            <w:rFonts w:cs="Arial"/>
            <w:noProof/>
          </w:rPr>
          <w:noBreakHyphen/>
          <w:t>16: ERA for accidental disposal of waste overboard</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_Toc511032607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67</w:t>
        </w:r>
        <w:r w:rsidR="00836B0E" w:rsidRPr="003B3E7F">
          <w:rPr>
            <w:rFonts w:cs="Arial"/>
            <w:noProof/>
            <w:webHidden/>
          </w:rPr>
          <w:fldChar w:fldCharType="end"/>
        </w:r>
      </w:hyperlink>
    </w:p>
    <w:p w14:paraId="3A347126" w14:textId="0C32A9A3" w:rsidR="00836B0E" w:rsidRPr="003B3E7F" w:rsidRDefault="009C6E0E" w:rsidP="00230BCE">
      <w:pPr>
        <w:pStyle w:val="TableofFigures"/>
        <w:tabs>
          <w:tab w:val="right" w:leader="dot" w:pos="9017"/>
        </w:tabs>
        <w:outlineLvl w:val="9"/>
        <w:rPr>
          <w:rFonts w:eastAsiaTheme="minorEastAsia" w:cs="Arial"/>
          <w:noProof/>
          <w:kern w:val="0"/>
        </w:rPr>
      </w:pPr>
      <w:hyperlink w:anchor="_Toc511032608" w:history="1">
        <w:r w:rsidR="00836B0E" w:rsidRPr="003B3E7F">
          <w:rPr>
            <w:rStyle w:val="Hyperlink"/>
            <w:rFonts w:cs="Arial"/>
            <w:noProof/>
          </w:rPr>
          <w:t>Table 5</w:t>
        </w:r>
        <w:r w:rsidR="00836B0E" w:rsidRPr="003B3E7F">
          <w:rPr>
            <w:rStyle w:val="Hyperlink"/>
            <w:rFonts w:cs="Arial"/>
            <w:noProof/>
          </w:rPr>
          <w:noBreakHyphen/>
          <w:t>17: Equipment loss to the environment ERA</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_Toc511032608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68</w:t>
        </w:r>
        <w:r w:rsidR="00836B0E" w:rsidRPr="003B3E7F">
          <w:rPr>
            <w:rFonts w:cs="Arial"/>
            <w:noProof/>
            <w:webHidden/>
          </w:rPr>
          <w:fldChar w:fldCharType="end"/>
        </w:r>
      </w:hyperlink>
    </w:p>
    <w:p w14:paraId="08E582EB" w14:textId="0CDB5E5F" w:rsidR="00836B0E" w:rsidRPr="003B3E7F" w:rsidRDefault="009C6E0E" w:rsidP="00230BCE">
      <w:pPr>
        <w:pStyle w:val="TableofFigures"/>
        <w:tabs>
          <w:tab w:val="right" w:leader="dot" w:pos="9017"/>
        </w:tabs>
        <w:outlineLvl w:val="9"/>
        <w:rPr>
          <w:rFonts w:eastAsiaTheme="minorEastAsia" w:cs="Arial"/>
          <w:noProof/>
          <w:kern w:val="0"/>
        </w:rPr>
      </w:pPr>
      <w:hyperlink w:anchor="_Toc511032609" w:history="1">
        <w:r w:rsidR="00836B0E" w:rsidRPr="003B3E7F">
          <w:rPr>
            <w:rStyle w:val="Hyperlink"/>
            <w:rFonts w:cs="Arial"/>
            <w:noProof/>
          </w:rPr>
          <w:t>Table 5</w:t>
        </w:r>
        <w:r w:rsidR="00836B0E" w:rsidRPr="003B3E7F">
          <w:rPr>
            <w:rStyle w:val="Hyperlink"/>
            <w:rFonts w:cs="Arial"/>
            <w:noProof/>
          </w:rPr>
          <w:noBreakHyphen/>
          <w:t>18: Hydrocarbon thresholds for impacts assessment purposes</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_Toc511032609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70</w:t>
        </w:r>
        <w:r w:rsidR="00836B0E" w:rsidRPr="003B3E7F">
          <w:rPr>
            <w:rFonts w:cs="Arial"/>
            <w:noProof/>
            <w:webHidden/>
          </w:rPr>
          <w:fldChar w:fldCharType="end"/>
        </w:r>
      </w:hyperlink>
    </w:p>
    <w:p w14:paraId="67DC291E" w14:textId="2320D0B0" w:rsidR="00836B0E" w:rsidRPr="003B3E7F" w:rsidRDefault="009C6E0E" w:rsidP="00230BCE">
      <w:pPr>
        <w:pStyle w:val="TableofFigures"/>
        <w:tabs>
          <w:tab w:val="right" w:leader="dot" w:pos="9017"/>
        </w:tabs>
        <w:outlineLvl w:val="9"/>
        <w:rPr>
          <w:rFonts w:eastAsiaTheme="minorEastAsia" w:cs="Arial"/>
          <w:noProof/>
          <w:kern w:val="0"/>
        </w:rPr>
      </w:pPr>
      <w:hyperlink w:anchor="_Toc511032610" w:history="1">
        <w:r w:rsidR="00836B0E" w:rsidRPr="003B3E7F">
          <w:rPr>
            <w:rStyle w:val="Hyperlink"/>
            <w:rFonts w:cs="Arial"/>
            <w:noProof/>
          </w:rPr>
          <w:t>Table 5</w:t>
        </w:r>
        <w:r w:rsidR="00836B0E" w:rsidRPr="003B3E7F">
          <w:rPr>
            <w:rStyle w:val="Hyperlink"/>
            <w:rFonts w:cs="Arial"/>
            <w:noProof/>
          </w:rPr>
          <w:noBreakHyphen/>
          <w:t>19: Condensate spill modelling summary results</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_Toc511032610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72</w:t>
        </w:r>
        <w:r w:rsidR="00836B0E" w:rsidRPr="003B3E7F">
          <w:rPr>
            <w:rFonts w:cs="Arial"/>
            <w:noProof/>
            <w:webHidden/>
          </w:rPr>
          <w:fldChar w:fldCharType="end"/>
        </w:r>
      </w:hyperlink>
    </w:p>
    <w:p w14:paraId="04224323" w14:textId="440F2432" w:rsidR="00836B0E" w:rsidRPr="003B3E7F" w:rsidRDefault="009C6E0E" w:rsidP="00230BCE">
      <w:pPr>
        <w:pStyle w:val="TableofFigures"/>
        <w:tabs>
          <w:tab w:val="right" w:leader="dot" w:pos="9017"/>
        </w:tabs>
        <w:outlineLvl w:val="9"/>
        <w:rPr>
          <w:rFonts w:eastAsiaTheme="minorEastAsia" w:cs="Arial"/>
          <w:noProof/>
          <w:kern w:val="0"/>
        </w:rPr>
      </w:pPr>
      <w:hyperlink w:anchor="_Toc511032611" w:history="1">
        <w:r w:rsidR="00836B0E" w:rsidRPr="003B3E7F">
          <w:rPr>
            <w:rStyle w:val="Hyperlink"/>
            <w:rFonts w:cs="Arial"/>
            <w:noProof/>
          </w:rPr>
          <w:t>Table 5</w:t>
        </w:r>
        <w:r w:rsidR="00836B0E" w:rsidRPr="003B3E7F">
          <w:rPr>
            <w:rStyle w:val="Hyperlink"/>
            <w:rFonts w:cs="Arial"/>
            <w:noProof/>
          </w:rPr>
          <w:noBreakHyphen/>
          <w:t>20: Sensitivity Criteria for receptors within the EMBA</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_Toc511032611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73</w:t>
        </w:r>
        <w:r w:rsidR="00836B0E" w:rsidRPr="003B3E7F">
          <w:rPr>
            <w:rFonts w:cs="Arial"/>
            <w:noProof/>
            <w:webHidden/>
          </w:rPr>
          <w:fldChar w:fldCharType="end"/>
        </w:r>
      </w:hyperlink>
    </w:p>
    <w:p w14:paraId="31764406" w14:textId="710C279E" w:rsidR="00836B0E" w:rsidRPr="003B3E7F" w:rsidRDefault="009C6E0E" w:rsidP="00230BCE">
      <w:pPr>
        <w:pStyle w:val="TableofFigures"/>
        <w:tabs>
          <w:tab w:val="right" w:leader="dot" w:pos="9017"/>
        </w:tabs>
        <w:outlineLvl w:val="9"/>
        <w:rPr>
          <w:rFonts w:eastAsiaTheme="minorEastAsia" w:cs="Arial"/>
          <w:noProof/>
          <w:kern w:val="0"/>
        </w:rPr>
      </w:pPr>
      <w:hyperlink w:anchor="_Toc511032612" w:history="1">
        <w:r w:rsidR="00836B0E" w:rsidRPr="003B3E7F">
          <w:rPr>
            <w:rStyle w:val="Hyperlink"/>
            <w:rFonts w:cs="Arial"/>
            <w:noProof/>
          </w:rPr>
          <w:t>Table 5</w:t>
        </w:r>
        <w:r w:rsidR="00836B0E" w:rsidRPr="003B3E7F">
          <w:rPr>
            <w:rStyle w:val="Hyperlink"/>
            <w:rFonts w:cs="Arial"/>
            <w:noProof/>
          </w:rPr>
          <w:noBreakHyphen/>
          <w:t>22: Potential impacts of hydrocarbons on benthic assemblages</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_Toc511032612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75</w:t>
        </w:r>
        <w:r w:rsidR="00836B0E" w:rsidRPr="003B3E7F">
          <w:rPr>
            <w:rFonts w:cs="Arial"/>
            <w:noProof/>
            <w:webHidden/>
          </w:rPr>
          <w:fldChar w:fldCharType="end"/>
        </w:r>
      </w:hyperlink>
    </w:p>
    <w:p w14:paraId="211C5766" w14:textId="3B9D3329" w:rsidR="00836B0E" w:rsidRPr="003B3E7F" w:rsidRDefault="009C6E0E" w:rsidP="00230BCE">
      <w:pPr>
        <w:pStyle w:val="TableofFigures"/>
        <w:tabs>
          <w:tab w:val="right" w:leader="dot" w:pos="9017"/>
        </w:tabs>
        <w:outlineLvl w:val="9"/>
        <w:rPr>
          <w:rFonts w:eastAsiaTheme="minorEastAsia" w:cs="Arial"/>
          <w:noProof/>
          <w:kern w:val="0"/>
        </w:rPr>
      </w:pPr>
      <w:hyperlink w:anchor="_Toc511032613" w:history="1">
        <w:r w:rsidR="00836B0E" w:rsidRPr="003B3E7F">
          <w:rPr>
            <w:rStyle w:val="Hyperlink"/>
            <w:rFonts w:cs="Arial"/>
            <w:noProof/>
          </w:rPr>
          <w:t>Table 5</w:t>
        </w:r>
        <w:r w:rsidR="00836B0E" w:rsidRPr="003B3E7F">
          <w:rPr>
            <w:rStyle w:val="Hyperlink"/>
            <w:rFonts w:cs="Arial"/>
            <w:noProof/>
          </w:rPr>
          <w:noBreakHyphen/>
          <w:t>23: Potential impacts of hydrocarbon on plankton (including fish larvae)</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_Toc511032613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76</w:t>
        </w:r>
        <w:r w:rsidR="00836B0E" w:rsidRPr="003B3E7F">
          <w:rPr>
            <w:rFonts w:cs="Arial"/>
            <w:noProof/>
            <w:webHidden/>
          </w:rPr>
          <w:fldChar w:fldCharType="end"/>
        </w:r>
      </w:hyperlink>
    </w:p>
    <w:p w14:paraId="5751A6E4" w14:textId="2CDD0EB6" w:rsidR="00836B0E" w:rsidRPr="003B3E7F" w:rsidRDefault="009C6E0E" w:rsidP="00230BCE">
      <w:pPr>
        <w:pStyle w:val="TableofFigures"/>
        <w:tabs>
          <w:tab w:val="right" w:leader="dot" w:pos="9017"/>
        </w:tabs>
        <w:outlineLvl w:val="9"/>
        <w:rPr>
          <w:rFonts w:eastAsiaTheme="minorEastAsia" w:cs="Arial"/>
          <w:noProof/>
          <w:kern w:val="0"/>
        </w:rPr>
      </w:pPr>
      <w:hyperlink w:anchor="_Toc511032614" w:history="1">
        <w:r w:rsidR="00836B0E" w:rsidRPr="003B3E7F">
          <w:rPr>
            <w:rStyle w:val="Hyperlink"/>
            <w:rFonts w:cs="Arial"/>
            <w:noProof/>
          </w:rPr>
          <w:t>Table 5</w:t>
        </w:r>
        <w:r w:rsidR="00836B0E" w:rsidRPr="003B3E7F">
          <w:rPr>
            <w:rStyle w:val="Hyperlink"/>
            <w:rFonts w:cs="Arial"/>
            <w:noProof/>
          </w:rPr>
          <w:noBreakHyphen/>
          <w:t>24: Potential impacts of hydrocarbons on pelagic fish</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_Toc511032614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77</w:t>
        </w:r>
        <w:r w:rsidR="00836B0E" w:rsidRPr="003B3E7F">
          <w:rPr>
            <w:rFonts w:cs="Arial"/>
            <w:noProof/>
            <w:webHidden/>
          </w:rPr>
          <w:fldChar w:fldCharType="end"/>
        </w:r>
      </w:hyperlink>
    </w:p>
    <w:p w14:paraId="727C5390" w14:textId="4AF758AD" w:rsidR="00836B0E" w:rsidRPr="003B3E7F" w:rsidRDefault="009C6E0E" w:rsidP="00230BCE">
      <w:pPr>
        <w:pStyle w:val="TableofFigures"/>
        <w:tabs>
          <w:tab w:val="right" w:leader="dot" w:pos="9017"/>
        </w:tabs>
        <w:outlineLvl w:val="9"/>
        <w:rPr>
          <w:rFonts w:eastAsiaTheme="minorEastAsia" w:cs="Arial"/>
          <w:noProof/>
          <w:kern w:val="0"/>
        </w:rPr>
      </w:pPr>
      <w:hyperlink w:anchor="_Toc511032615" w:history="1">
        <w:r w:rsidR="00836B0E" w:rsidRPr="003B3E7F">
          <w:rPr>
            <w:rStyle w:val="Hyperlink"/>
            <w:rFonts w:cs="Arial"/>
            <w:noProof/>
          </w:rPr>
          <w:t>Table 5</w:t>
        </w:r>
        <w:r w:rsidR="00836B0E" w:rsidRPr="003B3E7F">
          <w:rPr>
            <w:rStyle w:val="Hyperlink"/>
            <w:rFonts w:cs="Arial"/>
            <w:noProof/>
          </w:rPr>
          <w:noBreakHyphen/>
          <w:t>25: Potential impacts of hydrocarbons on cetaceans</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_Toc511032615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78</w:t>
        </w:r>
        <w:r w:rsidR="00836B0E" w:rsidRPr="003B3E7F">
          <w:rPr>
            <w:rFonts w:cs="Arial"/>
            <w:noProof/>
            <w:webHidden/>
          </w:rPr>
          <w:fldChar w:fldCharType="end"/>
        </w:r>
      </w:hyperlink>
    </w:p>
    <w:p w14:paraId="269EBA3E" w14:textId="5C6259DD" w:rsidR="00836B0E" w:rsidRPr="003B3E7F" w:rsidRDefault="009C6E0E" w:rsidP="00230BCE">
      <w:pPr>
        <w:pStyle w:val="TableofFigures"/>
        <w:tabs>
          <w:tab w:val="right" w:leader="dot" w:pos="9017"/>
        </w:tabs>
        <w:outlineLvl w:val="9"/>
        <w:rPr>
          <w:rFonts w:eastAsiaTheme="minorEastAsia" w:cs="Arial"/>
          <w:noProof/>
          <w:kern w:val="0"/>
        </w:rPr>
      </w:pPr>
      <w:hyperlink w:anchor="_Toc511032616" w:history="1">
        <w:r w:rsidR="00836B0E" w:rsidRPr="003B3E7F">
          <w:rPr>
            <w:rStyle w:val="Hyperlink"/>
            <w:rFonts w:cs="Arial"/>
            <w:noProof/>
          </w:rPr>
          <w:t>Table 5</w:t>
        </w:r>
        <w:r w:rsidR="00836B0E" w:rsidRPr="003B3E7F">
          <w:rPr>
            <w:rStyle w:val="Hyperlink"/>
            <w:rFonts w:cs="Arial"/>
            <w:noProof/>
          </w:rPr>
          <w:noBreakHyphen/>
          <w:t>26: Potential impacts of hydrocarbons on pinnipeds</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_Toc511032616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80</w:t>
        </w:r>
        <w:r w:rsidR="00836B0E" w:rsidRPr="003B3E7F">
          <w:rPr>
            <w:rFonts w:cs="Arial"/>
            <w:noProof/>
            <w:webHidden/>
          </w:rPr>
          <w:fldChar w:fldCharType="end"/>
        </w:r>
      </w:hyperlink>
    </w:p>
    <w:p w14:paraId="325BAAF9" w14:textId="5B1F83AC" w:rsidR="00836B0E" w:rsidRPr="003B3E7F" w:rsidRDefault="009C6E0E" w:rsidP="00230BCE">
      <w:pPr>
        <w:pStyle w:val="TableofFigures"/>
        <w:tabs>
          <w:tab w:val="right" w:leader="dot" w:pos="9017"/>
        </w:tabs>
        <w:outlineLvl w:val="9"/>
        <w:rPr>
          <w:rFonts w:eastAsiaTheme="minorEastAsia" w:cs="Arial"/>
          <w:noProof/>
          <w:kern w:val="0"/>
        </w:rPr>
      </w:pPr>
      <w:hyperlink w:anchor="_Toc511032617" w:history="1">
        <w:r w:rsidR="00836B0E" w:rsidRPr="003B3E7F">
          <w:rPr>
            <w:rStyle w:val="Hyperlink"/>
            <w:rFonts w:cs="Arial"/>
            <w:noProof/>
          </w:rPr>
          <w:t>Table 5</w:t>
        </w:r>
        <w:r w:rsidR="00836B0E" w:rsidRPr="003B3E7F">
          <w:rPr>
            <w:rStyle w:val="Hyperlink"/>
            <w:rFonts w:cs="Arial"/>
            <w:noProof/>
          </w:rPr>
          <w:noBreakHyphen/>
          <w:t>27: Potential impacts of hydrocarbons on marine reptiles</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_Toc511032617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81</w:t>
        </w:r>
        <w:r w:rsidR="00836B0E" w:rsidRPr="003B3E7F">
          <w:rPr>
            <w:rFonts w:cs="Arial"/>
            <w:noProof/>
            <w:webHidden/>
          </w:rPr>
          <w:fldChar w:fldCharType="end"/>
        </w:r>
      </w:hyperlink>
    </w:p>
    <w:p w14:paraId="01BAF31E" w14:textId="4352DA6C" w:rsidR="00836B0E" w:rsidRPr="003B3E7F" w:rsidRDefault="009C6E0E" w:rsidP="00230BCE">
      <w:pPr>
        <w:pStyle w:val="TableofFigures"/>
        <w:tabs>
          <w:tab w:val="right" w:leader="dot" w:pos="9017"/>
        </w:tabs>
        <w:outlineLvl w:val="9"/>
        <w:rPr>
          <w:rFonts w:eastAsiaTheme="minorEastAsia" w:cs="Arial"/>
          <w:noProof/>
          <w:kern w:val="0"/>
        </w:rPr>
      </w:pPr>
      <w:hyperlink w:anchor="_Toc511032618" w:history="1">
        <w:r w:rsidR="00836B0E" w:rsidRPr="003B3E7F">
          <w:rPr>
            <w:rStyle w:val="Hyperlink"/>
            <w:rFonts w:cs="Arial"/>
            <w:noProof/>
          </w:rPr>
          <w:t>Table 5</w:t>
        </w:r>
        <w:r w:rsidR="00836B0E" w:rsidRPr="003B3E7F">
          <w:rPr>
            <w:rStyle w:val="Hyperlink"/>
            <w:rFonts w:cs="Arial"/>
            <w:noProof/>
          </w:rPr>
          <w:noBreakHyphen/>
          <w:t>28: Potential impacts of hydrocarbons on seabirds and shorebirds</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_Toc511032618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82</w:t>
        </w:r>
        <w:r w:rsidR="00836B0E" w:rsidRPr="003B3E7F">
          <w:rPr>
            <w:rFonts w:cs="Arial"/>
            <w:noProof/>
            <w:webHidden/>
          </w:rPr>
          <w:fldChar w:fldCharType="end"/>
        </w:r>
      </w:hyperlink>
    </w:p>
    <w:p w14:paraId="7C0D8582" w14:textId="73527E27" w:rsidR="00836B0E" w:rsidRPr="003B3E7F" w:rsidRDefault="009C6E0E" w:rsidP="00230BCE">
      <w:pPr>
        <w:pStyle w:val="TableofFigures"/>
        <w:tabs>
          <w:tab w:val="right" w:leader="dot" w:pos="9017"/>
        </w:tabs>
        <w:outlineLvl w:val="9"/>
        <w:rPr>
          <w:rFonts w:eastAsiaTheme="minorEastAsia" w:cs="Arial"/>
          <w:noProof/>
          <w:kern w:val="0"/>
        </w:rPr>
      </w:pPr>
      <w:hyperlink w:anchor="_Toc511032619" w:history="1">
        <w:r w:rsidR="00836B0E" w:rsidRPr="003B3E7F">
          <w:rPr>
            <w:rStyle w:val="Hyperlink"/>
            <w:rFonts w:cs="Arial"/>
            <w:noProof/>
          </w:rPr>
          <w:t>Table 5</w:t>
        </w:r>
        <w:r w:rsidR="00836B0E" w:rsidRPr="003B3E7F">
          <w:rPr>
            <w:rStyle w:val="Hyperlink"/>
            <w:rFonts w:cs="Arial"/>
            <w:noProof/>
          </w:rPr>
          <w:noBreakHyphen/>
          <w:t>29: Potential impacts of hydrocarbons on sandy beaches</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_Toc511032619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83</w:t>
        </w:r>
        <w:r w:rsidR="00836B0E" w:rsidRPr="003B3E7F">
          <w:rPr>
            <w:rFonts w:cs="Arial"/>
            <w:noProof/>
            <w:webHidden/>
          </w:rPr>
          <w:fldChar w:fldCharType="end"/>
        </w:r>
      </w:hyperlink>
    </w:p>
    <w:p w14:paraId="2DC7D49A" w14:textId="330AA609" w:rsidR="00836B0E" w:rsidRPr="003B3E7F" w:rsidRDefault="009C6E0E" w:rsidP="00230BCE">
      <w:pPr>
        <w:pStyle w:val="TableofFigures"/>
        <w:tabs>
          <w:tab w:val="right" w:leader="dot" w:pos="9017"/>
        </w:tabs>
        <w:outlineLvl w:val="9"/>
        <w:rPr>
          <w:rFonts w:eastAsiaTheme="minorEastAsia" w:cs="Arial"/>
          <w:noProof/>
          <w:kern w:val="0"/>
        </w:rPr>
      </w:pPr>
      <w:hyperlink w:anchor="_Toc511032620" w:history="1">
        <w:r w:rsidR="00836B0E" w:rsidRPr="003B3E7F">
          <w:rPr>
            <w:rStyle w:val="Hyperlink"/>
            <w:rFonts w:cs="Arial"/>
            <w:noProof/>
          </w:rPr>
          <w:t>Table 5</w:t>
        </w:r>
        <w:r w:rsidR="00836B0E" w:rsidRPr="003B3E7F">
          <w:rPr>
            <w:rStyle w:val="Hyperlink"/>
            <w:rFonts w:cs="Arial"/>
            <w:noProof/>
          </w:rPr>
          <w:noBreakHyphen/>
          <w:t>30: Potential impacts of hydrocarbons to rocky shores</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_Toc511032620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84</w:t>
        </w:r>
        <w:r w:rsidR="00836B0E" w:rsidRPr="003B3E7F">
          <w:rPr>
            <w:rFonts w:cs="Arial"/>
            <w:noProof/>
            <w:webHidden/>
          </w:rPr>
          <w:fldChar w:fldCharType="end"/>
        </w:r>
      </w:hyperlink>
    </w:p>
    <w:p w14:paraId="6633D29D" w14:textId="50FE6BA6" w:rsidR="00836B0E" w:rsidRPr="003B3E7F" w:rsidRDefault="009C6E0E" w:rsidP="00230BCE">
      <w:pPr>
        <w:pStyle w:val="TableofFigures"/>
        <w:tabs>
          <w:tab w:val="right" w:leader="dot" w:pos="9017"/>
        </w:tabs>
        <w:outlineLvl w:val="9"/>
        <w:rPr>
          <w:rFonts w:eastAsiaTheme="minorEastAsia" w:cs="Arial"/>
          <w:noProof/>
          <w:kern w:val="0"/>
        </w:rPr>
      </w:pPr>
      <w:hyperlink w:anchor="_Toc511032621" w:history="1">
        <w:r w:rsidR="00836B0E" w:rsidRPr="003B3E7F">
          <w:rPr>
            <w:rStyle w:val="Hyperlink"/>
            <w:rFonts w:cs="Arial"/>
            <w:noProof/>
          </w:rPr>
          <w:t>Table 5</w:t>
        </w:r>
        <w:r w:rsidR="00836B0E" w:rsidRPr="003B3E7F">
          <w:rPr>
            <w:rStyle w:val="Hyperlink"/>
            <w:rFonts w:cs="Arial"/>
            <w:noProof/>
          </w:rPr>
          <w:noBreakHyphen/>
          <w:t>31: Potential impacts of hydrocarbons to macro-algal communities</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_Toc511032621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85</w:t>
        </w:r>
        <w:r w:rsidR="00836B0E" w:rsidRPr="003B3E7F">
          <w:rPr>
            <w:rFonts w:cs="Arial"/>
            <w:noProof/>
            <w:webHidden/>
          </w:rPr>
          <w:fldChar w:fldCharType="end"/>
        </w:r>
      </w:hyperlink>
    </w:p>
    <w:p w14:paraId="6D23B37D" w14:textId="5645EE08" w:rsidR="00836B0E" w:rsidRPr="003B3E7F" w:rsidRDefault="009C6E0E" w:rsidP="00230BCE">
      <w:pPr>
        <w:pStyle w:val="TableofFigures"/>
        <w:tabs>
          <w:tab w:val="right" w:leader="dot" w:pos="9017"/>
        </w:tabs>
        <w:outlineLvl w:val="9"/>
        <w:rPr>
          <w:rFonts w:eastAsiaTheme="minorEastAsia" w:cs="Arial"/>
          <w:noProof/>
          <w:kern w:val="0"/>
        </w:rPr>
      </w:pPr>
      <w:hyperlink w:anchor="_Toc511032622" w:history="1">
        <w:r w:rsidR="00836B0E" w:rsidRPr="003B3E7F">
          <w:rPr>
            <w:rStyle w:val="Hyperlink"/>
            <w:rFonts w:cs="Arial"/>
            <w:noProof/>
          </w:rPr>
          <w:t>Table 5</w:t>
        </w:r>
        <w:r w:rsidR="00836B0E" w:rsidRPr="003B3E7F">
          <w:rPr>
            <w:rStyle w:val="Hyperlink"/>
            <w:rFonts w:cs="Arial"/>
            <w:noProof/>
          </w:rPr>
          <w:noBreakHyphen/>
          <w:t>32: Potential impacts of hydrocarbons to coastal saltmarsh communities</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_Toc511032622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86</w:t>
        </w:r>
        <w:r w:rsidR="00836B0E" w:rsidRPr="003B3E7F">
          <w:rPr>
            <w:rFonts w:cs="Arial"/>
            <w:noProof/>
            <w:webHidden/>
          </w:rPr>
          <w:fldChar w:fldCharType="end"/>
        </w:r>
      </w:hyperlink>
    </w:p>
    <w:p w14:paraId="0DA9B62E" w14:textId="74C389E4" w:rsidR="00836B0E" w:rsidRPr="003B3E7F" w:rsidRDefault="009C6E0E" w:rsidP="00230BCE">
      <w:pPr>
        <w:pStyle w:val="TableofFigures"/>
        <w:tabs>
          <w:tab w:val="right" w:leader="dot" w:pos="9017"/>
        </w:tabs>
        <w:outlineLvl w:val="9"/>
        <w:rPr>
          <w:rFonts w:eastAsiaTheme="minorEastAsia" w:cs="Arial"/>
          <w:noProof/>
          <w:kern w:val="0"/>
        </w:rPr>
      </w:pPr>
      <w:hyperlink w:anchor="_Toc511032623" w:history="1">
        <w:r w:rsidR="00836B0E" w:rsidRPr="003B3E7F">
          <w:rPr>
            <w:rStyle w:val="Hyperlink"/>
            <w:rFonts w:cs="Arial"/>
            <w:noProof/>
          </w:rPr>
          <w:t>Table 5</w:t>
        </w:r>
        <w:r w:rsidR="00836B0E" w:rsidRPr="003B3E7F">
          <w:rPr>
            <w:rStyle w:val="Hyperlink"/>
            <w:rFonts w:cs="Arial"/>
            <w:noProof/>
          </w:rPr>
          <w:noBreakHyphen/>
          <w:t>33: Potential impacts of hydrocarbons to commercial fishing</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_Toc511032623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87</w:t>
        </w:r>
        <w:r w:rsidR="00836B0E" w:rsidRPr="003B3E7F">
          <w:rPr>
            <w:rFonts w:cs="Arial"/>
            <w:noProof/>
            <w:webHidden/>
          </w:rPr>
          <w:fldChar w:fldCharType="end"/>
        </w:r>
      </w:hyperlink>
    </w:p>
    <w:p w14:paraId="42BEA840" w14:textId="3C5DD34E" w:rsidR="00836B0E" w:rsidRPr="003B3E7F" w:rsidRDefault="009C6E0E" w:rsidP="00230BCE">
      <w:pPr>
        <w:pStyle w:val="TableofFigures"/>
        <w:tabs>
          <w:tab w:val="right" w:leader="dot" w:pos="9017"/>
        </w:tabs>
        <w:outlineLvl w:val="9"/>
        <w:rPr>
          <w:rFonts w:eastAsiaTheme="minorEastAsia" w:cs="Arial"/>
          <w:noProof/>
          <w:kern w:val="0"/>
        </w:rPr>
      </w:pPr>
      <w:hyperlink w:anchor="_Toc511032624" w:history="1">
        <w:r w:rsidR="00836B0E" w:rsidRPr="003B3E7F">
          <w:rPr>
            <w:rStyle w:val="Hyperlink"/>
            <w:rFonts w:cs="Arial"/>
            <w:noProof/>
          </w:rPr>
          <w:t>Table 5</w:t>
        </w:r>
        <w:r w:rsidR="00836B0E" w:rsidRPr="003B3E7F">
          <w:rPr>
            <w:rStyle w:val="Hyperlink"/>
            <w:rFonts w:cs="Arial"/>
            <w:noProof/>
          </w:rPr>
          <w:noBreakHyphen/>
          <w:t>34: Potential impacts of hydrocarbons to tourism</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_Toc511032624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88</w:t>
        </w:r>
        <w:r w:rsidR="00836B0E" w:rsidRPr="003B3E7F">
          <w:rPr>
            <w:rFonts w:cs="Arial"/>
            <w:noProof/>
            <w:webHidden/>
          </w:rPr>
          <w:fldChar w:fldCharType="end"/>
        </w:r>
      </w:hyperlink>
    </w:p>
    <w:p w14:paraId="2749792A" w14:textId="2FE571C5" w:rsidR="00836B0E" w:rsidRPr="003B3E7F" w:rsidRDefault="009C6E0E" w:rsidP="00230BCE">
      <w:pPr>
        <w:pStyle w:val="TableofFigures"/>
        <w:tabs>
          <w:tab w:val="right" w:leader="dot" w:pos="9017"/>
        </w:tabs>
        <w:outlineLvl w:val="9"/>
        <w:rPr>
          <w:rFonts w:eastAsiaTheme="minorEastAsia" w:cs="Arial"/>
          <w:noProof/>
          <w:kern w:val="0"/>
        </w:rPr>
      </w:pPr>
      <w:hyperlink w:anchor="_Toc511032625" w:history="1">
        <w:r w:rsidR="00836B0E" w:rsidRPr="003B3E7F">
          <w:rPr>
            <w:rStyle w:val="Hyperlink"/>
            <w:rFonts w:cs="Arial"/>
            <w:noProof/>
          </w:rPr>
          <w:t>Table 5</w:t>
        </w:r>
        <w:r w:rsidR="00836B0E" w:rsidRPr="003B3E7F">
          <w:rPr>
            <w:rStyle w:val="Hyperlink"/>
            <w:rFonts w:cs="Arial"/>
            <w:noProof/>
          </w:rPr>
          <w:noBreakHyphen/>
          <w:t>35: ERA for condensate LOC</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_Toc511032625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89</w:t>
        </w:r>
        <w:r w:rsidR="00836B0E" w:rsidRPr="003B3E7F">
          <w:rPr>
            <w:rFonts w:cs="Arial"/>
            <w:noProof/>
            <w:webHidden/>
          </w:rPr>
          <w:fldChar w:fldCharType="end"/>
        </w:r>
      </w:hyperlink>
    </w:p>
    <w:p w14:paraId="48BA18E6" w14:textId="10227AFE" w:rsidR="00836B0E" w:rsidRPr="003B3E7F" w:rsidRDefault="009C6E0E" w:rsidP="00230BCE">
      <w:pPr>
        <w:pStyle w:val="TableofFigures"/>
        <w:tabs>
          <w:tab w:val="right" w:leader="dot" w:pos="9017"/>
        </w:tabs>
        <w:outlineLvl w:val="9"/>
        <w:rPr>
          <w:rFonts w:eastAsiaTheme="minorEastAsia" w:cs="Arial"/>
          <w:noProof/>
          <w:kern w:val="0"/>
        </w:rPr>
      </w:pPr>
      <w:hyperlink w:anchor="_Toc511032626" w:history="1">
        <w:r w:rsidR="00836B0E" w:rsidRPr="003B3E7F">
          <w:rPr>
            <w:rStyle w:val="Hyperlink"/>
            <w:rFonts w:cs="Arial"/>
            <w:noProof/>
          </w:rPr>
          <w:t>Table 5</w:t>
        </w:r>
        <w:r w:rsidR="00836B0E" w:rsidRPr="003B3E7F">
          <w:rPr>
            <w:rStyle w:val="Hyperlink"/>
            <w:rFonts w:cs="Arial"/>
            <w:noProof/>
          </w:rPr>
          <w:noBreakHyphen/>
          <w:t>36: Boiling Ranges and physical characteristics of MDO used in OSTM</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_Toc511032626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91</w:t>
        </w:r>
        <w:r w:rsidR="00836B0E" w:rsidRPr="003B3E7F">
          <w:rPr>
            <w:rFonts w:cs="Arial"/>
            <w:noProof/>
            <w:webHidden/>
          </w:rPr>
          <w:fldChar w:fldCharType="end"/>
        </w:r>
      </w:hyperlink>
    </w:p>
    <w:p w14:paraId="265A04D3" w14:textId="2DC994BB" w:rsidR="00836B0E" w:rsidRPr="003B3E7F" w:rsidRDefault="009C6E0E" w:rsidP="00230BCE">
      <w:pPr>
        <w:pStyle w:val="TableofFigures"/>
        <w:tabs>
          <w:tab w:val="right" w:leader="dot" w:pos="9017"/>
        </w:tabs>
        <w:outlineLvl w:val="9"/>
        <w:rPr>
          <w:rFonts w:eastAsiaTheme="minorEastAsia" w:cs="Arial"/>
          <w:noProof/>
          <w:kern w:val="0"/>
        </w:rPr>
      </w:pPr>
      <w:hyperlink w:anchor="_Toc511032627" w:history="1">
        <w:r w:rsidR="00836B0E" w:rsidRPr="003B3E7F">
          <w:rPr>
            <w:rStyle w:val="Hyperlink"/>
            <w:rFonts w:cs="Arial"/>
            <w:noProof/>
          </w:rPr>
          <w:t>Table 5</w:t>
        </w:r>
        <w:r w:rsidR="00836B0E" w:rsidRPr="003B3E7F">
          <w:rPr>
            <w:rStyle w:val="Hyperlink"/>
            <w:rFonts w:cs="Arial"/>
            <w:noProof/>
          </w:rPr>
          <w:noBreakHyphen/>
          <w:t>37: MDO OSTM summary results</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_Toc511032627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92</w:t>
        </w:r>
        <w:r w:rsidR="00836B0E" w:rsidRPr="003B3E7F">
          <w:rPr>
            <w:rFonts w:cs="Arial"/>
            <w:noProof/>
            <w:webHidden/>
          </w:rPr>
          <w:fldChar w:fldCharType="end"/>
        </w:r>
      </w:hyperlink>
    </w:p>
    <w:p w14:paraId="6677E140" w14:textId="37DB2051" w:rsidR="00836B0E" w:rsidRPr="003B3E7F" w:rsidRDefault="009C6E0E" w:rsidP="00230BCE">
      <w:pPr>
        <w:pStyle w:val="TableofFigures"/>
        <w:tabs>
          <w:tab w:val="right" w:leader="dot" w:pos="9017"/>
        </w:tabs>
        <w:outlineLvl w:val="9"/>
        <w:rPr>
          <w:rFonts w:eastAsiaTheme="minorEastAsia" w:cs="Arial"/>
          <w:noProof/>
          <w:kern w:val="0"/>
        </w:rPr>
      </w:pPr>
      <w:hyperlink w:anchor="_Toc511032628" w:history="1">
        <w:r w:rsidR="00836B0E" w:rsidRPr="003B3E7F">
          <w:rPr>
            <w:rStyle w:val="Hyperlink"/>
            <w:rFonts w:cs="Arial"/>
            <w:noProof/>
          </w:rPr>
          <w:t>Table 5</w:t>
        </w:r>
        <w:r w:rsidR="00836B0E" w:rsidRPr="003B3E7F">
          <w:rPr>
            <w:rStyle w:val="Hyperlink"/>
            <w:rFonts w:cs="Arial"/>
            <w:noProof/>
          </w:rPr>
          <w:noBreakHyphen/>
          <w:t>38: Assessment of a 160m</w:t>
        </w:r>
        <w:r w:rsidR="00836B0E" w:rsidRPr="003B3E7F">
          <w:rPr>
            <w:rStyle w:val="Hyperlink"/>
            <w:rFonts w:cs="Arial"/>
            <w:noProof/>
            <w:vertAlign w:val="superscript"/>
          </w:rPr>
          <w:t>3</w:t>
        </w:r>
        <w:r w:rsidR="00836B0E" w:rsidRPr="003B3E7F">
          <w:rPr>
            <w:rStyle w:val="Hyperlink"/>
            <w:rFonts w:cs="Arial"/>
            <w:noProof/>
          </w:rPr>
          <w:t xml:space="preserve"> MDO spill from the CHN assets</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_Toc511032628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95</w:t>
        </w:r>
        <w:r w:rsidR="00836B0E" w:rsidRPr="003B3E7F">
          <w:rPr>
            <w:rFonts w:cs="Arial"/>
            <w:noProof/>
            <w:webHidden/>
          </w:rPr>
          <w:fldChar w:fldCharType="end"/>
        </w:r>
      </w:hyperlink>
    </w:p>
    <w:p w14:paraId="200942D9" w14:textId="265A39EF" w:rsidR="00836B0E" w:rsidRPr="003B3E7F" w:rsidRDefault="009C6E0E" w:rsidP="00230BCE">
      <w:pPr>
        <w:pStyle w:val="TableofFigures"/>
        <w:tabs>
          <w:tab w:val="right" w:leader="dot" w:pos="9017"/>
        </w:tabs>
        <w:outlineLvl w:val="9"/>
        <w:rPr>
          <w:rFonts w:eastAsiaTheme="minorEastAsia" w:cs="Arial"/>
          <w:noProof/>
          <w:kern w:val="0"/>
        </w:rPr>
      </w:pPr>
      <w:hyperlink w:anchor="_Toc511032629" w:history="1">
        <w:r w:rsidR="00836B0E" w:rsidRPr="003B3E7F">
          <w:rPr>
            <w:rStyle w:val="Hyperlink"/>
            <w:rFonts w:cs="Arial"/>
            <w:noProof/>
          </w:rPr>
          <w:t>Table 5</w:t>
        </w:r>
        <w:r w:rsidR="00836B0E" w:rsidRPr="003B3E7F">
          <w:rPr>
            <w:rStyle w:val="Hyperlink"/>
            <w:rFonts w:cs="Arial"/>
            <w:noProof/>
          </w:rPr>
          <w:noBreakHyphen/>
          <w:t>39: ERA for MDO spill</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_Toc511032629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106</w:t>
        </w:r>
        <w:r w:rsidR="00836B0E" w:rsidRPr="003B3E7F">
          <w:rPr>
            <w:rFonts w:cs="Arial"/>
            <w:noProof/>
            <w:webHidden/>
          </w:rPr>
          <w:fldChar w:fldCharType="end"/>
        </w:r>
      </w:hyperlink>
    </w:p>
    <w:p w14:paraId="1E563635" w14:textId="730D64AC" w:rsidR="00836B0E" w:rsidRPr="003B3E7F" w:rsidRDefault="009C6E0E" w:rsidP="00230BCE">
      <w:pPr>
        <w:pStyle w:val="TableofFigures"/>
        <w:tabs>
          <w:tab w:val="right" w:leader="dot" w:pos="9017"/>
        </w:tabs>
        <w:outlineLvl w:val="9"/>
        <w:rPr>
          <w:rFonts w:eastAsiaTheme="minorEastAsia" w:cs="Arial"/>
          <w:noProof/>
          <w:kern w:val="0"/>
        </w:rPr>
      </w:pPr>
      <w:hyperlink w:anchor="_Toc511032630" w:history="1">
        <w:r w:rsidR="00836B0E" w:rsidRPr="003B3E7F">
          <w:rPr>
            <w:rStyle w:val="Hyperlink"/>
            <w:rFonts w:cs="Arial"/>
            <w:noProof/>
          </w:rPr>
          <w:t>Table 7</w:t>
        </w:r>
        <w:r w:rsidR="00836B0E" w:rsidRPr="003B3E7F">
          <w:rPr>
            <w:rStyle w:val="Hyperlink"/>
            <w:rFonts w:cs="Arial"/>
            <w:noProof/>
          </w:rPr>
          <w:noBreakHyphen/>
          <w:t>1: Stakeholders for the CHN assets</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_Toc511032630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113</w:t>
        </w:r>
        <w:r w:rsidR="00836B0E" w:rsidRPr="003B3E7F">
          <w:rPr>
            <w:rFonts w:cs="Arial"/>
            <w:noProof/>
            <w:webHidden/>
          </w:rPr>
          <w:fldChar w:fldCharType="end"/>
        </w:r>
      </w:hyperlink>
    </w:p>
    <w:p w14:paraId="6C6A4BA5" w14:textId="0AEAC6DD" w:rsidR="00836B0E" w:rsidRPr="003B3E7F" w:rsidRDefault="009C6E0E" w:rsidP="00230BCE">
      <w:pPr>
        <w:pStyle w:val="TableofFigures"/>
        <w:tabs>
          <w:tab w:val="right" w:leader="dot" w:pos="9017"/>
        </w:tabs>
        <w:outlineLvl w:val="9"/>
        <w:rPr>
          <w:rFonts w:eastAsiaTheme="minorEastAsia" w:cs="Arial"/>
          <w:noProof/>
          <w:kern w:val="0"/>
        </w:rPr>
      </w:pPr>
      <w:hyperlink w:anchor="_Toc511032631" w:history="1">
        <w:r w:rsidR="00836B0E" w:rsidRPr="003B3E7F">
          <w:rPr>
            <w:rStyle w:val="Hyperlink"/>
            <w:rFonts w:cs="Arial"/>
            <w:noProof/>
          </w:rPr>
          <w:t>Table 7</w:t>
        </w:r>
        <w:r w:rsidR="00836B0E" w:rsidRPr="003B3E7F">
          <w:rPr>
            <w:rStyle w:val="Hyperlink"/>
            <w:rFonts w:cs="Arial"/>
            <w:noProof/>
          </w:rPr>
          <w:noBreakHyphen/>
          <w:t>2: Casino Henry Netherby Environmental Plan - Stakeholder Consultation Log</w:t>
        </w:r>
        <w:r w:rsidR="00836B0E" w:rsidRPr="003B3E7F">
          <w:rPr>
            <w:rFonts w:cs="Arial"/>
            <w:noProof/>
            <w:webHidden/>
          </w:rPr>
          <w:tab/>
        </w:r>
        <w:r w:rsidR="00836B0E" w:rsidRPr="003B3E7F">
          <w:rPr>
            <w:rFonts w:cs="Arial"/>
            <w:noProof/>
            <w:webHidden/>
          </w:rPr>
          <w:fldChar w:fldCharType="begin"/>
        </w:r>
        <w:r w:rsidR="00836B0E" w:rsidRPr="003B3E7F">
          <w:rPr>
            <w:rFonts w:cs="Arial"/>
            <w:noProof/>
            <w:webHidden/>
          </w:rPr>
          <w:instrText xml:space="preserve"> PAGEREF _Toc511032631 \h </w:instrText>
        </w:r>
        <w:r w:rsidR="00836B0E" w:rsidRPr="003B3E7F">
          <w:rPr>
            <w:rFonts w:cs="Arial"/>
            <w:noProof/>
            <w:webHidden/>
          </w:rPr>
        </w:r>
        <w:r w:rsidR="00836B0E" w:rsidRPr="003B3E7F">
          <w:rPr>
            <w:rFonts w:cs="Arial"/>
            <w:noProof/>
            <w:webHidden/>
          </w:rPr>
          <w:fldChar w:fldCharType="separate"/>
        </w:r>
        <w:r w:rsidR="00CC4C35" w:rsidRPr="003B3E7F">
          <w:rPr>
            <w:rFonts w:cs="Arial"/>
            <w:noProof/>
            <w:webHidden/>
          </w:rPr>
          <w:t>115</w:t>
        </w:r>
        <w:r w:rsidR="00836B0E" w:rsidRPr="003B3E7F">
          <w:rPr>
            <w:rFonts w:cs="Arial"/>
            <w:noProof/>
            <w:webHidden/>
          </w:rPr>
          <w:fldChar w:fldCharType="end"/>
        </w:r>
      </w:hyperlink>
    </w:p>
    <w:p w14:paraId="01C9BC58" w14:textId="764ED094" w:rsidR="00A30937" w:rsidRPr="00230BCE" w:rsidRDefault="009110B6">
      <w:pPr>
        <w:pStyle w:val="Heading"/>
        <w:spacing w:beforeLines="60" w:before="144" w:afterLines="60" w:after="144"/>
        <w:outlineLvl w:val="9"/>
        <w:rPr>
          <w:sz w:val="20"/>
          <w:szCs w:val="20"/>
        </w:rPr>
      </w:pPr>
      <w:r w:rsidRPr="003B3E7F">
        <w:rPr>
          <w:caps/>
          <w:noProof/>
          <w:kern w:val="28"/>
          <w:sz w:val="24"/>
          <w:szCs w:val="24"/>
          <w:lang w:val="en-US"/>
        </w:rPr>
        <w:fldChar w:fldCharType="end"/>
      </w:r>
      <w:r w:rsidR="00BF56E2" w:rsidRPr="003A50F5">
        <w:rPr>
          <w:rFonts w:asciiTheme="majorHAnsi" w:hAnsiTheme="majorHAnsi" w:cstheme="majorHAnsi"/>
          <w:sz w:val="18"/>
          <w:szCs w:val="18"/>
        </w:rPr>
        <w:t xml:space="preserve"> </w:t>
      </w:r>
    </w:p>
    <w:p w14:paraId="48A4A744" w14:textId="00DABD82" w:rsidR="00A30937" w:rsidRDefault="00A30937">
      <w:pPr>
        <w:spacing w:after="0"/>
        <w:outlineLvl w:val="9"/>
        <w:rPr>
          <w:rFonts w:asciiTheme="majorHAnsi" w:hAnsiTheme="majorHAnsi" w:cstheme="majorHAnsi"/>
          <w:b/>
          <w:bCs/>
          <w:sz w:val="18"/>
          <w:szCs w:val="18"/>
        </w:rPr>
      </w:pPr>
      <w:r>
        <w:rPr>
          <w:rFonts w:asciiTheme="majorHAnsi" w:hAnsiTheme="majorHAnsi" w:cstheme="majorHAnsi"/>
          <w:b/>
          <w:bCs/>
          <w:sz w:val="18"/>
          <w:szCs w:val="18"/>
        </w:rPr>
        <w:br w:type="page"/>
      </w:r>
    </w:p>
    <w:p w14:paraId="17FD7E65" w14:textId="77777777" w:rsidR="00A30937" w:rsidRPr="008D1F91" w:rsidRDefault="00A30937" w:rsidP="00A30937">
      <w:pPr>
        <w:pStyle w:val="Heading"/>
      </w:pPr>
      <w:r w:rsidRPr="008D1F91">
        <w:lastRenderedPageBreak/>
        <w:t>Document Control</w:t>
      </w:r>
    </w:p>
    <w:p w14:paraId="72E6A8FA" w14:textId="44C278CD" w:rsidR="00A30937" w:rsidRDefault="00A30937" w:rsidP="00A30937">
      <w:pPr>
        <w:pStyle w:val="BodyText"/>
        <w:ind w:left="0"/>
      </w:pPr>
      <w:r>
        <w:rPr>
          <w:rStyle w:val="BodyTextChar"/>
        </w:rPr>
        <w:t>This Casino, Henry and Netherby (CHN) Environment Plan (EP)</w:t>
      </w:r>
      <w:r w:rsidR="003B3E7F">
        <w:rPr>
          <w:rStyle w:val="BodyTextChar"/>
        </w:rPr>
        <w:t xml:space="preserve"> summary</w:t>
      </w:r>
      <w:r>
        <w:rPr>
          <w:rStyle w:val="BodyTextChar"/>
        </w:rPr>
        <w:t xml:space="preserve"> is a controlled document</w:t>
      </w:r>
      <w:r>
        <w:t>.</w:t>
      </w:r>
    </w:p>
    <w:p w14:paraId="15ED792E" w14:textId="77777777" w:rsidR="00A30937" w:rsidRDefault="00A30937" w:rsidP="00A30937">
      <w:pPr>
        <w:pStyle w:val="BodyText"/>
        <w:ind w:left="0"/>
      </w:pPr>
      <w:r>
        <w:t xml:space="preserve">Cooper Energy is responsible for controlling this document and any revisions to it. </w:t>
      </w:r>
    </w:p>
    <w:p w14:paraId="524EA503" w14:textId="77777777" w:rsidR="00A30937" w:rsidRDefault="00A30937" w:rsidP="00A30937">
      <w:pPr>
        <w:pStyle w:val="BodyText"/>
        <w:ind w:left="0"/>
      </w:pPr>
      <w:r>
        <w:t>Should the recipient or user become aware of any changes or corrections that are required please photocopy this page, with completed details, and the relevant pages to be changed, note the corrections and deliver them to:</w:t>
      </w:r>
      <w:bookmarkStart w:id="1" w:name="_GoBack"/>
      <w:bookmarkEnd w:id="1"/>
    </w:p>
    <w:p w14:paraId="2E1D52FC" w14:textId="77777777" w:rsidR="00A30937" w:rsidRDefault="00A30937" w:rsidP="00A30937">
      <w:pPr>
        <w:pStyle w:val="BodyText"/>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6"/>
        <w:gridCol w:w="4516"/>
      </w:tblGrid>
      <w:tr w:rsidR="00A30937" w14:paraId="670F6A39" w14:textId="77777777" w:rsidTr="00A30937">
        <w:trPr>
          <w:cnfStyle w:val="100000000000" w:firstRow="1" w:lastRow="0" w:firstColumn="0" w:lastColumn="0" w:oddVBand="0" w:evenVBand="0" w:oddHBand="0" w:evenHBand="0" w:firstRowFirstColumn="0" w:firstRowLastColumn="0" w:lastRowFirstColumn="0" w:lastRowLastColumn="0"/>
        </w:trPr>
        <w:tc>
          <w:tcPr>
            <w:tcW w:w="4621" w:type="dxa"/>
            <w:tcMar>
              <w:left w:w="85" w:type="dxa"/>
              <w:bottom w:w="0" w:type="dxa"/>
              <w:right w:w="85" w:type="dxa"/>
            </w:tcMar>
            <w:hideMark/>
          </w:tcPr>
          <w:p w14:paraId="360560CB" w14:textId="77777777" w:rsidR="00A30937" w:rsidRDefault="00A30937" w:rsidP="00A30937">
            <w:pPr>
              <w:pStyle w:val="BodyText"/>
              <w:ind w:left="0"/>
              <w:rPr>
                <w:lang w:eastAsia="en-US"/>
              </w:rPr>
            </w:pPr>
            <w:r>
              <w:rPr>
                <w:lang w:eastAsia="en-US"/>
              </w:rPr>
              <w:t>General Manager Operations</w:t>
            </w:r>
          </w:p>
        </w:tc>
        <w:tc>
          <w:tcPr>
            <w:tcW w:w="4622" w:type="dxa"/>
            <w:tcMar>
              <w:left w:w="85" w:type="dxa"/>
              <w:bottom w:w="0" w:type="dxa"/>
              <w:right w:w="85" w:type="dxa"/>
            </w:tcMar>
          </w:tcPr>
          <w:p w14:paraId="075F1E05" w14:textId="77777777" w:rsidR="00A30937" w:rsidRDefault="00A30937" w:rsidP="00A30937">
            <w:pPr>
              <w:pStyle w:val="BodyText"/>
              <w:ind w:left="0"/>
              <w:rPr>
                <w:lang w:eastAsia="en-US"/>
              </w:rPr>
            </w:pPr>
          </w:p>
        </w:tc>
      </w:tr>
      <w:tr w:rsidR="00A30937" w14:paraId="0528537B" w14:textId="77777777" w:rsidTr="00A30937">
        <w:tc>
          <w:tcPr>
            <w:tcW w:w="4621" w:type="dxa"/>
            <w:hideMark/>
          </w:tcPr>
          <w:p w14:paraId="556B06B0" w14:textId="77777777" w:rsidR="00A30937" w:rsidRDefault="00A30937" w:rsidP="00A30937">
            <w:pPr>
              <w:pStyle w:val="BodyText"/>
              <w:ind w:left="0"/>
              <w:rPr>
                <w:lang w:eastAsia="en-US"/>
              </w:rPr>
            </w:pPr>
            <w:r>
              <w:rPr>
                <w:lang w:eastAsia="en-US"/>
              </w:rPr>
              <w:t>Cooper Energy Limited</w:t>
            </w:r>
          </w:p>
        </w:tc>
        <w:tc>
          <w:tcPr>
            <w:tcW w:w="4622" w:type="dxa"/>
            <w:hideMark/>
          </w:tcPr>
          <w:p w14:paraId="05EC830E" w14:textId="68FAAC25" w:rsidR="00A30937" w:rsidRDefault="00A30937" w:rsidP="00A30937">
            <w:pPr>
              <w:pStyle w:val="BodyText"/>
              <w:ind w:left="0"/>
              <w:rPr>
                <w:lang w:eastAsia="en-US"/>
              </w:rPr>
            </w:pPr>
            <w:r>
              <w:rPr>
                <w:lang w:eastAsia="en-US"/>
              </w:rPr>
              <w:t>Level 8, 70 Franklin Street,</w:t>
            </w:r>
          </w:p>
          <w:p w14:paraId="5D6C5FE4" w14:textId="77777777" w:rsidR="00A30937" w:rsidRDefault="00A30937" w:rsidP="00A30937">
            <w:pPr>
              <w:pStyle w:val="BodyText"/>
              <w:ind w:left="0"/>
              <w:rPr>
                <w:lang w:eastAsia="en-US"/>
              </w:rPr>
            </w:pPr>
            <w:r>
              <w:rPr>
                <w:lang w:eastAsia="en-US"/>
              </w:rPr>
              <w:t>Adelaide SA 5000, Australia</w:t>
            </w:r>
          </w:p>
          <w:p w14:paraId="21A78353" w14:textId="77777777" w:rsidR="00A30937" w:rsidRDefault="00A30937" w:rsidP="00A30937">
            <w:pPr>
              <w:pStyle w:val="BodyText"/>
              <w:ind w:left="0"/>
              <w:rPr>
                <w:lang w:eastAsia="en-US"/>
              </w:rPr>
            </w:pPr>
            <w:r>
              <w:rPr>
                <w:lang w:eastAsia="en-US"/>
              </w:rPr>
              <w:t xml:space="preserve">Tel: </w:t>
            </w:r>
            <w:r>
              <w:rPr>
                <w:lang w:eastAsia="en-US"/>
              </w:rPr>
              <w:tab/>
              <w:t>+61 (8) 8100 4900</w:t>
            </w:r>
          </w:p>
          <w:p w14:paraId="3265C44C" w14:textId="77777777" w:rsidR="00A30937" w:rsidRDefault="00A30937" w:rsidP="00A30937">
            <w:pPr>
              <w:pStyle w:val="BodyText"/>
              <w:ind w:left="0"/>
              <w:rPr>
                <w:lang w:eastAsia="en-US"/>
              </w:rPr>
            </w:pPr>
            <w:r>
              <w:rPr>
                <w:lang w:eastAsia="en-US"/>
              </w:rPr>
              <w:t xml:space="preserve">Email: </w:t>
            </w:r>
            <w:hyperlink r:id="rId12" w:history="1">
              <w:r>
                <w:rPr>
                  <w:rStyle w:val="Hyperlink"/>
                  <w:lang w:eastAsia="en-US"/>
                </w:rPr>
                <w:t>iainm@cooperenergy.com.au</w:t>
              </w:r>
            </w:hyperlink>
          </w:p>
        </w:tc>
      </w:tr>
    </w:tbl>
    <w:p w14:paraId="77174E2D" w14:textId="77777777" w:rsidR="00A30937" w:rsidRDefault="00A30937" w:rsidP="00A30937">
      <w:pPr>
        <w:pStyle w:val="BodyText"/>
        <w:ind w:left="0"/>
      </w:pPr>
    </w:p>
    <w:p w14:paraId="541F12E7" w14:textId="77777777" w:rsidR="00A30937" w:rsidRDefault="00A30937" w:rsidP="00A30937">
      <w:pPr>
        <w:pStyle w:val="BodyText"/>
        <w:ind w:left="0"/>
      </w:pPr>
    </w:p>
    <w:p w14:paraId="4724F9D1" w14:textId="77777777" w:rsidR="00A30937" w:rsidRDefault="00A30937" w:rsidP="00A30937">
      <w:pPr>
        <w:pStyle w:val="BodyText"/>
        <w:spacing w:before="120"/>
        <w:ind w:left="0"/>
      </w:pPr>
      <w:r>
        <w:t>Name:</w:t>
      </w:r>
      <w:r>
        <w:tab/>
      </w:r>
      <w:r>
        <w:tab/>
      </w:r>
      <w:r>
        <w:tab/>
      </w:r>
    </w:p>
    <w:p w14:paraId="70908EDB" w14:textId="77777777" w:rsidR="00A30937" w:rsidRDefault="00A30937" w:rsidP="00A30937">
      <w:pPr>
        <w:pStyle w:val="BodyText"/>
        <w:spacing w:before="120"/>
        <w:ind w:left="0"/>
      </w:pPr>
      <w:r>
        <w:t>Position:</w:t>
      </w:r>
      <w:r>
        <w:tab/>
      </w:r>
      <w:r>
        <w:tab/>
      </w:r>
      <w:r>
        <w:tab/>
      </w:r>
    </w:p>
    <w:p w14:paraId="74C54FC8" w14:textId="77777777" w:rsidR="00A30937" w:rsidRDefault="00A30937" w:rsidP="00A30937">
      <w:pPr>
        <w:pStyle w:val="BodyText"/>
        <w:spacing w:before="120"/>
        <w:ind w:left="0"/>
      </w:pPr>
      <w:r>
        <w:t>Location:</w:t>
      </w:r>
      <w:r>
        <w:tab/>
      </w:r>
      <w:r>
        <w:tab/>
      </w:r>
      <w:r>
        <w:tab/>
      </w:r>
    </w:p>
    <w:p w14:paraId="50929EF8" w14:textId="77777777" w:rsidR="00A30937" w:rsidRDefault="00A30937" w:rsidP="00A30937">
      <w:pPr>
        <w:pStyle w:val="BodyText"/>
        <w:spacing w:before="120"/>
        <w:ind w:left="0"/>
      </w:pPr>
      <w:r>
        <w:t>Document revision number:</w:t>
      </w:r>
      <w:r>
        <w:tab/>
      </w:r>
      <w:r>
        <w:tab/>
      </w:r>
    </w:p>
    <w:p w14:paraId="23E97EEA" w14:textId="77777777" w:rsidR="00A30937" w:rsidRDefault="00A30937" w:rsidP="00A30937">
      <w:pPr>
        <w:pStyle w:val="BodyText"/>
        <w:spacing w:before="120"/>
        <w:ind w:left="0"/>
      </w:pPr>
      <w:r>
        <w:t>Telephone:</w:t>
      </w:r>
      <w:r>
        <w:tab/>
      </w:r>
      <w:r>
        <w:tab/>
      </w:r>
      <w:r>
        <w:tab/>
      </w:r>
    </w:p>
    <w:p w14:paraId="4FB6A349" w14:textId="77777777" w:rsidR="00A30937" w:rsidRDefault="00A30937" w:rsidP="00A30937">
      <w:pPr>
        <w:pStyle w:val="BodyText"/>
        <w:spacing w:before="120"/>
        <w:ind w:left="0"/>
      </w:pPr>
      <w:r>
        <w:t>Email:</w:t>
      </w:r>
      <w:r>
        <w:tab/>
      </w:r>
    </w:p>
    <w:p w14:paraId="2CA2FDEA" w14:textId="77777777" w:rsidR="00A30937" w:rsidRDefault="00A30937" w:rsidP="00A30937">
      <w:pPr>
        <w:pStyle w:val="BodyText"/>
        <w:spacing w:before="240" w:after="240"/>
        <w:ind w:left="0"/>
      </w:pPr>
      <w:r>
        <w:t>Please note the following requested or recommended changes to the following pages:</w:t>
      </w:r>
    </w:p>
    <w:p w14:paraId="03F3BE0C" w14:textId="77777777" w:rsidR="00A30937" w:rsidRDefault="00A30937" w:rsidP="00A30937">
      <w:pPr>
        <w:pStyle w:val="BodyText"/>
        <w:spacing w:before="120"/>
        <w:ind w:left="0"/>
      </w:pPr>
      <w:r>
        <w:t>Section:</w:t>
      </w:r>
      <w:r>
        <w:tab/>
      </w:r>
      <w:r>
        <w:tab/>
      </w:r>
      <w:r>
        <w:tab/>
      </w:r>
      <w:r>
        <w:tab/>
      </w:r>
      <w:r>
        <w:tab/>
        <w:t>Page:</w:t>
      </w:r>
      <w:r>
        <w:tab/>
      </w:r>
    </w:p>
    <w:p w14:paraId="38CE8323" w14:textId="77777777" w:rsidR="00A30937" w:rsidRDefault="00A30937" w:rsidP="00A30937">
      <w:pPr>
        <w:pStyle w:val="BodyText"/>
        <w:spacing w:before="120"/>
        <w:ind w:left="0"/>
      </w:pPr>
      <w:r>
        <w:t>Section:</w:t>
      </w:r>
      <w:r>
        <w:tab/>
      </w:r>
      <w:r>
        <w:tab/>
      </w:r>
      <w:r>
        <w:tab/>
      </w:r>
      <w:r>
        <w:tab/>
      </w:r>
      <w:r>
        <w:tab/>
        <w:t>Page:</w:t>
      </w:r>
      <w:r>
        <w:tab/>
      </w:r>
    </w:p>
    <w:p w14:paraId="6589B911" w14:textId="77777777" w:rsidR="00A30937" w:rsidRDefault="00A30937" w:rsidP="00A30937">
      <w:pPr>
        <w:pStyle w:val="BodyText"/>
        <w:spacing w:before="120"/>
        <w:ind w:left="0"/>
      </w:pPr>
    </w:p>
    <w:p w14:paraId="6F8DBBD5" w14:textId="77777777" w:rsidR="00A30937" w:rsidRDefault="00A30937" w:rsidP="00A30937">
      <w:pPr>
        <w:pStyle w:val="BodyText"/>
        <w:spacing w:before="120"/>
        <w:ind w:left="0"/>
      </w:pPr>
      <w:r>
        <w:t>Other comments:</w:t>
      </w:r>
      <w:r>
        <w:tab/>
      </w:r>
    </w:p>
    <w:p w14:paraId="62A4D946" w14:textId="54EBA4E8" w:rsidR="00A30937" w:rsidRDefault="00A30937">
      <w:pPr>
        <w:spacing w:after="0"/>
        <w:outlineLvl w:val="9"/>
        <w:rPr>
          <w:rFonts w:asciiTheme="majorHAnsi" w:hAnsiTheme="majorHAnsi" w:cstheme="majorHAnsi"/>
          <w:b/>
          <w:bCs/>
          <w:sz w:val="18"/>
          <w:szCs w:val="18"/>
        </w:rPr>
      </w:pPr>
      <w:r>
        <w:rPr>
          <w:rFonts w:asciiTheme="majorHAnsi" w:hAnsiTheme="majorHAnsi" w:cstheme="majorHAnsi"/>
          <w:b/>
          <w:bCs/>
          <w:sz w:val="18"/>
          <w:szCs w:val="18"/>
        </w:rPr>
        <w:br w:type="page"/>
      </w:r>
    </w:p>
    <w:p w14:paraId="592B456F" w14:textId="77777777" w:rsidR="00A30937" w:rsidRDefault="00A30937" w:rsidP="00A30937">
      <w:pPr>
        <w:pStyle w:val="Heading"/>
        <w:ind w:left="91"/>
        <w:outlineLvl w:val="9"/>
      </w:pPr>
      <w:r>
        <w:lastRenderedPageBreak/>
        <w:t>Revision History</w:t>
      </w:r>
    </w:p>
    <w:tbl>
      <w:tblPr>
        <w:tblStyle w:val="TableGrid"/>
        <w:tblW w:w="4950" w:type="pct"/>
        <w:tblInd w:w="175" w:type="dxa"/>
        <w:tblLayout w:type="fixed"/>
        <w:tblLook w:val="04A0" w:firstRow="1" w:lastRow="0" w:firstColumn="1" w:lastColumn="0" w:noHBand="0" w:noVBand="1"/>
      </w:tblPr>
      <w:tblGrid>
        <w:gridCol w:w="616"/>
        <w:gridCol w:w="1230"/>
        <w:gridCol w:w="2064"/>
        <w:gridCol w:w="1515"/>
        <w:gridCol w:w="1790"/>
        <w:gridCol w:w="1706"/>
      </w:tblGrid>
      <w:tr w:rsidR="00A30937" w:rsidRPr="00065CF9" w14:paraId="51CCB96A" w14:textId="77777777" w:rsidTr="00A30937">
        <w:trPr>
          <w:cnfStyle w:val="100000000000" w:firstRow="1" w:lastRow="0" w:firstColumn="0" w:lastColumn="0" w:oddVBand="0" w:evenVBand="0" w:oddHBand="0" w:evenHBand="0" w:firstRowFirstColumn="0" w:firstRowLastColumn="0" w:lastRowFirstColumn="0" w:lastRowLastColumn="0"/>
          <w:trHeight w:val="284"/>
        </w:trPr>
        <w:tc>
          <w:tcPr>
            <w:tcW w:w="616" w:type="dxa"/>
            <w:tcBorders>
              <w:top w:val="single" w:sz="6" w:space="0" w:color="A6A6A6"/>
              <w:left w:val="single" w:sz="6" w:space="0" w:color="A6A6A6"/>
              <w:bottom w:val="single" w:sz="6" w:space="0" w:color="A6A6A6"/>
            </w:tcBorders>
            <w:tcMar>
              <w:left w:w="85" w:type="dxa"/>
              <w:bottom w:w="0" w:type="dxa"/>
              <w:right w:w="85" w:type="dxa"/>
            </w:tcMar>
            <w:hideMark/>
          </w:tcPr>
          <w:p w14:paraId="6C139973" w14:textId="77777777" w:rsidR="00A30937" w:rsidRPr="00065CF9" w:rsidRDefault="00A30937" w:rsidP="00A30937">
            <w:pPr>
              <w:rPr>
                <w:szCs w:val="20"/>
                <w:lang w:eastAsia="en-US"/>
              </w:rPr>
            </w:pPr>
            <w:r w:rsidRPr="00065CF9">
              <w:rPr>
                <w:szCs w:val="20"/>
                <w:lang w:eastAsia="en-US"/>
              </w:rPr>
              <w:t>Rev</w:t>
            </w:r>
          </w:p>
        </w:tc>
        <w:tc>
          <w:tcPr>
            <w:tcW w:w="1230" w:type="dxa"/>
            <w:tcBorders>
              <w:top w:val="single" w:sz="6" w:space="0" w:color="A6A6A6"/>
              <w:bottom w:val="single" w:sz="6" w:space="0" w:color="A6A6A6"/>
            </w:tcBorders>
            <w:tcMar>
              <w:left w:w="85" w:type="dxa"/>
              <w:bottom w:w="0" w:type="dxa"/>
              <w:right w:w="85" w:type="dxa"/>
            </w:tcMar>
            <w:hideMark/>
          </w:tcPr>
          <w:p w14:paraId="46F2C0B8" w14:textId="77777777" w:rsidR="00A30937" w:rsidRPr="00065CF9" w:rsidRDefault="00A30937" w:rsidP="00A30937">
            <w:pPr>
              <w:rPr>
                <w:szCs w:val="20"/>
                <w:lang w:eastAsia="en-US"/>
              </w:rPr>
            </w:pPr>
            <w:r w:rsidRPr="00065CF9">
              <w:rPr>
                <w:szCs w:val="20"/>
                <w:lang w:eastAsia="en-US"/>
              </w:rPr>
              <w:t>Issue Date</w:t>
            </w:r>
          </w:p>
        </w:tc>
        <w:tc>
          <w:tcPr>
            <w:tcW w:w="2064" w:type="dxa"/>
            <w:tcBorders>
              <w:top w:val="single" w:sz="6" w:space="0" w:color="A6A6A6"/>
              <w:bottom w:val="single" w:sz="6" w:space="0" w:color="A6A6A6"/>
            </w:tcBorders>
            <w:tcMar>
              <w:left w:w="85" w:type="dxa"/>
              <w:bottom w:w="0" w:type="dxa"/>
              <w:right w:w="85" w:type="dxa"/>
            </w:tcMar>
            <w:hideMark/>
          </w:tcPr>
          <w:p w14:paraId="69D83B11" w14:textId="77777777" w:rsidR="00A30937" w:rsidRPr="00065CF9" w:rsidRDefault="00A30937" w:rsidP="00A30937">
            <w:pPr>
              <w:rPr>
                <w:szCs w:val="20"/>
                <w:lang w:eastAsia="en-US"/>
              </w:rPr>
            </w:pPr>
            <w:r w:rsidRPr="00065CF9">
              <w:rPr>
                <w:szCs w:val="20"/>
                <w:lang w:eastAsia="en-US"/>
              </w:rPr>
              <w:t>Revision summary</w:t>
            </w:r>
          </w:p>
        </w:tc>
        <w:tc>
          <w:tcPr>
            <w:tcW w:w="1515" w:type="dxa"/>
            <w:tcBorders>
              <w:top w:val="single" w:sz="6" w:space="0" w:color="A6A6A6"/>
              <w:bottom w:val="single" w:sz="6" w:space="0" w:color="A6A6A6"/>
            </w:tcBorders>
            <w:tcMar>
              <w:left w:w="85" w:type="dxa"/>
              <w:bottom w:w="0" w:type="dxa"/>
              <w:right w:w="85" w:type="dxa"/>
            </w:tcMar>
            <w:hideMark/>
          </w:tcPr>
          <w:p w14:paraId="275EEE6B" w14:textId="77777777" w:rsidR="00A30937" w:rsidRPr="00065CF9" w:rsidRDefault="00A30937" w:rsidP="00A30937">
            <w:pPr>
              <w:rPr>
                <w:szCs w:val="20"/>
                <w:lang w:eastAsia="en-US"/>
              </w:rPr>
            </w:pPr>
            <w:r w:rsidRPr="00065CF9">
              <w:rPr>
                <w:szCs w:val="20"/>
                <w:lang w:eastAsia="en-US"/>
              </w:rPr>
              <w:t>Originator</w:t>
            </w:r>
          </w:p>
        </w:tc>
        <w:tc>
          <w:tcPr>
            <w:tcW w:w="1790" w:type="dxa"/>
            <w:tcBorders>
              <w:top w:val="single" w:sz="6" w:space="0" w:color="A6A6A6"/>
              <w:bottom w:val="single" w:sz="6" w:space="0" w:color="A6A6A6"/>
            </w:tcBorders>
            <w:tcMar>
              <w:left w:w="85" w:type="dxa"/>
              <w:bottom w:w="0" w:type="dxa"/>
              <w:right w:w="85" w:type="dxa"/>
            </w:tcMar>
            <w:hideMark/>
          </w:tcPr>
          <w:p w14:paraId="7FED4048" w14:textId="77777777" w:rsidR="00A30937" w:rsidRPr="00065CF9" w:rsidRDefault="00A30937" w:rsidP="00A30937">
            <w:pPr>
              <w:rPr>
                <w:szCs w:val="20"/>
                <w:lang w:eastAsia="en-US"/>
              </w:rPr>
            </w:pPr>
            <w:r w:rsidRPr="00065CF9">
              <w:rPr>
                <w:szCs w:val="20"/>
                <w:lang w:eastAsia="en-US"/>
              </w:rPr>
              <w:t>Reviewer</w:t>
            </w:r>
          </w:p>
        </w:tc>
        <w:tc>
          <w:tcPr>
            <w:tcW w:w="1706" w:type="dxa"/>
            <w:tcBorders>
              <w:top w:val="single" w:sz="6" w:space="0" w:color="A6A6A6"/>
              <w:bottom w:val="single" w:sz="6" w:space="0" w:color="A6A6A6"/>
              <w:right w:val="single" w:sz="6" w:space="0" w:color="A6A6A6"/>
            </w:tcBorders>
            <w:tcMar>
              <w:left w:w="85" w:type="dxa"/>
              <w:bottom w:w="0" w:type="dxa"/>
              <w:right w:w="85" w:type="dxa"/>
            </w:tcMar>
            <w:hideMark/>
          </w:tcPr>
          <w:p w14:paraId="4BC7F9F3" w14:textId="77777777" w:rsidR="00A30937" w:rsidRPr="00065CF9" w:rsidRDefault="00A30937" w:rsidP="00A30937">
            <w:pPr>
              <w:rPr>
                <w:szCs w:val="20"/>
                <w:lang w:eastAsia="en-US"/>
              </w:rPr>
            </w:pPr>
            <w:r w:rsidRPr="00065CF9">
              <w:rPr>
                <w:szCs w:val="20"/>
                <w:lang w:eastAsia="en-US"/>
              </w:rPr>
              <w:t>Approver</w:t>
            </w:r>
          </w:p>
        </w:tc>
      </w:tr>
      <w:tr w:rsidR="00A30937" w:rsidRPr="00065CF9" w14:paraId="461A5290" w14:textId="77777777" w:rsidTr="00230BCE">
        <w:tc>
          <w:tcPr>
            <w:tcW w:w="616" w:type="dxa"/>
            <w:tcBorders>
              <w:top w:val="single" w:sz="6" w:space="0" w:color="A6A6A6"/>
              <w:left w:val="single" w:sz="6" w:space="0" w:color="A6A6A6"/>
              <w:bottom w:val="single" w:sz="6" w:space="0" w:color="A6A6A6"/>
              <w:right w:val="single" w:sz="6" w:space="0" w:color="A6A6A6"/>
            </w:tcBorders>
            <w:vAlign w:val="center"/>
          </w:tcPr>
          <w:p w14:paraId="35F2050E" w14:textId="12A025AE" w:rsidR="00A30937" w:rsidRPr="00065CF9" w:rsidRDefault="00A30937" w:rsidP="00A30937">
            <w:pPr>
              <w:rPr>
                <w:sz w:val="20"/>
                <w:szCs w:val="20"/>
                <w:lang w:eastAsia="en-US"/>
              </w:rPr>
            </w:pPr>
            <w:r w:rsidRPr="00065CF9">
              <w:rPr>
                <w:sz w:val="20"/>
                <w:szCs w:val="20"/>
                <w:lang w:eastAsia="en-US"/>
              </w:rPr>
              <w:t>0</w:t>
            </w:r>
          </w:p>
        </w:tc>
        <w:tc>
          <w:tcPr>
            <w:tcW w:w="1230" w:type="dxa"/>
            <w:tcBorders>
              <w:top w:val="single" w:sz="6" w:space="0" w:color="A6A6A6"/>
              <w:left w:val="single" w:sz="6" w:space="0" w:color="A6A6A6"/>
              <w:bottom w:val="single" w:sz="6" w:space="0" w:color="A6A6A6"/>
              <w:right w:val="single" w:sz="6" w:space="0" w:color="A6A6A6"/>
            </w:tcBorders>
            <w:vAlign w:val="center"/>
          </w:tcPr>
          <w:p w14:paraId="20B8B2FE" w14:textId="6BFCA75E" w:rsidR="00A30937" w:rsidRPr="00065CF9" w:rsidRDefault="008324E5" w:rsidP="00A30937">
            <w:pPr>
              <w:rPr>
                <w:sz w:val="20"/>
                <w:szCs w:val="20"/>
                <w:lang w:eastAsia="en-US"/>
              </w:rPr>
            </w:pPr>
            <w:r>
              <w:rPr>
                <w:sz w:val="20"/>
                <w:szCs w:val="20"/>
                <w:lang w:eastAsia="en-US"/>
              </w:rPr>
              <w:t>30</w:t>
            </w:r>
            <w:r w:rsidR="00A30937" w:rsidRPr="00065CF9">
              <w:rPr>
                <w:sz w:val="20"/>
                <w:szCs w:val="20"/>
                <w:lang w:eastAsia="en-US"/>
              </w:rPr>
              <w:t>/0</w:t>
            </w:r>
            <w:r w:rsidR="00A30937">
              <w:rPr>
                <w:sz w:val="20"/>
                <w:szCs w:val="20"/>
                <w:lang w:eastAsia="en-US"/>
              </w:rPr>
              <w:t>4</w:t>
            </w:r>
            <w:r w:rsidR="00A30937" w:rsidRPr="00065CF9">
              <w:rPr>
                <w:sz w:val="20"/>
                <w:szCs w:val="20"/>
                <w:lang w:eastAsia="en-US"/>
              </w:rPr>
              <w:t>/201</w:t>
            </w:r>
            <w:r w:rsidR="00A30937">
              <w:rPr>
                <w:sz w:val="20"/>
                <w:szCs w:val="20"/>
                <w:lang w:eastAsia="en-US"/>
              </w:rPr>
              <w:t>8</w:t>
            </w:r>
          </w:p>
        </w:tc>
        <w:tc>
          <w:tcPr>
            <w:tcW w:w="2064" w:type="dxa"/>
            <w:tcBorders>
              <w:top w:val="single" w:sz="6" w:space="0" w:color="A6A6A6"/>
              <w:left w:val="single" w:sz="6" w:space="0" w:color="A6A6A6"/>
              <w:bottom w:val="single" w:sz="6" w:space="0" w:color="A6A6A6"/>
              <w:right w:val="single" w:sz="6" w:space="0" w:color="A6A6A6"/>
            </w:tcBorders>
            <w:vAlign w:val="center"/>
          </w:tcPr>
          <w:p w14:paraId="68B789FF" w14:textId="4FAFC3C9" w:rsidR="00A30937" w:rsidRPr="00065CF9" w:rsidRDefault="00A30937" w:rsidP="00A30937">
            <w:pPr>
              <w:rPr>
                <w:sz w:val="20"/>
                <w:szCs w:val="20"/>
                <w:lang w:eastAsia="en-US"/>
              </w:rPr>
            </w:pPr>
            <w:r w:rsidRPr="00065CF9">
              <w:rPr>
                <w:sz w:val="20"/>
                <w:szCs w:val="20"/>
                <w:lang w:eastAsia="en-US"/>
              </w:rPr>
              <w:t>Issued to DEDJTR for acceptance</w:t>
            </w:r>
          </w:p>
        </w:tc>
        <w:tc>
          <w:tcPr>
            <w:tcW w:w="1515" w:type="dxa"/>
            <w:tcBorders>
              <w:top w:val="single" w:sz="6" w:space="0" w:color="A6A6A6"/>
              <w:left w:val="single" w:sz="6" w:space="0" w:color="A6A6A6"/>
              <w:bottom w:val="single" w:sz="6" w:space="0" w:color="A6A6A6"/>
              <w:right w:val="single" w:sz="6" w:space="0" w:color="A6A6A6"/>
            </w:tcBorders>
            <w:vAlign w:val="center"/>
          </w:tcPr>
          <w:p w14:paraId="6435DFAA" w14:textId="7227500C" w:rsidR="00A30937" w:rsidRPr="00065CF9" w:rsidRDefault="00A30937" w:rsidP="00A30937">
            <w:pPr>
              <w:rPr>
                <w:sz w:val="20"/>
                <w:szCs w:val="20"/>
                <w:lang w:eastAsia="en-US"/>
              </w:rPr>
            </w:pPr>
            <w:r>
              <w:rPr>
                <w:sz w:val="20"/>
                <w:szCs w:val="20"/>
                <w:lang w:eastAsia="en-US"/>
              </w:rPr>
              <w:t>J Earnshaw</w:t>
            </w:r>
          </w:p>
        </w:tc>
        <w:tc>
          <w:tcPr>
            <w:tcW w:w="1790" w:type="dxa"/>
            <w:tcBorders>
              <w:top w:val="single" w:sz="6" w:space="0" w:color="A6A6A6"/>
              <w:left w:val="single" w:sz="6" w:space="0" w:color="A6A6A6"/>
              <w:bottom w:val="single" w:sz="6" w:space="0" w:color="A6A6A6"/>
              <w:right w:val="single" w:sz="6" w:space="0" w:color="A6A6A6"/>
            </w:tcBorders>
            <w:vAlign w:val="center"/>
          </w:tcPr>
          <w:p w14:paraId="33993A8B" w14:textId="3862216B" w:rsidR="00A30937" w:rsidRDefault="00A30937" w:rsidP="00A30937">
            <w:pPr>
              <w:rPr>
                <w:sz w:val="20"/>
                <w:szCs w:val="20"/>
                <w:lang w:eastAsia="en-US"/>
              </w:rPr>
            </w:pPr>
            <w:r>
              <w:rPr>
                <w:sz w:val="20"/>
                <w:szCs w:val="20"/>
                <w:lang w:eastAsia="en-US"/>
              </w:rPr>
              <w:t>B Edwards</w:t>
            </w:r>
          </w:p>
          <w:p w14:paraId="01D26968" w14:textId="7B602C87" w:rsidR="00A30937" w:rsidRPr="00065CF9" w:rsidRDefault="00A30937" w:rsidP="00A30937">
            <w:pPr>
              <w:rPr>
                <w:sz w:val="20"/>
                <w:szCs w:val="20"/>
                <w:lang w:eastAsia="en-US"/>
              </w:rPr>
            </w:pPr>
            <w:r>
              <w:rPr>
                <w:sz w:val="20"/>
                <w:szCs w:val="20"/>
                <w:lang w:eastAsia="en-US"/>
              </w:rPr>
              <w:t>J Hinks</w:t>
            </w:r>
          </w:p>
        </w:tc>
        <w:tc>
          <w:tcPr>
            <w:tcW w:w="1706" w:type="dxa"/>
            <w:tcBorders>
              <w:top w:val="single" w:sz="6" w:space="0" w:color="A6A6A6"/>
              <w:left w:val="single" w:sz="6" w:space="0" w:color="A6A6A6"/>
              <w:bottom w:val="single" w:sz="6" w:space="0" w:color="A6A6A6"/>
              <w:right w:val="single" w:sz="6" w:space="0" w:color="A6A6A6"/>
            </w:tcBorders>
            <w:vAlign w:val="center"/>
          </w:tcPr>
          <w:p w14:paraId="00227CCC" w14:textId="63F96F93" w:rsidR="00A30937" w:rsidRPr="00065CF9" w:rsidRDefault="00A30937" w:rsidP="00A30937">
            <w:pPr>
              <w:rPr>
                <w:sz w:val="20"/>
                <w:szCs w:val="20"/>
                <w:lang w:eastAsia="en-US"/>
              </w:rPr>
            </w:pPr>
            <w:r w:rsidRPr="00065CF9">
              <w:rPr>
                <w:sz w:val="20"/>
                <w:szCs w:val="20"/>
                <w:lang w:eastAsia="en-US"/>
              </w:rPr>
              <w:t>I. MacDougall</w:t>
            </w:r>
          </w:p>
        </w:tc>
      </w:tr>
    </w:tbl>
    <w:p w14:paraId="70AB50E0" w14:textId="77777777" w:rsidR="00A30937" w:rsidRDefault="00A30937" w:rsidP="00A30937">
      <w:pPr>
        <w:outlineLvl w:val="9"/>
      </w:pPr>
    </w:p>
    <w:p w14:paraId="774AA1B9" w14:textId="77777777" w:rsidR="00A30937" w:rsidRDefault="00A30937" w:rsidP="00A30937">
      <w:pPr>
        <w:pStyle w:val="Heading"/>
      </w:pPr>
      <w:r>
        <w:t>Approvals</w:t>
      </w:r>
    </w:p>
    <w:p w14:paraId="052B3C42" w14:textId="77777777" w:rsidR="00A30937" w:rsidRDefault="00A30937" w:rsidP="00A30937">
      <w:pPr>
        <w:pStyle w:val="BodyText"/>
        <w:ind w:left="0"/>
      </w:pPr>
      <w:r>
        <w:t>This Casino-Henry-Netherby Environment Plan has been approved by Cooper Energy for the Operations and Maintenance Phase.</w:t>
      </w:r>
    </w:p>
    <w:p w14:paraId="66B361CD" w14:textId="77777777" w:rsidR="00A30937" w:rsidRDefault="00A30937" w:rsidP="00A30937">
      <w:pPr>
        <w:pStyle w:val="BodyText"/>
        <w:ind w:left="142"/>
      </w:pPr>
    </w:p>
    <w:tbl>
      <w:tblPr>
        <w:tblStyle w:val="TableGrid"/>
        <w:tblW w:w="4950" w:type="pct"/>
        <w:tblInd w:w="175" w:type="dxa"/>
        <w:tblLayout w:type="fixed"/>
        <w:tblLook w:val="04A0" w:firstRow="1" w:lastRow="0" w:firstColumn="1" w:lastColumn="0" w:noHBand="0" w:noVBand="1"/>
      </w:tblPr>
      <w:tblGrid>
        <w:gridCol w:w="3061"/>
        <w:gridCol w:w="3934"/>
        <w:gridCol w:w="1926"/>
      </w:tblGrid>
      <w:tr w:rsidR="00A30937" w14:paraId="1C79AA49" w14:textId="77777777" w:rsidTr="00A30937">
        <w:trPr>
          <w:cnfStyle w:val="100000000000" w:firstRow="1" w:lastRow="0" w:firstColumn="0" w:lastColumn="0" w:oddVBand="0" w:evenVBand="0" w:oddHBand="0" w:evenHBand="0" w:firstRowFirstColumn="0" w:firstRowLastColumn="0" w:lastRowFirstColumn="0" w:lastRowLastColumn="0"/>
          <w:trHeight w:val="284"/>
        </w:trPr>
        <w:tc>
          <w:tcPr>
            <w:tcW w:w="3150" w:type="dxa"/>
            <w:tcBorders>
              <w:top w:val="single" w:sz="6" w:space="0" w:color="A6A6A6"/>
              <w:left w:val="single" w:sz="6" w:space="0" w:color="A6A6A6"/>
              <w:bottom w:val="single" w:sz="6" w:space="0" w:color="A6A6A6"/>
            </w:tcBorders>
            <w:tcMar>
              <w:left w:w="85" w:type="dxa"/>
              <w:bottom w:w="0" w:type="dxa"/>
              <w:right w:w="85" w:type="dxa"/>
            </w:tcMar>
            <w:hideMark/>
          </w:tcPr>
          <w:p w14:paraId="0ABBEDA9" w14:textId="77777777" w:rsidR="00A30937" w:rsidRDefault="00A30937" w:rsidP="00A30937">
            <w:pPr>
              <w:pStyle w:val="BodyText"/>
              <w:rPr>
                <w:lang w:eastAsia="en-US"/>
              </w:rPr>
            </w:pPr>
            <w:r>
              <w:rPr>
                <w:lang w:eastAsia="en-US"/>
              </w:rPr>
              <w:t>Name</w:t>
            </w:r>
          </w:p>
        </w:tc>
        <w:tc>
          <w:tcPr>
            <w:tcW w:w="4050" w:type="dxa"/>
            <w:tcBorders>
              <w:top w:val="single" w:sz="6" w:space="0" w:color="A6A6A6"/>
              <w:bottom w:val="single" w:sz="6" w:space="0" w:color="A6A6A6"/>
            </w:tcBorders>
            <w:tcMar>
              <w:left w:w="85" w:type="dxa"/>
              <w:bottom w:w="0" w:type="dxa"/>
              <w:right w:w="85" w:type="dxa"/>
            </w:tcMar>
            <w:hideMark/>
          </w:tcPr>
          <w:p w14:paraId="66992D5B" w14:textId="77777777" w:rsidR="00A30937" w:rsidRDefault="00A30937" w:rsidP="00A30937">
            <w:pPr>
              <w:pStyle w:val="BodyText"/>
              <w:rPr>
                <w:lang w:eastAsia="en-US"/>
              </w:rPr>
            </w:pPr>
            <w:r>
              <w:rPr>
                <w:lang w:eastAsia="en-US"/>
              </w:rPr>
              <w:t>Signature</w:t>
            </w:r>
          </w:p>
        </w:tc>
        <w:tc>
          <w:tcPr>
            <w:tcW w:w="1980" w:type="dxa"/>
            <w:tcBorders>
              <w:top w:val="single" w:sz="6" w:space="0" w:color="A6A6A6"/>
              <w:bottom w:val="single" w:sz="6" w:space="0" w:color="A6A6A6"/>
              <w:right w:val="single" w:sz="6" w:space="0" w:color="A6A6A6"/>
            </w:tcBorders>
            <w:tcMar>
              <w:left w:w="85" w:type="dxa"/>
              <w:bottom w:w="0" w:type="dxa"/>
              <w:right w:w="85" w:type="dxa"/>
            </w:tcMar>
            <w:hideMark/>
          </w:tcPr>
          <w:p w14:paraId="1D6DE868" w14:textId="77777777" w:rsidR="00A30937" w:rsidRDefault="00A30937" w:rsidP="00A30937">
            <w:pPr>
              <w:pStyle w:val="BodyText"/>
              <w:rPr>
                <w:lang w:eastAsia="en-US"/>
              </w:rPr>
            </w:pPr>
            <w:r>
              <w:rPr>
                <w:lang w:eastAsia="en-US"/>
              </w:rPr>
              <w:t>Date</w:t>
            </w:r>
          </w:p>
        </w:tc>
      </w:tr>
      <w:tr w:rsidR="00A30937" w14:paraId="0ACED17A" w14:textId="77777777" w:rsidTr="00A30937">
        <w:trPr>
          <w:trHeight w:val="2127"/>
        </w:trPr>
        <w:tc>
          <w:tcPr>
            <w:tcW w:w="3150" w:type="dxa"/>
            <w:tcBorders>
              <w:top w:val="single" w:sz="6" w:space="0" w:color="A6A6A6"/>
              <w:left w:val="single" w:sz="6" w:space="0" w:color="A6A6A6"/>
              <w:bottom w:val="single" w:sz="6" w:space="0" w:color="A6A6A6"/>
              <w:right w:val="single" w:sz="6" w:space="0" w:color="A6A6A6"/>
            </w:tcBorders>
            <w:vAlign w:val="center"/>
            <w:hideMark/>
          </w:tcPr>
          <w:p w14:paraId="02867775" w14:textId="77777777" w:rsidR="00A30937" w:rsidRDefault="00A30937" w:rsidP="00A30937">
            <w:pPr>
              <w:pStyle w:val="BodyText"/>
              <w:ind w:left="0"/>
              <w:rPr>
                <w:lang w:eastAsia="en-US"/>
              </w:rPr>
            </w:pPr>
            <w:r>
              <w:rPr>
                <w:lang w:eastAsia="en-US"/>
              </w:rPr>
              <w:t>Iain MacDougall</w:t>
            </w:r>
          </w:p>
          <w:p w14:paraId="7BA17B2C" w14:textId="77777777" w:rsidR="00A30937" w:rsidRDefault="00A30937" w:rsidP="00A30937">
            <w:pPr>
              <w:pStyle w:val="BodyText"/>
              <w:ind w:left="0"/>
              <w:rPr>
                <w:lang w:eastAsia="en-US"/>
              </w:rPr>
            </w:pPr>
            <w:r>
              <w:rPr>
                <w:lang w:eastAsia="en-US"/>
              </w:rPr>
              <w:t>General Manager Operations</w:t>
            </w:r>
          </w:p>
          <w:p w14:paraId="7CFF459D" w14:textId="77777777" w:rsidR="00A30937" w:rsidRDefault="00A30937" w:rsidP="00A30937">
            <w:pPr>
              <w:pStyle w:val="BodyText"/>
              <w:ind w:left="0"/>
              <w:rPr>
                <w:lang w:eastAsia="en-US"/>
              </w:rPr>
            </w:pPr>
            <w:r>
              <w:rPr>
                <w:lang w:eastAsia="en-US"/>
              </w:rPr>
              <w:t>Cooper Energy Limited</w:t>
            </w:r>
          </w:p>
        </w:tc>
        <w:tc>
          <w:tcPr>
            <w:tcW w:w="4050" w:type="dxa"/>
            <w:tcBorders>
              <w:top w:val="single" w:sz="6" w:space="0" w:color="A6A6A6"/>
              <w:left w:val="single" w:sz="6" w:space="0" w:color="A6A6A6"/>
              <w:bottom w:val="single" w:sz="6" w:space="0" w:color="A6A6A6"/>
              <w:right w:val="single" w:sz="6" w:space="0" w:color="A6A6A6"/>
            </w:tcBorders>
            <w:vAlign w:val="center"/>
          </w:tcPr>
          <w:p w14:paraId="681E87E7" w14:textId="77777777" w:rsidR="00A30937" w:rsidRDefault="00A30937" w:rsidP="00A30937">
            <w:pPr>
              <w:pStyle w:val="BodyText"/>
              <w:rPr>
                <w:lang w:eastAsia="en-US"/>
              </w:rPr>
            </w:pPr>
          </w:p>
        </w:tc>
        <w:tc>
          <w:tcPr>
            <w:tcW w:w="1980" w:type="dxa"/>
            <w:tcBorders>
              <w:top w:val="single" w:sz="6" w:space="0" w:color="A6A6A6"/>
              <w:left w:val="single" w:sz="6" w:space="0" w:color="A6A6A6"/>
              <w:bottom w:val="single" w:sz="6" w:space="0" w:color="A6A6A6"/>
              <w:right w:val="single" w:sz="6" w:space="0" w:color="A6A6A6"/>
            </w:tcBorders>
            <w:vAlign w:val="center"/>
          </w:tcPr>
          <w:p w14:paraId="76508A19" w14:textId="77777777" w:rsidR="00A30937" w:rsidRDefault="00A30937" w:rsidP="00A30937">
            <w:pPr>
              <w:pStyle w:val="BodyText"/>
              <w:ind w:left="5"/>
              <w:rPr>
                <w:lang w:eastAsia="en-US"/>
              </w:rPr>
            </w:pPr>
          </w:p>
        </w:tc>
      </w:tr>
    </w:tbl>
    <w:p w14:paraId="3B46FA7B" w14:textId="77777777" w:rsidR="00A30937" w:rsidRDefault="00A30937" w:rsidP="00A30937">
      <w:pPr>
        <w:outlineLvl w:val="9"/>
      </w:pPr>
    </w:p>
    <w:p w14:paraId="6F22472C" w14:textId="77777777" w:rsidR="00A30937" w:rsidRDefault="00A30937">
      <w:pPr>
        <w:spacing w:after="0"/>
        <w:outlineLvl w:val="9"/>
        <w:rPr>
          <w:rFonts w:asciiTheme="majorHAnsi" w:hAnsiTheme="majorHAnsi" w:cstheme="majorHAnsi"/>
          <w:b/>
          <w:bCs/>
          <w:sz w:val="18"/>
          <w:szCs w:val="18"/>
        </w:rPr>
      </w:pPr>
    </w:p>
    <w:p w14:paraId="195894BD" w14:textId="77777777" w:rsidR="0055069E" w:rsidRPr="003A50F5" w:rsidRDefault="0055069E" w:rsidP="00BF56E2">
      <w:pPr>
        <w:pStyle w:val="Heading"/>
        <w:spacing w:beforeLines="60" w:before="144" w:afterLines="60" w:after="144"/>
        <w:outlineLvl w:val="9"/>
        <w:rPr>
          <w:rFonts w:asciiTheme="majorHAnsi" w:hAnsiTheme="majorHAnsi" w:cstheme="majorHAnsi"/>
          <w:sz w:val="18"/>
          <w:szCs w:val="18"/>
        </w:rPr>
        <w:sectPr w:rsidR="0055069E" w:rsidRPr="003A50F5" w:rsidSect="00836B0E">
          <w:headerReference w:type="even" r:id="rId13"/>
          <w:headerReference w:type="default" r:id="rId14"/>
          <w:footerReference w:type="default" r:id="rId15"/>
          <w:headerReference w:type="first" r:id="rId16"/>
          <w:pgSz w:w="11907" w:h="16840" w:code="9"/>
          <w:pgMar w:top="1914" w:right="1440" w:bottom="1985" w:left="1440" w:header="680" w:footer="284" w:gutter="0"/>
          <w:pgNumType w:start="1"/>
          <w:cols w:space="720"/>
        </w:sectPr>
      </w:pPr>
    </w:p>
    <w:p w14:paraId="7DE0A268" w14:textId="269D5358" w:rsidR="003A1A23" w:rsidRDefault="003A1A23" w:rsidP="0036080A">
      <w:pPr>
        <w:pStyle w:val="Heading1"/>
        <w:numPr>
          <w:ilvl w:val="0"/>
          <w:numId w:val="18"/>
        </w:numPr>
      </w:pPr>
      <w:bookmarkStart w:id="6" w:name="_Toc512862453"/>
      <w:r>
        <w:lastRenderedPageBreak/>
        <w:t>Introduction</w:t>
      </w:r>
      <w:bookmarkEnd w:id="6"/>
    </w:p>
    <w:p w14:paraId="4310D05F" w14:textId="77777777" w:rsidR="000D03DC" w:rsidRPr="00E07A94" w:rsidRDefault="000D03DC" w:rsidP="000D03DC">
      <w:pPr>
        <w:pStyle w:val="Heading2"/>
      </w:pPr>
      <w:bookmarkStart w:id="7" w:name="_Toc512862454"/>
      <w:r>
        <w:t>Background</w:t>
      </w:r>
      <w:bookmarkEnd w:id="7"/>
    </w:p>
    <w:p w14:paraId="3A746251" w14:textId="4DD1D270" w:rsidR="000D03DC" w:rsidRPr="00C5080C" w:rsidRDefault="000D03DC" w:rsidP="000D03DC">
      <w:pPr>
        <w:pStyle w:val="BodyText"/>
        <w:keepNext/>
        <w:rPr>
          <w:szCs w:val="20"/>
        </w:rPr>
      </w:pPr>
      <w:r w:rsidRPr="00C5080C">
        <w:rPr>
          <w:szCs w:val="20"/>
        </w:rPr>
        <w:t xml:space="preserve">Gas and condensate is currently produced from the Casino, </w:t>
      </w:r>
      <w:r>
        <w:rPr>
          <w:szCs w:val="20"/>
        </w:rPr>
        <w:t xml:space="preserve">Henry, </w:t>
      </w:r>
      <w:r w:rsidRPr="00C5080C">
        <w:rPr>
          <w:szCs w:val="20"/>
        </w:rPr>
        <w:t xml:space="preserve">Netherby </w:t>
      </w:r>
      <w:r>
        <w:rPr>
          <w:szCs w:val="20"/>
        </w:rPr>
        <w:t xml:space="preserve">(CHN) </w:t>
      </w:r>
      <w:r w:rsidRPr="00C5080C">
        <w:rPr>
          <w:szCs w:val="20"/>
        </w:rPr>
        <w:t>gas fields located in Production Licence Areas VIC/L24 (Casino) and VIC/L30 (Netherby and Henry</w:t>
      </w:r>
      <w:r w:rsidR="00BC7066" w:rsidRPr="00C5080C">
        <w:rPr>
          <w:szCs w:val="20"/>
        </w:rPr>
        <w:t>), (</w:t>
      </w:r>
      <w:r w:rsidRPr="00C5080C">
        <w:rPr>
          <w:color w:val="0000FF"/>
          <w:szCs w:val="20"/>
        </w:rPr>
        <w:fldChar w:fldCharType="begin"/>
      </w:r>
      <w:r w:rsidRPr="00C5080C">
        <w:rPr>
          <w:szCs w:val="20"/>
        </w:rPr>
        <w:instrText xml:space="preserve"> REF _Ref473298820 \h </w:instrText>
      </w:r>
      <w:r>
        <w:rPr>
          <w:color w:val="0000FF"/>
          <w:szCs w:val="20"/>
        </w:rPr>
        <w:instrText xml:space="preserve"> \* MERGEFORMAT </w:instrText>
      </w:r>
      <w:r w:rsidRPr="00C5080C">
        <w:rPr>
          <w:color w:val="0000FF"/>
          <w:szCs w:val="20"/>
        </w:rPr>
      </w:r>
      <w:r w:rsidRPr="00C5080C">
        <w:rPr>
          <w:color w:val="0000FF"/>
          <w:szCs w:val="20"/>
        </w:rPr>
        <w:fldChar w:fldCharType="separate"/>
      </w:r>
      <w:r w:rsidR="00CC4C35" w:rsidRPr="00CC4C35">
        <w:rPr>
          <w:szCs w:val="20"/>
        </w:rPr>
        <w:t xml:space="preserve">Figure </w:t>
      </w:r>
      <w:r w:rsidR="00CC4C35" w:rsidRPr="00CC4C35">
        <w:rPr>
          <w:noProof/>
          <w:szCs w:val="20"/>
        </w:rPr>
        <w:t>2</w:t>
      </w:r>
      <w:r w:rsidR="00CC4C35" w:rsidRPr="00CC4C35">
        <w:rPr>
          <w:noProof/>
          <w:szCs w:val="20"/>
        </w:rPr>
        <w:noBreakHyphen/>
        <w:t>1</w:t>
      </w:r>
      <w:r w:rsidRPr="00C5080C">
        <w:rPr>
          <w:color w:val="0000FF"/>
          <w:szCs w:val="20"/>
        </w:rPr>
        <w:fldChar w:fldCharType="end"/>
      </w:r>
      <w:r>
        <w:rPr>
          <w:szCs w:val="20"/>
        </w:rPr>
        <w:t>)</w:t>
      </w:r>
      <w:r w:rsidRPr="00C5080C">
        <w:rPr>
          <w:szCs w:val="20"/>
        </w:rPr>
        <w:t xml:space="preserve">. Gas and condensate is produced via four subsea wells and transported through a subsea pipeline to the Iona Gas Plant for processing. </w:t>
      </w:r>
    </w:p>
    <w:p w14:paraId="1DEC9492" w14:textId="77777777" w:rsidR="000D03DC" w:rsidRPr="00C5080C" w:rsidRDefault="000D03DC" w:rsidP="000D03DC">
      <w:pPr>
        <w:pStyle w:val="BodyText"/>
        <w:keepNext/>
        <w:rPr>
          <w:szCs w:val="20"/>
        </w:rPr>
      </w:pPr>
      <w:r w:rsidRPr="00C5080C">
        <w:rPr>
          <w:szCs w:val="20"/>
        </w:rPr>
        <w:t>The offshore facilities consist of:</w:t>
      </w:r>
    </w:p>
    <w:p w14:paraId="180C6209" w14:textId="77777777" w:rsidR="000D03DC" w:rsidRPr="00B55186" w:rsidRDefault="000D03DC" w:rsidP="0036080A">
      <w:pPr>
        <w:pStyle w:val="BodyText"/>
        <w:keepNext/>
        <w:numPr>
          <w:ilvl w:val="0"/>
          <w:numId w:val="25"/>
        </w:numPr>
        <w:rPr>
          <w:szCs w:val="20"/>
        </w:rPr>
      </w:pPr>
      <w:r w:rsidRPr="00B55186">
        <w:rPr>
          <w:szCs w:val="20"/>
        </w:rPr>
        <w:t xml:space="preserve">Four subsea production wells (Casino-4, Casino-5, Henry-2 and Netherby-1). </w:t>
      </w:r>
    </w:p>
    <w:p w14:paraId="2E19A134" w14:textId="77777777" w:rsidR="000D03DC" w:rsidRPr="00B55186" w:rsidRDefault="000D03DC" w:rsidP="0036080A">
      <w:pPr>
        <w:pStyle w:val="BodyText"/>
        <w:keepNext/>
        <w:numPr>
          <w:ilvl w:val="0"/>
          <w:numId w:val="25"/>
        </w:numPr>
        <w:rPr>
          <w:szCs w:val="20"/>
        </w:rPr>
      </w:pPr>
      <w:r w:rsidRPr="00B55186">
        <w:rPr>
          <w:szCs w:val="20"/>
        </w:rPr>
        <w:t>A 32.6-km subsea pipeline (Casino pipeline) connecting the Casino wells to the Iona Gas Plant.</w:t>
      </w:r>
    </w:p>
    <w:p w14:paraId="284A08A1" w14:textId="77777777" w:rsidR="000D03DC" w:rsidRPr="00B55186" w:rsidRDefault="000D03DC" w:rsidP="0036080A">
      <w:pPr>
        <w:pStyle w:val="BodyText"/>
        <w:keepNext/>
        <w:numPr>
          <w:ilvl w:val="0"/>
          <w:numId w:val="25"/>
        </w:numPr>
        <w:rPr>
          <w:szCs w:val="20"/>
        </w:rPr>
      </w:pPr>
      <w:r w:rsidRPr="00B55186">
        <w:rPr>
          <w:szCs w:val="20"/>
        </w:rPr>
        <w:t xml:space="preserve">A 22-km subsea pipeline (Casino to Pecten East pipeline) tying in to the Casino Pipeline, carrying gas from the Henry-2 and Netherby-1 wells, with an additional section to a potential production well in the Pecten reservoir (not yet drilled; drilling and construction would be subject to a separate EP if and when that is planned). </w:t>
      </w:r>
    </w:p>
    <w:p w14:paraId="3B39DFEE" w14:textId="43F4DF53" w:rsidR="000D03DC" w:rsidRPr="00B55186" w:rsidRDefault="000D03DC" w:rsidP="0036080A">
      <w:pPr>
        <w:pStyle w:val="BodyText"/>
        <w:keepNext/>
        <w:numPr>
          <w:ilvl w:val="0"/>
          <w:numId w:val="25"/>
        </w:numPr>
        <w:rPr>
          <w:szCs w:val="20"/>
        </w:rPr>
      </w:pPr>
      <w:r w:rsidRPr="00B55186">
        <w:rPr>
          <w:szCs w:val="20"/>
        </w:rPr>
        <w:t>A 31.2-km electro-hydraulic umbilical (EHU) cable connecting the Casino wells to the onshore Iona Gas Plant.</w:t>
      </w:r>
      <w:r w:rsidR="00543EC8" w:rsidRPr="00B55186">
        <w:rPr>
          <w:szCs w:val="20"/>
        </w:rPr>
        <w:t xml:space="preserve"> The umbilical contains three lines, carrying chemicals, electrical power and hydraulic fluids.</w:t>
      </w:r>
    </w:p>
    <w:p w14:paraId="7C932138" w14:textId="694B7FD3" w:rsidR="000D03DC" w:rsidRPr="00B55186" w:rsidRDefault="000D03DC" w:rsidP="0036080A">
      <w:pPr>
        <w:pStyle w:val="BodyText"/>
        <w:keepNext/>
        <w:numPr>
          <w:ilvl w:val="0"/>
          <w:numId w:val="25"/>
        </w:numPr>
        <w:rPr>
          <w:szCs w:val="20"/>
        </w:rPr>
      </w:pPr>
      <w:r w:rsidRPr="00B55186">
        <w:rPr>
          <w:szCs w:val="20"/>
        </w:rPr>
        <w:t>A 22-km EHU cable (extension of the umbilical above) connecting the Henry and Netherby wells to the Iona Gas Plant.</w:t>
      </w:r>
      <w:r w:rsidR="00543EC8" w:rsidRPr="00B55186">
        <w:rPr>
          <w:szCs w:val="20"/>
        </w:rPr>
        <w:t xml:space="preserve"> </w:t>
      </w:r>
    </w:p>
    <w:p w14:paraId="16EF6C00" w14:textId="77777777" w:rsidR="000D03DC" w:rsidRDefault="000D03DC" w:rsidP="000D03DC">
      <w:pPr>
        <w:pStyle w:val="Heading2"/>
      </w:pPr>
      <w:bookmarkStart w:id="8" w:name="_Toc512862455"/>
      <w:r w:rsidRPr="00E26314">
        <w:t>Scope</w:t>
      </w:r>
      <w:bookmarkEnd w:id="8"/>
    </w:p>
    <w:p w14:paraId="74C69017" w14:textId="513217FB" w:rsidR="009F514C" w:rsidRDefault="000D03DC" w:rsidP="000D03DC">
      <w:pPr>
        <w:pStyle w:val="BodyText"/>
        <w:keepNext/>
        <w:rPr>
          <w:szCs w:val="20"/>
        </w:rPr>
      </w:pPr>
      <w:r>
        <w:rPr>
          <w:szCs w:val="20"/>
        </w:rPr>
        <w:t xml:space="preserve">The scope of this EP </w:t>
      </w:r>
      <w:r w:rsidR="009314A2">
        <w:rPr>
          <w:szCs w:val="20"/>
        </w:rPr>
        <w:t xml:space="preserve">summary </w:t>
      </w:r>
      <w:r>
        <w:rPr>
          <w:szCs w:val="20"/>
        </w:rPr>
        <w:t xml:space="preserve">covers the operations and maintenance activities of the offshore CHN Pipeline in State waters </w:t>
      </w:r>
      <w:r w:rsidR="00543EC8">
        <w:rPr>
          <w:szCs w:val="20"/>
        </w:rPr>
        <w:t xml:space="preserve">only </w:t>
      </w:r>
      <w:r w:rsidR="009F514C">
        <w:rPr>
          <w:szCs w:val="20"/>
        </w:rPr>
        <w:t xml:space="preserve">as covered by Pipeline Licence Vic/PL37(v) that extends from </w:t>
      </w:r>
      <w:r w:rsidR="008700EC">
        <w:rPr>
          <w:szCs w:val="20"/>
        </w:rPr>
        <w:t>median low water mark (MLW) to 3 nautical miles (Nm).</w:t>
      </w:r>
    </w:p>
    <w:p w14:paraId="7A0EFE29" w14:textId="4E82EF1C" w:rsidR="000D03DC" w:rsidRDefault="008700EC" w:rsidP="000D03DC">
      <w:pPr>
        <w:pStyle w:val="BodyText"/>
        <w:keepNext/>
        <w:rPr>
          <w:szCs w:val="20"/>
        </w:rPr>
      </w:pPr>
      <w:r>
        <w:rPr>
          <w:szCs w:val="20"/>
        </w:rPr>
        <w:t xml:space="preserve">The </w:t>
      </w:r>
      <w:r w:rsidR="009F514C">
        <w:rPr>
          <w:szCs w:val="20"/>
        </w:rPr>
        <w:t xml:space="preserve">EP summary covering the offshore infrastructure and pipelines within Commonwealth waters </w:t>
      </w:r>
      <w:r>
        <w:rPr>
          <w:szCs w:val="20"/>
        </w:rPr>
        <w:t xml:space="preserve">(beyond 3 Nm) </w:t>
      </w:r>
      <w:r w:rsidR="009F514C">
        <w:rPr>
          <w:szCs w:val="20"/>
        </w:rPr>
        <w:t xml:space="preserve">has been submitted and accepted by NOPSEMA and is available on their website at </w:t>
      </w:r>
      <w:hyperlink r:id="rId17" w:history="1">
        <w:r w:rsidR="009F514C" w:rsidRPr="00C46698">
          <w:rPr>
            <w:rStyle w:val="Hyperlink"/>
            <w:szCs w:val="20"/>
          </w:rPr>
          <w:t>https://www.nopsema.gov.au/assets/epdocuments/A565933.pdf</w:t>
        </w:r>
      </w:hyperlink>
    </w:p>
    <w:p w14:paraId="2C3953A5" w14:textId="250132D8" w:rsidR="000D03DC" w:rsidRDefault="000D03DC" w:rsidP="000D03DC">
      <w:pPr>
        <w:pStyle w:val="BodyText"/>
        <w:keepNext/>
        <w:rPr>
          <w:szCs w:val="20"/>
        </w:rPr>
      </w:pPr>
      <w:r>
        <w:rPr>
          <w:szCs w:val="20"/>
        </w:rPr>
        <w:t>It is anticipated that the EP will be in place for a period of up to 5 years.</w:t>
      </w:r>
    </w:p>
    <w:p w14:paraId="68E020AB" w14:textId="77777777" w:rsidR="00BF56E2" w:rsidRPr="00C5080C" w:rsidRDefault="00BF56E2" w:rsidP="00BF56E2">
      <w:pPr>
        <w:pStyle w:val="BodyText"/>
        <w:keepNext/>
        <w:rPr>
          <w:szCs w:val="20"/>
        </w:rPr>
      </w:pPr>
      <w:r w:rsidRPr="00C5080C">
        <w:rPr>
          <w:szCs w:val="20"/>
        </w:rPr>
        <w:t>Operation</w:t>
      </w:r>
      <w:r>
        <w:rPr>
          <w:szCs w:val="20"/>
        </w:rPr>
        <w:t>s and maintenance</w:t>
      </w:r>
      <w:r w:rsidRPr="00C5080C">
        <w:rPr>
          <w:szCs w:val="20"/>
        </w:rPr>
        <w:t xml:space="preserve"> activities include:</w:t>
      </w:r>
    </w:p>
    <w:p w14:paraId="79523E26" w14:textId="77777777" w:rsidR="00BF56E2" w:rsidRPr="00B55186" w:rsidRDefault="00BF56E2" w:rsidP="0036080A">
      <w:pPr>
        <w:pStyle w:val="BodyText"/>
        <w:keepNext/>
        <w:numPr>
          <w:ilvl w:val="0"/>
          <w:numId w:val="25"/>
        </w:numPr>
        <w:rPr>
          <w:szCs w:val="20"/>
        </w:rPr>
      </w:pPr>
      <w:r w:rsidRPr="00B55186">
        <w:rPr>
          <w:szCs w:val="20"/>
        </w:rPr>
        <w:t xml:space="preserve">Monitoring and control of flow and pressure through the wells and pipelines; </w:t>
      </w:r>
    </w:p>
    <w:p w14:paraId="63272593" w14:textId="77777777" w:rsidR="00BF56E2" w:rsidRPr="00B55186" w:rsidRDefault="00BF56E2" w:rsidP="0036080A">
      <w:pPr>
        <w:pStyle w:val="BodyText"/>
        <w:keepNext/>
        <w:numPr>
          <w:ilvl w:val="0"/>
          <w:numId w:val="25"/>
        </w:numPr>
        <w:rPr>
          <w:szCs w:val="20"/>
        </w:rPr>
      </w:pPr>
      <w:r w:rsidRPr="00B55186">
        <w:rPr>
          <w:szCs w:val="20"/>
        </w:rPr>
        <w:t xml:space="preserve">Injection of chemicals and cycling of valves; </w:t>
      </w:r>
    </w:p>
    <w:p w14:paraId="6FD95649" w14:textId="77777777" w:rsidR="00BF56E2" w:rsidRPr="00B55186" w:rsidRDefault="00BF56E2" w:rsidP="0036080A">
      <w:pPr>
        <w:pStyle w:val="BodyText"/>
        <w:keepNext/>
        <w:numPr>
          <w:ilvl w:val="0"/>
          <w:numId w:val="25"/>
        </w:numPr>
        <w:rPr>
          <w:szCs w:val="20"/>
        </w:rPr>
      </w:pPr>
      <w:r w:rsidRPr="00B55186">
        <w:rPr>
          <w:szCs w:val="20"/>
        </w:rPr>
        <w:t xml:space="preserve">Undertaking inspection, maintenance and repair (IMR) activities on the pipeline and associated subsea infrastructure (e.g., Remotely Operated Vehicle (ROV)); </w:t>
      </w:r>
    </w:p>
    <w:p w14:paraId="7FD01F35" w14:textId="77777777" w:rsidR="00BF56E2" w:rsidRPr="00B55186" w:rsidRDefault="00BF56E2" w:rsidP="0036080A">
      <w:pPr>
        <w:pStyle w:val="BodyText"/>
        <w:keepNext/>
        <w:numPr>
          <w:ilvl w:val="0"/>
          <w:numId w:val="25"/>
        </w:numPr>
        <w:rPr>
          <w:szCs w:val="20"/>
        </w:rPr>
      </w:pPr>
      <w:r w:rsidRPr="00B55186">
        <w:rPr>
          <w:szCs w:val="20"/>
        </w:rPr>
        <w:t xml:space="preserve">Diver-based inspections and interventions; and </w:t>
      </w:r>
    </w:p>
    <w:p w14:paraId="6E4A3BA6" w14:textId="77777777" w:rsidR="00BF56E2" w:rsidRPr="00B55186" w:rsidRDefault="00BF56E2" w:rsidP="0036080A">
      <w:pPr>
        <w:pStyle w:val="BodyText"/>
        <w:keepNext/>
        <w:numPr>
          <w:ilvl w:val="0"/>
          <w:numId w:val="25"/>
        </w:numPr>
        <w:rPr>
          <w:szCs w:val="20"/>
        </w:rPr>
      </w:pPr>
      <w:r w:rsidRPr="00B55186">
        <w:rPr>
          <w:szCs w:val="20"/>
        </w:rPr>
        <w:t xml:space="preserve">Internal line inspection (ILI), including pigging activities. </w:t>
      </w:r>
    </w:p>
    <w:p w14:paraId="35D72598" w14:textId="77777777" w:rsidR="00BF56E2" w:rsidRDefault="00BF56E2" w:rsidP="000D03DC">
      <w:pPr>
        <w:pStyle w:val="BodyText"/>
        <w:rPr>
          <w:lang w:eastAsia="en-US"/>
        </w:rPr>
      </w:pPr>
    </w:p>
    <w:p w14:paraId="514174CB" w14:textId="3F704D01" w:rsidR="009C6795" w:rsidRDefault="009C6795" w:rsidP="009C6795">
      <w:pPr>
        <w:pStyle w:val="Bullet1"/>
        <w:numPr>
          <w:ilvl w:val="0"/>
          <w:numId w:val="0"/>
        </w:numPr>
      </w:pPr>
    </w:p>
    <w:p w14:paraId="18C3CB39" w14:textId="77777777" w:rsidR="00C867B0" w:rsidRDefault="00C867B0" w:rsidP="00C867B0">
      <w:pPr>
        <w:pStyle w:val="Heading2"/>
        <w:ind w:left="567" w:hanging="567"/>
      </w:pPr>
      <w:bookmarkStart w:id="9" w:name="_Toc512862456"/>
      <w:r>
        <w:lastRenderedPageBreak/>
        <w:t>Nominated Titleholder and Liaison Person</w:t>
      </w:r>
      <w:bookmarkEnd w:id="9"/>
    </w:p>
    <w:p w14:paraId="04BF1975" w14:textId="773FE83B" w:rsidR="00B55186" w:rsidRDefault="00775DEA" w:rsidP="00BA1AE8">
      <w:pPr>
        <w:pStyle w:val="BodyText"/>
        <w:keepNext/>
        <w:spacing w:after="240"/>
        <w:rPr>
          <w:szCs w:val="20"/>
        </w:rPr>
      </w:pPr>
      <w:r w:rsidRPr="007C4C7B">
        <w:rPr>
          <w:szCs w:val="20"/>
        </w:rPr>
        <w:t>I</w:t>
      </w:r>
      <w:r w:rsidR="00400954" w:rsidRPr="007C4C7B">
        <w:rPr>
          <w:szCs w:val="20"/>
        </w:rPr>
        <w:t>n</w:t>
      </w:r>
      <w:r w:rsidRPr="007C4C7B">
        <w:rPr>
          <w:szCs w:val="20"/>
        </w:rPr>
        <w:t xml:space="preserve"> accordance with the OPGGS(E)</w:t>
      </w:r>
      <w:r w:rsidR="00D57B94">
        <w:rPr>
          <w:szCs w:val="20"/>
        </w:rPr>
        <w:t>R Regulation 18(2)</w:t>
      </w:r>
      <w:r w:rsidR="00400954" w:rsidRPr="007C4C7B">
        <w:rPr>
          <w:szCs w:val="20"/>
        </w:rPr>
        <w:t xml:space="preserve"> and Regulation </w:t>
      </w:r>
      <w:r w:rsidR="00D16710" w:rsidRPr="007C4C7B">
        <w:rPr>
          <w:szCs w:val="20"/>
        </w:rPr>
        <w:t>15</w:t>
      </w:r>
      <w:r w:rsidR="00400954" w:rsidRPr="007C4C7B">
        <w:rPr>
          <w:szCs w:val="20"/>
        </w:rPr>
        <w:t xml:space="preserve"> of the OPGGS</w:t>
      </w:r>
      <w:r w:rsidR="00D57B94">
        <w:rPr>
          <w:szCs w:val="20"/>
        </w:rPr>
        <w:t>R Regulation 15</w:t>
      </w:r>
      <w:r w:rsidRPr="007C4C7B">
        <w:rPr>
          <w:szCs w:val="20"/>
        </w:rPr>
        <w:t xml:space="preserve">, details of the titleholder and liaison person for this EP are provided in </w:t>
      </w:r>
      <w:r w:rsidR="007C4C7B" w:rsidRPr="007C4C7B">
        <w:rPr>
          <w:color w:val="FF0000"/>
          <w:szCs w:val="20"/>
        </w:rPr>
        <w:fldChar w:fldCharType="begin"/>
      </w:r>
      <w:r w:rsidR="007C4C7B" w:rsidRPr="007C4C7B">
        <w:rPr>
          <w:szCs w:val="20"/>
        </w:rPr>
        <w:instrText xml:space="preserve"> REF _Ref473298940 \h </w:instrText>
      </w:r>
      <w:r w:rsidR="007C4C7B">
        <w:rPr>
          <w:color w:val="FF0000"/>
          <w:szCs w:val="20"/>
        </w:rPr>
        <w:instrText xml:space="preserve"> \* MERGEFORMAT </w:instrText>
      </w:r>
      <w:r w:rsidR="007C4C7B" w:rsidRPr="007C4C7B">
        <w:rPr>
          <w:color w:val="FF0000"/>
          <w:szCs w:val="20"/>
        </w:rPr>
      </w:r>
      <w:r w:rsidR="007C4C7B" w:rsidRPr="007C4C7B">
        <w:rPr>
          <w:color w:val="FF0000"/>
          <w:szCs w:val="20"/>
        </w:rPr>
        <w:fldChar w:fldCharType="separate"/>
      </w:r>
      <w:r w:rsidR="00CC4C35" w:rsidRPr="00C86D6F">
        <w:rPr>
          <w:szCs w:val="20"/>
        </w:rPr>
        <w:t xml:space="preserve">Table </w:t>
      </w:r>
      <w:r w:rsidR="00CC4C35">
        <w:rPr>
          <w:noProof/>
          <w:szCs w:val="20"/>
        </w:rPr>
        <w:t>1</w:t>
      </w:r>
      <w:r w:rsidR="00CC4C35">
        <w:rPr>
          <w:noProof/>
          <w:szCs w:val="20"/>
        </w:rPr>
        <w:noBreakHyphen/>
        <w:t>1</w:t>
      </w:r>
      <w:r w:rsidR="007C4C7B" w:rsidRPr="007C4C7B">
        <w:rPr>
          <w:color w:val="FF0000"/>
          <w:szCs w:val="20"/>
        </w:rPr>
        <w:fldChar w:fldCharType="end"/>
      </w:r>
      <w:r w:rsidRPr="007C4C7B">
        <w:rPr>
          <w:szCs w:val="20"/>
        </w:rPr>
        <w:t>.</w:t>
      </w:r>
    </w:p>
    <w:p w14:paraId="2A0B9B26" w14:textId="38CBA9DC" w:rsidR="00775DEA" w:rsidRPr="00C86D6F" w:rsidRDefault="007C4C7B" w:rsidP="00EF1D65">
      <w:pPr>
        <w:pStyle w:val="Caption"/>
        <w:outlineLvl w:val="9"/>
        <w:rPr>
          <w:sz w:val="20"/>
          <w:szCs w:val="20"/>
        </w:rPr>
      </w:pPr>
      <w:bookmarkStart w:id="10" w:name="_Ref473298940"/>
      <w:bookmarkStart w:id="11" w:name="_Toc511032577"/>
      <w:r w:rsidRPr="00C86D6F">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1</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1</w:t>
      </w:r>
      <w:r w:rsidR="00103328">
        <w:rPr>
          <w:sz w:val="20"/>
          <w:szCs w:val="20"/>
        </w:rPr>
        <w:fldChar w:fldCharType="end"/>
      </w:r>
      <w:bookmarkEnd w:id="10"/>
      <w:r w:rsidRPr="00C86D6F">
        <w:rPr>
          <w:sz w:val="20"/>
          <w:szCs w:val="20"/>
        </w:rPr>
        <w:t>: Titleholder and Liaison Person</w:t>
      </w:r>
      <w:bookmarkEnd w:id="11"/>
    </w:p>
    <w:tbl>
      <w:tblPr>
        <w:tblStyle w:val="TableGrid"/>
        <w:tblW w:w="0" w:type="auto"/>
        <w:tblInd w:w="511" w:type="dxa"/>
        <w:tblLook w:val="04A0" w:firstRow="1" w:lastRow="0" w:firstColumn="1" w:lastColumn="0" w:noHBand="0" w:noVBand="1"/>
      </w:tblPr>
      <w:tblGrid>
        <w:gridCol w:w="3305"/>
        <w:gridCol w:w="5188"/>
      </w:tblGrid>
      <w:tr w:rsidR="00EA5A58" w:rsidRPr="00C86D6F" w14:paraId="7D6B75C7" w14:textId="77777777" w:rsidTr="008700EC">
        <w:trPr>
          <w:cnfStyle w:val="100000000000" w:firstRow="1" w:lastRow="0" w:firstColumn="0" w:lastColumn="0" w:oddVBand="0" w:evenVBand="0" w:oddHBand="0" w:evenHBand="0" w:firstRowFirstColumn="0" w:firstRowLastColumn="0" w:lastRowFirstColumn="0" w:lastRowLastColumn="0"/>
          <w:cantSplit/>
        </w:trPr>
        <w:tc>
          <w:tcPr>
            <w:tcW w:w="3309" w:type="dxa"/>
          </w:tcPr>
          <w:p w14:paraId="04E1407C" w14:textId="77777777" w:rsidR="00EA5A58" w:rsidRPr="00230BCE" w:rsidRDefault="00EA5A58" w:rsidP="00EA5A58">
            <w:pPr>
              <w:rPr>
                <w:szCs w:val="20"/>
              </w:rPr>
            </w:pPr>
            <w:r w:rsidRPr="00230BCE">
              <w:rPr>
                <w:sz w:val="24"/>
                <w:szCs w:val="20"/>
              </w:rPr>
              <w:t>Titleholder Details</w:t>
            </w:r>
          </w:p>
        </w:tc>
        <w:tc>
          <w:tcPr>
            <w:tcW w:w="5191" w:type="dxa"/>
          </w:tcPr>
          <w:p w14:paraId="507396C2" w14:textId="77777777" w:rsidR="00EA5A58" w:rsidRPr="00230BCE" w:rsidRDefault="00EA5A58" w:rsidP="00EA5A58">
            <w:pPr>
              <w:rPr>
                <w:szCs w:val="20"/>
              </w:rPr>
            </w:pPr>
            <w:r w:rsidRPr="00230BCE">
              <w:rPr>
                <w:sz w:val="24"/>
                <w:szCs w:val="20"/>
              </w:rPr>
              <w:t>Liaison Person</w:t>
            </w:r>
          </w:p>
        </w:tc>
      </w:tr>
      <w:tr w:rsidR="00BA0611" w:rsidRPr="00C86D6F" w14:paraId="6285424A" w14:textId="77777777" w:rsidTr="008700EC">
        <w:trPr>
          <w:cantSplit/>
        </w:trPr>
        <w:tc>
          <w:tcPr>
            <w:tcW w:w="3309" w:type="dxa"/>
          </w:tcPr>
          <w:p w14:paraId="5C99BBFC" w14:textId="21D594DB" w:rsidR="00A30937" w:rsidRPr="00230BCE" w:rsidRDefault="00A30937" w:rsidP="00230BCE">
            <w:pPr>
              <w:spacing w:before="120"/>
              <w:rPr>
                <w:sz w:val="20"/>
                <w:szCs w:val="20"/>
              </w:rPr>
            </w:pPr>
            <w:r w:rsidRPr="00230BCE">
              <w:rPr>
                <w:sz w:val="20"/>
                <w:szCs w:val="20"/>
              </w:rPr>
              <w:t>Licenced Pipeline VIC/PL37(v)</w:t>
            </w:r>
          </w:p>
          <w:p w14:paraId="53A98B7E" w14:textId="77777777" w:rsidR="00A30937" w:rsidRDefault="00A30937" w:rsidP="00230BCE">
            <w:pPr>
              <w:spacing w:before="120"/>
              <w:rPr>
                <w:sz w:val="20"/>
                <w:szCs w:val="20"/>
                <w:u w:val="single"/>
              </w:rPr>
            </w:pPr>
          </w:p>
          <w:p w14:paraId="0F9E7EC5" w14:textId="0BA069CF" w:rsidR="008700EC" w:rsidRDefault="008700EC" w:rsidP="00230BCE">
            <w:pPr>
              <w:spacing w:before="120"/>
              <w:rPr>
                <w:sz w:val="20"/>
                <w:szCs w:val="20"/>
              </w:rPr>
            </w:pPr>
            <w:r w:rsidRPr="00230BCE">
              <w:rPr>
                <w:sz w:val="20"/>
                <w:szCs w:val="20"/>
              </w:rPr>
              <w:t>Cooper Energy (CH) Pty Ltd</w:t>
            </w:r>
          </w:p>
          <w:p w14:paraId="4E720436" w14:textId="5C20AF68" w:rsidR="008700EC" w:rsidRPr="00230BCE" w:rsidRDefault="00403B73" w:rsidP="00230BCE">
            <w:pPr>
              <w:spacing w:before="120"/>
              <w:rPr>
                <w:sz w:val="20"/>
                <w:szCs w:val="20"/>
              </w:rPr>
            </w:pPr>
            <w:bookmarkStart w:id="12" w:name="_Hlk511030624"/>
            <w:r w:rsidRPr="00230BCE">
              <w:rPr>
                <w:sz w:val="20"/>
                <w:szCs w:val="20"/>
              </w:rPr>
              <w:t>Level 8, 70 Franklin Street, Adelaide SA 5000</w:t>
            </w:r>
            <w:bookmarkEnd w:id="12"/>
          </w:p>
          <w:p w14:paraId="071871C0" w14:textId="76AA3BEC" w:rsidR="008700EC" w:rsidRPr="00230BCE" w:rsidRDefault="00A30937" w:rsidP="00230BCE">
            <w:pPr>
              <w:spacing w:before="120"/>
              <w:rPr>
                <w:sz w:val="20"/>
                <w:szCs w:val="20"/>
              </w:rPr>
            </w:pPr>
            <w:r w:rsidRPr="00230BCE">
              <w:rPr>
                <w:sz w:val="20"/>
                <w:szCs w:val="20"/>
              </w:rPr>
              <w:t>Phone:</w:t>
            </w:r>
            <w:r w:rsidR="008700EC" w:rsidRPr="00230BCE">
              <w:rPr>
                <w:sz w:val="20"/>
                <w:szCs w:val="20"/>
              </w:rPr>
              <w:t xml:space="preserve"> (08) 8100 4900</w:t>
            </w:r>
          </w:p>
          <w:p w14:paraId="785EEA9F" w14:textId="4FD075F7" w:rsidR="00BA0611" w:rsidRPr="00230BCE" w:rsidRDefault="008700EC" w:rsidP="00230BCE">
            <w:pPr>
              <w:spacing w:before="120"/>
              <w:rPr>
                <w:sz w:val="20"/>
                <w:szCs w:val="20"/>
              </w:rPr>
            </w:pPr>
            <w:r w:rsidRPr="00230BCE">
              <w:rPr>
                <w:sz w:val="20"/>
                <w:szCs w:val="20"/>
              </w:rPr>
              <w:t>ABN: 14 149 682 628</w:t>
            </w:r>
          </w:p>
        </w:tc>
        <w:tc>
          <w:tcPr>
            <w:tcW w:w="5191" w:type="dxa"/>
          </w:tcPr>
          <w:p w14:paraId="6C5BBCF0" w14:textId="0B92E3FA" w:rsidR="00BA0611" w:rsidRDefault="00BA0611" w:rsidP="00230BCE">
            <w:pPr>
              <w:spacing w:before="120"/>
              <w:rPr>
                <w:sz w:val="20"/>
                <w:szCs w:val="20"/>
              </w:rPr>
            </w:pPr>
            <w:r w:rsidRPr="00230BCE">
              <w:rPr>
                <w:sz w:val="20"/>
                <w:szCs w:val="20"/>
              </w:rPr>
              <w:t>The Titleholder’s nominated liaison person is:</w:t>
            </w:r>
          </w:p>
          <w:p w14:paraId="1D409D1A" w14:textId="77777777" w:rsidR="00A30937" w:rsidRPr="00230BCE" w:rsidRDefault="00A30937" w:rsidP="00230BCE">
            <w:pPr>
              <w:spacing w:before="120"/>
              <w:rPr>
                <w:sz w:val="20"/>
                <w:szCs w:val="20"/>
              </w:rPr>
            </w:pPr>
          </w:p>
          <w:p w14:paraId="166C21AD" w14:textId="77777777" w:rsidR="00BA0611" w:rsidRPr="00230BCE" w:rsidRDefault="00BA0611" w:rsidP="00230BCE">
            <w:pPr>
              <w:spacing w:before="120"/>
              <w:ind w:left="567" w:hanging="369"/>
              <w:rPr>
                <w:sz w:val="20"/>
                <w:szCs w:val="20"/>
              </w:rPr>
            </w:pPr>
            <w:r w:rsidRPr="00230BCE">
              <w:rPr>
                <w:sz w:val="20"/>
                <w:szCs w:val="20"/>
              </w:rPr>
              <w:t>Iain MacDougall</w:t>
            </w:r>
          </w:p>
          <w:p w14:paraId="4D549F45" w14:textId="33B90260" w:rsidR="00BA0611" w:rsidRDefault="00BA0611" w:rsidP="00230BCE">
            <w:pPr>
              <w:spacing w:before="120"/>
              <w:ind w:left="567" w:hanging="369"/>
              <w:rPr>
                <w:sz w:val="20"/>
                <w:szCs w:val="20"/>
              </w:rPr>
            </w:pPr>
            <w:r w:rsidRPr="00230BCE">
              <w:rPr>
                <w:sz w:val="20"/>
                <w:szCs w:val="20"/>
              </w:rPr>
              <w:t>General Manager Operations</w:t>
            </w:r>
          </w:p>
          <w:p w14:paraId="5B9CF4B1" w14:textId="77777777" w:rsidR="00A30937" w:rsidRPr="00230BCE" w:rsidRDefault="00A30937" w:rsidP="00230BCE">
            <w:pPr>
              <w:spacing w:before="120"/>
              <w:ind w:left="567" w:hanging="369"/>
              <w:rPr>
                <w:sz w:val="20"/>
                <w:szCs w:val="20"/>
              </w:rPr>
            </w:pPr>
          </w:p>
          <w:p w14:paraId="426F0776" w14:textId="77777777" w:rsidR="00BA0611" w:rsidRPr="00230BCE" w:rsidRDefault="00BA0611" w:rsidP="00230BCE">
            <w:pPr>
              <w:spacing w:before="120"/>
              <w:ind w:left="567" w:hanging="369"/>
              <w:rPr>
                <w:sz w:val="20"/>
                <w:szCs w:val="20"/>
              </w:rPr>
            </w:pPr>
            <w:r w:rsidRPr="00230BCE">
              <w:rPr>
                <w:sz w:val="20"/>
                <w:szCs w:val="20"/>
              </w:rPr>
              <w:t>Cooper Energy Limited</w:t>
            </w:r>
          </w:p>
          <w:p w14:paraId="244B3725" w14:textId="77777777" w:rsidR="00D45C9A" w:rsidRPr="00230BCE" w:rsidRDefault="00403B73" w:rsidP="00230BCE">
            <w:pPr>
              <w:spacing w:before="120"/>
              <w:ind w:left="567" w:hanging="369"/>
              <w:rPr>
                <w:sz w:val="20"/>
                <w:szCs w:val="20"/>
              </w:rPr>
            </w:pPr>
            <w:r w:rsidRPr="00230BCE">
              <w:rPr>
                <w:sz w:val="20"/>
                <w:szCs w:val="20"/>
              </w:rPr>
              <w:t xml:space="preserve">Level 8, 70 Franklin Street, </w:t>
            </w:r>
          </w:p>
          <w:p w14:paraId="2F75C383" w14:textId="77777777" w:rsidR="00D45C9A" w:rsidRPr="00230BCE" w:rsidRDefault="00403B73" w:rsidP="00230BCE">
            <w:pPr>
              <w:spacing w:before="120"/>
              <w:ind w:left="567" w:hanging="369"/>
              <w:rPr>
                <w:sz w:val="20"/>
                <w:szCs w:val="20"/>
              </w:rPr>
            </w:pPr>
            <w:r w:rsidRPr="00230BCE">
              <w:rPr>
                <w:sz w:val="20"/>
                <w:szCs w:val="20"/>
              </w:rPr>
              <w:t>Adelaide SA 5000</w:t>
            </w:r>
          </w:p>
          <w:p w14:paraId="15EB040E" w14:textId="77777777" w:rsidR="00BA0611" w:rsidRPr="00230BCE" w:rsidRDefault="00BA0611" w:rsidP="00230BCE">
            <w:pPr>
              <w:spacing w:before="120"/>
              <w:ind w:left="567" w:hanging="369"/>
              <w:rPr>
                <w:sz w:val="20"/>
                <w:szCs w:val="20"/>
              </w:rPr>
            </w:pPr>
            <w:r w:rsidRPr="00230BCE">
              <w:rPr>
                <w:sz w:val="20"/>
                <w:szCs w:val="20"/>
              </w:rPr>
              <w:t>Phone: (08) 8100 4900</w:t>
            </w:r>
          </w:p>
          <w:p w14:paraId="74075A69" w14:textId="7CE89C40" w:rsidR="00BA0611" w:rsidRPr="00230BCE" w:rsidRDefault="00BA0611" w:rsidP="00230BCE">
            <w:pPr>
              <w:spacing w:before="120"/>
              <w:ind w:left="567" w:hanging="369"/>
              <w:rPr>
                <w:sz w:val="20"/>
                <w:szCs w:val="20"/>
              </w:rPr>
            </w:pPr>
            <w:r w:rsidRPr="00230BCE">
              <w:rPr>
                <w:sz w:val="20"/>
                <w:szCs w:val="20"/>
              </w:rPr>
              <w:t xml:space="preserve">Email: </w:t>
            </w:r>
            <w:hyperlink r:id="rId18" w:history="1">
              <w:r w:rsidRPr="00230BCE">
                <w:rPr>
                  <w:rStyle w:val="Hyperlink"/>
                  <w:sz w:val="20"/>
                  <w:szCs w:val="20"/>
                </w:rPr>
                <w:t>iainm@cooperenergy.com</w:t>
              </w:r>
            </w:hyperlink>
            <w:r w:rsidRPr="00230BCE">
              <w:rPr>
                <w:rStyle w:val="Hyperlink"/>
                <w:sz w:val="20"/>
                <w:szCs w:val="20"/>
              </w:rPr>
              <w:t>.au</w:t>
            </w:r>
            <w:r w:rsidRPr="00230BCE">
              <w:rPr>
                <w:sz w:val="20"/>
                <w:szCs w:val="20"/>
              </w:rPr>
              <w:t xml:space="preserve"> </w:t>
            </w:r>
          </w:p>
          <w:p w14:paraId="5924595E" w14:textId="5C1F0AAF" w:rsidR="00BA0611" w:rsidRPr="00230BCE" w:rsidRDefault="00BA0611" w:rsidP="00230BCE">
            <w:pPr>
              <w:spacing w:before="120"/>
              <w:rPr>
                <w:sz w:val="20"/>
                <w:szCs w:val="20"/>
              </w:rPr>
            </w:pPr>
          </w:p>
        </w:tc>
      </w:tr>
    </w:tbl>
    <w:p w14:paraId="77C9B98A" w14:textId="77777777" w:rsidR="003823C1" w:rsidRDefault="00BA1AE8" w:rsidP="00A665B1">
      <w:pPr>
        <w:pStyle w:val="Heading1"/>
      </w:pPr>
      <w:bookmarkStart w:id="13" w:name="_Toc512862457"/>
      <w:r>
        <w:lastRenderedPageBreak/>
        <w:t>Activity and Location Details</w:t>
      </w:r>
      <w:bookmarkEnd w:id="13"/>
    </w:p>
    <w:p w14:paraId="38F97476" w14:textId="2DB8E0B7" w:rsidR="000D0C79" w:rsidRDefault="00BA1AE8" w:rsidP="00BA3597">
      <w:pPr>
        <w:pStyle w:val="Heading2"/>
        <w:ind w:left="567" w:hanging="567"/>
      </w:pPr>
      <w:bookmarkStart w:id="14" w:name="_Toc512862458"/>
      <w:r>
        <w:t>Activity Location</w:t>
      </w:r>
      <w:bookmarkEnd w:id="14"/>
    </w:p>
    <w:p w14:paraId="58F21D93" w14:textId="22AA4072" w:rsidR="00237840" w:rsidRDefault="006A5F63" w:rsidP="00237840">
      <w:pPr>
        <w:pStyle w:val="BodyText"/>
        <w:rPr>
          <w:szCs w:val="20"/>
        </w:rPr>
      </w:pPr>
      <w:r w:rsidRPr="0004355B">
        <w:rPr>
          <w:szCs w:val="20"/>
        </w:rPr>
        <w:t xml:space="preserve">The Casino pipeline, installed in 2005, connects the </w:t>
      </w:r>
      <w:r w:rsidR="00C86D6F">
        <w:rPr>
          <w:szCs w:val="20"/>
        </w:rPr>
        <w:t>CHN</w:t>
      </w:r>
      <w:r w:rsidRPr="0004355B">
        <w:rPr>
          <w:szCs w:val="20"/>
        </w:rPr>
        <w:t xml:space="preserve"> wells to the onshore Iona Gas Plant, and is </w:t>
      </w:r>
      <w:r w:rsidR="001B6990">
        <w:rPr>
          <w:szCs w:val="20"/>
        </w:rPr>
        <w:t xml:space="preserve">regulated under </w:t>
      </w:r>
      <w:r w:rsidRPr="0004355B">
        <w:rPr>
          <w:szCs w:val="20"/>
        </w:rPr>
        <w:t xml:space="preserve">Pipeline Licence </w:t>
      </w:r>
      <w:r w:rsidR="001B6990">
        <w:rPr>
          <w:szCs w:val="20"/>
        </w:rPr>
        <w:t>V</w:t>
      </w:r>
      <w:r w:rsidRPr="0004355B">
        <w:rPr>
          <w:szCs w:val="20"/>
        </w:rPr>
        <w:t xml:space="preserve">ic/PL37 and Vic/PL37(V). </w:t>
      </w:r>
      <w:r w:rsidR="000F19AB">
        <w:rPr>
          <w:szCs w:val="20"/>
        </w:rPr>
        <w:t xml:space="preserve">The </w:t>
      </w:r>
      <w:r w:rsidR="002E715D">
        <w:rPr>
          <w:szCs w:val="20"/>
        </w:rPr>
        <w:t>Vic/</w:t>
      </w:r>
      <w:r w:rsidR="009E17B4">
        <w:rPr>
          <w:szCs w:val="20"/>
        </w:rPr>
        <w:t>P</w:t>
      </w:r>
      <w:r w:rsidR="002E715D">
        <w:rPr>
          <w:szCs w:val="20"/>
        </w:rPr>
        <w:t xml:space="preserve">L37(V) </w:t>
      </w:r>
      <w:r w:rsidR="000F19AB">
        <w:rPr>
          <w:szCs w:val="20"/>
        </w:rPr>
        <w:t xml:space="preserve">pipeline </w:t>
      </w:r>
      <w:r w:rsidR="002E715D">
        <w:rPr>
          <w:szCs w:val="20"/>
        </w:rPr>
        <w:t>extends from the HDD shoreline crossing, within the HDD section of pipeline, to 3 nm from the shoreline.</w:t>
      </w:r>
      <w:r w:rsidR="005D7C7D">
        <w:rPr>
          <w:szCs w:val="20"/>
        </w:rPr>
        <w:t xml:space="preserve"> The HDD exit is located </w:t>
      </w:r>
      <w:r w:rsidR="009D46AB">
        <w:rPr>
          <w:szCs w:val="20"/>
        </w:rPr>
        <w:t xml:space="preserve">approximately 800m </w:t>
      </w:r>
      <w:r w:rsidR="005D7C7D">
        <w:rPr>
          <w:szCs w:val="20"/>
        </w:rPr>
        <w:t xml:space="preserve">from the shore </w:t>
      </w:r>
      <w:r w:rsidR="009D46AB">
        <w:rPr>
          <w:szCs w:val="20"/>
        </w:rPr>
        <w:t xml:space="preserve">in 18 m water depths </w:t>
      </w:r>
      <w:r w:rsidR="005D7C7D">
        <w:rPr>
          <w:szCs w:val="20"/>
        </w:rPr>
        <w:t>and the pipeline route initially f</w:t>
      </w:r>
      <w:r w:rsidR="008700EC">
        <w:rPr>
          <w:szCs w:val="20"/>
        </w:rPr>
        <w:t>ollows the Minerva Pipeline off</w:t>
      </w:r>
      <w:r w:rsidR="005D7C7D">
        <w:rPr>
          <w:szCs w:val="20"/>
        </w:rPr>
        <w:t>shore and offset at a distance of 150 m prior to diverging south-west towards Casino-5. The pipeline then runs west-northwest and passes south of the Casino-4 and Casino-5 wells by an offset of approximately 30 m from the wells and terminates at the Casino pipeline end manifold (PLEM).</w:t>
      </w:r>
    </w:p>
    <w:tbl>
      <w:tblPr>
        <w:tblW w:w="0" w:type="auto"/>
        <w:tblInd w:w="567"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8437"/>
      </w:tblGrid>
      <w:tr w:rsidR="00B55186" w14:paraId="5DE9661D" w14:textId="77777777" w:rsidTr="00B55186">
        <w:trPr>
          <w:tblHeader/>
        </w:trPr>
        <w:tc>
          <w:tcPr>
            <w:tcW w:w="8444" w:type="dxa"/>
            <w:shd w:val="clear" w:color="auto" w:fill="auto"/>
            <w:tcMar>
              <w:top w:w="142" w:type="dxa"/>
            </w:tcMar>
          </w:tcPr>
          <w:p w14:paraId="1135F44A" w14:textId="77777777" w:rsidR="00B55186" w:rsidRPr="00136A5A" w:rsidRDefault="00B55186" w:rsidP="00B55186">
            <w:pPr>
              <w:pStyle w:val="BodyText"/>
              <w:keepNext/>
              <w:ind w:left="0"/>
              <w:rPr>
                <w:rFonts w:cs="Arial"/>
                <w:b/>
                <w:szCs w:val="22"/>
              </w:rPr>
            </w:pPr>
            <w:r>
              <w:rPr>
                <w:rFonts w:cs="Arial"/>
                <w:b/>
                <w:szCs w:val="22"/>
              </w:rPr>
              <w:t xml:space="preserve">       </w:t>
            </w:r>
            <w:r>
              <w:rPr>
                <w:noProof/>
                <w:lang w:val="en-GB" w:eastAsia="en-GB"/>
              </w:rPr>
              <w:drawing>
                <wp:inline distT="0" distB="0" distL="0" distR="0" wp14:anchorId="28F89F23" wp14:editId="1455574E">
                  <wp:extent cx="4274596" cy="33622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email">
                            <a:extLst>
                              <a:ext uri="{28A0092B-C50C-407E-A947-70E740481C1C}">
                                <a14:useLocalDpi xmlns:a14="http://schemas.microsoft.com/office/drawing/2010/main"/>
                              </a:ext>
                            </a:extLst>
                          </a:blip>
                          <a:srcRect t="18629"/>
                          <a:stretch/>
                        </pic:blipFill>
                        <pic:spPr bwMode="auto">
                          <a:xfrm>
                            <a:off x="0" y="0"/>
                            <a:ext cx="4282727" cy="33686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FF5F51" w14:textId="3CF4031E" w:rsidR="00B55186" w:rsidRPr="00A52656" w:rsidRDefault="00B55186" w:rsidP="00B55186">
      <w:pPr>
        <w:pStyle w:val="BodyText"/>
        <w:jc w:val="center"/>
        <w:rPr>
          <w:b/>
        </w:rPr>
      </w:pPr>
      <w:bookmarkStart w:id="15" w:name="_Ref473298820"/>
      <w:bookmarkStart w:id="16" w:name="_Toc510779249"/>
      <w:r w:rsidRPr="00A52656">
        <w:rPr>
          <w:b/>
        </w:rPr>
        <w:t xml:space="preserve">Figure </w:t>
      </w:r>
      <w:r>
        <w:rPr>
          <w:b/>
        </w:rPr>
        <w:fldChar w:fldCharType="begin"/>
      </w:r>
      <w:r>
        <w:rPr>
          <w:b/>
        </w:rPr>
        <w:instrText xml:space="preserve"> STYLEREF 1 \s </w:instrText>
      </w:r>
      <w:r>
        <w:rPr>
          <w:b/>
        </w:rPr>
        <w:fldChar w:fldCharType="separate"/>
      </w:r>
      <w:r w:rsidR="00CC4C35">
        <w:rPr>
          <w:b/>
          <w:noProof/>
        </w:rPr>
        <w:t>2</w:t>
      </w:r>
      <w:r>
        <w:rPr>
          <w:b/>
        </w:rPr>
        <w:fldChar w:fldCharType="end"/>
      </w:r>
      <w:r>
        <w:rPr>
          <w:b/>
        </w:rPr>
        <w:noBreakHyphen/>
      </w:r>
      <w:r>
        <w:rPr>
          <w:b/>
        </w:rPr>
        <w:fldChar w:fldCharType="begin"/>
      </w:r>
      <w:r>
        <w:rPr>
          <w:b/>
        </w:rPr>
        <w:instrText xml:space="preserve"> SEQ Figure \* ARABIC \s 1 </w:instrText>
      </w:r>
      <w:r>
        <w:rPr>
          <w:b/>
        </w:rPr>
        <w:fldChar w:fldCharType="separate"/>
      </w:r>
      <w:r w:rsidR="00CC4C35">
        <w:rPr>
          <w:b/>
          <w:noProof/>
        </w:rPr>
        <w:t>1</w:t>
      </w:r>
      <w:r>
        <w:rPr>
          <w:b/>
        </w:rPr>
        <w:fldChar w:fldCharType="end"/>
      </w:r>
      <w:bookmarkEnd w:id="15"/>
      <w:r w:rsidRPr="00A52656">
        <w:rPr>
          <w:b/>
        </w:rPr>
        <w:t xml:space="preserve">: </w:t>
      </w:r>
      <w:r>
        <w:rPr>
          <w:b/>
        </w:rPr>
        <w:t>CHN</w:t>
      </w:r>
      <w:r w:rsidRPr="00A52656">
        <w:rPr>
          <w:b/>
        </w:rPr>
        <w:t xml:space="preserve"> location</w:t>
      </w:r>
      <w:bookmarkEnd w:id="16"/>
    </w:p>
    <w:p w14:paraId="78771759" w14:textId="77777777" w:rsidR="00B55186" w:rsidRDefault="00B55186" w:rsidP="00237840">
      <w:pPr>
        <w:pStyle w:val="BodyText"/>
        <w:rPr>
          <w:szCs w:val="20"/>
        </w:rPr>
      </w:pPr>
    </w:p>
    <w:p w14:paraId="0923FE16" w14:textId="75CE0B74" w:rsidR="006A5F63" w:rsidRPr="0004355B" w:rsidRDefault="006A5F63" w:rsidP="00237840">
      <w:pPr>
        <w:pStyle w:val="BodyText"/>
        <w:rPr>
          <w:szCs w:val="20"/>
        </w:rPr>
      </w:pPr>
      <w:r w:rsidRPr="0004355B">
        <w:rPr>
          <w:szCs w:val="20"/>
        </w:rPr>
        <w:t xml:space="preserve">Pipeline coordinates are provided in </w:t>
      </w:r>
      <w:r w:rsidR="0004355B">
        <w:rPr>
          <w:color w:val="FF0000"/>
          <w:szCs w:val="20"/>
        </w:rPr>
        <w:fldChar w:fldCharType="begin"/>
      </w:r>
      <w:r w:rsidR="0004355B">
        <w:rPr>
          <w:szCs w:val="20"/>
        </w:rPr>
        <w:instrText xml:space="preserve"> REF _Ref473300085 \h </w:instrText>
      </w:r>
      <w:r w:rsidR="0004355B">
        <w:rPr>
          <w:color w:val="FF0000"/>
          <w:szCs w:val="20"/>
        </w:rPr>
      </w:r>
      <w:r w:rsidR="0004355B">
        <w:rPr>
          <w:color w:val="FF0000"/>
          <w:szCs w:val="20"/>
        </w:rPr>
        <w:fldChar w:fldCharType="separate"/>
      </w:r>
      <w:r w:rsidR="00CC4C35" w:rsidRPr="0004355B">
        <w:rPr>
          <w:szCs w:val="20"/>
        </w:rPr>
        <w:t xml:space="preserve">Table </w:t>
      </w:r>
      <w:r w:rsidR="00CC4C35">
        <w:rPr>
          <w:noProof/>
          <w:szCs w:val="20"/>
        </w:rPr>
        <w:t>2</w:t>
      </w:r>
      <w:r w:rsidR="00CC4C35">
        <w:rPr>
          <w:szCs w:val="20"/>
        </w:rPr>
        <w:noBreakHyphen/>
      </w:r>
      <w:r w:rsidR="00CC4C35">
        <w:rPr>
          <w:noProof/>
          <w:szCs w:val="20"/>
        </w:rPr>
        <w:t>1</w:t>
      </w:r>
      <w:r w:rsidR="0004355B">
        <w:rPr>
          <w:color w:val="FF0000"/>
          <w:szCs w:val="20"/>
        </w:rPr>
        <w:fldChar w:fldCharType="end"/>
      </w:r>
      <w:r w:rsidRPr="0004355B">
        <w:rPr>
          <w:szCs w:val="20"/>
        </w:rPr>
        <w:t>.</w:t>
      </w:r>
    </w:p>
    <w:p w14:paraId="44D745FE" w14:textId="59A91A9C" w:rsidR="00E02221" w:rsidRPr="00B20F3D" w:rsidRDefault="0004355B" w:rsidP="00EF1D65">
      <w:pPr>
        <w:pStyle w:val="Caption"/>
        <w:outlineLvl w:val="9"/>
        <w:rPr>
          <w:sz w:val="20"/>
          <w:szCs w:val="20"/>
        </w:rPr>
      </w:pPr>
      <w:bookmarkStart w:id="17" w:name="_Ref473300085"/>
      <w:bookmarkStart w:id="18" w:name="_Toc511032578"/>
      <w:r w:rsidRPr="0004355B">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2</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1</w:t>
      </w:r>
      <w:r w:rsidR="00103328">
        <w:rPr>
          <w:sz w:val="20"/>
          <w:szCs w:val="20"/>
        </w:rPr>
        <w:fldChar w:fldCharType="end"/>
      </w:r>
      <w:bookmarkEnd w:id="17"/>
      <w:r w:rsidRPr="0004355B">
        <w:rPr>
          <w:sz w:val="20"/>
          <w:szCs w:val="20"/>
        </w:rPr>
        <w:t xml:space="preserve">: </w:t>
      </w:r>
      <w:r w:rsidR="00E02221" w:rsidRPr="0004355B">
        <w:rPr>
          <w:sz w:val="20"/>
          <w:szCs w:val="20"/>
        </w:rPr>
        <w:t>Coordinates</w:t>
      </w:r>
      <w:r w:rsidR="00E02221" w:rsidRPr="00B20F3D">
        <w:rPr>
          <w:sz w:val="20"/>
          <w:szCs w:val="20"/>
        </w:rPr>
        <w:t xml:space="preserve"> of the Casino pipeline</w:t>
      </w:r>
      <w:bookmarkEnd w:id="18"/>
    </w:p>
    <w:tbl>
      <w:tblPr>
        <w:tblW w:w="0" w:type="auto"/>
        <w:jc w:val="cente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2070"/>
        <w:gridCol w:w="2551"/>
        <w:gridCol w:w="2410"/>
      </w:tblGrid>
      <w:tr w:rsidR="00FD5486" w:rsidRPr="00BA0611" w14:paraId="4A6D3140" w14:textId="77777777" w:rsidTr="00136A5A">
        <w:trPr>
          <w:tblHeader/>
          <w:jc w:val="center"/>
        </w:trPr>
        <w:tc>
          <w:tcPr>
            <w:tcW w:w="2070" w:type="dxa"/>
            <w:tcBorders>
              <w:right w:val="single" w:sz="6" w:space="0" w:color="F2F2F2"/>
            </w:tcBorders>
            <w:shd w:val="clear" w:color="auto" w:fill="A6A6A6"/>
            <w:tcMar>
              <w:top w:w="142" w:type="dxa"/>
            </w:tcMar>
          </w:tcPr>
          <w:p w14:paraId="11A4FD5D" w14:textId="77777777" w:rsidR="00E02221" w:rsidRPr="00BA0611" w:rsidRDefault="00E02221" w:rsidP="00136A5A">
            <w:pPr>
              <w:pStyle w:val="BodyText"/>
              <w:keepNext/>
              <w:ind w:left="0"/>
              <w:rPr>
                <w:rFonts w:cs="Arial"/>
                <w:b/>
                <w:sz w:val="16"/>
                <w:szCs w:val="16"/>
              </w:rPr>
            </w:pPr>
            <w:r w:rsidRPr="00BA0611">
              <w:rPr>
                <w:rFonts w:cs="Arial"/>
                <w:b/>
                <w:sz w:val="16"/>
                <w:szCs w:val="16"/>
              </w:rPr>
              <w:t>Location point</w:t>
            </w:r>
          </w:p>
        </w:tc>
        <w:tc>
          <w:tcPr>
            <w:tcW w:w="2551" w:type="dxa"/>
            <w:tcBorders>
              <w:left w:val="single" w:sz="6" w:space="0" w:color="F2F2F2"/>
              <w:right w:val="single" w:sz="6" w:space="0" w:color="F2F2F2"/>
            </w:tcBorders>
            <w:shd w:val="clear" w:color="auto" w:fill="A6A6A6"/>
            <w:tcMar>
              <w:top w:w="142" w:type="dxa"/>
            </w:tcMar>
          </w:tcPr>
          <w:p w14:paraId="01989555" w14:textId="77777777" w:rsidR="00E02221" w:rsidRPr="00BA0611" w:rsidRDefault="00E02221" w:rsidP="00136A5A">
            <w:pPr>
              <w:pStyle w:val="BodyText"/>
              <w:keepNext/>
              <w:ind w:left="0"/>
              <w:jc w:val="center"/>
              <w:rPr>
                <w:rFonts w:cs="Arial"/>
                <w:b/>
                <w:sz w:val="16"/>
                <w:szCs w:val="16"/>
              </w:rPr>
            </w:pPr>
            <w:r w:rsidRPr="00BA0611">
              <w:rPr>
                <w:rFonts w:cs="Arial"/>
                <w:b/>
                <w:sz w:val="16"/>
                <w:szCs w:val="16"/>
              </w:rPr>
              <w:t>Latitude</w:t>
            </w:r>
          </w:p>
        </w:tc>
        <w:tc>
          <w:tcPr>
            <w:tcW w:w="2410" w:type="dxa"/>
            <w:tcBorders>
              <w:left w:val="single" w:sz="6" w:space="0" w:color="F2F2F2"/>
            </w:tcBorders>
            <w:shd w:val="clear" w:color="auto" w:fill="A6A6A6"/>
            <w:tcMar>
              <w:top w:w="142" w:type="dxa"/>
            </w:tcMar>
          </w:tcPr>
          <w:p w14:paraId="55A5885D" w14:textId="77777777" w:rsidR="00E02221" w:rsidRPr="00BA0611" w:rsidRDefault="00E02221" w:rsidP="00136A5A">
            <w:pPr>
              <w:pStyle w:val="BodyText"/>
              <w:keepNext/>
              <w:ind w:left="0"/>
              <w:jc w:val="center"/>
              <w:rPr>
                <w:rFonts w:cs="Arial"/>
                <w:b/>
                <w:sz w:val="16"/>
                <w:szCs w:val="16"/>
              </w:rPr>
            </w:pPr>
            <w:r w:rsidRPr="00BA0611">
              <w:rPr>
                <w:rFonts w:cs="Arial"/>
                <w:b/>
                <w:sz w:val="16"/>
                <w:szCs w:val="16"/>
              </w:rPr>
              <w:t>Longitude</w:t>
            </w:r>
          </w:p>
        </w:tc>
      </w:tr>
      <w:tr w:rsidR="00E02221" w:rsidRPr="00BA0611" w14:paraId="2DE8EC81" w14:textId="77777777" w:rsidTr="00136A5A">
        <w:trPr>
          <w:jc w:val="center"/>
        </w:trPr>
        <w:tc>
          <w:tcPr>
            <w:tcW w:w="2070" w:type="dxa"/>
            <w:shd w:val="clear" w:color="auto" w:fill="auto"/>
          </w:tcPr>
          <w:p w14:paraId="5A0744E8" w14:textId="77777777" w:rsidR="00E02221" w:rsidRPr="00BA0611" w:rsidRDefault="00E02221" w:rsidP="00136A5A">
            <w:pPr>
              <w:pStyle w:val="BodyText"/>
              <w:keepNext/>
              <w:spacing w:before="60" w:after="60"/>
              <w:ind w:left="0"/>
              <w:rPr>
                <w:rFonts w:cs="Arial"/>
                <w:sz w:val="16"/>
                <w:szCs w:val="16"/>
              </w:rPr>
            </w:pPr>
            <w:r w:rsidRPr="00BA0611">
              <w:rPr>
                <w:rFonts w:cs="Arial"/>
                <w:sz w:val="16"/>
                <w:szCs w:val="16"/>
              </w:rPr>
              <w:t xml:space="preserve">HDD Entry </w:t>
            </w:r>
          </w:p>
        </w:tc>
        <w:tc>
          <w:tcPr>
            <w:tcW w:w="2551" w:type="dxa"/>
            <w:shd w:val="clear" w:color="auto" w:fill="auto"/>
          </w:tcPr>
          <w:p w14:paraId="63EB5E42" w14:textId="77777777" w:rsidR="00E02221" w:rsidRPr="00BA0611" w:rsidRDefault="00E02221" w:rsidP="00136A5A">
            <w:pPr>
              <w:pStyle w:val="BodyText"/>
              <w:keepNext/>
              <w:spacing w:before="60" w:after="60"/>
              <w:ind w:left="0"/>
              <w:jc w:val="center"/>
              <w:rPr>
                <w:rFonts w:cs="Arial"/>
                <w:sz w:val="16"/>
                <w:szCs w:val="16"/>
              </w:rPr>
            </w:pPr>
            <w:r w:rsidRPr="00BA0611">
              <w:rPr>
                <w:rFonts w:cs="Arial"/>
                <w:sz w:val="16"/>
                <w:szCs w:val="16"/>
              </w:rPr>
              <w:t>38° 36' 55.88''</w:t>
            </w:r>
          </w:p>
        </w:tc>
        <w:tc>
          <w:tcPr>
            <w:tcW w:w="2410" w:type="dxa"/>
            <w:shd w:val="clear" w:color="auto" w:fill="auto"/>
          </w:tcPr>
          <w:p w14:paraId="578BEBFB" w14:textId="77777777" w:rsidR="00E02221" w:rsidRPr="00BA0611" w:rsidRDefault="00E02221" w:rsidP="00136A5A">
            <w:pPr>
              <w:pStyle w:val="BodyText"/>
              <w:keepNext/>
              <w:spacing w:before="60" w:after="60"/>
              <w:ind w:left="0"/>
              <w:jc w:val="center"/>
              <w:rPr>
                <w:rFonts w:cs="Arial"/>
                <w:sz w:val="16"/>
                <w:szCs w:val="16"/>
              </w:rPr>
            </w:pPr>
            <w:r w:rsidRPr="00BA0611">
              <w:rPr>
                <w:rFonts w:cs="Arial"/>
                <w:sz w:val="16"/>
                <w:szCs w:val="16"/>
              </w:rPr>
              <w:t>142° 57' 49.43''</w:t>
            </w:r>
          </w:p>
        </w:tc>
      </w:tr>
      <w:tr w:rsidR="00FD5486" w:rsidRPr="00BA0611" w14:paraId="61C3D64B" w14:textId="77777777" w:rsidTr="00136A5A">
        <w:trPr>
          <w:jc w:val="center"/>
        </w:trPr>
        <w:tc>
          <w:tcPr>
            <w:tcW w:w="2070" w:type="dxa"/>
            <w:shd w:val="clear" w:color="auto" w:fill="F2F2F2"/>
          </w:tcPr>
          <w:p w14:paraId="5BC5CF0D" w14:textId="77777777" w:rsidR="00E02221" w:rsidRPr="00BA0611" w:rsidRDefault="00E02221" w:rsidP="00136A5A">
            <w:pPr>
              <w:pStyle w:val="BodyText"/>
              <w:keepNext/>
              <w:spacing w:before="60" w:after="60"/>
              <w:ind w:left="0"/>
              <w:rPr>
                <w:rFonts w:cs="Arial"/>
                <w:sz w:val="16"/>
                <w:szCs w:val="16"/>
              </w:rPr>
            </w:pPr>
            <w:r w:rsidRPr="00BA0611">
              <w:rPr>
                <w:rFonts w:cs="Arial"/>
                <w:sz w:val="16"/>
                <w:szCs w:val="16"/>
              </w:rPr>
              <w:t>HDD Exit</w:t>
            </w:r>
          </w:p>
        </w:tc>
        <w:tc>
          <w:tcPr>
            <w:tcW w:w="2551" w:type="dxa"/>
            <w:shd w:val="clear" w:color="auto" w:fill="F2F2F2"/>
          </w:tcPr>
          <w:p w14:paraId="4EA51CC8" w14:textId="77777777" w:rsidR="00E02221" w:rsidRPr="00BA0611" w:rsidRDefault="00E02221" w:rsidP="00136A5A">
            <w:pPr>
              <w:pStyle w:val="BodyText"/>
              <w:keepNext/>
              <w:spacing w:before="60" w:after="60"/>
              <w:ind w:left="0"/>
              <w:jc w:val="center"/>
              <w:rPr>
                <w:rFonts w:cs="Arial"/>
                <w:sz w:val="16"/>
                <w:szCs w:val="16"/>
              </w:rPr>
            </w:pPr>
            <w:r w:rsidRPr="00BA0611">
              <w:rPr>
                <w:rFonts w:cs="Arial"/>
                <w:sz w:val="16"/>
                <w:szCs w:val="16"/>
              </w:rPr>
              <w:t>38° 37' 46.54''</w:t>
            </w:r>
          </w:p>
        </w:tc>
        <w:tc>
          <w:tcPr>
            <w:tcW w:w="2410" w:type="dxa"/>
            <w:shd w:val="clear" w:color="auto" w:fill="F2F2F2"/>
          </w:tcPr>
          <w:p w14:paraId="2F4E168C" w14:textId="77777777" w:rsidR="00E02221" w:rsidRPr="00BA0611" w:rsidRDefault="00E02221" w:rsidP="00136A5A">
            <w:pPr>
              <w:pStyle w:val="BodyText"/>
              <w:keepNext/>
              <w:spacing w:before="60" w:after="60"/>
              <w:ind w:left="0"/>
              <w:jc w:val="center"/>
              <w:rPr>
                <w:rFonts w:cs="Arial"/>
                <w:sz w:val="16"/>
                <w:szCs w:val="16"/>
              </w:rPr>
            </w:pPr>
            <w:r w:rsidRPr="00BA0611">
              <w:rPr>
                <w:rFonts w:cs="Arial"/>
                <w:sz w:val="16"/>
                <w:szCs w:val="16"/>
              </w:rPr>
              <w:t>142° 57' 46.02''</w:t>
            </w:r>
          </w:p>
        </w:tc>
      </w:tr>
      <w:tr w:rsidR="00E02221" w:rsidRPr="00BA0611" w14:paraId="7101B98B" w14:textId="77777777" w:rsidTr="00136A5A">
        <w:trPr>
          <w:jc w:val="center"/>
        </w:trPr>
        <w:tc>
          <w:tcPr>
            <w:tcW w:w="2070" w:type="dxa"/>
            <w:shd w:val="clear" w:color="auto" w:fill="auto"/>
          </w:tcPr>
          <w:p w14:paraId="3100E87E" w14:textId="4804BF46" w:rsidR="00E02221" w:rsidRPr="00212C6F" w:rsidRDefault="00212C6F" w:rsidP="00136A5A">
            <w:pPr>
              <w:pStyle w:val="BodyText"/>
              <w:keepNext/>
              <w:spacing w:before="60" w:after="60"/>
              <w:ind w:left="0"/>
              <w:rPr>
                <w:rFonts w:cs="Arial"/>
                <w:sz w:val="16"/>
                <w:szCs w:val="16"/>
              </w:rPr>
            </w:pPr>
            <w:r w:rsidRPr="00212C6F">
              <w:rPr>
                <w:rFonts w:cs="Arial"/>
                <w:sz w:val="16"/>
                <w:szCs w:val="16"/>
              </w:rPr>
              <w:t>Pipeline End</w:t>
            </w:r>
            <w:r>
              <w:rPr>
                <w:rFonts w:cs="Arial"/>
                <w:sz w:val="16"/>
                <w:szCs w:val="16"/>
              </w:rPr>
              <w:t xml:space="preserve"> (3Nm)</w:t>
            </w:r>
          </w:p>
        </w:tc>
        <w:tc>
          <w:tcPr>
            <w:tcW w:w="2551" w:type="dxa"/>
            <w:shd w:val="clear" w:color="auto" w:fill="auto"/>
          </w:tcPr>
          <w:p w14:paraId="0AE3FD2C" w14:textId="77777777" w:rsidR="00E02221" w:rsidRPr="00212C6F" w:rsidRDefault="00E02221" w:rsidP="00136A5A">
            <w:pPr>
              <w:pStyle w:val="BodyText"/>
              <w:keepNext/>
              <w:spacing w:before="60" w:after="60"/>
              <w:ind w:left="0"/>
              <w:jc w:val="center"/>
              <w:rPr>
                <w:rFonts w:cs="Arial"/>
                <w:sz w:val="16"/>
                <w:szCs w:val="16"/>
              </w:rPr>
            </w:pPr>
            <w:r w:rsidRPr="00212C6F">
              <w:rPr>
                <w:rFonts w:cs="Arial"/>
                <w:sz w:val="16"/>
                <w:szCs w:val="16"/>
              </w:rPr>
              <w:t>38° 39' 59.26''</w:t>
            </w:r>
          </w:p>
        </w:tc>
        <w:tc>
          <w:tcPr>
            <w:tcW w:w="2410" w:type="dxa"/>
            <w:shd w:val="clear" w:color="auto" w:fill="auto"/>
          </w:tcPr>
          <w:p w14:paraId="67743AD4" w14:textId="77777777" w:rsidR="00E02221" w:rsidRPr="00212C6F" w:rsidRDefault="00E02221" w:rsidP="00136A5A">
            <w:pPr>
              <w:pStyle w:val="BodyText"/>
              <w:keepNext/>
              <w:spacing w:before="60" w:after="60"/>
              <w:ind w:left="0"/>
              <w:jc w:val="center"/>
              <w:rPr>
                <w:rFonts w:cs="Arial"/>
                <w:sz w:val="16"/>
                <w:szCs w:val="16"/>
              </w:rPr>
            </w:pPr>
            <w:r w:rsidRPr="00212C6F">
              <w:rPr>
                <w:rFonts w:cs="Arial"/>
                <w:sz w:val="16"/>
                <w:szCs w:val="16"/>
              </w:rPr>
              <w:t>142° 57' 37.11''</w:t>
            </w:r>
          </w:p>
        </w:tc>
      </w:tr>
    </w:tbl>
    <w:p w14:paraId="38C3C653" w14:textId="77777777" w:rsidR="00E02221" w:rsidRPr="00DB7837" w:rsidRDefault="00E02221" w:rsidP="00E02221">
      <w:pPr>
        <w:pStyle w:val="BodyText"/>
        <w:keepNext/>
        <w:spacing w:after="240"/>
        <w:rPr>
          <w:sz w:val="16"/>
          <w:szCs w:val="16"/>
        </w:rPr>
      </w:pPr>
      <w:r>
        <w:rPr>
          <w:sz w:val="16"/>
          <w:szCs w:val="16"/>
        </w:rPr>
        <w:tab/>
      </w:r>
      <w:r w:rsidRPr="00DB7837">
        <w:rPr>
          <w:sz w:val="16"/>
          <w:szCs w:val="16"/>
        </w:rPr>
        <w:t>GDA 94, GRS80, UTM Zone 55</w:t>
      </w:r>
    </w:p>
    <w:p w14:paraId="346D8441" w14:textId="5C28A3CD" w:rsidR="0071529A" w:rsidRDefault="0071529A" w:rsidP="0071529A">
      <w:pPr>
        <w:pStyle w:val="BodyText"/>
        <w:jc w:val="center"/>
        <w:rPr>
          <w:szCs w:val="20"/>
        </w:rPr>
      </w:pPr>
    </w:p>
    <w:p w14:paraId="1E20C844" w14:textId="0BB7A394" w:rsidR="0071529A" w:rsidRDefault="0071529A" w:rsidP="0071529A">
      <w:pPr>
        <w:pStyle w:val="BodyText"/>
        <w:jc w:val="center"/>
        <w:rPr>
          <w:szCs w:val="20"/>
        </w:rPr>
      </w:pPr>
    </w:p>
    <w:p w14:paraId="5EBFA4C4" w14:textId="77777777" w:rsidR="006C5FE9" w:rsidRDefault="006C5FE9" w:rsidP="006C5FE9">
      <w:pPr>
        <w:pStyle w:val="Heading2"/>
      </w:pPr>
      <w:bookmarkStart w:id="19" w:name="_Ref477095988"/>
      <w:bookmarkStart w:id="20" w:name="_Ref477350978"/>
      <w:bookmarkStart w:id="21" w:name="_Toc512862459"/>
      <w:r>
        <w:lastRenderedPageBreak/>
        <w:t>Field Characteristics</w:t>
      </w:r>
      <w:r w:rsidR="003E3C6E">
        <w:t xml:space="preserve"> and Production</w:t>
      </w:r>
      <w:bookmarkEnd w:id="19"/>
      <w:bookmarkEnd w:id="20"/>
      <w:bookmarkEnd w:id="21"/>
    </w:p>
    <w:p w14:paraId="7ADFAB3C" w14:textId="2ADF6B4B" w:rsidR="006C5FE9" w:rsidRPr="0004355B" w:rsidRDefault="006C5FE9" w:rsidP="006C5FE9">
      <w:pPr>
        <w:pStyle w:val="BodyText"/>
        <w:keepNext/>
        <w:rPr>
          <w:szCs w:val="20"/>
        </w:rPr>
      </w:pPr>
      <w:r w:rsidRPr="0004355B">
        <w:rPr>
          <w:szCs w:val="20"/>
        </w:rPr>
        <w:t xml:space="preserve">The condensate of the </w:t>
      </w:r>
      <w:r w:rsidR="00C86D6F">
        <w:rPr>
          <w:szCs w:val="20"/>
        </w:rPr>
        <w:t>CHN</w:t>
      </w:r>
      <w:r w:rsidRPr="0004355B">
        <w:rPr>
          <w:szCs w:val="20"/>
        </w:rPr>
        <w:t xml:space="preserve"> reservoirs is classified as a Group 1 (non-persistent) oil. </w:t>
      </w:r>
      <w:r w:rsidR="00686792">
        <w:rPr>
          <w:szCs w:val="20"/>
        </w:rPr>
        <w:t xml:space="preserve"> </w:t>
      </w:r>
      <w:r w:rsidRPr="0004355B">
        <w:rPr>
          <w:szCs w:val="20"/>
        </w:rPr>
        <w:t>Netherby condensate is highly evaporative when released into the environment, with zero estimated residual (persistent) components (</w:t>
      </w:r>
      <w:r w:rsidR="00A34758">
        <w:rPr>
          <w:szCs w:val="20"/>
        </w:rPr>
        <w:fldChar w:fldCharType="begin"/>
      </w:r>
      <w:r w:rsidR="00A34758">
        <w:rPr>
          <w:szCs w:val="20"/>
        </w:rPr>
        <w:instrText xml:space="preserve"> REF _Ref473300241 \h </w:instrText>
      </w:r>
      <w:r w:rsidR="00A34758">
        <w:rPr>
          <w:szCs w:val="20"/>
        </w:rPr>
      </w:r>
      <w:r w:rsidR="00A34758">
        <w:rPr>
          <w:szCs w:val="20"/>
        </w:rPr>
        <w:fldChar w:fldCharType="separate"/>
      </w:r>
      <w:r w:rsidR="00CC4C35" w:rsidRPr="00A34758">
        <w:rPr>
          <w:szCs w:val="20"/>
        </w:rPr>
        <w:t xml:space="preserve">Table </w:t>
      </w:r>
      <w:r w:rsidR="00CC4C35">
        <w:rPr>
          <w:noProof/>
          <w:szCs w:val="20"/>
        </w:rPr>
        <w:t>2</w:t>
      </w:r>
      <w:r w:rsidR="00CC4C35">
        <w:rPr>
          <w:szCs w:val="20"/>
        </w:rPr>
        <w:noBreakHyphen/>
      </w:r>
      <w:r w:rsidR="00CC4C35">
        <w:rPr>
          <w:noProof/>
          <w:szCs w:val="20"/>
        </w:rPr>
        <w:t>2</w:t>
      </w:r>
      <w:r w:rsidR="00A34758">
        <w:rPr>
          <w:szCs w:val="20"/>
        </w:rPr>
        <w:fldChar w:fldCharType="end"/>
      </w:r>
      <w:r w:rsidRPr="0004355B">
        <w:rPr>
          <w:szCs w:val="20"/>
        </w:rPr>
        <w:t>). It has a pour point of -54°C (when fresh).</w:t>
      </w:r>
    </w:p>
    <w:p w14:paraId="71B908EA" w14:textId="2F685717" w:rsidR="006C5FE9" w:rsidRPr="00A34758" w:rsidRDefault="00A34758" w:rsidP="00EF1D65">
      <w:pPr>
        <w:pStyle w:val="Caption"/>
        <w:outlineLvl w:val="9"/>
        <w:rPr>
          <w:sz w:val="20"/>
          <w:szCs w:val="20"/>
        </w:rPr>
      </w:pPr>
      <w:bookmarkStart w:id="22" w:name="_Ref473300241"/>
      <w:bookmarkStart w:id="23" w:name="_Toc511032579"/>
      <w:r w:rsidRPr="00A34758">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2</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2</w:t>
      </w:r>
      <w:r w:rsidR="00103328">
        <w:rPr>
          <w:sz w:val="20"/>
          <w:szCs w:val="20"/>
        </w:rPr>
        <w:fldChar w:fldCharType="end"/>
      </w:r>
      <w:bookmarkEnd w:id="22"/>
      <w:r w:rsidRPr="00A34758">
        <w:rPr>
          <w:sz w:val="20"/>
          <w:szCs w:val="20"/>
        </w:rPr>
        <w:t>:</w:t>
      </w:r>
      <w:r w:rsidR="00F3228E">
        <w:rPr>
          <w:sz w:val="20"/>
          <w:szCs w:val="20"/>
        </w:rPr>
        <w:t xml:space="preserve"> </w:t>
      </w:r>
      <w:r w:rsidR="00F212B0" w:rsidRPr="00A34758">
        <w:rPr>
          <w:sz w:val="20"/>
          <w:szCs w:val="20"/>
        </w:rPr>
        <w:t>Physical characteristics of the Netherby condensate</w:t>
      </w:r>
      <w:bookmarkEnd w:id="23"/>
    </w:p>
    <w:tbl>
      <w:tblPr>
        <w:tblW w:w="0" w:type="auto"/>
        <w:tblInd w:w="567"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1483"/>
        <w:gridCol w:w="1151"/>
        <w:gridCol w:w="1150"/>
        <w:gridCol w:w="1150"/>
        <w:gridCol w:w="1213"/>
        <w:gridCol w:w="1116"/>
        <w:gridCol w:w="1174"/>
      </w:tblGrid>
      <w:tr w:rsidR="00FD5486" w:rsidRPr="00BA0611" w14:paraId="0B138B6D" w14:textId="77777777" w:rsidTr="00136A5A">
        <w:trPr>
          <w:tblHeader/>
        </w:trPr>
        <w:tc>
          <w:tcPr>
            <w:tcW w:w="1504" w:type="dxa"/>
            <w:tcBorders>
              <w:right w:val="single" w:sz="6" w:space="0" w:color="F2F2F2"/>
            </w:tcBorders>
            <w:shd w:val="clear" w:color="auto" w:fill="A6A6A6"/>
            <w:tcMar>
              <w:top w:w="142" w:type="dxa"/>
            </w:tcMar>
          </w:tcPr>
          <w:p w14:paraId="6297FD68" w14:textId="77777777" w:rsidR="006A0C8F" w:rsidRPr="00BA0611" w:rsidRDefault="006A0C8F" w:rsidP="00136A5A">
            <w:pPr>
              <w:pStyle w:val="BodyText"/>
              <w:keepNext/>
              <w:ind w:left="0"/>
              <w:rPr>
                <w:rFonts w:cs="Arial"/>
                <w:b/>
                <w:sz w:val="16"/>
                <w:szCs w:val="16"/>
              </w:rPr>
            </w:pPr>
            <w:r w:rsidRPr="00BA0611">
              <w:rPr>
                <w:rFonts w:cs="Arial"/>
                <w:b/>
                <w:sz w:val="16"/>
                <w:szCs w:val="16"/>
              </w:rPr>
              <w:t>Characteristic</w:t>
            </w:r>
          </w:p>
        </w:tc>
        <w:tc>
          <w:tcPr>
            <w:tcW w:w="1180" w:type="dxa"/>
            <w:tcBorders>
              <w:left w:val="single" w:sz="6" w:space="0" w:color="F2F2F2"/>
              <w:right w:val="single" w:sz="6" w:space="0" w:color="F2F2F2"/>
            </w:tcBorders>
            <w:shd w:val="clear" w:color="auto" w:fill="A6A6A6"/>
            <w:tcMar>
              <w:top w:w="142" w:type="dxa"/>
            </w:tcMar>
          </w:tcPr>
          <w:p w14:paraId="7BE1571E" w14:textId="77777777" w:rsidR="006A0C8F" w:rsidRPr="00BA0611" w:rsidRDefault="006A0C8F" w:rsidP="00136A5A">
            <w:pPr>
              <w:pStyle w:val="BodyText"/>
              <w:keepNext/>
              <w:ind w:left="0"/>
              <w:jc w:val="center"/>
              <w:rPr>
                <w:rFonts w:cs="Arial"/>
                <w:b/>
                <w:sz w:val="16"/>
                <w:szCs w:val="16"/>
              </w:rPr>
            </w:pPr>
            <w:r w:rsidRPr="00BA0611">
              <w:rPr>
                <w:rFonts w:cs="Arial"/>
                <w:b/>
                <w:sz w:val="16"/>
                <w:szCs w:val="16"/>
              </w:rPr>
              <w:t>Volatiles (%)</w:t>
            </w:r>
          </w:p>
        </w:tc>
        <w:tc>
          <w:tcPr>
            <w:tcW w:w="1179" w:type="dxa"/>
            <w:tcBorders>
              <w:left w:val="single" w:sz="6" w:space="0" w:color="F2F2F2"/>
              <w:right w:val="single" w:sz="6" w:space="0" w:color="F2F2F2"/>
            </w:tcBorders>
            <w:shd w:val="clear" w:color="auto" w:fill="A6A6A6"/>
            <w:tcMar>
              <w:top w:w="142" w:type="dxa"/>
            </w:tcMar>
          </w:tcPr>
          <w:p w14:paraId="0ED82006" w14:textId="77777777" w:rsidR="006A0C8F" w:rsidRPr="00BA0611" w:rsidRDefault="006A0C8F" w:rsidP="00136A5A">
            <w:pPr>
              <w:pStyle w:val="BodyText"/>
              <w:keepNext/>
              <w:ind w:left="0"/>
              <w:jc w:val="center"/>
              <w:rPr>
                <w:rFonts w:cs="Arial"/>
                <w:b/>
                <w:sz w:val="16"/>
                <w:szCs w:val="16"/>
              </w:rPr>
            </w:pPr>
            <w:r w:rsidRPr="00BA0611">
              <w:rPr>
                <w:rFonts w:cs="Arial"/>
                <w:b/>
                <w:sz w:val="16"/>
                <w:szCs w:val="16"/>
              </w:rPr>
              <w:t>Semi-volatiles (%)</w:t>
            </w:r>
          </w:p>
        </w:tc>
        <w:tc>
          <w:tcPr>
            <w:tcW w:w="1179" w:type="dxa"/>
            <w:tcBorders>
              <w:left w:val="single" w:sz="6" w:space="0" w:color="F2F2F2"/>
              <w:right w:val="single" w:sz="6" w:space="0" w:color="F2F2F2"/>
            </w:tcBorders>
            <w:shd w:val="clear" w:color="auto" w:fill="A6A6A6"/>
            <w:tcMar>
              <w:top w:w="142" w:type="dxa"/>
            </w:tcMar>
          </w:tcPr>
          <w:p w14:paraId="14513F0E" w14:textId="77777777" w:rsidR="006A0C8F" w:rsidRPr="00BA0611" w:rsidRDefault="006A0C8F" w:rsidP="00136A5A">
            <w:pPr>
              <w:pStyle w:val="BodyText"/>
              <w:keepNext/>
              <w:ind w:left="0"/>
              <w:jc w:val="center"/>
              <w:rPr>
                <w:rFonts w:cs="Arial"/>
                <w:b/>
                <w:sz w:val="16"/>
                <w:szCs w:val="16"/>
              </w:rPr>
            </w:pPr>
            <w:r w:rsidRPr="00BA0611">
              <w:rPr>
                <w:rFonts w:cs="Arial"/>
                <w:b/>
                <w:sz w:val="16"/>
                <w:szCs w:val="16"/>
              </w:rPr>
              <w:t>Low volatiles (%)</w:t>
            </w:r>
          </w:p>
        </w:tc>
        <w:tc>
          <w:tcPr>
            <w:tcW w:w="1238" w:type="dxa"/>
            <w:tcBorders>
              <w:left w:val="single" w:sz="6" w:space="0" w:color="F2F2F2"/>
              <w:right w:val="single" w:sz="6" w:space="0" w:color="F2F2F2"/>
            </w:tcBorders>
            <w:shd w:val="clear" w:color="auto" w:fill="A6A6A6"/>
            <w:tcMar>
              <w:top w:w="142" w:type="dxa"/>
            </w:tcMar>
          </w:tcPr>
          <w:p w14:paraId="0BECAA65" w14:textId="77777777" w:rsidR="006A0C8F" w:rsidRPr="00BA0611" w:rsidRDefault="006A0C8F" w:rsidP="00136A5A">
            <w:pPr>
              <w:pStyle w:val="BodyText"/>
              <w:keepNext/>
              <w:ind w:left="0"/>
              <w:jc w:val="center"/>
              <w:rPr>
                <w:rFonts w:cs="Arial"/>
                <w:b/>
                <w:sz w:val="16"/>
                <w:szCs w:val="16"/>
              </w:rPr>
            </w:pPr>
            <w:r w:rsidRPr="00BA0611">
              <w:rPr>
                <w:rFonts w:cs="Arial"/>
                <w:b/>
                <w:sz w:val="16"/>
                <w:szCs w:val="16"/>
              </w:rPr>
              <w:t>Residuals (%)</w:t>
            </w:r>
          </w:p>
        </w:tc>
        <w:tc>
          <w:tcPr>
            <w:tcW w:w="1148" w:type="dxa"/>
            <w:vMerge w:val="restart"/>
            <w:tcBorders>
              <w:left w:val="single" w:sz="6" w:space="0" w:color="F2F2F2"/>
              <w:right w:val="single" w:sz="6" w:space="0" w:color="F2F2F2"/>
            </w:tcBorders>
            <w:shd w:val="clear" w:color="auto" w:fill="A6A6A6"/>
            <w:tcMar>
              <w:top w:w="142" w:type="dxa"/>
            </w:tcMar>
          </w:tcPr>
          <w:p w14:paraId="1151A1E9" w14:textId="77777777" w:rsidR="006A0C8F" w:rsidRPr="00BA0611" w:rsidRDefault="006A0C8F" w:rsidP="00136A5A">
            <w:pPr>
              <w:pStyle w:val="BodyText"/>
              <w:keepNext/>
              <w:ind w:left="0"/>
              <w:jc w:val="center"/>
              <w:rPr>
                <w:rFonts w:cs="Arial"/>
                <w:b/>
                <w:sz w:val="16"/>
                <w:szCs w:val="16"/>
              </w:rPr>
            </w:pPr>
            <w:r w:rsidRPr="00BA0611">
              <w:rPr>
                <w:rFonts w:cs="Arial"/>
                <w:b/>
                <w:sz w:val="16"/>
                <w:szCs w:val="16"/>
              </w:rPr>
              <w:t>Density (kg/m</w:t>
            </w:r>
            <w:r w:rsidRPr="00BA0611">
              <w:rPr>
                <w:rFonts w:cs="Arial"/>
                <w:b/>
                <w:sz w:val="16"/>
                <w:szCs w:val="16"/>
                <w:vertAlign w:val="superscript"/>
              </w:rPr>
              <w:t>3</w:t>
            </w:r>
            <w:r w:rsidRPr="00BA0611">
              <w:rPr>
                <w:rFonts w:cs="Arial"/>
                <w:b/>
                <w:sz w:val="16"/>
                <w:szCs w:val="16"/>
              </w:rPr>
              <w:t>)</w:t>
            </w:r>
          </w:p>
        </w:tc>
        <w:tc>
          <w:tcPr>
            <w:tcW w:w="1202" w:type="dxa"/>
            <w:vMerge w:val="restart"/>
            <w:tcBorders>
              <w:left w:val="single" w:sz="6" w:space="0" w:color="F2F2F2"/>
            </w:tcBorders>
            <w:shd w:val="clear" w:color="auto" w:fill="A6A6A6"/>
            <w:tcMar>
              <w:top w:w="142" w:type="dxa"/>
            </w:tcMar>
          </w:tcPr>
          <w:p w14:paraId="03BD2A7C" w14:textId="77777777" w:rsidR="006A0C8F" w:rsidRPr="00BA0611" w:rsidRDefault="006A0C8F" w:rsidP="00136A5A">
            <w:pPr>
              <w:pStyle w:val="BodyText"/>
              <w:keepNext/>
              <w:ind w:left="0"/>
              <w:jc w:val="center"/>
              <w:rPr>
                <w:rFonts w:cs="Arial"/>
                <w:b/>
                <w:sz w:val="16"/>
                <w:szCs w:val="16"/>
              </w:rPr>
            </w:pPr>
            <w:r w:rsidRPr="00BA0611">
              <w:rPr>
                <w:rFonts w:cs="Arial"/>
                <w:b/>
                <w:sz w:val="16"/>
                <w:szCs w:val="16"/>
              </w:rPr>
              <w:t>Dynamic viscosity (%)</w:t>
            </w:r>
          </w:p>
        </w:tc>
      </w:tr>
      <w:tr w:rsidR="00FD5486" w:rsidRPr="00BA0611" w14:paraId="5AB9725D" w14:textId="77777777" w:rsidTr="00136A5A">
        <w:tc>
          <w:tcPr>
            <w:tcW w:w="1504" w:type="dxa"/>
            <w:shd w:val="clear" w:color="auto" w:fill="auto"/>
          </w:tcPr>
          <w:p w14:paraId="07D886CE" w14:textId="77777777" w:rsidR="006A0C8F" w:rsidRPr="00BA0611" w:rsidRDefault="006A0C8F" w:rsidP="00136A5A">
            <w:pPr>
              <w:pStyle w:val="BodyText"/>
              <w:keepNext/>
              <w:spacing w:before="60" w:after="60"/>
              <w:ind w:left="0"/>
              <w:rPr>
                <w:rFonts w:cs="Arial"/>
                <w:sz w:val="16"/>
                <w:szCs w:val="16"/>
              </w:rPr>
            </w:pPr>
            <w:r w:rsidRPr="00BA0611">
              <w:rPr>
                <w:rFonts w:cs="Arial"/>
                <w:sz w:val="16"/>
                <w:szCs w:val="16"/>
              </w:rPr>
              <w:t>Boiling point (°C)</w:t>
            </w:r>
          </w:p>
        </w:tc>
        <w:tc>
          <w:tcPr>
            <w:tcW w:w="1180" w:type="dxa"/>
            <w:shd w:val="clear" w:color="auto" w:fill="auto"/>
          </w:tcPr>
          <w:p w14:paraId="18B834C7" w14:textId="77777777" w:rsidR="006A0C8F" w:rsidRPr="00BA0611" w:rsidRDefault="006A0C8F" w:rsidP="00136A5A">
            <w:pPr>
              <w:pStyle w:val="BodyText"/>
              <w:keepNext/>
              <w:spacing w:before="60" w:after="60"/>
              <w:ind w:left="0"/>
              <w:jc w:val="center"/>
              <w:rPr>
                <w:rFonts w:cs="Arial"/>
                <w:sz w:val="16"/>
                <w:szCs w:val="16"/>
              </w:rPr>
            </w:pPr>
            <w:r w:rsidRPr="00BA0611">
              <w:rPr>
                <w:rFonts w:cs="Arial"/>
                <w:sz w:val="16"/>
                <w:szCs w:val="16"/>
              </w:rPr>
              <w:t>&lt;180</w:t>
            </w:r>
          </w:p>
        </w:tc>
        <w:tc>
          <w:tcPr>
            <w:tcW w:w="1179" w:type="dxa"/>
            <w:shd w:val="clear" w:color="auto" w:fill="auto"/>
          </w:tcPr>
          <w:p w14:paraId="6DCD62A6" w14:textId="77777777" w:rsidR="006A0C8F" w:rsidRPr="00BA0611" w:rsidRDefault="006A0C8F" w:rsidP="00136A5A">
            <w:pPr>
              <w:pStyle w:val="BodyText"/>
              <w:keepNext/>
              <w:spacing w:before="60" w:after="60"/>
              <w:ind w:left="0"/>
              <w:jc w:val="center"/>
              <w:rPr>
                <w:rFonts w:cs="Arial"/>
                <w:sz w:val="16"/>
                <w:szCs w:val="16"/>
              </w:rPr>
            </w:pPr>
            <w:r w:rsidRPr="00BA0611">
              <w:rPr>
                <w:rFonts w:cs="Arial"/>
                <w:sz w:val="16"/>
                <w:szCs w:val="16"/>
              </w:rPr>
              <w:t>180-265</w:t>
            </w:r>
          </w:p>
        </w:tc>
        <w:tc>
          <w:tcPr>
            <w:tcW w:w="1179" w:type="dxa"/>
            <w:shd w:val="clear" w:color="auto" w:fill="auto"/>
          </w:tcPr>
          <w:p w14:paraId="7B4E6885" w14:textId="77777777" w:rsidR="006A0C8F" w:rsidRPr="00BA0611" w:rsidRDefault="006A0C8F" w:rsidP="00136A5A">
            <w:pPr>
              <w:pStyle w:val="BodyText"/>
              <w:keepNext/>
              <w:spacing w:before="60" w:after="60"/>
              <w:ind w:left="0"/>
              <w:jc w:val="center"/>
              <w:rPr>
                <w:rFonts w:cs="Arial"/>
                <w:sz w:val="16"/>
                <w:szCs w:val="16"/>
              </w:rPr>
            </w:pPr>
            <w:r w:rsidRPr="00BA0611">
              <w:rPr>
                <w:rFonts w:cs="Arial"/>
                <w:sz w:val="16"/>
                <w:szCs w:val="16"/>
              </w:rPr>
              <w:t>265-380</w:t>
            </w:r>
          </w:p>
        </w:tc>
        <w:tc>
          <w:tcPr>
            <w:tcW w:w="1238" w:type="dxa"/>
            <w:shd w:val="clear" w:color="auto" w:fill="auto"/>
          </w:tcPr>
          <w:p w14:paraId="0A0CBE04" w14:textId="77777777" w:rsidR="006A0C8F" w:rsidRPr="00BA0611" w:rsidRDefault="006A0C8F" w:rsidP="00136A5A">
            <w:pPr>
              <w:pStyle w:val="BodyText"/>
              <w:keepNext/>
              <w:spacing w:before="60" w:after="60"/>
              <w:ind w:left="0"/>
              <w:jc w:val="center"/>
              <w:rPr>
                <w:rFonts w:cs="Arial"/>
                <w:sz w:val="16"/>
                <w:szCs w:val="16"/>
              </w:rPr>
            </w:pPr>
            <w:r w:rsidRPr="00BA0611">
              <w:rPr>
                <w:rFonts w:cs="Arial"/>
                <w:sz w:val="16"/>
                <w:szCs w:val="16"/>
              </w:rPr>
              <w:t>&gt;380</w:t>
            </w:r>
          </w:p>
        </w:tc>
        <w:tc>
          <w:tcPr>
            <w:tcW w:w="1148" w:type="dxa"/>
            <w:vMerge/>
            <w:shd w:val="clear" w:color="auto" w:fill="auto"/>
          </w:tcPr>
          <w:p w14:paraId="25E25122" w14:textId="77777777" w:rsidR="006A0C8F" w:rsidRPr="00BA0611" w:rsidRDefault="006A0C8F" w:rsidP="00136A5A">
            <w:pPr>
              <w:pStyle w:val="BodyText"/>
              <w:keepNext/>
              <w:spacing w:before="60" w:after="60"/>
              <w:ind w:left="0"/>
              <w:rPr>
                <w:rFonts w:cs="Arial"/>
                <w:sz w:val="16"/>
                <w:szCs w:val="16"/>
              </w:rPr>
            </w:pPr>
          </w:p>
        </w:tc>
        <w:tc>
          <w:tcPr>
            <w:tcW w:w="1202" w:type="dxa"/>
            <w:vMerge/>
            <w:shd w:val="clear" w:color="auto" w:fill="auto"/>
          </w:tcPr>
          <w:p w14:paraId="764F493C" w14:textId="77777777" w:rsidR="006A0C8F" w:rsidRPr="00BA0611" w:rsidRDefault="006A0C8F" w:rsidP="00136A5A">
            <w:pPr>
              <w:pStyle w:val="BodyText"/>
              <w:keepNext/>
              <w:spacing w:before="60" w:after="60"/>
              <w:ind w:left="0"/>
              <w:rPr>
                <w:rFonts w:cs="Arial"/>
                <w:sz w:val="16"/>
                <w:szCs w:val="16"/>
              </w:rPr>
            </w:pPr>
          </w:p>
        </w:tc>
      </w:tr>
      <w:tr w:rsidR="00FD5486" w:rsidRPr="00BA0611" w14:paraId="2704F71F" w14:textId="77777777" w:rsidTr="00136A5A">
        <w:tc>
          <w:tcPr>
            <w:tcW w:w="1504" w:type="dxa"/>
            <w:shd w:val="clear" w:color="auto" w:fill="F2F2F2"/>
          </w:tcPr>
          <w:p w14:paraId="17654576" w14:textId="77777777" w:rsidR="006A0C8F" w:rsidRPr="00BA0611" w:rsidRDefault="006A0C8F" w:rsidP="00136A5A">
            <w:pPr>
              <w:pStyle w:val="BodyText"/>
              <w:keepNext/>
              <w:spacing w:before="60" w:after="60"/>
              <w:ind w:left="0"/>
              <w:rPr>
                <w:rFonts w:cs="Arial"/>
                <w:sz w:val="16"/>
                <w:szCs w:val="16"/>
              </w:rPr>
            </w:pPr>
            <w:r w:rsidRPr="00BA0611">
              <w:rPr>
                <w:rFonts w:cs="Arial"/>
                <w:sz w:val="16"/>
                <w:szCs w:val="16"/>
              </w:rPr>
              <w:t>Aromatics</w:t>
            </w:r>
          </w:p>
        </w:tc>
        <w:tc>
          <w:tcPr>
            <w:tcW w:w="1180" w:type="dxa"/>
            <w:shd w:val="clear" w:color="auto" w:fill="F2F2F2"/>
          </w:tcPr>
          <w:p w14:paraId="23267405" w14:textId="77777777" w:rsidR="006A0C8F" w:rsidRPr="00BA0611" w:rsidRDefault="006A0C8F" w:rsidP="00136A5A">
            <w:pPr>
              <w:pStyle w:val="BodyText"/>
              <w:keepNext/>
              <w:spacing w:before="60" w:after="60"/>
              <w:ind w:left="0"/>
              <w:jc w:val="center"/>
              <w:rPr>
                <w:rFonts w:cs="Arial"/>
                <w:sz w:val="16"/>
                <w:szCs w:val="16"/>
              </w:rPr>
            </w:pPr>
            <w:r w:rsidRPr="00BA0611">
              <w:rPr>
                <w:rFonts w:cs="Arial"/>
                <w:sz w:val="16"/>
                <w:szCs w:val="16"/>
              </w:rPr>
              <w:t>MAHs</w:t>
            </w:r>
          </w:p>
        </w:tc>
        <w:tc>
          <w:tcPr>
            <w:tcW w:w="1179" w:type="dxa"/>
            <w:shd w:val="clear" w:color="auto" w:fill="F2F2F2"/>
          </w:tcPr>
          <w:p w14:paraId="153DA77B" w14:textId="77777777" w:rsidR="006A0C8F" w:rsidRPr="00BA0611" w:rsidRDefault="006A0C8F" w:rsidP="00136A5A">
            <w:pPr>
              <w:pStyle w:val="BodyText"/>
              <w:keepNext/>
              <w:spacing w:before="60" w:after="60"/>
              <w:ind w:left="0"/>
              <w:jc w:val="center"/>
              <w:rPr>
                <w:rFonts w:cs="Arial"/>
                <w:sz w:val="16"/>
                <w:szCs w:val="16"/>
              </w:rPr>
            </w:pPr>
            <w:r w:rsidRPr="00BA0611">
              <w:rPr>
                <w:rFonts w:cs="Arial"/>
                <w:sz w:val="16"/>
                <w:szCs w:val="16"/>
              </w:rPr>
              <w:t>2-ring PAHs</w:t>
            </w:r>
          </w:p>
        </w:tc>
        <w:tc>
          <w:tcPr>
            <w:tcW w:w="1179" w:type="dxa"/>
            <w:shd w:val="clear" w:color="auto" w:fill="F2F2F2"/>
          </w:tcPr>
          <w:p w14:paraId="794ECDFB" w14:textId="77777777" w:rsidR="006A0C8F" w:rsidRPr="00BA0611" w:rsidRDefault="006A0C8F" w:rsidP="00136A5A">
            <w:pPr>
              <w:pStyle w:val="BodyText"/>
              <w:keepNext/>
              <w:spacing w:before="60" w:after="60"/>
              <w:ind w:left="0"/>
              <w:jc w:val="center"/>
              <w:rPr>
                <w:rFonts w:cs="Arial"/>
                <w:sz w:val="16"/>
                <w:szCs w:val="16"/>
              </w:rPr>
            </w:pPr>
            <w:r w:rsidRPr="00BA0611">
              <w:rPr>
                <w:rFonts w:cs="Arial"/>
                <w:sz w:val="16"/>
                <w:szCs w:val="16"/>
              </w:rPr>
              <w:t>3-ring PAHs</w:t>
            </w:r>
          </w:p>
        </w:tc>
        <w:tc>
          <w:tcPr>
            <w:tcW w:w="1238" w:type="dxa"/>
            <w:shd w:val="clear" w:color="auto" w:fill="F2F2F2"/>
          </w:tcPr>
          <w:p w14:paraId="5F410E24" w14:textId="77777777" w:rsidR="006A0C8F" w:rsidRPr="00BA0611" w:rsidRDefault="006A0C8F" w:rsidP="00136A5A">
            <w:pPr>
              <w:pStyle w:val="BodyText"/>
              <w:keepNext/>
              <w:spacing w:before="60" w:after="60"/>
              <w:ind w:left="0"/>
              <w:jc w:val="center"/>
              <w:rPr>
                <w:rFonts w:cs="Arial"/>
                <w:sz w:val="16"/>
                <w:szCs w:val="16"/>
              </w:rPr>
            </w:pPr>
            <w:r w:rsidRPr="00BA0611">
              <w:rPr>
                <w:rFonts w:cs="Arial"/>
                <w:sz w:val="16"/>
                <w:szCs w:val="16"/>
              </w:rPr>
              <w:t>≥4 rings</w:t>
            </w:r>
          </w:p>
        </w:tc>
        <w:tc>
          <w:tcPr>
            <w:tcW w:w="1148" w:type="dxa"/>
            <w:vMerge/>
            <w:shd w:val="clear" w:color="auto" w:fill="F2F2F2"/>
          </w:tcPr>
          <w:p w14:paraId="5DC873F0" w14:textId="77777777" w:rsidR="006A0C8F" w:rsidRPr="00BA0611" w:rsidRDefault="006A0C8F" w:rsidP="00136A5A">
            <w:pPr>
              <w:pStyle w:val="BodyText"/>
              <w:keepNext/>
              <w:spacing w:before="60" w:after="60"/>
              <w:ind w:left="0"/>
              <w:rPr>
                <w:rFonts w:cs="Arial"/>
                <w:sz w:val="16"/>
                <w:szCs w:val="16"/>
              </w:rPr>
            </w:pPr>
          </w:p>
        </w:tc>
        <w:tc>
          <w:tcPr>
            <w:tcW w:w="1202" w:type="dxa"/>
            <w:vMerge/>
            <w:shd w:val="clear" w:color="auto" w:fill="F2F2F2"/>
          </w:tcPr>
          <w:p w14:paraId="6E149780" w14:textId="77777777" w:rsidR="006A0C8F" w:rsidRPr="00BA0611" w:rsidRDefault="006A0C8F" w:rsidP="00136A5A">
            <w:pPr>
              <w:pStyle w:val="BodyText"/>
              <w:keepNext/>
              <w:spacing w:before="60" w:after="60"/>
              <w:ind w:left="0"/>
              <w:rPr>
                <w:rFonts w:cs="Arial"/>
                <w:sz w:val="16"/>
                <w:szCs w:val="16"/>
              </w:rPr>
            </w:pPr>
          </w:p>
        </w:tc>
      </w:tr>
      <w:tr w:rsidR="00FD5486" w:rsidRPr="00BA0611" w14:paraId="150ACDB1" w14:textId="77777777" w:rsidTr="00136A5A">
        <w:tc>
          <w:tcPr>
            <w:tcW w:w="1504" w:type="dxa"/>
            <w:shd w:val="clear" w:color="auto" w:fill="auto"/>
          </w:tcPr>
          <w:p w14:paraId="04893037" w14:textId="77777777" w:rsidR="006A0C8F" w:rsidRPr="00BA0611" w:rsidRDefault="006A0C8F" w:rsidP="00136A5A">
            <w:pPr>
              <w:pStyle w:val="BodyText"/>
              <w:keepNext/>
              <w:spacing w:before="60" w:after="60"/>
              <w:ind w:left="0"/>
              <w:rPr>
                <w:rFonts w:cs="Arial"/>
                <w:sz w:val="16"/>
                <w:szCs w:val="16"/>
              </w:rPr>
            </w:pPr>
            <w:r w:rsidRPr="00BA0611">
              <w:rPr>
                <w:rFonts w:cs="Arial"/>
                <w:sz w:val="16"/>
                <w:szCs w:val="16"/>
              </w:rPr>
              <w:t>Aliphatics</w:t>
            </w:r>
          </w:p>
        </w:tc>
        <w:tc>
          <w:tcPr>
            <w:tcW w:w="1180" w:type="dxa"/>
            <w:shd w:val="clear" w:color="auto" w:fill="auto"/>
            <w:vAlign w:val="center"/>
          </w:tcPr>
          <w:p w14:paraId="1E0B5A31" w14:textId="77777777" w:rsidR="006A0C8F" w:rsidRPr="00BA0611" w:rsidRDefault="006A0C8F" w:rsidP="00136A5A">
            <w:pPr>
              <w:pStyle w:val="BodyText"/>
              <w:keepNext/>
              <w:spacing w:before="60" w:after="60"/>
              <w:ind w:left="0"/>
              <w:jc w:val="center"/>
              <w:rPr>
                <w:rFonts w:cs="Arial"/>
                <w:sz w:val="16"/>
                <w:szCs w:val="16"/>
              </w:rPr>
            </w:pPr>
            <w:r w:rsidRPr="00BA0611">
              <w:rPr>
                <w:rFonts w:cs="Arial"/>
                <w:sz w:val="16"/>
                <w:szCs w:val="16"/>
                <w:lang w:eastAsia="en-US"/>
              </w:rPr>
              <w:t>C</w:t>
            </w:r>
            <w:r w:rsidRPr="00BA0611">
              <w:rPr>
                <w:rFonts w:cs="Arial"/>
                <w:sz w:val="16"/>
                <w:szCs w:val="16"/>
                <w:vertAlign w:val="subscript"/>
                <w:lang w:eastAsia="en-US"/>
              </w:rPr>
              <w:t>4</w:t>
            </w:r>
            <w:r w:rsidRPr="00BA0611">
              <w:rPr>
                <w:rFonts w:cs="Arial"/>
                <w:sz w:val="16"/>
                <w:szCs w:val="16"/>
                <w:lang w:eastAsia="en-US"/>
              </w:rPr>
              <w:t xml:space="preserve"> – C</w:t>
            </w:r>
            <w:r w:rsidRPr="00BA0611">
              <w:rPr>
                <w:rFonts w:cs="Arial"/>
                <w:sz w:val="16"/>
                <w:szCs w:val="16"/>
                <w:vertAlign w:val="subscript"/>
                <w:lang w:eastAsia="en-US"/>
              </w:rPr>
              <w:t>10</w:t>
            </w:r>
          </w:p>
        </w:tc>
        <w:tc>
          <w:tcPr>
            <w:tcW w:w="1179" w:type="dxa"/>
            <w:shd w:val="clear" w:color="auto" w:fill="auto"/>
            <w:vAlign w:val="center"/>
          </w:tcPr>
          <w:p w14:paraId="348FC3B9" w14:textId="77777777" w:rsidR="006A0C8F" w:rsidRPr="00BA0611" w:rsidRDefault="006A0C8F" w:rsidP="00136A5A">
            <w:pPr>
              <w:pStyle w:val="BodyText"/>
              <w:keepNext/>
              <w:spacing w:before="60" w:after="60"/>
              <w:ind w:left="0"/>
              <w:jc w:val="center"/>
              <w:rPr>
                <w:rFonts w:cs="Arial"/>
                <w:sz w:val="16"/>
                <w:szCs w:val="16"/>
              </w:rPr>
            </w:pPr>
            <w:r w:rsidRPr="00BA0611">
              <w:rPr>
                <w:rFonts w:cs="Arial"/>
                <w:sz w:val="16"/>
                <w:szCs w:val="16"/>
                <w:lang w:eastAsia="en-US"/>
              </w:rPr>
              <w:t>C</w:t>
            </w:r>
            <w:r w:rsidRPr="00BA0611">
              <w:rPr>
                <w:rFonts w:cs="Arial"/>
                <w:sz w:val="16"/>
                <w:szCs w:val="16"/>
                <w:vertAlign w:val="subscript"/>
                <w:lang w:eastAsia="en-US"/>
              </w:rPr>
              <w:t>10</w:t>
            </w:r>
            <w:r w:rsidRPr="00BA0611">
              <w:rPr>
                <w:rFonts w:cs="Arial"/>
                <w:sz w:val="16"/>
                <w:szCs w:val="16"/>
                <w:lang w:eastAsia="en-US"/>
              </w:rPr>
              <w:t xml:space="preserve"> – C</w:t>
            </w:r>
            <w:r w:rsidRPr="00BA0611">
              <w:rPr>
                <w:rFonts w:cs="Arial"/>
                <w:sz w:val="16"/>
                <w:szCs w:val="16"/>
                <w:vertAlign w:val="subscript"/>
                <w:lang w:eastAsia="en-US"/>
              </w:rPr>
              <w:t>15</w:t>
            </w:r>
          </w:p>
        </w:tc>
        <w:tc>
          <w:tcPr>
            <w:tcW w:w="1179" w:type="dxa"/>
            <w:shd w:val="clear" w:color="auto" w:fill="auto"/>
            <w:vAlign w:val="center"/>
          </w:tcPr>
          <w:p w14:paraId="0A545359" w14:textId="77777777" w:rsidR="006A0C8F" w:rsidRPr="00BA0611" w:rsidRDefault="006A0C8F" w:rsidP="00136A5A">
            <w:pPr>
              <w:pStyle w:val="BodyText"/>
              <w:keepNext/>
              <w:spacing w:before="60" w:after="60"/>
              <w:ind w:left="0"/>
              <w:jc w:val="center"/>
              <w:rPr>
                <w:rFonts w:cs="Arial"/>
                <w:sz w:val="16"/>
                <w:szCs w:val="16"/>
              </w:rPr>
            </w:pPr>
            <w:r w:rsidRPr="00BA0611">
              <w:rPr>
                <w:rFonts w:cs="Arial"/>
                <w:sz w:val="16"/>
                <w:szCs w:val="16"/>
                <w:lang w:eastAsia="en-US"/>
              </w:rPr>
              <w:t>C</w:t>
            </w:r>
            <w:r w:rsidRPr="00BA0611">
              <w:rPr>
                <w:rFonts w:cs="Arial"/>
                <w:sz w:val="16"/>
                <w:szCs w:val="16"/>
                <w:vertAlign w:val="subscript"/>
                <w:lang w:eastAsia="en-US"/>
              </w:rPr>
              <w:t>15</w:t>
            </w:r>
            <w:r w:rsidRPr="00BA0611">
              <w:rPr>
                <w:rFonts w:cs="Arial"/>
                <w:sz w:val="16"/>
                <w:szCs w:val="16"/>
                <w:lang w:eastAsia="en-US"/>
              </w:rPr>
              <w:t xml:space="preserve"> – C</w:t>
            </w:r>
            <w:r w:rsidRPr="00BA0611">
              <w:rPr>
                <w:rFonts w:cs="Arial"/>
                <w:sz w:val="16"/>
                <w:szCs w:val="16"/>
                <w:vertAlign w:val="subscript"/>
                <w:lang w:eastAsia="en-US"/>
              </w:rPr>
              <w:t>20</w:t>
            </w:r>
          </w:p>
        </w:tc>
        <w:tc>
          <w:tcPr>
            <w:tcW w:w="1238" w:type="dxa"/>
            <w:shd w:val="clear" w:color="auto" w:fill="auto"/>
            <w:vAlign w:val="center"/>
          </w:tcPr>
          <w:p w14:paraId="600E2737" w14:textId="77777777" w:rsidR="006A0C8F" w:rsidRPr="00BA0611" w:rsidRDefault="006A0C8F" w:rsidP="00136A5A">
            <w:pPr>
              <w:pStyle w:val="BodyText"/>
              <w:keepNext/>
              <w:spacing w:before="60" w:after="60"/>
              <w:ind w:left="0"/>
              <w:jc w:val="center"/>
              <w:rPr>
                <w:rFonts w:cs="Arial"/>
                <w:sz w:val="16"/>
                <w:szCs w:val="16"/>
              </w:rPr>
            </w:pPr>
            <w:r w:rsidRPr="00BA0611">
              <w:rPr>
                <w:rFonts w:cs="Arial"/>
                <w:sz w:val="16"/>
                <w:szCs w:val="16"/>
                <w:lang w:eastAsia="en-US"/>
              </w:rPr>
              <w:t>&gt;C</w:t>
            </w:r>
            <w:r w:rsidRPr="00BA0611">
              <w:rPr>
                <w:rFonts w:cs="Arial"/>
                <w:sz w:val="16"/>
                <w:szCs w:val="16"/>
                <w:vertAlign w:val="subscript"/>
                <w:lang w:eastAsia="en-US"/>
              </w:rPr>
              <w:t>20</w:t>
            </w:r>
          </w:p>
        </w:tc>
        <w:tc>
          <w:tcPr>
            <w:tcW w:w="1148" w:type="dxa"/>
            <w:vMerge/>
            <w:shd w:val="clear" w:color="auto" w:fill="auto"/>
          </w:tcPr>
          <w:p w14:paraId="1A03576D" w14:textId="77777777" w:rsidR="006A0C8F" w:rsidRPr="00BA0611" w:rsidRDefault="006A0C8F" w:rsidP="00136A5A">
            <w:pPr>
              <w:pStyle w:val="BodyText"/>
              <w:keepNext/>
              <w:spacing w:before="60" w:after="60"/>
              <w:ind w:left="0"/>
              <w:rPr>
                <w:rFonts w:cs="Arial"/>
                <w:sz w:val="16"/>
                <w:szCs w:val="16"/>
              </w:rPr>
            </w:pPr>
          </w:p>
        </w:tc>
        <w:tc>
          <w:tcPr>
            <w:tcW w:w="1202" w:type="dxa"/>
            <w:vMerge/>
            <w:shd w:val="clear" w:color="auto" w:fill="auto"/>
          </w:tcPr>
          <w:p w14:paraId="0D3DC066" w14:textId="77777777" w:rsidR="006A0C8F" w:rsidRPr="00BA0611" w:rsidRDefault="006A0C8F" w:rsidP="00136A5A">
            <w:pPr>
              <w:pStyle w:val="BodyText"/>
              <w:keepNext/>
              <w:spacing w:before="60" w:after="60"/>
              <w:ind w:left="0"/>
              <w:rPr>
                <w:rFonts w:cs="Arial"/>
                <w:sz w:val="16"/>
                <w:szCs w:val="16"/>
              </w:rPr>
            </w:pPr>
          </w:p>
        </w:tc>
      </w:tr>
      <w:tr w:rsidR="00FD5486" w:rsidRPr="00BA0611" w14:paraId="073FA5A9" w14:textId="77777777" w:rsidTr="00136A5A">
        <w:tc>
          <w:tcPr>
            <w:tcW w:w="1504" w:type="dxa"/>
            <w:tcBorders>
              <w:bottom w:val="nil"/>
            </w:tcBorders>
            <w:shd w:val="clear" w:color="auto" w:fill="F2F2F2"/>
          </w:tcPr>
          <w:p w14:paraId="5A81C176" w14:textId="7BC9D40D" w:rsidR="006A0C8F" w:rsidRPr="00BA0611" w:rsidRDefault="006A0C8F" w:rsidP="00136A5A">
            <w:pPr>
              <w:pStyle w:val="BodyText"/>
              <w:keepNext/>
              <w:spacing w:before="60" w:after="60"/>
              <w:ind w:left="0"/>
              <w:rPr>
                <w:rFonts w:cs="Arial"/>
                <w:sz w:val="16"/>
                <w:szCs w:val="16"/>
              </w:rPr>
            </w:pPr>
            <w:r w:rsidRPr="00BA0611">
              <w:rPr>
                <w:rFonts w:cs="Arial"/>
                <w:sz w:val="16"/>
                <w:szCs w:val="16"/>
              </w:rPr>
              <w:t>Netherby condensate</w:t>
            </w:r>
          </w:p>
        </w:tc>
        <w:tc>
          <w:tcPr>
            <w:tcW w:w="1180" w:type="dxa"/>
            <w:shd w:val="clear" w:color="auto" w:fill="F2F2F2"/>
          </w:tcPr>
          <w:p w14:paraId="3EE7B49E" w14:textId="77777777" w:rsidR="006A0C8F" w:rsidRPr="00BA0611" w:rsidRDefault="006A0C8F" w:rsidP="00136A5A">
            <w:pPr>
              <w:pStyle w:val="BodyText"/>
              <w:keepNext/>
              <w:spacing w:before="60" w:after="60"/>
              <w:ind w:left="0"/>
              <w:jc w:val="center"/>
              <w:rPr>
                <w:rFonts w:cs="Arial"/>
                <w:sz w:val="16"/>
                <w:szCs w:val="16"/>
              </w:rPr>
            </w:pPr>
            <w:r w:rsidRPr="00BA0611">
              <w:rPr>
                <w:rFonts w:cs="Arial"/>
                <w:sz w:val="16"/>
                <w:szCs w:val="16"/>
              </w:rPr>
              <w:t>84</w:t>
            </w:r>
          </w:p>
        </w:tc>
        <w:tc>
          <w:tcPr>
            <w:tcW w:w="1179" w:type="dxa"/>
            <w:shd w:val="clear" w:color="auto" w:fill="F2F2F2"/>
          </w:tcPr>
          <w:p w14:paraId="5A08E8B0" w14:textId="77777777" w:rsidR="006A0C8F" w:rsidRPr="00BA0611" w:rsidRDefault="006A0C8F" w:rsidP="00136A5A">
            <w:pPr>
              <w:pStyle w:val="BodyText"/>
              <w:keepNext/>
              <w:spacing w:before="60" w:after="60"/>
              <w:ind w:left="0"/>
              <w:jc w:val="center"/>
              <w:rPr>
                <w:rFonts w:cs="Arial"/>
                <w:sz w:val="16"/>
                <w:szCs w:val="16"/>
              </w:rPr>
            </w:pPr>
            <w:r w:rsidRPr="00BA0611">
              <w:rPr>
                <w:rFonts w:cs="Arial"/>
                <w:sz w:val="16"/>
                <w:szCs w:val="16"/>
              </w:rPr>
              <w:t>14</w:t>
            </w:r>
          </w:p>
        </w:tc>
        <w:tc>
          <w:tcPr>
            <w:tcW w:w="1179" w:type="dxa"/>
            <w:shd w:val="clear" w:color="auto" w:fill="F2F2F2"/>
          </w:tcPr>
          <w:p w14:paraId="22D3993B" w14:textId="77777777" w:rsidR="006A0C8F" w:rsidRPr="00BA0611" w:rsidRDefault="006A0C8F" w:rsidP="00136A5A">
            <w:pPr>
              <w:pStyle w:val="BodyText"/>
              <w:keepNext/>
              <w:spacing w:before="60" w:after="60"/>
              <w:ind w:left="0"/>
              <w:jc w:val="center"/>
              <w:rPr>
                <w:rFonts w:cs="Arial"/>
                <w:sz w:val="16"/>
                <w:szCs w:val="16"/>
              </w:rPr>
            </w:pPr>
            <w:r w:rsidRPr="00BA0611">
              <w:rPr>
                <w:rFonts w:cs="Arial"/>
                <w:sz w:val="16"/>
                <w:szCs w:val="16"/>
              </w:rPr>
              <w:t>2</w:t>
            </w:r>
          </w:p>
        </w:tc>
        <w:tc>
          <w:tcPr>
            <w:tcW w:w="1238" w:type="dxa"/>
            <w:shd w:val="clear" w:color="auto" w:fill="F2F2F2"/>
          </w:tcPr>
          <w:p w14:paraId="2AAA387D" w14:textId="77777777" w:rsidR="006A0C8F" w:rsidRPr="00BA0611" w:rsidRDefault="006A0C8F" w:rsidP="00136A5A">
            <w:pPr>
              <w:pStyle w:val="BodyText"/>
              <w:keepNext/>
              <w:spacing w:before="60" w:after="60"/>
              <w:ind w:left="0"/>
              <w:jc w:val="center"/>
              <w:rPr>
                <w:rFonts w:cs="Arial"/>
                <w:sz w:val="16"/>
                <w:szCs w:val="16"/>
              </w:rPr>
            </w:pPr>
            <w:r w:rsidRPr="00BA0611">
              <w:rPr>
                <w:rFonts w:cs="Arial"/>
                <w:sz w:val="16"/>
                <w:szCs w:val="16"/>
              </w:rPr>
              <w:t>0</w:t>
            </w:r>
          </w:p>
        </w:tc>
        <w:tc>
          <w:tcPr>
            <w:tcW w:w="1148" w:type="dxa"/>
            <w:tcBorders>
              <w:bottom w:val="nil"/>
            </w:tcBorders>
            <w:shd w:val="clear" w:color="auto" w:fill="F2F2F2"/>
          </w:tcPr>
          <w:p w14:paraId="5F45D4E5" w14:textId="77777777" w:rsidR="006A0C8F" w:rsidRPr="00BA0611" w:rsidRDefault="006A0C8F" w:rsidP="00136A5A">
            <w:pPr>
              <w:pStyle w:val="BodyText"/>
              <w:keepNext/>
              <w:spacing w:before="60" w:after="60"/>
              <w:ind w:left="0"/>
              <w:jc w:val="center"/>
              <w:rPr>
                <w:rFonts w:cs="Arial"/>
                <w:sz w:val="16"/>
                <w:szCs w:val="16"/>
              </w:rPr>
            </w:pPr>
            <w:r w:rsidRPr="00BA0611">
              <w:rPr>
                <w:rFonts w:cs="Arial"/>
                <w:sz w:val="16"/>
                <w:szCs w:val="16"/>
              </w:rPr>
              <w:t>774 @ 16 °C</w:t>
            </w:r>
          </w:p>
        </w:tc>
        <w:tc>
          <w:tcPr>
            <w:tcW w:w="1202" w:type="dxa"/>
            <w:tcBorders>
              <w:bottom w:val="nil"/>
            </w:tcBorders>
            <w:shd w:val="clear" w:color="auto" w:fill="F2F2F2"/>
          </w:tcPr>
          <w:p w14:paraId="15054BF5" w14:textId="77777777" w:rsidR="006A0C8F" w:rsidRPr="00BA0611" w:rsidRDefault="006A0C8F" w:rsidP="00136A5A">
            <w:pPr>
              <w:pStyle w:val="BodyText"/>
              <w:keepNext/>
              <w:spacing w:before="60" w:after="60"/>
              <w:ind w:left="0"/>
              <w:jc w:val="center"/>
              <w:rPr>
                <w:rFonts w:cs="Arial"/>
                <w:sz w:val="16"/>
                <w:szCs w:val="16"/>
              </w:rPr>
            </w:pPr>
            <w:r w:rsidRPr="00BA0611">
              <w:rPr>
                <w:rFonts w:cs="Arial"/>
                <w:sz w:val="16"/>
                <w:szCs w:val="16"/>
              </w:rPr>
              <w:t>0.14 @ 25 °C</w:t>
            </w:r>
          </w:p>
        </w:tc>
      </w:tr>
      <w:tr w:rsidR="00FD5486" w:rsidRPr="00BA0611" w14:paraId="26835463" w14:textId="77777777" w:rsidTr="00136A5A">
        <w:tc>
          <w:tcPr>
            <w:tcW w:w="1504" w:type="dxa"/>
            <w:tcBorders>
              <w:top w:val="nil"/>
              <w:left w:val="nil"/>
              <w:bottom w:val="nil"/>
              <w:right w:val="nil"/>
            </w:tcBorders>
            <w:shd w:val="clear" w:color="auto" w:fill="auto"/>
          </w:tcPr>
          <w:p w14:paraId="2FC30BF4" w14:textId="77777777" w:rsidR="00E22012" w:rsidRPr="00BA0611" w:rsidRDefault="00E22012" w:rsidP="00136A5A">
            <w:pPr>
              <w:pStyle w:val="BodyText"/>
              <w:keepNext/>
              <w:spacing w:before="60" w:after="60"/>
              <w:ind w:left="0"/>
              <w:rPr>
                <w:rFonts w:cs="Arial"/>
                <w:sz w:val="16"/>
                <w:szCs w:val="16"/>
              </w:rPr>
            </w:pPr>
          </w:p>
        </w:tc>
        <w:tc>
          <w:tcPr>
            <w:tcW w:w="3538" w:type="dxa"/>
            <w:gridSpan w:val="3"/>
            <w:tcBorders>
              <w:left w:val="nil"/>
            </w:tcBorders>
            <w:shd w:val="clear" w:color="auto" w:fill="auto"/>
          </w:tcPr>
          <w:p w14:paraId="68AE5506" w14:textId="77777777" w:rsidR="00E22012" w:rsidRPr="00BA0611" w:rsidRDefault="00E22012" w:rsidP="00136A5A">
            <w:pPr>
              <w:pStyle w:val="BodyText"/>
              <w:keepNext/>
              <w:spacing w:before="60" w:after="60"/>
              <w:ind w:left="0"/>
              <w:jc w:val="center"/>
              <w:rPr>
                <w:rFonts w:cs="Arial"/>
                <w:sz w:val="16"/>
                <w:szCs w:val="16"/>
              </w:rPr>
            </w:pPr>
            <w:r w:rsidRPr="00BA0611">
              <w:rPr>
                <w:rFonts w:cs="Arial"/>
                <w:sz w:val="16"/>
                <w:szCs w:val="16"/>
              </w:rPr>
              <w:t>Non-persistent</w:t>
            </w:r>
          </w:p>
        </w:tc>
        <w:tc>
          <w:tcPr>
            <w:tcW w:w="1238" w:type="dxa"/>
            <w:tcBorders>
              <w:right w:val="nil"/>
            </w:tcBorders>
            <w:shd w:val="clear" w:color="auto" w:fill="auto"/>
          </w:tcPr>
          <w:p w14:paraId="0300A8AA" w14:textId="77777777" w:rsidR="00E22012" w:rsidRPr="00BA0611" w:rsidRDefault="00E22012" w:rsidP="00136A5A">
            <w:pPr>
              <w:pStyle w:val="BodyText"/>
              <w:keepNext/>
              <w:spacing w:before="60" w:after="60"/>
              <w:ind w:left="0"/>
              <w:rPr>
                <w:rFonts w:cs="Arial"/>
                <w:sz w:val="16"/>
                <w:szCs w:val="16"/>
              </w:rPr>
            </w:pPr>
            <w:r w:rsidRPr="00BA0611">
              <w:rPr>
                <w:rFonts w:cs="Arial"/>
                <w:sz w:val="16"/>
                <w:szCs w:val="16"/>
              </w:rPr>
              <w:t>Persistent</w:t>
            </w:r>
          </w:p>
        </w:tc>
        <w:tc>
          <w:tcPr>
            <w:tcW w:w="1148" w:type="dxa"/>
            <w:tcBorders>
              <w:top w:val="nil"/>
              <w:left w:val="nil"/>
              <w:bottom w:val="nil"/>
              <w:right w:val="nil"/>
            </w:tcBorders>
            <w:shd w:val="clear" w:color="auto" w:fill="auto"/>
          </w:tcPr>
          <w:p w14:paraId="4B53414C" w14:textId="77777777" w:rsidR="00E22012" w:rsidRPr="00BA0611" w:rsidRDefault="00E22012" w:rsidP="00136A5A">
            <w:pPr>
              <w:pStyle w:val="BodyText"/>
              <w:keepNext/>
              <w:spacing w:before="60" w:after="60"/>
              <w:ind w:left="0"/>
              <w:rPr>
                <w:rFonts w:cs="Arial"/>
                <w:sz w:val="16"/>
                <w:szCs w:val="16"/>
              </w:rPr>
            </w:pPr>
          </w:p>
        </w:tc>
        <w:tc>
          <w:tcPr>
            <w:tcW w:w="1202" w:type="dxa"/>
            <w:tcBorders>
              <w:top w:val="nil"/>
              <w:left w:val="nil"/>
              <w:bottom w:val="nil"/>
              <w:right w:val="nil"/>
            </w:tcBorders>
            <w:shd w:val="clear" w:color="auto" w:fill="auto"/>
          </w:tcPr>
          <w:p w14:paraId="53FCDBA6" w14:textId="77777777" w:rsidR="00E22012" w:rsidRPr="00BA0611" w:rsidRDefault="00E22012" w:rsidP="00136A5A">
            <w:pPr>
              <w:pStyle w:val="BodyText"/>
              <w:keepNext/>
              <w:spacing w:before="60" w:after="60"/>
              <w:ind w:left="0"/>
              <w:rPr>
                <w:rFonts w:cs="Arial"/>
                <w:sz w:val="16"/>
                <w:szCs w:val="16"/>
              </w:rPr>
            </w:pPr>
          </w:p>
        </w:tc>
      </w:tr>
    </w:tbl>
    <w:p w14:paraId="17490EB8" w14:textId="77777777" w:rsidR="006C5FE9" w:rsidRPr="00A34758" w:rsidRDefault="006C5FE9" w:rsidP="006C5FE9">
      <w:pPr>
        <w:pStyle w:val="BodyText"/>
        <w:keepNext/>
        <w:rPr>
          <w:szCs w:val="20"/>
        </w:rPr>
      </w:pPr>
    </w:p>
    <w:p w14:paraId="1C188FBE" w14:textId="7A7E1334" w:rsidR="003E3C6E" w:rsidRPr="00A34758" w:rsidRDefault="003E3C6E" w:rsidP="006C5FE9">
      <w:pPr>
        <w:pStyle w:val="BodyText"/>
        <w:keepNext/>
        <w:rPr>
          <w:szCs w:val="20"/>
        </w:rPr>
      </w:pPr>
      <w:r w:rsidRPr="00A34758">
        <w:rPr>
          <w:szCs w:val="20"/>
        </w:rPr>
        <w:t xml:space="preserve">Production from the </w:t>
      </w:r>
      <w:r w:rsidR="00C86D6F">
        <w:rPr>
          <w:szCs w:val="20"/>
        </w:rPr>
        <w:t>CHN</w:t>
      </w:r>
      <w:r w:rsidRPr="00A34758">
        <w:rPr>
          <w:szCs w:val="20"/>
        </w:rPr>
        <w:t xml:space="preserve"> assets varies day-to-day dependent on monthly/daily nominations, however typical daily average gas production is around </w:t>
      </w:r>
      <w:r w:rsidR="007D5F05">
        <w:rPr>
          <w:szCs w:val="20"/>
        </w:rPr>
        <w:t>45</w:t>
      </w:r>
      <w:r w:rsidRPr="00A34758">
        <w:rPr>
          <w:szCs w:val="20"/>
        </w:rPr>
        <w:t xml:space="preserve"> Terajoules (TJ) per day and </w:t>
      </w:r>
      <w:r w:rsidR="000F19AB">
        <w:rPr>
          <w:szCs w:val="20"/>
        </w:rPr>
        <w:t>24</w:t>
      </w:r>
      <w:r w:rsidRPr="00A34758">
        <w:rPr>
          <w:szCs w:val="20"/>
        </w:rPr>
        <w:t xml:space="preserve"> barrels (bbl) of condensate per day.</w:t>
      </w:r>
      <w:r w:rsidRPr="00A34758" w:rsidDel="00CE1A3C">
        <w:rPr>
          <w:szCs w:val="20"/>
        </w:rPr>
        <w:t xml:space="preserve"> </w:t>
      </w:r>
    </w:p>
    <w:p w14:paraId="5231A42D" w14:textId="251FEB7E" w:rsidR="00C40EBB" w:rsidRPr="00C52844" w:rsidRDefault="00585C1D" w:rsidP="00914C00">
      <w:pPr>
        <w:pStyle w:val="Heading3"/>
      </w:pPr>
      <w:bookmarkStart w:id="24" w:name="_Toc346898836"/>
      <w:r>
        <w:t xml:space="preserve">Onshore and </w:t>
      </w:r>
      <w:r w:rsidR="00C80D8A" w:rsidRPr="00C52844">
        <w:t>Subsea Operations</w:t>
      </w:r>
      <w:bookmarkEnd w:id="24"/>
    </w:p>
    <w:p w14:paraId="143BCCD7" w14:textId="77777777" w:rsidR="00562B0D" w:rsidRPr="00A34758" w:rsidRDefault="00562B0D" w:rsidP="00C70FB2">
      <w:pPr>
        <w:pStyle w:val="BodyText"/>
        <w:keepNext/>
        <w:rPr>
          <w:szCs w:val="20"/>
        </w:rPr>
      </w:pPr>
      <w:r w:rsidRPr="00A34758">
        <w:rPr>
          <w:szCs w:val="20"/>
        </w:rPr>
        <w:t xml:space="preserve">While the activities occurring within the Iona Gas Plant are excluded from the scope of this EP, brief details are provided for contextual purposes. </w:t>
      </w:r>
    </w:p>
    <w:p w14:paraId="55742FF8" w14:textId="3D087243" w:rsidR="00C80D8A" w:rsidRDefault="00562B0D" w:rsidP="00C70FB2">
      <w:pPr>
        <w:pStyle w:val="BodyText"/>
        <w:keepNext/>
        <w:rPr>
          <w:szCs w:val="20"/>
        </w:rPr>
      </w:pPr>
      <w:r w:rsidRPr="00A34758">
        <w:rPr>
          <w:szCs w:val="20"/>
        </w:rPr>
        <w:t xml:space="preserve">The Iona Gas Plant receives raw gas from the </w:t>
      </w:r>
      <w:r>
        <w:rPr>
          <w:szCs w:val="20"/>
        </w:rPr>
        <w:t>CHN</w:t>
      </w:r>
      <w:r w:rsidRPr="00A34758">
        <w:rPr>
          <w:szCs w:val="20"/>
        </w:rPr>
        <w:t xml:space="preserve"> fields via a 12-km long onshore pipeline</w:t>
      </w:r>
      <w:r w:rsidR="00304933">
        <w:rPr>
          <w:szCs w:val="20"/>
        </w:rPr>
        <w:t xml:space="preserve"> (PL251)</w:t>
      </w:r>
      <w:r w:rsidRPr="00A34758">
        <w:rPr>
          <w:szCs w:val="20"/>
        </w:rPr>
        <w:t xml:space="preserve">. </w:t>
      </w:r>
      <w:r w:rsidR="00C80D8A" w:rsidRPr="00A34758">
        <w:rPr>
          <w:szCs w:val="20"/>
        </w:rPr>
        <w:t xml:space="preserve">The operation, monitoring and control of the </w:t>
      </w:r>
      <w:r w:rsidR="00A0424B">
        <w:rPr>
          <w:szCs w:val="20"/>
        </w:rPr>
        <w:t>CHN</w:t>
      </w:r>
      <w:r w:rsidR="00C80D8A" w:rsidRPr="00A34758">
        <w:rPr>
          <w:szCs w:val="20"/>
        </w:rPr>
        <w:t xml:space="preserve"> wells are conducted remotely from the Plant through control </w:t>
      </w:r>
      <w:r w:rsidR="00304933">
        <w:rPr>
          <w:szCs w:val="20"/>
        </w:rPr>
        <w:t>via the</w:t>
      </w:r>
      <w:r w:rsidR="00C80D8A" w:rsidRPr="00A34758">
        <w:rPr>
          <w:szCs w:val="20"/>
        </w:rPr>
        <w:t xml:space="preserve"> EHU. All well functions are monitored and controlled from the gas plant control room through a Master Control System (MCS) via a Subsea Control Module (SCM) located at each wellhead. All subsea control systems are electro-hydraulic. The Hydraulic Power Unit (HPU) and the Electrical Power Unit (EPU) at the Iona Gas Plant provide the hydraulic and electric power to the subsea controls. The EHU cable is linked to each wellhead via </w:t>
      </w:r>
      <w:r w:rsidR="00304933">
        <w:rPr>
          <w:szCs w:val="20"/>
        </w:rPr>
        <w:t xml:space="preserve">a </w:t>
      </w:r>
      <w:r w:rsidR="00C80D8A" w:rsidRPr="00A34758">
        <w:rPr>
          <w:szCs w:val="20"/>
        </w:rPr>
        <w:t>subsea Umbilical Termination Assemblies (UTAs) located at each tree take-off point. The connection between the UTAs and the trees is by electro-hydraulic flying leads.</w:t>
      </w:r>
    </w:p>
    <w:p w14:paraId="339CCBF9" w14:textId="2B56FC7B" w:rsidR="008F7B5D" w:rsidRPr="00A34758" w:rsidRDefault="008F7B5D" w:rsidP="00C70FB2">
      <w:pPr>
        <w:pStyle w:val="BodyText"/>
        <w:keepNext/>
        <w:rPr>
          <w:szCs w:val="20"/>
        </w:rPr>
      </w:pPr>
      <w:r>
        <w:rPr>
          <w:szCs w:val="20"/>
        </w:rPr>
        <w:t>Isolation of the pipeline occurs at the offshore wells, the onshore Main-Line Valve (MLV) site and at the inlet to the Iona Gas Plant upstream of the Casino Slug Catcher. Isolation valves are function tested annually, and leak tested as part of any planned shutdown. There are also sub-surface safety and wellhead isolation valves that are function tested and leak tested every 12 months.</w:t>
      </w:r>
    </w:p>
    <w:p w14:paraId="47D7E488" w14:textId="77777777" w:rsidR="00C80D8A" w:rsidRPr="00C80D8A" w:rsidRDefault="00C80D8A" w:rsidP="00914C00">
      <w:pPr>
        <w:pStyle w:val="Heading4"/>
      </w:pPr>
      <w:bookmarkStart w:id="25" w:name="_Toc346898838"/>
      <w:bookmarkStart w:id="26" w:name="_Ref476911088"/>
      <w:r w:rsidRPr="00C80D8A">
        <w:t>Corrosion Control</w:t>
      </w:r>
      <w:bookmarkEnd w:id="25"/>
      <w:bookmarkEnd w:id="26"/>
    </w:p>
    <w:p w14:paraId="40671F48" w14:textId="74E0FE9B" w:rsidR="00C80D8A" w:rsidRPr="00A34758" w:rsidRDefault="00C80D8A" w:rsidP="00C70FB2">
      <w:pPr>
        <w:pStyle w:val="BodyText"/>
        <w:keepNext/>
        <w:rPr>
          <w:szCs w:val="20"/>
        </w:rPr>
      </w:pPr>
      <w:r w:rsidRPr="00A34758">
        <w:rPr>
          <w:szCs w:val="20"/>
        </w:rPr>
        <w:t xml:space="preserve">Corrosion </w:t>
      </w:r>
      <w:r w:rsidR="00A56CAB">
        <w:rPr>
          <w:szCs w:val="20"/>
        </w:rPr>
        <w:t xml:space="preserve">control </w:t>
      </w:r>
      <w:r w:rsidR="00304933">
        <w:rPr>
          <w:szCs w:val="20"/>
        </w:rPr>
        <w:t xml:space="preserve">within the CHN assets </w:t>
      </w:r>
      <w:r w:rsidR="00A56CAB">
        <w:rPr>
          <w:szCs w:val="20"/>
        </w:rPr>
        <w:t xml:space="preserve">is </w:t>
      </w:r>
      <w:r w:rsidR="00304933">
        <w:rPr>
          <w:szCs w:val="20"/>
        </w:rPr>
        <w:t xml:space="preserve">currently </w:t>
      </w:r>
      <w:r w:rsidR="00A56CAB">
        <w:rPr>
          <w:szCs w:val="20"/>
        </w:rPr>
        <w:t>achieved through pH adjustment of the</w:t>
      </w:r>
      <w:r w:rsidRPr="00A34758">
        <w:rPr>
          <w:szCs w:val="20"/>
        </w:rPr>
        <w:t xml:space="preserve"> MEG system</w:t>
      </w:r>
      <w:r w:rsidR="00A56CAB">
        <w:rPr>
          <w:szCs w:val="20"/>
        </w:rPr>
        <w:t xml:space="preserve"> by injection of sodium hydroxide (NaOH)</w:t>
      </w:r>
      <w:r w:rsidR="00304933">
        <w:rPr>
          <w:szCs w:val="20"/>
        </w:rPr>
        <w:t xml:space="preserve"> at the Iona Gas Plant</w:t>
      </w:r>
      <w:r w:rsidR="00A56CAB">
        <w:rPr>
          <w:szCs w:val="20"/>
        </w:rPr>
        <w:t>. As above MEG has an ‘E’ non-CHARM OCNS rating</w:t>
      </w:r>
      <w:r w:rsidRPr="00A34758">
        <w:rPr>
          <w:szCs w:val="20"/>
        </w:rPr>
        <w:t>.</w:t>
      </w:r>
    </w:p>
    <w:p w14:paraId="111231EA" w14:textId="51A24E1B" w:rsidR="00241247" w:rsidRDefault="00241247" w:rsidP="00241247">
      <w:pPr>
        <w:pStyle w:val="Heading3"/>
      </w:pPr>
      <w:bookmarkStart w:id="27" w:name="_Ref476493526"/>
      <w:r>
        <w:t>Infrastructure Integrity</w:t>
      </w:r>
      <w:r w:rsidR="004441EE">
        <w:t xml:space="preserve"> Management</w:t>
      </w:r>
      <w:bookmarkEnd w:id="27"/>
    </w:p>
    <w:p w14:paraId="60DB65EE" w14:textId="240DE638" w:rsidR="00241247" w:rsidRDefault="00241247" w:rsidP="00C70FB2">
      <w:pPr>
        <w:pStyle w:val="BodyText"/>
        <w:keepNext/>
        <w:rPr>
          <w:szCs w:val="20"/>
        </w:rPr>
      </w:pPr>
      <w:r>
        <w:rPr>
          <w:szCs w:val="20"/>
        </w:rPr>
        <w:t xml:space="preserve">The CHN Integrity Management Plan (IMP) </w:t>
      </w:r>
      <w:r w:rsidR="004441EE">
        <w:rPr>
          <w:szCs w:val="20"/>
        </w:rPr>
        <w:t>(</w:t>
      </w:r>
      <w:r w:rsidR="0011784A">
        <w:rPr>
          <w:szCs w:val="20"/>
        </w:rPr>
        <w:t>CHN-PI-IMP-0001</w:t>
      </w:r>
      <w:r w:rsidR="004441EE">
        <w:rPr>
          <w:szCs w:val="20"/>
        </w:rPr>
        <w:t xml:space="preserve">) </w:t>
      </w:r>
      <w:r>
        <w:rPr>
          <w:szCs w:val="20"/>
        </w:rPr>
        <w:t xml:space="preserve">covers the management, monitoring and inspection activities for the CHN assets. The IMP uses Risk Directed Asset management (RDAM) </w:t>
      </w:r>
      <w:r w:rsidR="004441EE">
        <w:rPr>
          <w:szCs w:val="20"/>
        </w:rPr>
        <w:t xml:space="preserve">techniques which provides </w:t>
      </w:r>
      <w:r w:rsidR="00A9523A">
        <w:rPr>
          <w:szCs w:val="20"/>
        </w:rPr>
        <w:t>a methodology for determining</w:t>
      </w:r>
      <w:r w:rsidR="000F19AB">
        <w:rPr>
          <w:szCs w:val="20"/>
        </w:rPr>
        <w:t xml:space="preserve"> </w:t>
      </w:r>
      <w:r w:rsidR="004441EE" w:rsidRPr="00C70FB2">
        <w:rPr>
          <w:szCs w:val="20"/>
        </w:rPr>
        <w:t xml:space="preserve">risk levels, as a result of a loss of integrity, are identified against the modes of degradation / failure </w:t>
      </w:r>
      <w:r w:rsidR="00A9523A" w:rsidRPr="00C70FB2">
        <w:rPr>
          <w:szCs w:val="20"/>
        </w:rPr>
        <w:t xml:space="preserve">together </w:t>
      </w:r>
      <w:r w:rsidR="00A9523A" w:rsidRPr="00C70FB2">
        <w:rPr>
          <w:szCs w:val="20"/>
        </w:rPr>
        <w:lastRenderedPageBreak/>
        <w:t xml:space="preserve">with the </w:t>
      </w:r>
      <w:r w:rsidR="004441EE" w:rsidRPr="00C70FB2">
        <w:rPr>
          <w:szCs w:val="20"/>
        </w:rPr>
        <w:t>likelihood of such a failure mode occurring.</w:t>
      </w:r>
      <w:r>
        <w:rPr>
          <w:szCs w:val="20"/>
        </w:rPr>
        <w:t xml:space="preserve"> </w:t>
      </w:r>
      <w:r w:rsidR="004441EE">
        <w:rPr>
          <w:szCs w:val="20"/>
        </w:rPr>
        <w:t>Items monitored as part of the CHN IMP include:</w:t>
      </w:r>
    </w:p>
    <w:p w14:paraId="6E389659" w14:textId="0E69AC66" w:rsidR="004441EE" w:rsidRPr="00ED0EDD" w:rsidRDefault="004441EE" w:rsidP="0036080A">
      <w:pPr>
        <w:pStyle w:val="BodyText"/>
        <w:keepNext/>
        <w:numPr>
          <w:ilvl w:val="0"/>
          <w:numId w:val="25"/>
        </w:numPr>
        <w:rPr>
          <w:szCs w:val="20"/>
        </w:rPr>
      </w:pPr>
      <w:r w:rsidRPr="00ED0EDD">
        <w:rPr>
          <w:szCs w:val="20"/>
        </w:rPr>
        <w:t>Water samples and analyses</w:t>
      </w:r>
    </w:p>
    <w:p w14:paraId="49699CDA" w14:textId="0D2FBDDA" w:rsidR="004441EE" w:rsidRPr="00ED0EDD" w:rsidRDefault="004441EE" w:rsidP="0036080A">
      <w:pPr>
        <w:pStyle w:val="BodyText"/>
        <w:keepNext/>
        <w:numPr>
          <w:ilvl w:val="0"/>
          <w:numId w:val="25"/>
        </w:numPr>
        <w:rPr>
          <w:szCs w:val="20"/>
        </w:rPr>
      </w:pPr>
      <w:r w:rsidRPr="00ED0EDD">
        <w:rPr>
          <w:rFonts w:eastAsia="Arial" w:cs="Arial"/>
          <w:kern w:val="0"/>
          <w:szCs w:val="22"/>
          <w:lang w:val="en-US" w:eastAsia="en-US"/>
        </w:rPr>
        <w:t>Hydraulic Fluid Pressure/Consumptio</w:t>
      </w:r>
      <w:r w:rsidR="00ED0EDD" w:rsidRPr="00ED0EDD">
        <w:rPr>
          <w:rFonts w:eastAsia="Arial" w:cs="Arial"/>
          <w:kern w:val="0"/>
          <w:szCs w:val="22"/>
          <w:lang w:val="en-US" w:eastAsia="en-US"/>
        </w:rPr>
        <w:t>n monitoring</w:t>
      </w:r>
    </w:p>
    <w:p w14:paraId="089A633B" w14:textId="59E75F09" w:rsidR="004441EE" w:rsidRPr="00ED0EDD" w:rsidRDefault="004441EE" w:rsidP="0036080A">
      <w:pPr>
        <w:pStyle w:val="BodyText"/>
        <w:keepNext/>
        <w:numPr>
          <w:ilvl w:val="0"/>
          <w:numId w:val="25"/>
        </w:numPr>
        <w:rPr>
          <w:szCs w:val="20"/>
        </w:rPr>
      </w:pPr>
      <w:r w:rsidRPr="00ED0EDD">
        <w:rPr>
          <w:rFonts w:eastAsia="Arial" w:cs="Arial"/>
          <w:kern w:val="0"/>
          <w:szCs w:val="22"/>
          <w:lang w:val="en-US" w:eastAsia="en-US"/>
        </w:rPr>
        <w:t>Internal Corrosion Direct Assessment (ICDA</w:t>
      </w:r>
      <w:r w:rsidR="00ED0EDD" w:rsidRPr="00ED0EDD">
        <w:rPr>
          <w:rFonts w:eastAsia="Arial" w:cs="Arial"/>
          <w:kern w:val="0"/>
          <w:szCs w:val="22"/>
          <w:lang w:val="en-US" w:eastAsia="en-US"/>
        </w:rPr>
        <w:t>)</w:t>
      </w:r>
    </w:p>
    <w:p w14:paraId="1E778410" w14:textId="1BD635E9" w:rsidR="004441EE" w:rsidRPr="00ED0EDD" w:rsidRDefault="00ED0EDD" w:rsidP="0036080A">
      <w:pPr>
        <w:pStyle w:val="BodyText"/>
        <w:keepNext/>
        <w:numPr>
          <w:ilvl w:val="0"/>
          <w:numId w:val="25"/>
        </w:numPr>
        <w:rPr>
          <w:szCs w:val="20"/>
        </w:rPr>
      </w:pPr>
      <w:r w:rsidRPr="00ED0EDD">
        <w:rPr>
          <w:rFonts w:eastAsia="Arial" w:cs="Arial"/>
          <w:kern w:val="0"/>
          <w:szCs w:val="22"/>
          <w:lang w:val="en-US" w:eastAsia="en-US"/>
        </w:rPr>
        <w:t>In-line Inspections (ILI)</w:t>
      </w:r>
    </w:p>
    <w:p w14:paraId="0618AF3B" w14:textId="70D00741" w:rsidR="004441EE" w:rsidRPr="00ED0EDD" w:rsidRDefault="004441EE" w:rsidP="0036080A">
      <w:pPr>
        <w:pStyle w:val="BodyText"/>
        <w:keepNext/>
        <w:numPr>
          <w:ilvl w:val="0"/>
          <w:numId w:val="25"/>
        </w:numPr>
        <w:rPr>
          <w:szCs w:val="20"/>
        </w:rPr>
      </w:pPr>
      <w:r w:rsidRPr="00ED0EDD">
        <w:rPr>
          <w:rFonts w:eastAsia="Arial" w:cs="Arial"/>
          <w:kern w:val="0"/>
          <w:szCs w:val="22"/>
          <w:lang w:val="en-US" w:eastAsia="en-US"/>
        </w:rPr>
        <w:t>Pipeline ROV surveys</w:t>
      </w:r>
    </w:p>
    <w:p w14:paraId="550EE013" w14:textId="7B555E4E" w:rsidR="000209AF" w:rsidRPr="00C70FB2" w:rsidRDefault="0011784A" w:rsidP="00C70FB2">
      <w:pPr>
        <w:pStyle w:val="BodyText"/>
        <w:keepNext/>
        <w:rPr>
          <w:szCs w:val="20"/>
        </w:rPr>
      </w:pPr>
      <w:r w:rsidRPr="00C70FB2">
        <w:rPr>
          <w:szCs w:val="20"/>
        </w:rPr>
        <w:t>External corrosion in the HDD section is monitored as part of the routine inspection of the HDD shore crossing. This includes checking CP potentials at the onshore end every 6 mont</w:t>
      </w:r>
      <w:r w:rsidR="00180BCF" w:rsidRPr="00C70FB2">
        <w:rPr>
          <w:szCs w:val="20"/>
        </w:rPr>
        <w:t>hs during the onshore CP survey</w:t>
      </w:r>
      <w:r w:rsidRPr="00C70FB2">
        <w:rPr>
          <w:szCs w:val="20"/>
        </w:rPr>
        <w:t xml:space="preserve"> and at the offshore end during scheduled offshore ROV surveys. </w:t>
      </w:r>
    </w:p>
    <w:p w14:paraId="06C2C777" w14:textId="684DF7C9" w:rsidR="008104A3" w:rsidRDefault="008104A3" w:rsidP="004441EE">
      <w:pPr>
        <w:pStyle w:val="Heading3"/>
      </w:pPr>
      <w:r>
        <w:t xml:space="preserve">Maintenance </w:t>
      </w:r>
      <w:r w:rsidR="00066F0D">
        <w:t xml:space="preserve">and Repair </w:t>
      </w:r>
      <w:r>
        <w:t>Activities</w:t>
      </w:r>
    </w:p>
    <w:p w14:paraId="796AE23D" w14:textId="49FF80BB" w:rsidR="008104A3" w:rsidRPr="00A34758" w:rsidRDefault="008104A3" w:rsidP="00C70FB2">
      <w:pPr>
        <w:pStyle w:val="BodyText"/>
        <w:keepNext/>
        <w:rPr>
          <w:szCs w:val="20"/>
        </w:rPr>
      </w:pPr>
      <w:r w:rsidRPr="00A34758">
        <w:rPr>
          <w:szCs w:val="20"/>
        </w:rPr>
        <w:t xml:space="preserve">The following </w:t>
      </w:r>
      <w:r w:rsidR="009D3AB0" w:rsidRPr="00A34758">
        <w:rPr>
          <w:szCs w:val="20"/>
        </w:rPr>
        <w:t xml:space="preserve">inspection, maintenance and repair (IMR) </w:t>
      </w:r>
      <w:r w:rsidRPr="00A34758">
        <w:rPr>
          <w:szCs w:val="20"/>
        </w:rPr>
        <w:t xml:space="preserve">activities are undertaken or may be undertaken on the </w:t>
      </w:r>
      <w:r w:rsidR="00C86D6F">
        <w:rPr>
          <w:szCs w:val="20"/>
        </w:rPr>
        <w:t>CHN</w:t>
      </w:r>
      <w:r w:rsidR="009D3AB0" w:rsidRPr="00A34758">
        <w:rPr>
          <w:szCs w:val="20"/>
        </w:rPr>
        <w:t xml:space="preserve"> </w:t>
      </w:r>
      <w:r w:rsidRPr="00A34758">
        <w:rPr>
          <w:szCs w:val="20"/>
        </w:rPr>
        <w:t>asset</w:t>
      </w:r>
      <w:r w:rsidR="009D3AB0" w:rsidRPr="00A34758">
        <w:rPr>
          <w:szCs w:val="20"/>
        </w:rPr>
        <w:t>s</w:t>
      </w:r>
      <w:r w:rsidRPr="00A34758">
        <w:rPr>
          <w:szCs w:val="20"/>
        </w:rPr>
        <w:t>:</w:t>
      </w:r>
    </w:p>
    <w:p w14:paraId="14763F57" w14:textId="74A3AAF7" w:rsidR="008104A3" w:rsidRPr="00816997" w:rsidRDefault="008104A3" w:rsidP="0036080A">
      <w:pPr>
        <w:pStyle w:val="BodyText"/>
        <w:keepNext/>
        <w:numPr>
          <w:ilvl w:val="0"/>
          <w:numId w:val="25"/>
        </w:numPr>
        <w:rPr>
          <w:szCs w:val="20"/>
        </w:rPr>
      </w:pPr>
      <w:r w:rsidRPr="00816997">
        <w:rPr>
          <w:szCs w:val="20"/>
        </w:rPr>
        <w:t>Inline inspections (ILI) of the offshore pipelines</w:t>
      </w:r>
      <w:r w:rsidR="00066F0D" w:rsidRPr="00816997">
        <w:rPr>
          <w:szCs w:val="20"/>
        </w:rPr>
        <w:t xml:space="preserve"> (onshore launch/receipt only</w:t>
      </w:r>
      <w:r w:rsidR="00BC7AEE" w:rsidRPr="00816997">
        <w:rPr>
          <w:szCs w:val="20"/>
        </w:rPr>
        <w:t xml:space="preserve"> for HDD section</w:t>
      </w:r>
      <w:r w:rsidR="00066F0D" w:rsidRPr="00816997">
        <w:rPr>
          <w:szCs w:val="20"/>
        </w:rPr>
        <w:t>);</w:t>
      </w:r>
    </w:p>
    <w:p w14:paraId="1768A5C7" w14:textId="77EEE522" w:rsidR="008104A3" w:rsidRPr="00816997" w:rsidRDefault="008104A3" w:rsidP="0036080A">
      <w:pPr>
        <w:pStyle w:val="BodyText"/>
        <w:keepNext/>
        <w:numPr>
          <w:ilvl w:val="0"/>
          <w:numId w:val="25"/>
        </w:numPr>
        <w:rPr>
          <w:szCs w:val="20"/>
        </w:rPr>
      </w:pPr>
      <w:r w:rsidRPr="00816997">
        <w:rPr>
          <w:szCs w:val="20"/>
        </w:rPr>
        <w:t xml:space="preserve">Inspection and repair work using Remote Operated Vehicle (ROV), </w:t>
      </w:r>
      <w:r w:rsidR="00962337" w:rsidRPr="00816997">
        <w:rPr>
          <w:szCs w:val="20"/>
        </w:rPr>
        <w:t xml:space="preserve">Side Scan Sonars (SSS), </w:t>
      </w:r>
      <w:r w:rsidRPr="00816997">
        <w:rPr>
          <w:szCs w:val="20"/>
        </w:rPr>
        <w:t xml:space="preserve">Field Support Vessels (FSV) and/or diving from a Dive Support Vessel (DSV), such as: </w:t>
      </w:r>
    </w:p>
    <w:p w14:paraId="24AC8D79" w14:textId="18EB06F7" w:rsidR="008104A3" w:rsidRPr="00816997" w:rsidRDefault="008104A3" w:rsidP="0036080A">
      <w:pPr>
        <w:pStyle w:val="BodyText"/>
        <w:keepNext/>
        <w:numPr>
          <w:ilvl w:val="0"/>
          <w:numId w:val="25"/>
        </w:numPr>
        <w:rPr>
          <w:szCs w:val="20"/>
        </w:rPr>
      </w:pPr>
      <w:r w:rsidRPr="00816997">
        <w:rPr>
          <w:szCs w:val="20"/>
        </w:rPr>
        <w:t xml:space="preserve">Periodic </w:t>
      </w:r>
      <w:r w:rsidR="00066F0D" w:rsidRPr="00816997">
        <w:rPr>
          <w:szCs w:val="20"/>
        </w:rPr>
        <w:t xml:space="preserve">general </w:t>
      </w:r>
      <w:r w:rsidRPr="00816997">
        <w:rPr>
          <w:szCs w:val="20"/>
        </w:rPr>
        <w:t xml:space="preserve">visual </w:t>
      </w:r>
      <w:r w:rsidR="00066F0D" w:rsidRPr="00816997">
        <w:rPr>
          <w:szCs w:val="20"/>
        </w:rPr>
        <w:t xml:space="preserve">inspection (GVI) </w:t>
      </w:r>
      <w:r w:rsidRPr="00816997">
        <w:rPr>
          <w:szCs w:val="20"/>
        </w:rPr>
        <w:t>survey</w:t>
      </w:r>
      <w:r w:rsidR="00066F0D" w:rsidRPr="00816997">
        <w:rPr>
          <w:szCs w:val="20"/>
        </w:rPr>
        <w:t>s</w:t>
      </w:r>
      <w:r w:rsidRPr="00816997">
        <w:rPr>
          <w:szCs w:val="20"/>
        </w:rPr>
        <w:t xml:space="preserve"> to assess the condition of the pipeline, umbilic</w:t>
      </w:r>
      <w:r w:rsidR="00FA1746" w:rsidRPr="00816997">
        <w:rPr>
          <w:szCs w:val="20"/>
        </w:rPr>
        <w:t>al and wellheads</w:t>
      </w:r>
      <w:r w:rsidR="00066F0D" w:rsidRPr="00816997">
        <w:rPr>
          <w:szCs w:val="20"/>
        </w:rPr>
        <w:t xml:space="preserve"> undertaken by ROV</w:t>
      </w:r>
      <w:r w:rsidR="00FA1746" w:rsidRPr="00816997">
        <w:rPr>
          <w:szCs w:val="20"/>
        </w:rPr>
        <w:t>;</w:t>
      </w:r>
    </w:p>
    <w:p w14:paraId="0ABC2E0E" w14:textId="627E0DF9" w:rsidR="008104A3" w:rsidRPr="00816997" w:rsidRDefault="008104A3" w:rsidP="0036080A">
      <w:pPr>
        <w:pStyle w:val="BodyText"/>
        <w:keepNext/>
        <w:numPr>
          <w:ilvl w:val="0"/>
          <w:numId w:val="25"/>
        </w:numPr>
        <w:rPr>
          <w:szCs w:val="20"/>
        </w:rPr>
      </w:pPr>
      <w:r w:rsidRPr="00816997">
        <w:rPr>
          <w:szCs w:val="20"/>
        </w:rPr>
        <w:t>Non-destructive testing (NDT) of the offshore pipeline</w:t>
      </w:r>
      <w:r w:rsidR="00066F0D" w:rsidRPr="00816997">
        <w:rPr>
          <w:szCs w:val="20"/>
        </w:rPr>
        <w:t xml:space="preserve"> typically undertaken by ROV</w:t>
      </w:r>
      <w:r w:rsidR="00FA1746" w:rsidRPr="00816997">
        <w:rPr>
          <w:szCs w:val="20"/>
        </w:rPr>
        <w:t>;</w:t>
      </w:r>
    </w:p>
    <w:p w14:paraId="703F936B" w14:textId="30F06DAD" w:rsidR="008104A3" w:rsidRPr="00816997" w:rsidRDefault="00FA1746" w:rsidP="0036080A">
      <w:pPr>
        <w:pStyle w:val="BodyText"/>
        <w:keepNext/>
        <w:numPr>
          <w:ilvl w:val="0"/>
          <w:numId w:val="25"/>
        </w:numPr>
        <w:rPr>
          <w:szCs w:val="20"/>
        </w:rPr>
      </w:pPr>
      <w:r w:rsidRPr="00816997">
        <w:rPr>
          <w:szCs w:val="20"/>
        </w:rPr>
        <w:t>Pipeline span</w:t>
      </w:r>
      <w:r w:rsidR="00066F0D" w:rsidRPr="00816997">
        <w:rPr>
          <w:szCs w:val="20"/>
        </w:rPr>
        <w:t xml:space="preserve">/structure </w:t>
      </w:r>
      <w:r w:rsidR="00E65D94" w:rsidRPr="00816997">
        <w:rPr>
          <w:szCs w:val="20"/>
        </w:rPr>
        <w:t xml:space="preserve">(e.g. PLEM, UTAs) </w:t>
      </w:r>
      <w:r w:rsidR="00066F0D" w:rsidRPr="00816997">
        <w:rPr>
          <w:szCs w:val="20"/>
        </w:rPr>
        <w:t>scour</w:t>
      </w:r>
      <w:r w:rsidRPr="00816997">
        <w:rPr>
          <w:szCs w:val="20"/>
        </w:rPr>
        <w:t xml:space="preserve"> rectification;</w:t>
      </w:r>
    </w:p>
    <w:p w14:paraId="520762E3" w14:textId="77777777" w:rsidR="008104A3" w:rsidRPr="00816997" w:rsidRDefault="00FA1746" w:rsidP="0036080A">
      <w:pPr>
        <w:pStyle w:val="BodyText"/>
        <w:keepNext/>
        <w:numPr>
          <w:ilvl w:val="0"/>
          <w:numId w:val="25"/>
        </w:numPr>
        <w:rPr>
          <w:szCs w:val="20"/>
        </w:rPr>
      </w:pPr>
      <w:r w:rsidRPr="00816997">
        <w:rPr>
          <w:szCs w:val="20"/>
        </w:rPr>
        <w:t>Marine growth removal;</w:t>
      </w:r>
    </w:p>
    <w:p w14:paraId="0069716A" w14:textId="77777777" w:rsidR="008104A3" w:rsidRPr="00816997" w:rsidRDefault="008104A3" w:rsidP="0036080A">
      <w:pPr>
        <w:pStyle w:val="BodyText"/>
        <w:keepNext/>
        <w:numPr>
          <w:ilvl w:val="0"/>
          <w:numId w:val="25"/>
        </w:numPr>
        <w:rPr>
          <w:szCs w:val="20"/>
        </w:rPr>
      </w:pPr>
      <w:r w:rsidRPr="00816997">
        <w:rPr>
          <w:szCs w:val="20"/>
        </w:rPr>
        <w:t>Rectification of an electrical or hydraulic fault associated with the EHU and associated connected equipment</w:t>
      </w:r>
      <w:r w:rsidR="00FA1746" w:rsidRPr="00816997">
        <w:rPr>
          <w:szCs w:val="20"/>
        </w:rPr>
        <w:t>;</w:t>
      </w:r>
    </w:p>
    <w:p w14:paraId="2D598A2E" w14:textId="4FB31EFD" w:rsidR="008104A3" w:rsidRPr="00816997" w:rsidRDefault="008104A3" w:rsidP="0036080A">
      <w:pPr>
        <w:pStyle w:val="BodyText"/>
        <w:keepNext/>
        <w:numPr>
          <w:ilvl w:val="0"/>
          <w:numId w:val="25"/>
        </w:numPr>
        <w:rPr>
          <w:szCs w:val="20"/>
        </w:rPr>
      </w:pPr>
      <w:r w:rsidRPr="00816997">
        <w:rPr>
          <w:szCs w:val="20"/>
        </w:rPr>
        <w:t xml:space="preserve">Replacement and repairs of </w:t>
      </w:r>
      <w:r w:rsidR="00066F0D" w:rsidRPr="00816997">
        <w:rPr>
          <w:szCs w:val="20"/>
        </w:rPr>
        <w:t xml:space="preserve">depleted or </w:t>
      </w:r>
      <w:r w:rsidRPr="00816997">
        <w:rPr>
          <w:szCs w:val="20"/>
        </w:rPr>
        <w:t>damaged cathodic protect</w:t>
      </w:r>
      <w:r w:rsidR="00066F0D" w:rsidRPr="00816997">
        <w:rPr>
          <w:szCs w:val="20"/>
        </w:rPr>
        <w:t>ion anodes on an as-needs basis;</w:t>
      </w:r>
    </w:p>
    <w:p w14:paraId="5AECD915" w14:textId="065936CB" w:rsidR="00066F0D" w:rsidRPr="00816997" w:rsidRDefault="00066F0D" w:rsidP="0036080A">
      <w:pPr>
        <w:pStyle w:val="BodyText"/>
        <w:keepNext/>
        <w:numPr>
          <w:ilvl w:val="0"/>
          <w:numId w:val="25"/>
        </w:numPr>
        <w:rPr>
          <w:szCs w:val="20"/>
        </w:rPr>
      </w:pPr>
      <w:r w:rsidRPr="00816997">
        <w:rPr>
          <w:szCs w:val="20"/>
        </w:rPr>
        <w:t>Pipeline repair which may, depending upon the damage the pipeline has sustained, include:</w:t>
      </w:r>
    </w:p>
    <w:p w14:paraId="39382EDD" w14:textId="3B228EA2" w:rsidR="00066F0D" w:rsidRPr="00816997" w:rsidRDefault="00066F0D" w:rsidP="0036080A">
      <w:pPr>
        <w:pStyle w:val="BodyText"/>
        <w:keepNext/>
        <w:numPr>
          <w:ilvl w:val="1"/>
          <w:numId w:val="25"/>
        </w:numPr>
        <w:rPr>
          <w:szCs w:val="20"/>
        </w:rPr>
      </w:pPr>
      <w:r w:rsidRPr="00816997">
        <w:rPr>
          <w:szCs w:val="20"/>
        </w:rPr>
        <w:t>Composite wrap application</w:t>
      </w:r>
    </w:p>
    <w:p w14:paraId="2797B8F4" w14:textId="7C42844E" w:rsidR="00066F0D" w:rsidRPr="00816997" w:rsidRDefault="00066F0D" w:rsidP="0036080A">
      <w:pPr>
        <w:pStyle w:val="BodyText"/>
        <w:keepNext/>
        <w:numPr>
          <w:ilvl w:val="1"/>
          <w:numId w:val="25"/>
        </w:numPr>
        <w:rPr>
          <w:szCs w:val="20"/>
        </w:rPr>
      </w:pPr>
      <w:r w:rsidRPr="00816997">
        <w:rPr>
          <w:szCs w:val="20"/>
        </w:rPr>
        <w:t>Bolted clam</w:t>
      </w:r>
      <w:r w:rsidR="00E65D94" w:rsidRPr="00816997">
        <w:rPr>
          <w:szCs w:val="20"/>
        </w:rPr>
        <w:t>ps</w:t>
      </w:r>
      <w:r w:rsidR="00ED0EDD" w:rsidRPr="00816997">
        <w:rPr>
          <w:szCs w:val="20"/>
        </w:rPr>
        <w:t xml:space="preserve"> (both grouted and ungrouted)</w:t>
      </w:r>
      <w:r w:rsidR="00E65D94" w:rsidRPr="00816997">
        <w:rPr>
          <w:szCs w:val="20"/>
        </w:rPr>
        <w:t xml:space="preserve"> </w:t>
      </w:r>
    </w:p>
    <w:p w14:paraId="2F849FDC" w14:textId="24B0334F" w:rsidR="00066F0D" w:rsidRPr="00816997" w:rsidRDefault="00066F0D" w:rsidP="0036080A">
      <w:pPr>
        <w:pStyle w:val="BodyText"/>
        <w:keepNext/>
        <w:numPr>
          <w:ilvl w:val="1"/>
          <w:numId w:val="25"/>
        </w:numPr>
        <w:rPr>
          <w:szCs w:val="20"/>
        </w:rPr>
      </w:pPr>
      <w:r w:rsidRPr="00816997">
        <w:rPr>
          <w:szCs w:val="20"/>
        </w:rPr>
        <w:t>Pipeline cut-out and replacement by welded connection</w:t>
      </w:r>
    </w:p>
    <w:p w14:paraId="72BD7664" w14:textId="2A0EC3E6" w:rsidR="0032471D" w:rsidRPr="00816997" w:rsidRDefault="00066F0D" w:rsidP="0036080A">
      <w:pPr>
        <w:pStyle w:val="BodyText"/>
        <w:keepNext/>
        <w:numPr>
          <w:ilvl w:val="1"/>
          <w:numId w:val="25"/>
        </w:numPr>
        <w:rPr>
          <w:szCs w:val="20"/>
        </w:rPr>
      </w:pPr>
      <w:r w:rsidRPr="00816997">
        <w:rPr>
          <w:szCs w:val="20"/>
        </w:rPr>
        <w:t>Pipe cut-out and replacement by mechanical connector</w:t>
      </w:r>
      <w:r w:rsidR="00E40BD5" w:rsidRPr="00816997">
        <w:rPr>
          <w:szCs w:val="20"/>
        </w:rPr>
        <w:t xml:space="preserve"> </w:t>
      </w:r>
    </w:p>
    <w:p w14:paraId="5B51546C" w14:textId="6E45E7AF" w:rsidR="009E17B4" w:rsidRDefault="009E17B4" w:rsidP="00083759">
      <w:pPr>
        <w:pStyle w:val="BodyText"/>
        <w:ind w:left="1701"/>
      </w:pPr>
      <w:r>
        <w:t>All chemicals utilised in pipeline repair will meet the requirements of the C</w:t>
      </w:r>
      <w:r w:rsidR="001E05AC">
        <w:t>h</w:t>
      </w:r>
      <w:r>
        <w:t>emical Selection</w:t>
      </w:r>
      <w:r w:rsidR="001E05AC">
        <w:t>, Management and Dangerous Goods Risk Control Practice (COE-MS-RCP-0049).</w:t>
      </w:r>
    </w:p>
    <w:p w14:paraId="010C8123" w14:textId="77777777" w:rsidR="00BF56E2" w:rsidRPr="00C70FB2" w:rsidRDefault="00BF56E2" w:rsidP="00BF56E2">
      <w:pPr>
        <w:pStyle w:val="BodyText"/>
        <w:keepNext/>
        <w:rPr>
          <w:szCs w:val="20"/>
        </w:rPr>
      </w:pPr>
      <w:r w:rsidRPr="00C70FB2">
        <w:rPr>
          <w:szCs w:val="20"/>
        </w:rPr>
        <w:t xml:space="preserve">All maintenance activities are expected to be of short duration, lasting from 2-7 days dependent on activity type and weather conditions. </w:t>
      </w:r>
    </w:p>
    <w:p w14:paraId="0F44C7AB" w14:textId="35E47111" w:rsidR="00BF56E2" w:rsidRDefault="00BF56E2" w:rsidP="00083759">
      <w:pPr>
        <w:pStyle w:val="BodyText"/>
        <w:ind w:left="1701"/>
      </w:pPr>
    </w:p>
    <w:p w14:paraId="235FB075" w14:textId="33B7F34B" w:rsidR="00A34758" w:rsidRDefault="008104A3" w:rsidP="00686792">
      <w:pPr>
        <w:pStyle w:val="Heading3"/>
      </w:pPr>
      <w:bookmarkStart w:id="28" w:name="_Toc354313692"/>
      <w:bookmarkStart w:id="29" w:name="_Toc346898844"/>
      <w:r w:rsidRPr="00544C5F">
        <w:lastRenderedPageBreak/>
        <w:t>Inline Inspections</w:t>
      </w:r>
      <w:r>
        <w:t xml:space="preserve"> (Pigging)</w:t>
      </w:r>
      <w:bookmarkEnd w:id="28"/>
      <w:bookmarkEnd w:id="29"/>
    </w:p>
    <w:p w14:paraId="73C808F4" w14:textId="15AC0E8A" w:rsidR="003F5CBB" w:rsidRPr="00C70FB2" w:rsidRDefault="003F5CBB" w:rsidP="00C70FB2">
      <w:pPr>
        <w:pStyle w:val="BodyText"/>
        <w:keepNext/>
        <w:rPr>
          <w:szCs w:val="20"/>
        </w:rPr>
      </w:pPr>
      <w:r w:rsidRPr="00C70FB2">
        <w:rPr>
          <w:szCs w:val="20"/>
        </w:rPr>
        <w:t xml:space="preserve">The </w:t>
      </w:r>
      <w:r w:rsidR="0011784A" w:rsidRPr="00C70FB2">
        <w:rPr>
          <w:szCs w:val="20"/>
        </w:rPr>
        <w:t>CHN</w:t>
      </w:r>
      <w:r w:rsidRPr="00C70FB2">
        <w:rPr>
          <w:szCs w:val="20"/>
        </w:rPr>
        <w:t xml:space="preserve"> pipeline undergoes in-line inspections by launching and retrieving a bi-directional </w:t>
      </w:r>
      <w:r w:rsidR="00FD34CF" w:rsidRPr="00C70FB2">
        <w:rPr>
          <w:szCs w:val="20"/>
        </w:rPr>
        <w:t xml:space="preserve">pig </w:t>
      </w:r>
      <w:r w:rsidRPr="00C70FB2">
        <w:rPr>
          <w:szCs w:val="20"/>
        </w:rPr>
        <w:t>from the MLV station onshore</w:t>
      </w:r>
      <w:r w:rsidR="0011784A" w:rsidRPr="00C70FB2">
        <w:rPr>
          <w:szCs w:val="20"/>
        </w:rPr>
        <w:t xml:space="preserve"> primarily to establish the integrity of the HDD section of VIC/PL37(v). </w:t>
      </w:r>
    </w:p>
    <w:p w14:paraId="31AC44B6" w14:textId="54506C7B" w:rsidR="006A5F63" w:rsidRDefault="00666BCF" w:rsidP="006A5F63">
      <w:pPr>
        <w:pStyle w:val="Heading2"/>
      </w:pPr>
      <w:bookmarkStart w:id="30" w:name="_Toc512862460"/>
      <w:r>
        <w:t>Support</w:t>
      </w:r>
      <w:r w:rsidR="006A5F63">
        <w:t xml:space="preserve"> Vessels</w:t>
      </w:r>
      <w:bookmarkEnd w:id="30"/>
    </w:p>
    <w:p w14:paraId="352FE7FF" w14:textId="7869DE78" w:rsidR="00A45B2C" w:rsidRDefault="00A45B2C" w:rsidP="00D93543">
      <w:pPr>
        <w:pStyle w:val="Heading3"/>
      </w:pPr>
      <w:r>
        <w:t xml:space="preserve">General </w:t>
      </w:r>
    </w:p>
    <w:p w14:paraId="2B09A503" w14:textId="76AF1091" w:rsidR="004B6BBF" w:rsidRPr="00894721" w:rsidRDefault="004B6BBF" w:rsidP="00C70FB2">
      <w:pPr>
        <w:pStyle w:val="BodyText"/>
        <w:keepNext/>
        <w:rPr>
          <w:szCs w:val="20"/>
        </w:rPr>
      </w:pPr>
      <w:r w:rsidRPr="00894721">
        <w:rPr>
          <w:szCs w:val="20"/>
        </w:rPr>
        <w:t>IMR activities are undertaken with the aid of a su</w:t>
      </w:r>
      <w:r w:rsidR="00A45B2C">
        <w:rPr>
          <w:szCs w:val="20"/>
        </w:rPr>
        <w:t>rvey</w:t>
      </w:r>
      <w:r w:rsidRPr="00894721">
        <w:rPr>
          <w:szCs w:val="20"/>
        </w:rPr>
        <w:t xml:space="preserve"> vessel. Vessels are contracted from international or national suppliers when required and will vary depending on the proposed activity and vessel availability.</w:t>
      </w:r>
    </w:p>
    <w:p w14:paraId="74486E51" w14:textId="79D7F95C" w:rsidR="006D39B1" w:rsidRPr="00AB1466" w:rsidRDefault="004B6BBF" w:rsidP="00C70FB2">
      <w:pPr>
        <w:pStyle w:val="BodyText"/>
        <w:keepNext/>
        <w:rPr>
          <w:szCs w:val="20"/>
        </w:rPr>
      </w:pPr>
      <w:r w:rsidRPr="00894721">
        <w:rPr>
          <w:szCs w:val="20"/>
        </w:rPr>
        <w:t xml:space="preserve">Depending on the </w:t>
      </w:r>
      <w:r w:rsidR="00C6220A" w:rsidRPr="00894721">
        <w:rPr>
          <w:szCs w:val="20"/>
        </w:rPr>
        <w:t>IMR</w:t>
      </w:r>
      <w:r w:rsidRPr="00894721">
        <w:rPr>
          <w:szCs w:val="20"/>
        </w:rPr>
        <w:t xml:space="preserve"> activities required vessels are </w:t>
      </w:r>
      <w:r w:rsidR="00C6220A" w:rsidRPr="00894721">
        <w:rPr>
          <w:szCs w:val="20"/>
        </w:rPr>
        <w:t>likely</w:t>
      </w:r>
      <w:r w:rsidRPr="00894721">
        <w:rPr>
          <w:szCs w:val="20"/>
        </w:rPr>
        <w:t xml:space="preserve"> to be at sea between </w:t>
      </w:r>
      <w:r w:rsidR="00C6220A" w:rsidRPr="00894721">
        <w:rPr>
          <w:szCs w:val="20"/>
        </w:rPr>
        <w:t xml:space="preserve">seven and nine </w:t>
      </w:r>
      <w:r w:rsidRPr="00894721">
        <w:rPr>
          <w:szCs w:val="20"/>
        </w:rPr>
        <w:t xml:space="preserve">days. No vessel refuelling will be undertaken at sea.  </w:t>
      </w:r>
    </w:p>
    <w:p w14:paraId="29D6A877" w14:textId="07CD1D0D" w:rsidR="004B6BBF" w:rsidRPr="00894721" w:rsidRDefault="004B6BBF" w:rsidP="00C70FB2">
      <w:pPr>
        <w:pStyle w:val="BodyText"/>
        <w:keepNext/>
        <w:rPr>
          <w:szCs w:val="20"/>
          <w:lang w:eastAsia="en-US"/>
        </w:rPr>
      </w:pPr>
      <w:r w:rsidRPr="00894721">
        <w:rPr>
          <w:szCs w:val="20"/>
        </w:rPr>
        <w:t>Any vessels used will have the necessary certification/registration and be fully complian</w:t>
      </w:r>
      <w:r w:rsidR="00977647" w:rsidRPr="00894721">
        <w:rPr>
          <w:szCs w:val="20"/>
        </w:rPr>
        <w:t>t</w:t>
      </w:r>
      <w:r w:rsidRPr="00894721">
        <w:rPr>
          <w:szCs w:val="20"/>
        </w:rPr>
        <w:t xml:space="preserve"> with the relevant MARPOL and SOLAS convention requirements specific for the vessel’s size and purpose</w:t>
      </w:r>
      <w:r w:rsidRPr="00894721">
        <w:rPr>
          <w:szCs w:val="20"/>
          <w:lang w:eastAsia="en-US"/>
        </w:rPr>
        <w:t>.</w:t>
      </w:r>
    </w:p>
    <w:p w14:paraId="2D7BECC2" w14:textId="77777777" w:rsidR="00666BCF" w:rsidRDefault="00666BCF" w:rsidP="00666BCF">
      <w:pPr>
        <w:pStyle w:val="Heading2"/>
      </w:pPr>
      <w:bookmarkStart w:id="31" w:name="_Toc512862461"/>
      <w:r>
        <w:t>Logistics Support</w:t>
      </w:r>
      <w:bookmarkEnd w:id="31"/>
    </w:p>
    <w:p w14:paraId="12DC6A15" w14:textId="46997521" w:rsidR="00273A82" w:rsidRDefault="00273A82" w:rsidP="00C70FB2">
      <w:pPr>
        <w:pStyle w:val="BodyText"/>
        <w:keepNext/>
      </w:pPr>
      <w:r>
        <w:t>Depending upon the size of the vessel, helicopters may be used in the field in support of offshore campaign operations, including:</w:t>
      </w:r>
    </w:p>
    <w:p w14:paraId="2CDE685E" w14:textId="7CA3A764" w:rsidR="00273A82" w:rsidRPr="00686792" w:rsidRDefault="00273A82" w:rsidP="0036080A">
      <w:pPr>
        <w:pStyle w:val="BodyText"/>
        <w:keepNext/>
        <w:numPr>
          <w:ilvl w:val="0"/>
          <w:numId w:val="25"/>
        </w:numPr>
        <w:rPr>
          <w:szCs w:val="20"/>
        </w:rPr>
      </w:pPr>
      <w:r w:rsidRPr="00686792">
        <w:rPr>
          <w:szCs w:val="20"/>
        </w:rPr>
        <w:t>Personnel transfers between heliports and field vessels</w:t>
      </w:r>
      <w:r w:rsidR="00A47A92" w:rsidRPr="00686792">
        <w:rPr>
          <w:szCs w:val="20"/>
        </w:rPr>
        <w:t>;</w:t>
      </w:r>
    </w:p>
    <w:p w14:paraId="6B56B596" w14:textId="2D599B8B" w:rsidR="00273A82" w:rsidRPr="00686792" w:rsidRDefault="00273A82" w:rsidP="0036080A">
      <w:pPr>
        <w:pStyle w:val="BodyText"/>
        <w:keepNext/>
        <w:numPr>
          <w:ilvl w:val="0"/>
          <w:numId w:val="25"/>
        </w:numPr>
        <w:rPr>
          <w:szCs w:val="20"/>
        </w:rPr>
      </w:pPr>
      <w:r w:rsidRPr="00686792">
        <w:rPr>
          <w:szCs w:val="20"/>
        </w:rPr>
        <w:t>Occasional transportation of equipment to/from the field vessel</w:t>
      </w:r>
      <w:r w:rsidR="00A47A92" w:rsidRPr="00686792">
        <w:rPr>
          <w:szCs w:val="20"/>
        </w:rPr>
        <w:t>; and</w:t>
      </w:r>
    </w:p>
    <w:p w14:paraId="78813AB8" w14:textId="77777777" w:rsidR="00273A82" w:rsidRPr="00686792" w:rsidRDefault="00273A82" w:rsidP="0036080A">
      <w:pPr>
        <w:pStyle w:val="BodyText"/>
        <w:keepNext/>
        <w:numPr>
          <w:ilvl w:val="0"/>
          <w:numId w:val="25"/>
        </w:numPr>
        <w:rPr>
          <w:szCs w:val="20"/>
        </w:rPr>
      </w:pPr>
      <w:r w:rsidRPr="00686792">
        <w:rPr>
          <w:szCs w:val="20"/>
        </w:rPr>
        <w:t>Heavy weather emergency evacuation, search and rescue, and day and night time Medivac operations.</w:t>
      </w:r>
    </w:p>
    <w:p w14:paraId="0CED3761" w14:textId="77777777" w:rsidR="00B62389" w:rsidRDefault="00B62389" w:rsidP="00BE21E1">
      <w:pPr>
        <w:pStyle w:val="BodyText"/>
        <w:keepNext/>
        <w:rPr>
          <w:szCs w:val="20"/>
        </w:rPr>
      </w:pPr>
    </w:p>
    <w:p w14:paraId="64B4B319" w14:textId="77777777" w:rsidR="00B62389" w:rsidRDefault="00B62389" w:rsidP="00BE21E1">
      <w:pPr>
        <w:pStyle w:val="BodyText"/>
        <w:keepNext/>
        <w:rPr>
          <w:lang w:eastAsia="en-US"/>
        </w:rPr>
      </w:pPr>
    </w:p>
    <w:p w14:paraId="31639948" w14:textId="77777777" w:rsidR="00226552" w:rsidRDefault="00D2251E" w:rsidP="00D2251E">
      <w:pPr>
        <w:pStyle w:val="Heading1"/>
      </w:pPr>
      <w:bookmarkStart w:id="32" w:name="_Toc512862462"/>
      <w:r>
        <w:lastRenderedPageBreak/>
        <w:t>Description of the Existing Environment</w:t>
      </w:r>
      <w:bookmarkEnd w:id="32"/>
    </w:p>
    <w:p w14:paraId="15CA9C1D" w14:textId="7022FFB3" w:rsidR="00761DC1" w:rsidRPr="00C70FB2" w:rsidRDefault="0021319F" w:rsidP="00C70FB2">
      <w:pPr>
        <w:pStyle w:val="BodyText"/>
        <w:keepNext/>
        <w:rPr>
          <w:szCs w:val="20"/>
        </w:rPr>
      </w:pPr>
      <w:r w:rsidRPr="0022687A">
        <w:rPr>
          <w:szCs w:val="20"/>
        </w:rPr>
        <w:t xml:space="preserve">The </w:t>
      </w:r>
      <w:r w:rsidR="00600044" w:rsidRPr="0022687A">
        <w:rPr>
          <w:szCs w:val="20"/>
        </w:rPr>
        <w:t xml:space="preserve">‘environment that may be affected’ (EMBA) </w:t>
      </w:r>
      <w:r w:rsidR="008E48CA" w:rsidRPr="0022687A">
        <w:rPr>
          <w:szCs w:val="20"/>
        </w:rPr>
        <w:t>for the asset operations</w:t>
      </w:r>
      <w:r w:rsidRPr="0022687A">
        <w:rPr>
          <w:szCs w:val="20"/>
        </w:rPr>
        <w:t xml:space="preserve"> has been established </w:t>
      </w:r>
      <w:r w:rsidR="008E48CA" w:rsidRPr="0022687A">
        <w:rPr>
          <w:szCs w:val="20"/>
        </w:rPr>
        <w:t>through hydrocarbon spill modelling</w:t>
      </w:r>
      <w:r w:rsidRPr="0022687A">
        <w:rPr>
          <w:szCs w:val="20"/>
        </w:rPr>
        <w:t xml:space="preserve"> as the </w:t>
      </w:r>
      <w:r w:rsidR="00D47F98" w:rsidRPr="0022687A">
        <w:rPr>
          <w:szCs w:val="20"/>
        </w:rPr>
        <w:t xml:space="preserve">greatest </w:t>
      </w:r>
      <w:r w:rsidRPr="0022687A">
        <w:rPr>
          <w:szCs w:val="20"/>
        </w:rPr>
        <w:t>area that could potential</w:t>
      </w:r>
      <w:r w:rsidR="00D47F98" w:rsidRPr="0022687A">
        <w:rPr>
          <w:szCs w:val="20"/>
        </w:rPr>
        <w:t>ly be impacted in the event of the largest credible</w:t>
      </w:r>
      <w:r w:rsidRPr="0022687A">
        <w:rPr>
          <w:szCs w:val="20"/>
        </w:rPr>
        <w:t xml:space="preserve"> spill of hydrocarbons</w:t>
      </w:r>
      <w:r w:rsidR="00D47F98" w:rsidRPr="0022687A">
        <w:rPr>
          <w:szCs w:val="20"/>
        </w:rPr>
        <w:t xml:space="preserve">, which is a </w:t>
      </w:r>
      <w:r w:rsidR="00600044">
        <w:rPr>
          <w:szCs w:val="20"/>
        </w:rPr>
        <w:t xml:space="preserve">result of a vessel diesel spill. </w:t>
      </w:r>
    </w:p>
    <w:p w14:paraId="7C8CC6BC" w14:textId="53A4F33D" w:rsidR="00813DCC" w:rsidRDefault="00813DCC" w:rsidP="00C70FB2">
      <w:pPr>
        <w:pStyle w:val="BodyText"/>
        <w:keepNext/>
      </w:pPr>
      <w:r w:rsidRPr="00C70FB2">
        <w:rPr>
          <w:szCs w:val="20"/>
        </w:rPr>
        <w:t>It is to be noted that the position of the pipeline shore crossing and offshore pipeline alignment was carefully selected to avoid environmental sensitivities (e.g. reef structures) as part of project</w:t>
      </w:r>
      <w:r w:rsidRPr="00C70FB2">
        <w:t xml:space="preserve"> definition</w:t>
      </w:r>
      <w:r>
        <w:t xml:space="preserve"> and in response to the following consul</w:t>
      </w:r>
      <w:r w:rsidR="00927EBD">
        <w:t>t</w:t>
      </w:r>
      <w:r>
        <w:t>ation feedback:</w:t>
      </w:r>
    </w:p>
    <w:p w14:paraId="4FAB82FC" w14:textId="3AEA57DC" w:rsidR="00813DCC" w:rsidRDefault="00813DCC" w:rsidP="0036080A">
      <w:pPr>
        <w:pStyle w:val="Bullet1"/>
        <w:numPr>
          <w:ilvl w:val="0"/>
          <w:numId w:val="40"/>
        </w:numPr>
      </w:pPr>
      <w:r>
        <w:t>HDD was co-located with the Minerva and Otway Gas project shore crossing given the known geotechnical conditions from previous HDD activities an</w:t>
      </w:r>
      <w:r w:rsidR="00927EBD">
        <w:t>d</w:t>
      </w:r>
      <w:r>
        <w:t xml:space="preserve"> support by key stak</w:t>
      </w:r>
      <w:r w:rsidR="00927EBD">
        <w:t>e</w:t>
      </w:r>
      <w:r>
        <w:t>holders;</w:t>
      </w:r>
    </w:p>
    <w:p w14:paraId="5EC8984D" w14:textId="77777777" w:rsidR="00813DCC" w:rsidRDefault="00813DCC" w:rsidP="0036080A">
      <w:pPr>
        <w:pStyle w:val="Bullet1"/>
        <w:numPr>
          <w:ilvl w:val="0"/>
          <w:numId w:val="40"/>
        </w:numPr>
      </w:pPr>
      <w:r>
        <w:t>Bathymetry east of Casino and near Minerva indicated significant areas of sandy seafloor which was confirmed with commercial fishermen during consultation and via the offshore bathymetry survey;</w:t>
      </w:r>
    </w:p>
    <w:p w14:paraId="350C70C4" w14:textId="77777777" w:rsidR="00C70FB2" w:rsidRDefault="00813DCC" w:rsidP="0036080A">
      <w:pPr>
        <w:pStyle w:val="Bullet1"/>
        <w:numPr>
          <w:ilvl w:val="0"/>
          <w:numId w:val="40"/>
        </w:numPr>
      </w:pPr>
      <w:r>
        <w:t>Offshore pipeline alignment avoided main lobster grounds by being co-lo</w:t>
      </w:r>
      <w:r w:rsidR="00927EBD">
        <w:t>cated</w:t>
      </w:r>
      <w:r>
        <w:t xml:space="preserve"> with Minerva and Otway Gas project pipeline</w:t>
      </w:r>
      <w:r w:rsidR="00927EBD">
        <w:t>s</w:t>
      </w:r>
      <w:r>
        <w:t xml:space="preserve"> thereby limiting snagging hazards to one corridor. Commercial fishermen identified their preference for this alignment option over others.</w:t>
      </w:r>
    </w:p>
    <w:tbl>
      <w:tblPr>
        <w:tblW w:w="0" w:type="auto"/>
        <w:tblInd w:w="567"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8437"/>
      </w:tblGrid>
      <w:tr w:rsidR="0021319F" w14:paraId="6F3DE130" w14:textId="77777777" w:rsidTr="00C70FB2">
        <w:trPr>
          <w:tblHeader/>
        </w:trPr>
        <w:tc>
          <w:tcPr>
            <w:tcW w:w="8437" w:type="dxa"/>
            <w:shd w:val="clear" w:color="auto" w:fill="auto"/>
            <w:tcMar>
              <w:top w:w="142" w:type="dxa"/>
            </w:tcMar>
          </w:tcPr>
          <w:p w14:paraId="34C4715E" w14:textId="17A83318" w:rsidR="0021319F" w:rsidRPr="00136A5A" w:rsidRDefault="00802703" w:rsidP="00802703">
            <w:pPr>
              <w:pStyle w:val="BodyText"/>
              <w:keepNext/>
              <w:ind w:left="0"/>
              <w:jc w:val="center"/>
              <w:rPr>
                <w:rFonts w:cs="Arial"/>
                <w:b/>
                <w:szCs w:val="22"/>
              </w:rPr>
            </w:pPr>
            <w:r>
              <w:rPr>
                <w:noProof/>
                <w:lang w:val="en-GB" w:eastAsia="en-GB"/>
              </w:rPr>
              <w:drawing>
                <wp:inline distT="0" distB="0" distL="0" distR="0" wp14:anchorId="2ABCE2A2" wp14:editId="2B4F1C32">
                  <wp:extent cx="4221846" cy="2918713"/>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4221846" cy="2918713"/>
                          </a:xfrm>
                          <a:prstGeom prst="rect">
                            <a:avLst/>
                          </a:prstGeom>
                        </pic:spPr>
                      </pic:pic>
                    </a:graphicData>
                  </a:graphic>
                </wp:inline>
              </w:drawing>
            </w:r>
          </w:p>
        </w:tc>
      </w:tr>
    </w:tbl>
    <w:p w14:paraId="33F4D790" w14:textId="1AD06F7D" w:rsidR="0021319F" w:rsidRPr="00875207" w:rsidRDefault="00875207" w:rsidP="00C738E2">
      <w:pPr>
        <w:pStyle w:val="Caption"/>
        <w:outlineLvl w:val="9"/>
        <w:rPr>
          <w:sz w:val="20"/>
          <w:szCs w:val="20"/>
        </w:rPr>
      </w:pPr>
      <w:bookmarkStart w:id="33" w:name="_Ref473306090"/>
      <w:bookmarkStart w:id="34" w:name="_Toc510779250"/>
      <w:r w:rsidRPr="00875207">
        <w:rPr>
          <w:sz w:val="20"/>
          <w:szCs w:val="20"/>
        </w:rPr>
        <w:t xml:space="preserve">Figure </w:t>
      </w:r>
      <w:r w:rsidR="00D3458F">
        <w:rPr>
          <w:sz w:val="20"/>
          <w:szCs w:val="20"/>
        </w:rPr>
        <w:fldChar w:fldCharType="begin"/>
      </w:r>
      <w:r w:rsidR="00D3458F">
        <w:rPr>
          <w:sz w:val="20"/>
          <w:szCs w:val="20"/>
        </w:rPr>
        <w:instrText xml:space="preserve"> STYLEREF 1 \s </w:instrText>
      </w:r>
      <w:r w:rsidR="00D3458F">
        <w:rPr>
          <w:sz w:val="20"/>
          <w:szCs w:val="20"/>
        </w:rPr>
        <w:fldChar w:fldCharType="separate"/>
      </w:r>
      <w:r w:rsidR="00CC4C35">
        <w:rPr>
          <w:noProof/>
          <w:sz w:val="20"/>
          <w:szCs w:val="20"/>
        </w:rPr>
        <w:t>3</w:t>
      </w:r>
      <w:r w:rsidR="00D3458F">
        <w:rPr>
          <w:sz w:val="20"/>
          <w:szCs w:val="20"/>
        </w:rPr>
        <w:fldChar w:fldCharType="end"/>
      </w:r>
      <w:r w:rsidR="00D3458F">
        <w:rPr>
          <w:sz w:val="20"/>
          <w:szCs w:val="20"/>
        </w:rPr>
        <w:noBreakHyphen/>
      </w:r>
      <w:r w:rsidR="00D3458F">
        <w:rPr>
          <w:sz w:val="20"/>
          <w:szCs w:val="20"/>
        </w:rPr>
        <w:fldChar w:fldCharType="begin"/>
      </w:r>
      <w:r w:rsidR="00D3458F">
        <w:rPr>
          <w:sz w:val="20"/>
          <w:szCs w:val="20"/>
        </w:rPr>
        <w:instrText xml:space="preserve"> SEQ Figure \* ARABIC \s 1 </w:instrText>
      </w:r>
      <w:r w:rsidR="00D3458F">
        <w:rPr>
          <w:sz w:val="20"/>
          <w:szCs w:val="20"/>
        </w:rPr>
        <w:fldChar w:fldCharType="separate"/>
      </w:r>
      <w:r w:rsidR="00CC4C35">
        <w:rPr>
          <w:noProof/>
          <w:sz w:val="20"/>
          <w:szCs w:val="20"/>
        </w:rPr>
        <w:t>1</w:t>
      </w:r>
      <w:r w:rsidR="00D3458F">
        <w:rPr>
          <w:sz w:val="20"/>
          <w:szCs w:val="20"/>
        </w:rPr>
        <w:fldChar w:fldCharType="end"/>
      </w:r>
      <w:bookmarkEnd w:id="33"/>
      <w:r w:rsidRPr="00875207">
        <w:rPr>
          <w:sz w:val="20"/>
          <w:szCs w:val="20"/>
        </w:rPr>
        <w:t xml:space="preserve">: </w:t>
      </w:r>
      <w:r w:rsidR="00C86D6F">
        <w:rPr>
          <w:sz w:val="20"/>
          <w:szCs w:val="20"/>
        </w:rPr>
        <w:t>CHN</w:t>
      </w:r>
      <w:r w:rsidR="003D0C6F" w:rsidRPr="00875207">
        <w:rPr>
          <w:sz w:val="20"/>
          <w:szCs w:val="20"/>
        </w:rPr>
        <w:t xml:space="preserve"> </w:t>
      </w:r>
      <w:r w:rsidR="00E322B5">
        <w:rPr>
          <w:sz w:val="20"/>
          <w:szCs w:val="20"/>
        </w:rPr>
        <w:t>petroleum activity</w:t>
      </w:r>
      <w:r w:rsidR="0021319F" w:rsidRPr="00875207">
        <w:rPr>
          <w:sz w:val="20"/>
          <w:szCs w:val="20"/>
        </w:rPr>
        <w:t xml:space="preserve"> EMBA</w:t>
      </w:r>
      <w:bookmarkEnd w:id="34"/>
    </w:p>
    <w:p w14:paraId="52FE8328" w14:textId="77777777" w:rsidR="008615FC" w:rsidRDefault="008615FC" w:rsidP="008615FC">
      <w:pPr>
        <w:pStyle w:val="Heading2"/>
      </w:pPr>
      <w:bookmarkStart w:id="35" w:name="_Toc512862463"/>
      <w:r>
        <w:t>Regional Setting</w:t>
      </w:r>
      <w:bookmarkEnd w:id="35"/>
    </w:p>
    <w:p w14:paraId="08FA7931" w14:textId="372F3505" w:rsidR="00127992" w:rsidRPr="00875207" w:rsidRDefault="00127992" w:rsidP="00127992">
      <w:pPr>
        <w:pStyle w:val="BodyText"/>
        <w:keepNext/>
        <w:rPr>
          <w:szCs w:val="20"/>
        </w:rPr>
      </w:pPr>
      <w:r w:rsidRPr="00875207">
        <w:rPr>
          <w:szCs w:val="20"/>
        </w:rPr>
        <w:t xml:space="preserve">The </w:t>
      </w:r>
      <w:r w:rsidR="005118CA">
        <w:rPr>
          <w:szCs w:val="20"/>
        </w:rPr>
        <w:t>CHN</w:t>
      </w:r>
      <w:r w:rsidRPr="00875207">
        <w:rPr>
          <w:szCs w:val="20"/>
        </w:rPr>
        <w:t xml:space="preserve"> assets are located in the Otway marine bioregion (NOO, 2002) as classified by the Interim Marine and Coastal Regionalisation for Australia (IMCRA). This bioregion extends from Cape Otway (Vic) to Cape Jaffa (South Australia) and includes the western islands of Bass Strait such as King Island.</w:t>
      </w:r>
    </w:p>
    <w:p w14:paraId="0C07F03F" w14:textId="77777777" w:rsidR="00127992" w:rsidRPr="00875207" w:rsidRDefault="00127992" w:rsidP="00127992">
      <w:pPr>
        <w:pStyle w:val="BodyText"/>
        <w:keepNext/>
        <w:rPr>
          <w:szCs w:val="20"/>
        </w:rPr>
      </w:pPr>
      <w:r w:rsidRPr="00875207">
        <w:rPr>
          <w:szCs w:val="20"/>
        </w:rPr>
        <w:t xml:space="preserve">The characteristics of the Otway coastline and marine environment include very steep to moderate offshore gradients, high wave energy and cold temperate waters subject to upwelling events (i.e., the Bonney Upwelling) (IMCRA, 1998). Currents are generally slow, but moderately </w:t>
      </w:r>
      <w:r w:rsidRPr="00875207">
        <w:rPr>
          <w:szCs w:val="20"/>
        </w:rPr>
        <w:lastRenderedPageBreak/>
        <w:t>strong through the entrance to Bass Strait. Upwelling water is nutrient rich and corresponds with increases in the abundance of zooplankton, which attracts baleen whales and other species (including EPBC-listed species) that feed on the plankton swarms (krill). Shoreline habitats of the Otway coastline include</w:t>
      </w:r>
      <w:r w:rsidR="00073F5D" w:rsidRPr="00875207">
        <w:rPr>
          <w:szCs w:val="20"/>
        </w:rPr>
        <w:t xml:space="preserve"> </w:t>
      </w:r>
      <w:r w:rsidRPr="00875207">
        <w:rPr>
          <w:szCs w:val="20"/>
        </w:rPr>
        <w:t>penguin colonies, fur seal colonies and bird nesting sites.</w:t>
      </w:r>
    </w:p>
    <w:p w14:paraId="27985124" w14:textId="77777777" w:rsidR="0012431A" w:rsidRPr="00544C5F" w:rsidRDefault="0012431A" w:rsidP="008A7CB0">
      <w:pPr>
        <w:pStyle w:val="Heading2"/>
      </w:pPr>
      <w:bookmarkStart w:id="36" w:name="_Toc512862464"/>
      <w:r w:rsidRPr="00544C5F">
        <w:t>Physical Environment</w:t>
      </w:r>
      <w:bookmarkEnd w:id="36"/>
    </w:p>
    <w:p w14:paraId="196DAB05" w14:textId="77777777" w:rsidR="0012431A" w:rsidRDefault="0012431A" w:rsidP="00C52844">
      <w:pPr>
        <w:pStyle w:val="Heading3"/>
      </w:pPr>
      <w:bookmarkStart w:id="37" w:name="_Toc341789302"/>
      <w:bookmarkStart w:id="38" w:name="_Toc342030823"/>
      <w:bookmarkStart w:id="39" w:name="_Toc342496592"/>
      <w:bookmarkStart w:id="40" w:name="_Toc342631321"/>
      <w:bookmarkStart w:id="41" w:name="_Toc342640754"/>
      <w:bookmarkStart w:id="42" w:name="_Toc342643139"/>
      <w:bookmarkStart w:id="43" w:name="_Toc342664566"/>
      <w:bookmarkStart w:id="44" w:name="_Toc342820445"/>
      <w:bookmarkStart w:id="45" w:name="_Toc342831241"/>
      <w:bookmarkStart w:id="46" w:name="_Toc342832312"/>
      <w:bookmarkStart w:id="47" w:name="_Toc343078379"/>
      <w:bookmarkStart w:id="48" w:name="_Toc341789307"/>
      <w:bookmarkStart w:id="49" w:name="_Toc342030828"/>
      <w:bookmarkStart w:id="50" w:name="_Toc342496597"/>
      <w:bookmarkStart w:id="51" w:name="_Toc342631326"/>
      <w:bookmarkStart w:id="52" w:name="_Toc342640759"/>
      <w:bookmarkStart w:id="53" w:name="_Toc342643144"/>
      <w:bookmarkStart w:id="54" w:name="_Toc342664571"/>
      <w:bookmarkStart w:id="55" w:name="_Toc342820450"/>
      <w:bookmarkStart w:id="56" w:name="_Toc342831246"/>
      <w:bookmarkStart w:id="57" w:name="_Toc342832317"/>
      <w:bookmarkStart w:id="58" w:name="_Toc342895016"/>
      <w:bookmarkStart w:id="59" w:name="_Toc343067161"/>
      <w:bookmarkStart w:id="60" w:name="_Toc343074743"/>
      <w:bookmarkStart w:id="61" w:name="_Toc343078384"/>
      <w:bookmarkStart w:id="62" w:name="_Toc354313705"/>
      <w:bookmarkStart w:id="63" w:name="_Toc346898881"/>
      <w:bookmarkStart w:id="64" w:name="_Ref476507984"/>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544C5F">
        <w:t>Bathymetry</w:t>
      </w:r>
      <w:bookmarkEnd w:id="62"/>
      <w:bookmarkEnd w:id="63"/>
      <w:bookmarkEnd w:id="64"/>
    </w:p>
    <w:p w14:paraId="37E9D5A9" w14:textId="48BB26A5" w:rsidR="003D3EC8" w:rsidRDefault="003D1CD9" w:rsidP="00A26C98">
      <w:pPr>
        <w:pStyle w:val="BodyText"/>
        <w:keepNext/>
        <w:rPr>
          <w:szCs w:val="20"/>
        </w:rPr>
      </w:pPr>
      <w:r w:rsidRPr="00875207">
        <w:rPr>
          <w:szCs w:val="20"/>
        </w:rPr>
        <w:t xml:space="preserve">The Casino gas field Environmental Report (Santos, 2004) reflects that the seabed along the pipeline route in water depths &lt;60 m consisted of large tracts of fine to coarse grained sand with little or no epifauna and that infaunal communities of bivalves, polychaetes and crustaceans probably dominate in the open sand habitat. </w:t>
      </w:r>
      <w:r w:rsidR="007B3856" w:rsidRPr="00875207">
        <w:rPr>
          <w:szCs w:val="20"/>
        </w:rPr>
        <w:t>From the horizontal directional drilling (HDD) exit point (1</w:t>
      </w:r>
      <w:r w:rsidR="006D1722">
        <w:rPr>
          <w:szCs w:val="20"/>
        </w:rPr>
        <w:t>8</w:t>
      </w:r>
      <w:r w:rsidR="007B3856" w:rsidRPr="00875207">
        <w:rPr>
          <w:szCs w:val="20"/>
        </w:rPr>
        <w:t xml:space="preserve"> m water depth) to approximately 60 m water depth</w:t>
      </w:r>
      <w:r w:rsidR="006D1722">
        <w:rPr>
          <w:szCs w:val="20"/>
        </w:rPr>
        <w:t>, the seabed</w:t>
      </w:r>
      <w:r w:rsidR="007B3856" w:rsidRPr="00875207">
        <w:rPr>
          <w:szCs w:val="20"/>
        </w:rPr>
        <w:t xml:space="preserve"> is classified as sand or fine gravel. Beyond 60 m water depth, out to the Casino well sites, the seabed is characterized by outcrops of hard substrate with very low relief and structural complexity separated by gullies of sand or fine gravel (Santos, 2004).</w:t>
      </w:r>
      <w:r w:rsidR="00A26C98" w:rsidRPr="00875207">
        <w:rPr>
          <w:szCs w:val="20"/>
        </w:rPr>
        <w:t xml:space="preserve"> </w:t>
      </w:r>
    </w:p>
    <w:p w14:paraId="1EEEB327" w14:textId="6EAF662C" w:rsidR="003D1CD9" w:rsidRPr="00875207" w:rsidRDefault="003D1CD9" w:rsidP="003D1CD9">
      <w:pPr>
        <w:pStyle w:val="BodyText"/>
        <w:keepNext/>
        <w:rPr>
          <w:szCs w:val="20"/>
        </w:rPr>
      </w:pPr>
      <w:r w:rsidRPr="00875207">
        <w:rPr>
          <w:szCs w:val="20"/>
        </w:rPr>
        <w:t xml:space="preserve">The coastal geology comprises precipitous or undercut cliffs up to 60 m high of Port Campbell Limestone overlaying the Gellibrand Marl. Strong wave action is very effective in eroding these relatively soft, horizontally bedded rocks, causing development of a deeply indented coastline with narrow, elongated bays and headlands. Shore platforms are poorly developed and beaches are generally narrow. </w:t>
      </w:r>
    </w:p>
    <w:p w14:paraId="5C3347EB" w14:textId="77777777" w:rsidR="00E367A9" w:rsidRPr="0012431A" w:rsidRDefault="00E367A9" w:rsidP="00C52844">
      <w:pPr>
        <w:pStyle w:val="Heading3"/>
      </w:pPr>
      <w:bookmarkStart w:id="65" w:name="_Toc346898882"/>
      <w:r w:rsidRPr="0012431A">
        <w:t>Climate</w:t>
      </w:r>
      <w:bookmarkEnd w:id="65"/>
    </w:p>
    <w:p w14:paraId="365AE19B" w14:textId="77777777" w:rsidR="00E367A9" w:rsidRPr="00875207" w:rsidRDefault="00E367A9" w:rsidP="00C70FB2">
      <w:pPr>
        <w:pStyle w:val="BodyText"/>
        <w:keepNext/>
        <w:rPr>
          <w:szCs w:val="20"/>
        </w:rPr>
      </w:pPr>
      <w:r w:rsidRPr="00875207">
        <w:rPr>
          <w:szCs w:val="20"/>
        </w:rPr>
        <w:t>The EMBA is typical of a cool temperate region with cold, wet winters and warm dry summers. The regional climate is dominated by sub-tropical high pressure systems in summer and sub-polar low pressure systems in winter. The low pressure systems are accompanied by strong westerly winds and rain-bearing cold fronts that move from south-west to north-east across the region, producing strong winds from the west, north-west and south-west.</w:t>
      </w:r>
    </w:p>
    <w:p w14:paraId="52E5C931" w14:textId="77777777" w:rsidR="0012431A" w:rsidRPr="00875207" w:rsidRDefault="0012431A" w:rsidP="009A761C">
      <w:pPr>
        <w:pStyle w:val="Heading3"/>
      </w:pPr>
      <w:r w:rsidRPr="00875207">
        <w:t>Winds</w:t>
      </w:r>
    </w:p>
    <w:p w14:paraId="546440C1" w14:textId="77777777" w:rsidR="0012431A" w:rsidRPr="00875207" w:rsidRDefault="0012431A" w:rsidP="00C70FB2">
      <w:pPr>
        <w:pStyle w:val="BodyText"/>
        <w:keepNext/>
        <w:rPr>
          <w:szCs w:val="20"/>
        </w:rPr>
      </w:pPr>
      <w:r w:rsidRPr="00875207">
        <w:rPr>
          <w:szCs w:val="20"/>
        </w:rPr>
        <w:t xml:space="preserve">Bass Strait is located on the northern edge of the westerly wind belt known as the Roaring Forties. In winter, when the subtropical ridge moves northwards over the Australian continent, cold fronts generally create sustained west to south-westerly winds and frequent rainfall in the region (McInnes &amp; Hubbert, 2003). In summer, frontal systems are often more shallow and occur between two ridges of high pressure, bringing more variable winds and rainfall. </w:t>
      </w:r>
    </w:p>
    <w:p w14:paraId="17382F70" w14:textId="715F9619" w:rsidR="003D3EC8" w:rsidRDefault="0012431A" w:rsidP="00C70FB2">
      <w:pPr>
        <w:pStyle w:val="BodyText"/>
        <w:keepNext/>
        <w:rPr>
          <w:szCs w:val="20"/>
        </w:rPr>
      </w:pPr>
      <w:r w:rsidRPr="00875207">
        <w:t>Occasionally, intense mesoscale low-pressure systems occur in the region, bringing very strong winds, heavy rain, and high seas. These events are unpredictable in occurrence, intensity, and behaviour, but are most common between September and February (McInnes &amp; Hubbert, 2003). Wind speeds in the area are typically in the range of 10–30 km/hr, with maximum gusts reaching 100 km/hr.</w:t>
      </w:r>
    </w:p>
    <w:p w14:paraId="6180A63D" w14:textId="77777777" w:rsidR="003D3EC8" w:rsidRPr="0012431A" w:rsidRDefault="003D3EC8" w:rsidP="003D3EC8">
      <w:pPr>
        <w:pStyle w:val="Heading3"/>
      </w:pPr>
      <w:r w:rsidRPr="0012431A">
        <w:t xml:space="preserve">Tides </w:t>
      </w:r>
    </w:p>
    <w:p w14:paraId="1F766819" w14:textId="77777777" w:rsidR="003D3EC8" w:rsidRDefault="003D3EC8" w:rsidP="00C70FB2">
      <w:pPr>
        <w:pStyle w:val="BodyText"/>
        <w:keepNext/>
        <w:rPr>
          <w:szCs w:val="20"/>
        </w:rPr>
      </w:pPr>
      <w:r w:rsidRPr="00875207">
        <w:rPr>
          <w:szCs w:val="20"/>
        </w:rPr>
        <w:t>Tides are semi-diurnal with some diurnal inequalities (Jones &amp; Padman, 2006; Easton, 1970), generating tidal currents along a north-east/south-west axis, with speeds generally ranging from 0.1 to 2.5 m/s (Fandry, 1983). The maximum range of spring tides in western Bass Strait is approximately 1.2 m. Sea level variation in the area can arise from storm surges and wave set up (Santos, 2004).</w:t>
      </w:r>
    </w:p>
    <w:p w14:paraId="1C845D2D" w14:textId="77777777" w:rsidR="003D3EC8" w:rsidRDefault="003D3EC8" w:rsidP="003D3EC8">
      <w:pPr>
        <w:pStyle w:val="Heading3"/>
      </w:pPr>
      <w:bookmarkStart w:id="66" w:name="_Ref477121917"/>
      <w:r w:rsidRPr="0012431A">
        <w:t>Currents</w:t>
      </w:r>
      <w:bookmarkEnd w:id="66"/>
    </w:p>
    <w:p w14:paraId="1CF755E0" w14:textId="77777777" w:rsidR="003D3EC8" w:rsidRDefault="003D3EC8" w:rsidP="00C70FB2">
      <w:pPr>
        <w:pStyle w:val="BodyText"/>
        <w:keepNext/>
        <w:rPr>
          <w:szCs w:val="20"/>
        </w:rPr>
      </w:pPr>
      <w:r w:rsidRPr="00875207">
        <w:rPr>
          <w:szCs w:val="20"/>
        </w:rPr>
        <w:t>Winds tend to be the primary factor driving currents in western Bass Strait, predominantly from west to east. Bottom currents can exceed 0.5 m/s in nearshore areas during storms (BHP-</w:t>
      </w:r>
      <w:r w:rsidRPr="00875207">
        <w:rPr>
          <w:szCs w:val="20"/>
        </w:rPr>
        <w:lastRenderedPageBreak/>
        <w:t xml:space="preserve">Santos, 1999; cited in Santos, 2004). Current velocities through Bass Strait are highly correlated with local wind stress (Butler </w:t>
      </w:r>
      <w:r w:rsidRPr="00875207">
        <w:rPr>
          <w:i/>
          <w:szCs w:val="20"/>
        </w:rPr>
        <w:t>et al</w:t>
      </w:r>
      <w:r w:rsidRPr="00875207">
        <w:rPr>
          <w:szCs w:val="20"/>
        </w:rPr>
        <w:t>., 2002a; cited in Santos, 2004). In the Port Campbell area, the predominant south-westerly swell direction means that there are minimal longshore currents as most waves reach the shore parallel to the coast. Therefore, in waters less than 10 m deep, water movements are influenced mainly by orbital motion waves and localised wave-generated currents (BHP-Santos, 1999; cited in Santos 2004).</w:t>
      </w:r>
    </w:p>
    <w:p w14:paraId="5D535E6D" w14:textId="10A9387B" w:rsidR="00C43105" w:rsidRPr="00875207" w:rsidRDefault="00C43105" w:rsidP="00C70FB2">
      <w:pPr>
        <w:pStyle w:val="BodyText"/>
        <w:keepNext/>
        <w:rPr>
          <w:szCs w:val="20"/>
        </w:rPr>
      </w:pPr>
      <w:r w:rsidRPr="00875207">
        <w:rPr>
          <w:szCs w:val="20"/>
        </w:rPr>
        <w:t>During winter, the South Australian current moves dense, salty warmer water eastward from the Great Australian Bight into the west</w:t>
      </w:r>
      <w:r w:rsidR="00E80C0C">
        <w:rPr>
          <w:szCs w:val="20"/>
        </w:rPr>
        <w:t xml:space="preserve">ern margin of the Bass Strait. </w:t>
      </w:r>
      <w:r w:rsidRPr="00875207">
        <w:rPr>
          <w:szCs w:val="20"/>
        </w:rPr>
        <w:t>In winter and spring, waters within the strait are well mixed with no obvious stratification, while during summer the central regions of the straight become stratified (RPS APASA, 2016).</w:t>
      </w:r>
    </w:p>
    <w:p w14:paraId="022E2A64" w14:textId="77777777" w:rsidR="00C7491D" w:rsidRDefault="00C7491D" w:rsidP="00CA1401">
      <w:pPr>
        <w:pStyle w:val="Heading2"/>
      </w:pPr>
      <w:bookmarkStart w:id="67" w:name="_Ref473518600"/>
      <w:bookmarkStart w:id="68" w:name="_Ref473518615"/>
      <w:bookmarkStart w:id="69" w:name="_Toc512862465"/>
      <w:r>
        <w:t>Coastal Environment</w:t>
      </w:r>
      <w:bookmarkEnd w:id="67"/>
      <w:bookmarkEnd w:id="68"/>
      <w:bookmarkEnd w:id="69"/>
    </w:p>
    <w:p w14:paraId="401CF6AD" w14:textId="14DD3F21" w:rsidR="00C7491D" w:rsidRPr="00B844F6" w:rsidRDefault="00C7491D" w:rsidP="00C70FB2">
      <w:pPr>
        <w:pStyle w:val="BodyText"/>
        <w:keepNext/>
        <w:rPr>
          <w:szCs w:val="20"/>
        </w:rPr>
      </w:pPr>
      <w:r w:rsidRPr="00B844F6">
        <w:rPr>
          <w:szCs w:val="20"/>
        </w:rPr>
        <w:t>The coastline of the EMBA is briefly described in terms of its physical attributes. Th</w:t>
      </w:r>
      <w:r w:rsidR="00F663FC" w:rsidRPr="00B844F6">
        <w:rPr>
          <w:szCs w:val="20"/>
        </w:rPr>
        <w:t xml:space="preserve">is </w:t>
      </w:r>
      <w:r w:rsidRPr="00B844F6">
        <w:rPr>
          <w:szCs w:val="20"/>
        </w:rPr>
        <w:t>description</w:t>
      </w:r>
      <w:r w:rsidR="00F663FC" w:rsidRPr="00B844F6">
        <w:rPr>
          <w:szCs w:val="20"/>
        </w:rPr>
        <w:t xml:space="preserve"> i</w:t>
      </w:r>
      <w:r w:rsidRPr="00B844F6">
        <w:rPr>
          <w:szCs w:val="20"/>
        </w:rPr>
        <w:t xml:space="preserve">s </w:t>
      </w:r>
      <w:r w:rsidR="00F663FC" w:rsidRPr="00B844F6">
        <w:rPr>
          <w:szCs w:val="20"/>
        </w:rPr>
        <w:t>based o</w:t>
      </w:r>
      <w:r w:rsidRPr="00B844F6">
        <w:rPr>
          <w:szCs w:val="20"/>
        </w:rPr>
        <w:t xml:space="preserve">n OSRA mapping and Parks Victoria (2013) park notes, together with Google Maps satellite photography and local knowledge. The description of the coastline is discussed moving in an easterly direction from Cape Nelson (~100 km west of the Casino pipeline) to Anglesea (~130 km to the east of the Casino pipeline). </w:t>
      </w:r>
      <w:r w:rsidR="005118CA">
        <w:rPr>
          <w:szCs w:val="20"/>
        </w:rPr>
        <w:t>OSRA mapping</w:t>
      </w:r>
      <w:r w:rsidRPr="00B844F6">
        <w:rPr>
          <w:szCs w:val="20"/>
        </w:rPr>
        <w:t xml:space="preserve"> of this section of the Victorian coastline are provided in </w:t>
      </w:r>
      <w:r w:rsidR="005118CA">
        <w:rPr>
          <w:szCs w:val="20"/>
        </w:rPr>
        <w:t xml:space="preserve">Appendix 4 of </w:t>
      </w:r>
      <w:r w:rsidR="00411ABA">
        <w:rPr>
          <w:szCs w:val="20"/>
        </w:rPr>
        <w:t xml:space="preserve">the </w:t>
      </w:r>
      <w:r w:rsidR="00411ABA" w:rsidRPr="004705DB">
        <w:rPr>
          <w:szCs w:val="20"/>
        </w:rPr>
        <w:t>Offshore Victoria Oil Pollution Emergency plan (</w:t>
      </w:r>
      <w:r w:rsidR="005118CA" w:rsidRPr="004705DB">
        <w:rPr>
          <w:szCs w:val="20"/>
        </w:rPr>
        <w:t>VIC-ER-EMP-0001</w:t>
      </w:r>
      <w:r w:rsidR="00411ABA" w:rsidRPr="004705DB">
        <w:rPr>
          <w:szCs w:val="20"/>
        </w:rPr>
        <w:t>)</w:t>
      </w:r>
      <w:r w:rsidR="002F5C14" w:rsidRPr="003000A2">
        <w:rPr>
          <w:szCs w:val="20"/>
        </w:rPr>
        <w:t>.</w:t>
      </w:r>
      <w:r w:rsidR="002F5C14" w:rsidRPr="00B844F6">
        <w:rPr>
          <w:szCs w:val="20"/>
        </w:rPr>
        <w:t xml:space="preserve"> </w:t>
      </w:r>
    </w:p>
    <w:p w14:paraId="3230151B" w14:textId="77777777" w:rsidR="00C7491D" w:rsidRPr="00B844F6" w:rsidRDefault="00C7491D" w:rsidP="00C70FB2">
      <w:pPr>
        <w:pStyle w:val="BodyText"/>
        <w:keepNext/>
        <w:rPr>
          <w:szCs w:val="20"/>
        </w:rPr>
      </w:pPr>
      <w:r w:rsidRPr="00B844F6">
        <w:rPr>
          <w:szCs w:val="20"/>
        </w:rPr>
        <w:t>The Cape Nelson to Portland coastline is dominated by intertidal rocky shorelines backed by steep rocky cliffs. Portland to Port Fairy is dominated by sandy beaches, with small areas of intertidal rocky shore and sub-tidal rocky reef closer to Port Fairy. The Port Fairy to Lady Bay (Warrnambool) coastline is dominated by sandy beaches, while the section of coast between Warrnambool and Cape Otway (covering a distance of ~100 km) is dominated by intertidal rocky shore (backed by steep rocky cliffs) and sub-tidal rocky reefs, interspersed with small sections of sandy beach. These sandy beaches are nesting sites for hooded plovers.</w:t>
      </w:r>
    </w:p>
    <w:p w14:paraId="7B47454B" w14:textId="77777777" w:rsidR="00C7491D" w:rsidRDefault="00C7491D" w:rsidP="00C70FB2">
      <w:pPr>
        <w:pStyle w:val="BodyText"/>
        <w:keepNext/>
      </w:pPr>
      <w:r w:rsidRPr="00B844F6">
        <w:rPr>
          <w:szCs w:val="20"/>
        </w:rPr>
        <w:t>Intertidal rocky shores stretch east to Marengo, with forest of the Great Otway National Park reaching the cliffs. From Marengo east to Anglesea, the coastline is dominated by long stretches of sandy beach interspersed with intertidal rocky shores and sub-tidal rocky reefs. The coastline immediately west of Kennett River to west of Lorne again has forest of the Great Otway National Park reaching the coastal cliffs.</w:t>
      </w:r>
      <w:r w:rsidRPr="00C7491D">
        <w:t xml:space="preserve">  </w:t>
      </w:r>
    </w:p>
    <w:p w14:paraId="33A1AA85" w14:textId="0E58F92E" w:rsidR="003C7F5F" w:rsidRDefault="003C7F5F" w:rsidP="00C52844">
      <w:pPr>
        <w:pStyle w:val="Heading3"/>
      </w:pPr>
      <w:bookmarkStart w:id="70" w:name="_Toc346898889"/>
      <w:r>
        <w:t>Coastal Areas of Importance</w:t>
      </w:r>
      <w:bookmarkEnd w:id="70"/>
    </w:p>
    <w:p w14:paraId="513D7246" w14:textId="79F2C124" w:rsidR="003C7F5F" w:rsidRDefault="003C7F5F" w:rsidP="00C70FB2">
      <w:pPr>
        <w:pStyle w:val="BodyText"/>
        <w:keepNext/>
        <w:rPr>
          <w:szCs w:val="20"/>
        </w:rPr>
      </w:pPr>
      <w:r w:rsidRPr="00B844F6">
        <w:rPr>
          <w:szCs w:val="20"/>
        </w:rPr>
        <w:t xml:space="preserve">Key coastal areas of outstanding natural and/or socio-economic values, and considered to be areas of protection priority in the event of a large hydrocarbon spill </w:t>
      </w:r>
      <w:r w:rsidR="00686792">
        <w:rPr>
          <w:szCs w:val="20"/>
        </w:rPr>
        <w:t xml:space="preserve">have been identified and fully described in the EP and include: </w:t>
      </w:r>
    </w:p>
    <w:p w14:paraId="70E87ED5" w14:textId="1B466057" w:rsidR="00686792" w:rsidRDefault="00686792" w:rsidP="0036080A">
      <w:pPr>
        <w:pStyle w:val="Bullet1"/>
        <w:numPr>
          <w:ilvl w:val="0"/>
          <w:numId w:val="40"/>
        </w:numPr>
      </w:pPr>
      <w:r w:rsidRPr="00686792">
        <w:t>Cape Bridgewater-Cape Nelson-Portland area</w:t>
      </w:r>
    </w:p>
    <w:p w14:paraId="7B1402BE" w14:textId="327C7FF6" w:rsidR="00686792" w:rsidRDefault="00686792" w:rsidP="0036080A">
      <w:pPr>
        <w:pStyle w:val="Bullet1"/>
        <w:numPr>
          <w:ilvl w:val="0"/>
          <w:numId w:val="40"/>
        </w:numPr>
      </w:pPr>
      <w:r w:rsidRPr="00B844F6">
        <w:t>Lady Julia Percy Island</w:t>
      </w:r>
    </w:p>
    <w:p w14:paraId="5B0AE203" w14:textId="0849DF63" w:rsidR="007B3E29" w:rsidRPr="00686792" w:rsidRDefault="007B3E29" w:rsidP="0036080A">
      <w:pPr>
        <w:pStyle w:val="Bullet1"/>
        <w:numPr>
          <w:ilvl w:val="0"/>
          <w:numId w:val="40"/>
        </w:numPr>
      </w:pPr>
      <w:r w:rsidRPr="00686792">
        <w:t>Portland to Warrnambool coast</w:t>
      </w:r>
    </w:p>
    <w:p w14:paraId="592D2908" w14:textId="72158609" w:rsidR="00AA2898" w:rsidRPr="00B844F6" w:rsidRDefault="00AA2898" w:rsidP="0036080A">
      <w:pPr>
        <w:pStyle w:val="Bullet1"/>
        <w:numPr>
          <w:ilvl w:val="0"/>
          <w:numId w:val="40"/>
        </w:numPr>
      </w:pPr>
      <w:r w:rsidRPr="00B844F6">
        <w:t xml:space="preserve">The Bay of Islands Conservation Park </w:t>
      </w:r>
    </w:p>
    <w:p w14:paraId="7D82053C" w14:textId="240FF6C9" w:rsidR="00C769E3" w:rsidRPr="00B844F6" w:rsidRDefault="00C769E3" w:rsidP="0036080A">
      <w:pPr>
        <w:pStyle w:val="Bullet1"/>
        <w:numPr>
          <w:ilvl w:val="0"/>
          <w:numId w:val="40"/>
        </w:numPr>
      </w:pPr>
      <w:r w:rsidRPr="00B844F6">
        <w:t>The Arches Marine Sanctuary</w:t>
      </w:r>
    </w:p>
    <w:p w14:paraId="320CCF77" w14:textId="0E73D442" w:rsidR="003C7F5F" w:rsidRPr="00B844F6" w:rsidRDefault="003C7F5F" w:rsidP="0036080A">
      <w:pPr>
        <w:pStyle w:val="Bullet1"/>
        <w:numPr>
          <w:ilvl w:val="0"/>
          <w:numId w:val="40"/>
        </w:numPr>
      </w:pPr>
      <w:r w:rsidRPr="00B844F6">
        <w:t xml:space="preserve">The Twelve Apostles </w:t>
      </w:r>
    </w:p>
    <w:p w14:paraId="5E727240" w14:textId="53FA6DB8" w:rsidR="008755EC" w:rsidRPr="00B844F6" w:rsidRDefault="008755EC" w:rsidP="0036080A">
      <w:pPr>
        <w:pStyle w:val="Bullet1"/>
        <w:numPr>
          <w:ilvl w:val="0"/>
          <w:numId w:val="40"/>
        </w:numPr>
      </w:pPr>
      <w:r w:rsidRPr="00B844F6">
        <w:t xml:space="preserve">Dinosaur Cover </w:t>
      </w:r>
    </w:p>
    <w:p w14:paraId="2F54D42F" w14:textId="3B0E1058" w:rsidR="005E7C69" w:rsidRDefault="005E7C69" w:rsidP="0036080A">
      <w:pPr>
        <w:pStyle w:val="Bullet1"/>
        <w:numPr>
          <w:ilvl w:val="0"/>
          <w:numId w:val="40"/>
        </w:numPr>
      </w:pPr>
      <w:r>
        <w:t xml:space="preserve">Apollo Bay </w:t>
      </w:r>
      <w:r w:rsidR="00EB7637">
        <w:t xml:space="preserve">to Aireys Inlet </w:t>
      </w:r>
      <w:r>
        <w:t>area</w:t>
      </w:r>
    </w:p>
    <w:p w14:paraId="02B2EC3B" w14:textId="38518E41" w:rsidR="00600044" w:rsidRDefault="00600044" w:rsidP="00C53287">
      <w:pPr>
        <w:pStyle w:val="BodyText"/>
        <w:keepNext/>
        <w:ind w:left="864"/>
        <w:rPr>
          <w:szCs w:val="20"/>
        </w:rPr>
      </w:pPr>
    </w:p>
    <w:p w14:paraId="63BBE619" w14:textId="77777777" w:rsidR="008F225E" w:rsidRPr="008F225E" w:rsidRDefault="008F225E" w:rsidP="008F225E">
      <w:pPr>
        <w:pStyle w:val="Tableheading-small"/>
        <w:jc w:val="center"/>
        <w:rPr>
          <w:sz w:val="20"/>
          <w:szCs w:val="20"/>
        </w:rPr>
        <w:sectPr w:rsidR="008F225E" w:rsidRPr="008F225E" w:rsidSect="00E439A6">
          <w:headerReference w:type="first" r:id="rId21"/>
          <w:pgSz w:w="11900" w:h="16840" w:code="9"/>
          <w:pgMar w:top="1938" w:right="1440" w:bottom="2268" w:left="1440" w:header="680" w:footer="284" w:gutter="0"/>
          <w:cols w:space="720"/>
          <w:docGrid w:linePitch="326"/>
        </w:sectPr>
      </w:pPr>
    </w:p>
    <w:p w14:paraId="550111D3" w14:textId="77777777" w:rsidR="000D1089" w:rsidRDefault="000D1089" w:rsidP="000D1089">
      <w:pPr>
        <w:pStyle w:val="Heading2"/>
      </w:pPr>
      <w:bookmarkStart w:id="71" w:name="_Toc512862466"/>
      <w:r>
        <w:lastRenderedPageBreak/>
        <w:t>Biological Environment</w:t>
      </w:r>
      <w:bookmarkEnd w:id="71"/>
    </w:p>
    <w:p w14:paraId="4CE1C8C5" w14:textId="77777777" w:rsidR="000D1089" w:rsidRDefault="000D1089" w:rsidP="00C52844">
      <w:pPr>
        <w:pStyle w:val="Heading3"/>
      </w:pPr>
      <w:bookmarkStart w:id="72" w:name="_Toc346898891"/>
      <w:bookmarkStart w:id="73" w:name="_Ref473518494"/>
      <w:bookmarkStart w:id="74" w:name="_Ref482774795"/>
      <w:r>
        <w:t>Benthic Assemblages</w:t>
      </w:r>
      <w:bookmarkEnd w:id="72"/>
      <w:bookmarkEnd w:id="73"/>
      <w:bookmarkEnd w:id="74"/>
    </w:p>
    <w:p w14:paraId="0CE00769" w14:textId="77777777" w:rsidR="00613AF3" w:rsidRPr="00B844F6" w:rsidRDefault="00613AF3" w:rsidP="00C70FB2">
      <w:pPr>
        <w:pStyle w:val="BodyText"/>
        <w:keepNext/>
        <w:rPr>
          <w:szCs w:val="20"/>
        </w:rPr>
      </w:pPr>
      <w:r w:rsidRPr="00B844F6">
        <w:rPr>
          <w:szCs w:val="20"/>
        </w:rPr>
        <w:t xml:space="preserve">Benthic communities across Bass Strait are determined by the seafloor habitat and have a wide distribution with high diversity. A series of benthic surveys were conducted by the Victorian Museum on the continental shelf of the Bass Strait between 1979 and 1984 (Poore </w:t>
      </w:r>
      <w:r w:rsidRPr="00C70FB2">
        <w:rPr>
          <w:szCs w:val="20"/>
        </w:rPr>
        <w:t>et al</w:t>
      </w:r>
      <w:r w:rsidRPr="00B844F6">
        <w:rPr>
          <w:szCs w:val="20"/>
        </w:rPr>
        <w:t xml:space="preserve">., 1985; Wilson &amp; Poore, 1987). </w:t>
      </w:r>
    </w:p>
    <w:p w14:paraId="0988F275" w14:textId="77777777" w:rsidR="00613AF3" w:rsidRPr="00B844F6" w:rsidRDefault="00613AF3" w:rsidP="00C70FB2">
      <w:pPr>
        <w:pStyle w:val="BodyText"/>
        <w:keepNext/>
        <w:rPr>
          <w:szCs w:val="20"/>
        </w:rPr>
      </w:pPr>
      <w:r w:rsidRPr="00B844F6">
        <w:rPr>
          <w:szCs w:val="20"/>
        </w:rPr>
        <w:t xml:space="preserve">Infauna communities were reported to be rich and diverse, and benthic invertebrate communities were identified as some of the most diverse soft sediment ecosystems, comprising mainly sponges, octocorals, ascidians and bryozoans. </w:t>
      </w:r>
    </w:p>
    <w:p w14:paraId="3909048C" w14:textId="60A00D16" w:rsidR="00570AEC" w:rsidRDefault="00570AEC" w:rsidP="00C70FB2">
      <w:pPr>
        <w:pStyle w:val="BodyText"/>
        <w:keepNext/>
        <w:rPr>
          <w:szCs w:val="20"/>
        </w:rPr>
      </w:pPr>
      <w:r>
        <w:rPr>
          <w:szCs w:val="20"/>
        </w:rPr>
        <w:t>The offshore pipeline traverses mainly sandy seabed and occasionally patchy sponge gardens of varying d</w:t>
      </w:r>
      <w:r w:rsidR="000603D4">
        <w:rPr>
          <w:szCs w:val="20"/>
        </w:rPr>
        <w:t>e</w:t>
      </w:r>
      <w:r>
        <w:rPr>
          <w:szCs w:val="20"/>
        </w:rPr>
        <w:t>nsity cover</w:t>
      </w:r>
      <w:r w:rsidR="000603D4">
        <w:rPr>
          <w:szCs w:val="20"/>
        </w:rPr>
        <w:t xml:space="preserve">. The alignment was selected to </w:t>
      </w:r>
      <w:r>
        <w:rPr>
          <w:szCs w:val="20"/>
        </w:rPr>
        <w:t>avoid</w:t>
      </w:r>
      <w:r w:rsidR="000603D4">
        <w:rPr>
          <w:szCs w:val="20"/>
        </w:rPr>
        <w:t xml:space="preserve"> environmental impacts to</w:t>
      </w:r>
      <w:r>
        <w:rPr>
          <w:szCs w:val="20"/>
        </w:rPr>
        <w:t xml:space="preserve"> significant</w:t>
      </w:r>
      <w:r w:rsidR="000603D4">
        <w:rPr>
          <w:szCs w:val="20"/>
        </w:rPr>
        <w:t xml:space="preserve"> environmental features such as </w:t>
      </w:r>
      <w:r w:rsidR="00813DCC">
        <w:rPr>
          <w:szCs w:val="20"/>
        </w:rPr>
        <w:t xml:space="preserve">nearshore and significantly </w:t>
      </w:r>
      <w:r>
        <w:rPr>
          <w:szCs w:val="20"/>
        </w:rPr>
        <w:t>raise</w:t>
      </w:r>
      <w:r w:rsidR="000603D4">
        <w:rPr>
          <w:szCs w:val="20"/>
        </w:rPr>
        <w:t>d</w:t>
      </w:r>
      <w:r>
        <w:rPr>
          <w:szCs w:val="20"/>
        </w:rPr>
        <w:t xml:space="preserve"> relief reef habitats</w:t>
      </w:r>
      <w:r w:rsidR="000603D4">
        <w:rPr>
          <w:szCs w:val="20"/>
        </w:rPr>
        <w:t xml:space="preserve">. The shore-crossing, installed by HDD, also avoided key impacts to near-shore reefs and coastal habitats </w:t>
      </w:r>
      <w:r>
        <w:rPr>
          <w:szCs w:val="20"/>
        </w:rPr>
        <w:t>(Santos, 2004).</w:t>
      </w:r>
      <w:r w:rsidR="000603D4">
        <w:rPr>
          <w:szCs w:val="20"/>
        </w:rPr>
        <w:t xml:space="preserve"> The HDD exit point </w:t>
      </w:r>
      <w:r w:rsidR="000603D4" w:rsidRPr="00D4596A">
        <w:rPr>
          <w:szCs w:val="20"/>
        </w:rPr>
        <w:t xml:space="preserve">is in </w:t>
      </w:r>
      <w:r w:rsidR="000603D4" w:rsidRPr="00FA36A5">
        <w:rPr>
          <w:szCs w:val="20"/>
        </w:rPr>
        <w:t>1</w:t>
      </w:r>
      <w:r w:rsidR="00D4596A" w:rsidRPr="00FA36A5">
        <w:rPr>
          <w:szCs w:val="20"/>
        </w:rPr>
        <w:t>8</w:t>
      </w:r>
      <w:r w:rsidR="000603D4" w:rsidRPr="00FA36A5">
        <w:rPr>
          <w:szCs w:val="20"/>
        </w:rPr>
        <w:t xml:space="preserve"> </w:t>
      </w:r>
      <w:r w:rsidR="000603D4" w:rsidRPr="00D4596A">
        <w:rPr>
          <w:szCs w:val="20"/>
        </w:rPr>
        <w:t>m water depth</w:t>
      </w:r>
      <w:r w:rsidR="00D4596A" w:rsidRPr="00D4596A">
        <w:rPr>
          <w:szCs w:val="20"/>
        </w:rPr>
        <w:t>s</w:t>
      </w:r>
      <w:r w:rsidR="000603D4" w:rsidRPr="00D4596A">
        <w:rPr>
          <w:szCs w:val="20"/>
        </w:rPr>
        <w:t>.</w:t>
      </w:r>
    </w:p>
    <w:p w14:paraId="65CA2587" w14:textId="2A00397D" w:rsidR="00613AF3" w:rsidRPr="00B844F6" w:rsidRDefault="00613AF3" w:rsidP="00C70FB2">
      <w:pPr>
        <w:pStyle w:val="BodyText"/>
        <w:keepNext/>
        <w:rPr>
          <w:szCs w:val="20"/>
        </w:rPr>
      </w:pPr>
      <w:r w:rsidRPr="00B844F6">
        <w:rPr>
          <w:szCs w:val="20"/>
        </w:rPr>
        <w:t xml:space="preserve">The following benthic environments occur between the shore and the well sites, based on ROV surveys conducted in 2004 </w:t>
      </w:r>
      <w:r w:rsidR="00CC5768" w:rsidRPr="00B844F6">
        <w:rPr>
          <w:szCs w:val="20"/>
        </w:rPr>
        <w:t xml:space="preserve">for the development phase of the Casino project </w:t>
      </w:r>
      <w:r w:rsidRPr="00B844F6">
        <w:rPr>
          <w:szCs w:val="20"/>
        </w:rPr>
        <w:t>(</w:t>
      </w:r>
      <w:r w:rsidR="00CC5768" w:rsidRPr="00B844F6">
        <w:rPr>
          <w:szCs w:val="20"/>
        </w:rPr>
        <w:t>Santos</w:t>
      </w:r>
      <w:r w:rsidRPr="00B844F6">
        <w:rPr>
          <w:szCs w:val="20"/>
        </w:rPr>
        <w:t>, 2004)</w:t>
      </w:r>
      <w:r w:rsidR="00F0274D" w:rsidRPr="00B844F6">
        <w:rPr>
          <w:szCs w:val="20"/>
        </w:rPr>
        <w:t>:</w:t>
      </w:r>
      <w:r w:rsidRPr="00B844F6">
        <w:rPr>
          <w:szCs w:val="20"/>
        </w:rPr>
        <w:t xml:space="preserve"> </w:t>
      </w:r>
    </w:p>
    <w:p w14:paraId="170EA0A2" w14:textId="77777777" w:rsidR="00613AF3" w:rsidRPr="00CB0743" w:rsidRDefault="00613AF3" w:rsidP="0036080A">
      <w:pPr>
        <w:pStyle w:val="Bullet1"/>
        <w:numPr>
          <w:ilvl w:val="0"/>
          <w:numId w:val="40"/>
        </w:numPr>
      </w:pPr>
      <w:r w:rsidRPr="00CB0743">
        <w:t>Intertidal environment (0 to 2 m):</w:t>
      </w:r>
    </w:p>
    <w:p w14:paraId="2735329B" w14:textId="77777777" w:rsidR="00613AF3" w:rsidRPr="00B844F6" w:rsidRDefault="00613AF3" w:rsidP="00110C57">
      <w:pPr>
        <w:pStyle w:val="Bullet2"/>
        <w:ind w:left="2127"/>
      </w:pPr>
      <w:r w:rsidRPr="00B844F6">
        <w:t>Rock platform.</w:t>
      </w:r>
    </w:p>
    <w:p w14:paraId="3EE33049" w14:textId="77777777" w:rsidR="00613AF3" w:rsidRPr="00B844F6" w:rsidRDefault="00613AF3" w:rsidP="00110C57">
      <w:pPr>
        <w:pStyle w:val="Bullet2"/>
        <w:ind w:left="2127"/>
      </w:pPr>
      <w:r w:rsidRPr="00B844F6">
        <w:t>Cliff face.</w:t>
      </w:r>
    </w:p>
    <w:p w14:paraId="2CC04167" w14:textId="77777777" w:rsidR="00613AF3" w:rsidRPr="00B844F6" w:rsidRDefault="00613AF3" w:rsidP="00110C57">
      <w:pPr>
        <w:pStyle w:val="Bullet2"/>
        <w:ind w:left="2127"/>
      </w:pPr>
      <w:r w:rsidRPr="00B844F6">
        <w:t xml:space="preserve">Sandy beach. </w:t>
      </w:r>
    </w:p>
    <w:p w14:paraId="6699E0EF" w14:textId="77777777" w:rsidR="00613AF3" w:rsidRPr="00B844F6" w:rsidRDefault="00613AF3" w:rsidP="0036080A">
      <w:pPr>
        <w:pStyle w:val="Bullet1"/>
        <w:numPr>
          <w:ilvl w:val="0"/>
          <w:numId w:val="40"/>
        </w:numPr>
      </w:pPr>
      <w:r w:rsidRPr="00B844F6">
        <w:t xml:space="preserve">Shallow environments (2 to 8 m): </w:t>
      </w:r>
    </w:p>
    <w:p w14:paraId="38572CD5" w14:textId="77777777" w:rsidR="00613AF3" w:rsidRPr="00B844F6" w:rsidRDefault="00613AF3" w:rsidP="00110C57">
      <w:pPr>
        <w:pStyle w:val="Bullet2"/>
        <w:ind w:left="2127" w:hanging="567"/>
      </w:pPr>
      <w:r w:rsidRPr="00B844F6">
        <w:t xml:space="preserve">Contiguous kelp reefs. </w:t>
      </w:r>
    </w:p>
    <w:p w14:paraId="035FB276" w14:textId="77777777" w:rsidR="00613AF3" w:rsidRPr="00B844F6" w:rsidRDefault="00613AF3" w:rsidP="00110C57">
      <w:pPr>
        <w:pStyle w:val="Bullet2"/>
        <w:ind w:left="2127" w:hanging="567"/>
      </w:pPr>
      <w:r w:rsidRPr="00B844F6">
        <w:t xml:space="preserve">Patch sandy reefs. </w:t>
      </w:r>
    </w:p>
    <w:p w14:paraId="094E0C7F" w14:textId="77777777" w:rsidR="00613AF3" w:rsidRPr="00B844F6" w:rsidRDefault="00613AF3" w:rsidP="00110C57">
      <w:pPr>
        <w:pStyle w:val="Bullet2"/>
        <w:ind w:left="2127" w:hanging="567"/>
      </w:pPr>
      <w:r w:rsidRPr="00B844F6">
        <w:t xml:space="preserve">Sand. </w:t>
      </w:r>
    </w:p>
    <w:p w14:paraId="12421D63" w14:textId="77777777" w:rsidR="00613AF3" w:rsidRPr="00B844F6" w:rsidRDefault="00613AF3" w:rsidP="0036080A">
      <w:pPr>
        <w:pStyle w:val="Bullet1"/>
        <w:numPr>
          <w:ilvl w:val="0"/>
          <w:numId w:val="40"/>
        </w:numPr>
      </w:pPr>
      <w:r w:rsidRPr="00B844F6">
        <w:t xml:space="preserve">Mid-depth environment (8 to 20 m): </w:t>
      </w:r>
    </w:p>
    <w:p w14:paraId="0D6E09C1" w14:textId="77777777" w:rsidR="00613AF3" w:rsidRPr="00B844F6" w:rsidRDefault="00613AF3" w:rsidP="00110C57">
      <w:pPr>
        <w:pStyle w:val="Bullet2"/>
        <w:ind w:left="2127" w:hanging="567"/>
      </w:pPr>
      <w:r w:rsidRPr="00B844F6">
        <w:rPr>
          <w:i/>
        </w:rPr>
        <w:t>Eklonia</w:t>
      </w:r>
      <w:r w:rsidRPr="00B844F6">
        <w:t>-dominated reef.</w:t>
      </w:r>
    </w:p>
    <w:p w14:paraId="5178D9B9" w14:textId="77777777" w:rsidR="00613AF3" w:rsidRPr="00B844F6" w:rsidRDefault="00613AF3" w:rsidP="00110C57">
      <w:pPr>
        <w:pStyle w:val="Bullet2"/>
        <w:ind w:left="2127" w:hanging="567"/>
      </w:pPr>
      <w:r w:rsidRPr="00B844F6">
        <w:t>Sand</w:t>
      </w:r>
    </w:p>
    <w:p w14:paraId="24457948" w14:textId="77777777" w:rsidR="00613AF3" w:rsidRPr="00B844F6" w:rsidRDefault="00613AF3" w:rsidP="0036080A">
      <w:pPr>
        <w:pStyle w:val="Bullet1"/>
        <w:numPr>
          <w:ilvl w:val="0"/>
          <w:numId w:val="40"/>
        </w:numPr>
      </w:pPr>
      <w:r w:rsidRPr="00B844F6">
        <w:t xml:space="preserve">Deep environment (20 to 70 m): </w:t>
      </w:r>
    </w:p>
    <w:p w14:paraId="184A884A" w14:textId="77777777" w:rsidR="00613AF3" w:rsidRPr="00B844F6" w:rsidRDefault="00613AF3" w:rsidP="00110C57">
      <w:pPr>
        <w:pStyle w:val="Bullet2"/>
        <w:ind w:left="2127"/>
      </w:pPr>
      <w:r w:rsidRPr="00B844F6">
        <w:t>Sponge-dominated reef.</w:t>
      </w:r>
    </w:p>
    <w:p w14:paraId="7E5B3D25" w14:textId="77777777" w:rsidR="00613AF3" w:rsidRPr="001D74C5" w:rsidRDefault="00613AF3" w:rsidP="00110C57">
      <w:pPr>
        <w:pStyle w:val="Bullet2"/>
        <w:ind w:left="2127"/>
      </w:pPr>
      <w:r w:rsidRPr="00B844F6">
        <w:t>Sand.</w:t>
      </w:r>
    </w:p>
    <w:p w14:paraId="77CD851F" w14:textId="4306F750" w:rsidR="00D4596A" w:rsidRDefault="00B844F6" w:rsidP="00C70FB2">
      <w:pPr>
        <w:pStyle w:val="BodyText"/>
        <w:keepNext/>
        <w:sectPr w:rsidR="00D4596A" w:rsidSect="00E439A6">
          <w:pgSz w:w="11907" w:h="16840" w:code="9"/>
          <w:pgMar w:top="1924" w:right="1440" w:bottom="1440" w:left="1440" w:header="680" w:footer="284" w:gutter="0"/>
          <w:cols w:space="720"/>
          <w:docGrid w:linePitch="299"/>
        </w:sectPr>
      </w:pPr>
      <w:r w:rsidRPr="001D74C5">
        <w:t xml:space="preserve">These benthic environments are described in more detail below. </w:t>
      </w:r>
      <w:r w:rsidR="007B28C8">
        <w:rPr>
          <w:color w:val="0000FF"/>
        </w:rPr>
        <w:fldChar w:fldCharType="begin"/>
      </w:r>
      <w:r w:rsidR="007B28C8">
        <w:instrText xml:space="preserve"> REF _Ref483417840 \h </w:instrText>
      </w:r>
      <w:r w:rsidR="007B28C8">
        <w:rPr>
          <w:color w:val="0000FF"/>
        </w:rPr>
      </w:r>
      <w:r w:rsidR="007B28C8">
        <w:rPr>
          <w:color w:val="0000FF"/>
        </w:rPr>
        <w:fldChar w:fldCharType="separate"/>
      </w:r>
      <w:r w:rsidR="00CC4C35">
        <w:t xml:space="preserve">Figure </w:t>
      </w:r>
      <w:r w:rsidR="00CC4C35">
        <w:rPr>
          <w:noProof/>
        </w:rPr>
        <w:t>3</w:t>
      </w:r>
      <w:r w:rsidR="00CC4C35">
        <w:noBreakHyphen/>
      </w:r>
      <w:r w:rsidR="00CC4C35">
        <w:rPr>
          <w:noProof/>
        </w:rPr>
        <w:t>2</w:t>
      </w:r>
      <w:r w:rsidR="007B28C8">
        <w:rPr>
          <w:color w:val="0000FF"/>
        </w:rPr>
        <w:fldChar w:fldCharType="end"/>
      </w:r>
      <w:r w:rsidR="001D74C5" w:rsidRPr="001D74C5">
        <w:rPr>
          <w:color w:val="0000FF"/>
        </w:rPr>
        <w:t xml:space="preserve"> </w:t>
      </w:r>
      <w:r w:rsidRPr="001D74C5">
        <w:t>illustrates</w:t>
      </w:r>
      <w:r w:rsidRPr="00B844F6">
        <w:t xml:space="preserve"> the benthic habitats along the Casino pipeline as described herein</w:t>
      </w:r>
      <w:r>
        <w:t>.</w:t>
      </w:r>
    </w:p>
    <w:p w14:paraId="547D91BB" w14:textId="3B498FB8" w:rsidR="00D4596A" w:rsidRPr="00FA36A5" w:rsidRDefault="00D4596A" w:rsidP="003D7E6A">
      <w:pPr>
        <w:pStyle w:val="Caption"/>
        <w:outlineLvl w:val="9"/>
        <w:rPr>
          <w:lang w:val="fr-FR"/>
        </w:rPr>
      </w:pPr>
      <w:bookmarkStart w:id="75" w:name="_Ref483417840"/>
      <w:bookmarkStart w:id="76" w:name="_Toc510779251"/>
      <w:r>
        <w:lastRenderedPageBreak/>
        <w:t xml:space="preserve">Figure </w:t>
      </w:r>
      <w:fldSimple w:instr=" STYLEREF 1 \s ">
        <w:r w:rsidR="00CC4C35">
          <w:rPr>
            <w:noProof/>
          </w:rPr>
          <w:t>3</w:t>
        </w:r>
      </w:fldSimple>
      <w:r w:rsidR="00D3458F">
        <w:noBreakHyphen/>
      </w:r>
      <w:fldSimple w:instr=" SEQ Figure \* ARABIC \s 1 ">
        <w:r w:rsidR="00CC4C35">
          <w:rPr>
            <w:noProof/>
          </w:rPr>
          <w:t>2</w:t>
        </w:r>
      </w:fldSimple>
      <w:bookmarkEnd w:id="75"/>
      <w:r>
        <w:t xml:space="preserve">: </w:t>
      </w:r>
      <w:r>
        <w:rPr>
          <w:sz w:val="20"/>
          <w:szCs w:val="20"/>
          <w:lang w:val="fr-FR"/>
        </w:rPr>
        <w:t>Seabed habitat classification of the Casino Pipeline route</w:t>
      </w:r>
      <w:bookmarkEnd w:id="76"/>
    </w:p>
    <w:p w14:paraId="02E37C36" w14:textId="4FB8C7B6" w:rsidR="00D4596A" w:rsidRPr="00D4596A" w:rsidRDefault="00D4596A" w:rsidP="003D7E6A">
      <w:pPr>
        <w:keepNext/>
        <w:jc w:val="center"/>
        <w:outlineLvl w:val="9"/>
        <w:rPr>
          <w:lang w:val="fr-FR"/>
        </w:rPr>
        <w:sectPr w:rsidR="00D4596A" w:rsidRPr="00D4596A" w:rsidSect="00E439A6">
          <w:pgSz w:w="16840" w:h="11907" w:orient="landscape" w:code="9"/>
          <w:pgMar w:top="1945" w:right="2268" w:bottom="1440" w:left="1440" w:header="680" w:footer="284" w:gutter="0"/>
          <w:cols w:space="720"/>
          <w:docGrid w:linePitch="326"/>
        </w:sectPr>
      </w:pPr>
      <w:r w:rsidRPr="00D4596A">
        <w:rPr>
          <w:noProof/>
          <w:lang w:val="en-GB" w:eastAsia="en-GB"/>
        </w:rPr>
        <w:drawing>
          <wp:inline distT="0" distB="0" distL="0" distR="0" wp14:anchorId="7ED27644" wp14:editId="7B6E8632">
            <wp:extent cx="7177088" cy="4517885"/>
            <wp:effectExtent l="0" t="0" r="508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7177088" cy="4517885"/>
                    </a:xfrm>
                    <a:prstGeom prst="rect">
                      <a:avLst/>
                    </a:prstGeom>
                  </pic:spPr>
                </pic:pic>
              </a:graphicData>
            </a:graphic>
          </wp:inline>
        </w:drawing>
      </w:r>
    </w:p>
    <w:p w14:paraId="77309E8C" w14:textId="77777777" w:rsidR="00C050D3" w:rsidRDefault="00D35515" w:rsidP="00C52844">
      <w:pPr>
        <w:pStyle w:val="Heading3"/>
      </w:pPr>
      <w:bookmarkStart w:id="77" w:name="_Toc346898892"/>
      <w:bookmarkStart w:id="78" w:name="_Ref473518511"/>
      <w:r>
        <w:lastRenderedPageBreak/>
        <w:t>Plankton</w:t>
      </w:r>
      <w:bookmarkEnd w:id="77"/>
      <w:bookmarkEnd w:id="78"/>
    </w:p>
    <w:p w14:paraId="1F3F46B0" w14:textId="3F63AE36" w:rsidR="00C050D3" w:rsidRPr="001D74C5" w:rsidRDefault="00C050D3" w:rsidP="00C70FB2">
      <w:pPr>
        <w:pStyle w:val="BodyText"/>
        <w:keepNext/>
        <w:rPr>
          <w:szCs w:val="20"/>
        </w:rPr>
      </w:pPr>
      <w:r w:rsidRPr="001D74C5">
        <w:rPr>
          <w:szCs w:val="20"/>
        </w:rPr>
        <w:t xml:space="preserve">The seasonal Bonney Coast upwelling contributes to locally productive pelagic habitats that exhibit a range of zooplankton such as copepods, decapods, krill and gelatinous zooplankton. Of particular importance in the region is the coastal krill, </w:t>
      </w:r>
      <w:r w:rsidRPr="001D74C5">
        <w:rPr>
          <w:i/>
          <w:szCs w:val="20"/>
        </w:rPr>
        <w:t>Nyctiphanes australis</w:t>
      </w:r>
      <w:r w:rsidRPr="001D74C5">
        <w:rPr>
          <w:szCs w:val="20"/>
        </w:rPr>
        <w:t>, which swarms throughout the water column of continental shelf waters primarily in summer and autumn, feeding on microalgae and providing an important link in the blue whale food chain.</w:t>
      </w:r>
    </w:p>
    <w:p w14:paraId="1BC6C36F" w14:textId="77777777" w:rsidR="00C050D3" w:rsidRPr="00E06D6E" w:rsidRDefault="00C050D3" w:rsidP="00C52844">
      <w:pPr>
        <w:pStyle w:val="Heading3"/>
      </w:pPr>
      <w:bookmarkStart w:id="79" w:name="_Toc346898893"/>
      <w:r w:rsidRPr="00E06D6E">
        <w:t>Invertebrates</w:t>
      </w:r>
      <w:bookmarkEnd w:id="79"/>
    </w:p>
    <w:p w14:paraId="33442B14" w14:textId="77777777" w:rsidR="00C050D3" w:rsidRPr="001313DC" w:rsidRDefault="00C050D3" w:rsidP="001313DC">
      <w:pPr>
        <w:pStyle w:val="BodyText"/>
      </w:pPr>
      <w:r w:rsidRPr="001313DC">
        <w:t>The marine invertebrates in the region include:</w:t>
      </w:r>
    </w:p>
    <w:p w14:paraId="5935691E" w14:textId="77777777" w:rsidR="00C050D3" w:rsidRPr="001313DC" w:rsidRDefault="00C050D3" w:rsidP="0036080A">
      <w:pPr>
        <w:pStyle w:val="Bullet1"/>
        <w:numPr>
          <w:ilvl w:val="0"/>
          <w:numId w:val="40"/>
        </w:numPr>
      </w:pPr>
      <w:r w:rsidRPr="001313DC">
        <w:t>Porifera (e.g., sponges);</w:t>
      </w:r>
    </w:p>
    <w:p w14:paraId="710E8F58" w14:textId="77777777" w:rsidR="00C050D3" w:rsidRPr="001313DC" w:rsidRDefault="00C050D3" w:rsidP="0036080A">
      <w:pPr>
        <w:pStyle w:val="Bullet1"/>
        <w:numPr>
          <w:ilvl w:val="0"/>
          <w:numId w:val="40"/>
        </w:numPr>
      </w:pPr>
      <w:r w:rsidRPr="001313DC">
        <w:t>Cnidarians (e.g., jellyfish, corals, anemones, seapens);</w:t>
      </w:r>
    </w:p>
    <w:p w14:paraId="569E0EF0" w14:textId="77777777" w:rsidR="00C050D3" w:rsidRPr="001313DC" w:rsidRDefault="00C050D3" w:rsidP="0036080A">
      <w:pPr>
        <w:pStyle w:val="Bullet1"/>
        <w:numPr>
          <w:ilvl w:val="0"/>
          <w:numId w:val="40"/>
        </w:numPr>
      </w:pPr>
      <w:r w:rsidRPr="001313DC">
        <w:t>Bryozoans (microscopic filter feeders);</w:t>
      </w:r>
    </w:p>
    <w:p w14:paraId="08B003A7" w14:textId="77777777" w:rsidR="00C050D3" w:rsidRPr="001313DC" w:rsidRDefault="00C050D3" w:rsidP="0036080A">
      <w:pPr>
        <w:pStyle w:val="Bullet1"/>
        <w:numPr>
          <w:ilvl w:val="0"/>
          <w:numId w:val="40"/>
        </w:numPr>
      </w:pPr>
      <w:r w:rsidRPr="001313DC">
        <w:t xml:space="preserve">Arthropods (e.g., sea spiders); </w:t>
      </w:r>
    </w:p>
    <w:p w14:paraId="6388D7CF" w14:textId="77777777" w:rsidR="00C050D3" w:rsidRPr="001313DC" w:rsidRDefault="00C050D3" w:rsidP="0036080A">
      <w:pPr>
        <w:pStyle w:val="Bullet1"/>
        <w:numPr>
          <w:ilvl w:val="0"/>
          <w:numId w:val="40"/>
        </w:numPr>
      </w:pPr>
      <w:r w:rsidRPr="001313DC">
        <w:t>Crustaceans (e.g., rock lobster, krill);</w:t>
      </w:r>
    </w:p>
    <w:p w14:paraId="13CC1E9B" w14:textId="77777777" w:rsidR="00C050D3" w:rsidRPr="001313DC" w:rsidRDefault="00C050D3" w:rsidP="0036080A">
      <w:pPr>
        <w:pStyle w:val="Bullet1"/>
        <w:numPr>
          <w:ilvl w:val="0"/>
          <w:numId w:val="40"/>
        </w:numPr>
      </w:pPr>
      <w:r w:rsidRPr="001313DC">
        <w:t xml:space="preserve">Molluscs (e.g., bivalves, sea slugs, gastropods, abalone); </w:t>
      </w:r>
    </w:p>
    <w:p w14:paraId="18BEE432" w14:textId="77777777" w:rsidR="00C050D3" w:rsidRPr="001313DC" w:rsidRDefault="00C050D3" w:rsidP="0036080A">
      <w:pPr>
        <w:pStyle w:val="Bullet1"/>
        <w:numPr>
          <w:ilvl w:val="0"/>
          <w:numId w:val="40"/>
        </w:numPr>
      </w:pPr>
      <w:r w:rsidRPr="001313DC">
        <w:t xml:space="preserve">Echinoderms (e.g., urchins, sea cucumbers); and </w:t>
      </w:r>
    </w:p>
    <w:p w14:paraId="6E451B5E" w14:textId="77777777" w:rsidR="00C050D3" w:rsidRPr="001313DC" w:rsidRDefault="00C050D3" w:rsidP="0036080A">
      <w:pPr>
        <w:pStyle w:val="Bullet1"/>
        <w:numPr>
          <w:ilvl w:val="0"/>
          <w:numId w:val="40"/>
        </w:numPr>
      </w:pPr>
      <w:r w:rsidRPr="001313DC">
        <w:t>Annelids (e.g.</w:t>
      </w:r>
      <w:r w:rsidR="00B76BCD" w:rsidRPr="001313DC">
        <w:t>,</w:t>
      </w:r>
      <w:r w:rsidRPr="001313DC">
        <w:t xml:space="preserve"> polychaete worms).</w:t>
      </w:r>
    </w:p>
    <w:p w14:paraId="6C37D0BE" w14:textId="77777777" w:rsidR="00C050D3" w:rsidRDefault="00C050D3" w:rsidP="00C70FB2">
      <w:pPr>
        <w:pStyle w:val="BodyText"/>
        <w:keepNext/>
      </w:pPr>
      <w:r w:rsidRPr="001D74C5">
        <w:t xml:space="preserve">Studies by the Museum of Victoria (Wilson and Poore, 1987; Poore </w:t>
      </w:r>
      <w:r w:rsidRPr="001D74C5">
        <w:rPr>
          <w:i/>
        </w:rPr>
        <w:t>et al</w:t>
      </w:r>
      <w:r w:rsidRPr="001D74C5">
        <w:t>.</w:t>
      </w:r>
      <w:r w:rsidRPr="001D74C5">
        <w:rPr>
          <w:i/>
        </w:rPr>
        <w:t>,</w:t>
      </w:r>
      <w:r w:rsidRPr="001D74C5">
        <w:t xml:space="preserve"> 1985) found that invertebrate diversity was high in southern Australian waters although the distribution of species was patchy, with </w:t>
      </w:r>
      <w:r w:rsidRPr="00D21FF1">
        <w:t>little</w:t>
      </w:r>
      <w:r w:rsidRPr="001D74C5">
        <w:t xml:space="preserve"> evidence of any distinct biogeographic regions. Results of sampling in shallower inshore sediments reported high diversity and patchy distribution (Parry </w:t>
      </w:r>
      <w:r w:rsidRPr="001D74C5">
        <w:rPr>
          <w:i/>
        </w:rPr>
        <w:t>et al</w:t>
      </w:r>
      <w:r w:rsidRPr="001D74C5">
        <w:t>., 1990). In these areas crustaceans, polychaetes and molluscs were dominant.</w:t>
      </w:r>
    </w:p>
    <w:p w14:paraId="345002EF" w14:textId="77777777" w:rsidR="000D1089" w:rsidRDefault="00AD32EF" w:rsidP="00C52844">
      <w:pPr>
        <w:pStyle w:val="Heading3"/>
      </w:pPr>
      <w:bookmarkStart w:id="80" w:name="_Toc346898894"/>
      <w:bookmarkStart w:id="81" w:name="_Ref473518529"/>
      <w:r>
        <w:t>Fish</w:t>
      </w:r>
      <w:bookmarkEnd w:id="80"/>
      <w:bookmarkEnd w:id="81"/>
    </w:p>
    <w:p w14:paraId="7C8D52AD" w14:textId="77777777" w:rsidR="00D054E0" w:rsidRPr="001D74C5" w:rsidRDefault="00D054E0" w:rsidP="00C70FB2">
      <w:pPr>
        <w:pStyle w:val="BodyText"/>
        <w:keepNext/>
        <w:rPr>
          <w:szCs w:val="20"/>
        </w:rPr>
      </w:pPr>
      <w:r w:rsidRPr="001D74C5">
        <w:rPr>
          <w:szCs w:val="20"/>
        </w:rPr>
        <w:t xml:space="preserve">Fish species present in the </w:t>
      </w:r>
      <w:r w:rsidR="00B76BCD" w:rsidRPr="001D74C5">
        <w:rPr>
          <w:szCs w:val="20"/>
        </w:rPr>
        <w:t>EMBA</w:t>
      </w:r>
      <w:r w:rsidRPr="001D74C5">
        <w:rPr>
          <w:szCs w:val="20"/>
        </w:rPr>
        <w:t xml:space="preserve"> are largely cool temperate species, common within the South Eastern Marine Region. </w:t>
      </w:r>
    </w:p>
    <w:p w14:paraId="142D9200" w14:textId="596C2505" w:rsidR="002B3B6D" w:rsidRPr="001D74C5" w:rsidRDefault="000C5AB6" w:rsidP="00C70FB2">
      <w:pPr>
        <w:pStyle w:val="BodyText"/>
        <w:keepNext/>
        <w:rPr>
          <w:szCs w:val="20"/>
        </w:rPr>
      </w:pPr>
      <w:r w:rsidRPr="001D74C5">
        <w:rPr>
          <w:szCs w:val="20"/>
        </w:rPr>
        <w:t>Thirty-</w:t>
      </w:r>
      <w:r w:rsidR="001A5897" w:rsidRPr="001D74C5">
        <w:rPr>
          <w:szCs w:val="20"/>
        </w:rPr>
        <w:t>six</w:t>
      </w:r>
      <w:r w:rsidR="002B3B6D" w:rsidRPr="001D74C5">
        <w:rPr>
          <w:szCs w:val="20"/>
        </w:rPr>
        <w:t xml:space="preserve"> fish species are listed as having the potential to occur within the </w:t>
      </w:r>
      <w:r w:rsidR="00F01D34" w:rsidRPr="001D74C5">
        <w:rPr>
          <w:szCs w:val="20"/>
        </w:rPr>
        <w:t xml:space="preserve">EMBA </w:t>
      </w:r>
      <w:r w:rsidR="00431F74" w:rsidRPr="001D74C5">
        <w:rPr>
          <w:szCs w:val="20"/>
        </w:rPr>
        <w:t>on the EPBC Act PMST</w:t>
      </w:r>
      <w:r w:rsidRPr="001D74C5">
        <w:rPr>
          <w:szCs w:val="20"/>
        </w:rPr>
        <w:t xml:space="preserve"> (30 of which are pipefish, pipehorse</w:t>
      </w:r>
      <w:r w:rsidR="001D74C5">
        <w:rPr>
          <w:szCs w:val="20"/>
        </w:rPr>
        <w:t>s</w:t>
      </w:r>
      <w:r w:rsidRPr="001D74C5">
        <w:rPr>
          <w:szCs w:val="20"/>
        </w:rPr>
        <w:t xml:space="preserve"> and seahorses)</w:t>
      </w:r>
      <w:r w:rsidR="00431F74" w:rsidRPr="001D74C5">
        <w:rPr>
          <w:szCs w:val="20"/>
        </w:rPr>
        <w:t xml:space="preserve"> </w:t>
      </w:r>
      <w:r w:rsidRPr="001D74C5">
        <w:rPr>
          <w:szCs w:val="20"/>
        </w:rPr>
        <w:t>(</w:t>
      </w:r>
      <w:r w:rsidR="001D74C5">
        <w:rPr>
          <w:color w:val="FF0000"/>
          <w:szCs w:val="20"/>
        </w:rPr>
        <w:fldChar w:fldCharType="begin"/>
      </w:r>
      <w:r w:rsidR="001D74C5">
        <w:rPr>
          <w:szCs w:val="20"/>
        </w:rPr>
        <w:instrText xml:space="preserve"> REF _Ref473347300 \h </w:instrText>
      </w:r>
      <w:r w:rsidR="001D74C5">
        <w:rPr>
          <w:color w:val="FF0000"/>
          <w:szCs w:val="20"/>
        </w:rPr>
      </w:r>
      <w:r w:rsidR="001D74C5">
        <w:rPr>
          <w:color w:val="FF0000"/>
          <w:szCs w:val="20"/>
        </w:rPr>
        <w:fldChar w:fldCharType="separate"/>
      </w:r>
      <w:r w:rsidR="00CC4C35" w:rsidRPr="001D74C5">
        <w:rPr>
          <w:szCs w:val="20"/>
        </w:rPr>
        <w:t xml:space="preserve">Table </w:t>
      </w:r>
      <w:r w:rsidR="00CC4C35">
        <w:rPr>
          <w:noProof/>
          <w:szCs w:val="20"/>
        </w:rPr>
        <w:t>3</w:t>
      </w:r>
      <w:r w:rsidR="00CC4C35">
        <w:rPr>
          <w:szCs w:val="20"/>
        </w:rPr>
        <w:noBreakHyphen/>
      </w:r>
      <w:r w:rsidR="00CC4C35">
        <w:rPr>
          <w:noProof/>
          <w:szCs w:val="20"/>
        </w:rPr>
        <w:t>1</w:t>
      </w:r>
      <w:r w:rsidR="001D74C5">
        <w:rPr>
          <w:color w:val="FF0000"/>
          <w:szCs w:val="20"/>
        </w:rPr>
        <w:fldChar w:fldCharType="end"/>
      </w:r>
      <w:r w:rsidRPr="001D74C5">
        <w:rPr>
          <w:szCs w:val="20"/>
        </w:rPr>
        <w:t>)</w:t>
      </w:r>
      <w:r w:rsidR="002B3B6D" w:rsidRPr="001D74C5">
        <w:rPr>
          <w:szCs w:val="20"/>
        </w:rPr>
        <w:t>.</w:t>
      </w:r>
      <w:r w:rsidR="00F01D34" w:rsidRPr="001D74C5">
        <w:rPr>
          <w:szCs w:val="20"/>
        </w:rPr>
        <w:t xml:space="preserve"> </w:t>
      </w:r>
    </w:p>
    <w:p w14:paraId="258B8684" w14:textId="53563E1A" w:rsidR="00CE500A" w:rsidRPr="001D74C5" w:rsidRDefault="001D74C5" w:rsidP="00213285">
      <w:pPr>
        <w:pStyle w:val="Caption"/>
        <w:outlineLvl w:val="9"/>
        <w:rPr>
          <w:rFonts w:cs="Arial"/>
          <w:sz w:val="20"/>
          <w:szCs w:val="20"/>
        </w:rPr>
      </w:pPr>
      <w:bookmarkStart w:id="82" w:name="_Ref473347300"/>
      <w:bookmarkStart w:id="83" w:name="_Toc511032580"/>
      <w:r w:rsidRPr="001D74C5">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3</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1</w:t>
      </w:r>
      <w:r w:rsidR="00103328">
        <w:rPr>
          <w:sz w:val="20"/>
          <w:szCs w:val="20"/>
        </w:rPr>
        <w:fldChar w:fldCharType="end"/>
      </w:r>
      <w:bookmarkEnd w:id="82"/>
      <w:r w:rsidRPr="001D74C5">
        <w:rPr>
          <w:sz w:val="20"/>
          <w:szCs w:val="20"/>
        </w:rPr>
        <w:t>:</w:t>
      </w:r>
      <w:r w:rsidR="00F3228E">
        <w:rPr>
          <w:rFonts w:cs="Arial"/>
          <w:sz w:val="20"/>
          <w:szCs w:val="20"/>
        </w:rPr>
        <w:t xml:space="preserve"> </w:t>
      </w:r>
      <w:r w:rsidR="002B3B6D" w:rsidRPr="001D74C5">
        <w:rPr>
          <w:rFonts w:cs="Arial"/>
          <w:sz w:val="20"/>
          <w:szCs w:val="20"/>
        </w:rPr>
        <w:t xml:space="preserve">EPBC Act-listed fish species that may occur </w:t>
      </w:r>
      <w:r w:rsidR="00787F3E" w:rsidRPr="001D74C5">
        <w:rPr>
          <w:rFonts w:cs="Arial"/>
          <w:sz w:val="20"/>
          <w:szCs w:val="20"/>
        </w:rPr>
        <w:t>in the EMBA</w:t>
      </w:r>
      <w:bookmarkEnd w:id="83"/>
    </w:p>
    <w:tbl>
      <w:tblPr>
        <w:tblW w:w="0" w:type="auto"/>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1623"/>
        <w:gridCol w:w="1116"/>
        <w:gridCol w:w="1153"/>
        <w:gridCol w:w="1026"/>
        <w:gridCol w:w="867"/>
        <w:gridCol w:w="1143"/>
        <w:gridCol w:w="901"/>
        <w:gridCol w:w="1096"/>
      </w:tblGrid>
      <w:tr w:rsidR="00FD5486" w:rsidRPr="001D74C5" w14:paraId="6001D5F5" w14:textId="77777777" w:rsidTr="006B0B83">
        <w:trPr>
          <w:trHeight w:val="166"/>
          <w:tblHeader/>
        </w:trPr>
        <w:tc>
          <w:tcPr>
            <w:tcW w:w="1650" w:type="dxa"/>
            <w:vMerge w:val="restart"/>
            <w:tcBorders>
              <w:right w:val="single" w:sz="6" w:space="0" w:color="F2F2F2"/>
            </w:tcBorders>
            <w:shd w:val="clear" w:color="auto" w:fill="A6A6A6"/>
            <w:tcMar>
              <w:top w:w="142" w:type="dxa"/>
            </w:tcMar>
          </w:tcPr>
          <w:p w14:paraId="74B44D9E" w14:textId="77777777" w:rsidR="001A4431" w:rsidRPr="001D74C5" w:rsidRDefault="001A4431" w:rsidP="001D74C5">
            <w:pPr>
              <w:spacing w:before="40" w:after="40"/>
              <w:jc w:val="center"/>
              <w:rPr>
                <w:rFonts w:cs="Arial"/>
                <w:b/>
                <w:sz w:val="16"/>
                <w:szCs w:val="16"/>
              </w:rPr>
            </w:pPr>
            <w:r w:rsidRPr="001D74C5">
              <w:rPr>
                <w:rFonts w:cs="Arial"/>
                <w:b/>
                <w:sz w:val="16"/>
                <w:szCs w:val="16"/>
              </w:rPr>
              <w:t>Scientific name</w:t>
            </w:r>
          </w:p>
        </w:tc>
        <w:tc>
          <w:tcPr>
            <w:tcW w:w="1135" w:type="dxa"/>
            <w:vMerge w:val="restart"/>
            <w:tcBorders>
              <w:left w:val="single" w:sz="6" w:space="0" w:color="F2F2F2"/>
              <w:right w:val="single" w:sz="6" w:space="0" w:color="F2F2F2"/>
            </w:tcBorders>
            <w:shd w:val="clear" w:color="auto" w:fill="A6A6A6"/>
            <w:tcMar>
              <w:top w:w="142" w:type="dxa"/>
            </w:tcMar>
          </w:tcPr>
          <w:p w14:paraId="4412942B" w14:textId="77777777" w:rsidR="001A4431" w:rsidRPr="001D74C5" w:rsidRDefault="001A4431" w:rsidP="001D74C5">
            <w:pPr>
              <w:spacing w:before="40" w:after="40"/>
              <w:jc w:val="center"/>
              <w:rPr>
                <w:rFonts w:cs="Arial"/>
                <w:b/>
                <w:sz w:val="16"/>
                <w:szCs w:val="16"/>
              </w:rPr>
            </w:pPr>
            <w:r w:rsidRPr="001D74C5">
              <w:rPr>
                <w:rFonts w:cs="Arial"/>
                <w:b/>
                <w:sz w:val="16"/>
                <w:szCs w:val="16"/>
              </w:rPr>
              <w:t>Common name</w:t>
            </w:r>
          </w:p>
        </w:tc>
        <w:tc>
          <w:tcPr>
            <w:tcW w:w="3101" w:type="dxa"/>
            <w:gridSpan w:val="3"/>
            <w:tcBorders>
              <w:left w:val="single" w:sz="6" w:space="0" w:color="F2F2F2"/>
              <w:right w:val="single" w:sz="6" w:space="0" w:color="F2F2F2"/>
            </w:tcBorders>
            <w:shd w:val="clear" w:color="auto" w:fill="A6A6A6"/>
            <w:tcMar>
              <w:top w:w="142" w:type="dxa"/>
            </w:tcMar>
          </w:tcPr>
          <w:p w14:paraId="17CB1382" w14:textId="77777777" w:rsidR="001A4431" w:rsidRPr="001D74C5" w:rsidRDefault="001A4431" w:rsidP="001D74C5">
            <w:pPr>
              <w:spacing w:before="40" w:after="40"/>
              <w:jc w:val="center"/>
              <w:rPr>
                <w:rFonts w:cs="Arial"/>
                <w:b/>
                <w:sz w:val="16"/>
                <w:szCs w:val="16"/>
              </w:rPr>
            </w:pPr>
            <w:r w:rsidRPr="001D74C5">
              <w:rPr>
                <w:rFonts w:cs="Arial"/>
                <w:b/>
                <w:sz w:val="16"/>
                <w:szCs w:val="16"/>
              </w:rPr>
              <w:t>EPBC Act status</w:t>
            </w:r>
          </w:p>
        </w:tc>
        <w:tc>
          <w:tcPr>
            <w:tcW w:w="1193" w:type="dxa"/>
            <w:vMerge w:val="restart"/>
            <w:tcBorders>
              <w:left w:val="single" w:sz="6" w:space="0" w:color="F2F2F2"/>
              <w:right w:val="single" w:sz="6" w:space="0" w:color="F2F2F2"/>
            </w:tcBorders>
            <w:shd w:val="clear" w:color="auto" w:fill="A6A6A6"/>
            <w:tcMar>
              <w:top w:w="142" w:type="dxa"/>
            </w:tcMar>
          </w:tcPr>
          <w:p w14:paraId="64B82C8E" w14:textId="35552830" w:rsidR="001A4431" w:rsidRPr="001D74C5" w:rsidRDefault="009816F8" w:rsidP="001D74C5">
            <w:pPr>
              <w:spacing w:before="40" w:after="40"/>
              <w:jc w:val="center"/>
              <w:rPr>
                <w:rFonts w:cs="Arial"/>
                <w:b/>
                <w:sz w:val="16"/>
                <w:szCs w:val="16"/>
              </w:rPr>
            </w:pPr>
            <w:r w:rsidRPr="001D74C5">
              <w:rPr>
                <w:rFonts w:cs="Arial"/>
                <w:b/>
                <w:sz w:val="16"/>
                <w:szCs w:val="16"/>
              </w:rPr>
              <w:t>FFG Act status</w:t>
            </w:r>
          </w:p>
        </w:tc>
        <w:tc>
          <w:tcPr>
            <w:tcW w:w="917" w:type="dxa"/>
            <w:vMerge w:val="restart"/>
            <w:tcBorders>
              <w:left w:val="single" w:sz="6" w:space="0" w:color="F2F2F2"/>
              <w:right w:val="single" w:sz="6" w:space="0" w:color="F2F2F2"/>
            </w:tcBorders>
            <w:shd w:val="clear" w:color="auto" w:fill="A6A6A6"/>
            <w:tcMar>
              <w:top w:w="142" w:type="dxa"/>
            </w:tcMar>
          </w:tcPr>
          <w:p w14:paraId="0892249F" w14:textId="77777777" w:rsidR="001A4431" w:rsidRPr="001D74C5" w:rsidRDefault="001A4431" w:rsidP="001D74C5">
            <w:pPr>
              <w:spacing w:before="40" w:after="40"/>
              <w:jc w:val="center"/>
              <w:rPr>
                <w:rFonts w:cs="Arial"/>
                <w:b/>
                <w:sz w:val="16"/>
                <w:szCs w:val="16"/>
              </w:rPr>
            </w:pPr>
            <w:r w:rsidRPr="001D74C5">
              <w:rPr>
                <w:rFonts w:cs="Arial"/>
                <w:b/>
                <w:sz w:val="16"/>
                <w:szCs w:val="16"/>
              </w:rPr>
              <w:t>BIA within the EMBA</w:t>
            </w:r>
            <w:r w:rsidR="00A07596" w:rsidRPr="001D74C5">
              <w:rPr>
                <w:rFonts w:cs="Arial"/>
                <w:b/>
                <w:sz w:val="16"/>
                <w:szCs w:val="16"/>
              </w:rPr>
              <w:t>?</w:t>
            </w:r>
          </w:p>
        </w:tc>
        <w:tc>
          <w:tcPr>
            <w:tcW w:w="1116" w:type="dxa"/>
            <w:vMerge w:val="restart"/>
            <w:tcBorders>
              <w:left w:val="single" w:sz="6" w:space="0" w:color="F2F2F2"/>
            </w:tcBorders>
            <w:shd w:val="clear" w:color="auto" w:fill="A6A6A6"/>
            <w:tcMar>
              <w:top w:w="142" w:type="dxa"/>
            </w:tcMar>
          </w:tcPr>
          <w:p w14:paraId="6993A3DA" w14:textId="46C7F09F" w:rsidR="001A4431" w:rsidRPr="001D74C5" w:rsidRDefault="001A4431" w:rsidP="001D74C5">
            <w:pPr>
              <w:spacing w:before="40" w:after="40"/>
              <w:jc w:val="center"/>
              <w:rPr>
                <w:rFonts w:cs="Arial"/>
                <w:b/>
                <w:sz w:val="16"/>
                <w:szCs w:val="16"/>
              </w:rPr>
            </w:pPr>
            <w:r w:rsidRPr="001D74C5">
              <w:rPr>
                <w:rFonts w:cs="Arial"/>
                <w:b/>
                <w:sz w:val="16"/>
                <w:szCs w:val="16"/>
              </w:rPr>
              <w:t xml:space="preserve">Recovery plan </w:t>
            </w:r>
            <w:r w:rsidR="00556DB8" w:rsidRPr="001D74C5">
              <w:rPr>
                <w:rFonts w:cs="Arial"/>
                <w:b/>
                <w:sz w:val="16"/>
                <w:szCs w:val="16"/>
              </w:rPr>
              <w:t>etc</w:t>
            </w:r>
            <w:r w:rsidR="001D74C5" w:rsidRPr="001D74C5">
              <w:rPr>
                <w:rFonts w:cs="Arial"/>
                <w:b/>
                <w:sz w:val="16"/>
                <w:szCs w:val="16"/>
              </w:rPr>
              <w:t>.</w:t>
            </w:r>
            <w:r w:rsidR="00556DB8" w:rsidRPr="001D74C5">
              <w:rPr>
                <w:rFonts w:cs="Arial"/>
                <w:b/>
                <w:sz w:val="16"/>
                <w:szCs w:val="16"/>
              </w:rPr>
              <w:t xml:space="preserve"> </w:t>
            </w:r>
            <w:r w:rsidRPr="001D74C5">
              <w:rPr>
                <w:rFonts w:cs="Arial"/>
                <w:b/>
                <w:sz w:val="16"/>
                <w:szCs w:val="16"/>
              </w:rPr>
              <w:t>in place?</w:t>
            </w:r>
          </w:p>
        </w:tc>
      </w:tr>
      <w:tr w:rsidR="00FD5486" w:rsidRPr="001D74C5" w14:paraId="7940F39F" w14:textId="77777777" w:rsidTr="006B0B83">
        <w:trPr>
          <w:trHeight w:val="165"/>
          <w:tblHeader/>
        </w:trPr>
        <w:tc>
          <w:tcPr>
            <w:tcW w:w="1650" w:type="dxa"/>
            <w:vMerge/>
            <w:shd w:val="clear" w:color="auto" w:fill="auto"/>
          </w:tcPr>
          <w:p w14:paraId="417A0A32" w14:textId="77777777" w:rsidR="00CE500A" w:rsidRPr="001D74C5" w:rsidRDefault="00CE500A" w:rsidP="001D74C5">
            <w:pPr>
              <w:spacing w:before="40" w:after="40"/>
              <w:jc w:val="center"/>
              <w:rPr>
                <w:rFonts w:cs="Arial"/>
                <w:b/>
                <w:sz w:val="16"/>
                <w:szCs w:val="16"/>
              </w:rPr>
            </w:pPr>
          </w:p>
        </w:tc>
        <w:tc>
          <w:tcPr>
            <w:tcW w:w="1135" w:type="dxa"/>
            <w:vMerge/>
            <w:shd w:val="clear" w:color="auto" w:fill="auto"/>
          </w:tcPr>
          <w:p w14:paraId="01E5F31D" w14:textId="77777777" w:rsidR="00CE500A" w:rsidRPr="001D74C5" w:rsidRDefault="00CE500A" w:rsidP="001D74C5">
            <w:pPr>
              <w:spacing w:before="40" w:after="40"/>
              <w:jc w:val="center"/>
              <w:rPr>
                <w:rFonts w:cs="Arial"/>
                <w:b/>
                <w:sz w:val="16"/>
                <w:szCs w:val="16"/>
              </w:rPr>
            </w:pPr>
          </w:p>
        </w:tc>
        <w:tc>
          <w:tcPr>
            <w:tcW w:w="1174" w:type="dxa"/>
            <w:shd w:val="clear" w:color="auto" w:fill="A6A6A6"/>
          </w:tcPr>
          <w:p w14:paraId="6DAC55EE" w14:textId="77777777" w:rsidR="00CE500A" w:rsidRPr="001D74C5" w:rsidRDefault="00CE500A" w:rsidP="001D74C5">
            <w:pPr>
              <w:spacing w:before="40" w:after="40"/>
              <w:jc w:val="center"/>
              <w:rPr>
                <w:rFonts w:cs="Arial"/>
                <w:sz w:val="16"/>
                <w:szCs w:val="16"/>
              </w:rPr>
            </w:pPr>
            <w:r w:rsidRPr="001D74C5">
              <w:rPr>
                <w:rFonts w:cs="Arial"/>
                <w:sz w:val="16"/>
                <w:szCs w:val="16"/>
              </w:rPr>
              <w:t>Listed threatened species</w:t>
            </w:r>
          </w:p>
        </w:tc>
        <w:tc>
          <w:tcPr>
            <w:tcW w:w="1045" w:type="dxa"/>
            <w:shd w:val="clear" w:color="auto" w:fill="A6A6A6"/>
          </w:tcPr>
          <w:p w14:paraId="076986B9" w14:textId="77777777" w:rsidR="00CE500A" w:rsidRPr="001D74C5" w:rsidRDefault="00CE500A" w:rsidP="001D74C5">
            <w:pPr>
              <w:spacing w:before="40" w:after="40"/>
              <w:jc w:val="center"/>
              <w:rPr>
                <w:rFonts w:cs="Arial"/>
                <w:sz w:val="16"/>
                <w:szCs w:val="16"/>
              </w:rPr>
            </w:pPr>
            <w:r w:rsidRPr="001D74C5">
              <w:rPr>
                <w:rFonts w:cs="Arial"/>
                <w:sz w:val="16"/>
                <w:szCs w:val="16"/>
              </w:rPr>
              <w:t>Listed migratory species</w:t>
            </w:r>
          </w:p>
        </w:tc>
        <w:tc>
          <w:tcPr>
            <w:tcW w:w="882" w:type="dxa"/>
            <w:shd w:val="clear" w:color="auto" w:fill="A6A6A6"/>
          </w:tcPr>
          <w:p w14:paraId="766229F7" w14:textId="77777777" w:rsidR="00CE500A" w:rsidRPr="001D74C5" w:rsidRDefault="00CE500A" w:rsidP="001D74C5">
            <w:pPr>
              <w:spacing w:before="40" w:after="40"/>
              <w:jc w:val="center"/>
              <w:rPr>
                <w:rFonts w:cs="Arial"/>
                <w:sz w:val="16"/>
                <w:szCs w:val="16"/>
              </w:rPr>
            </w:pPr>
            <w:r w:rsidRPr="001D74C5">
              <w:rPr>
                <w:rFonts w:cs="Arial"/>
                <w:sz w:val="16"/>
                <w:szCs w:val="16"/>
              </w:rPr>
              <w:t>Listed marine species</w:t>
            </w:r>
          </w:p>
        </w:tc>
        <w:tc>
          <w:tcPr>
            <w:tcW w:w="1193" w:type="dxa"/>
            <w:vMerge/>
            <w:shd w:val="clear" w:color="auto" w:fill="auto"/>
          </w:tcPr>
          <w:p w14:paraId="2EF0E2DD" w14:textId="77777777" w:rsidR="00CE500A" w:rsidRPr="001D74C5" w:rsidRDefault="00CE500A" w:rsidP="001D74C5">
            <w:pPr>
              <w:spacing w:before="40" w:after="40"/>
              <w:jc w:val="center"/>
              <w:rPr>
                <w:rFonts w:cs="Arial"/>
                <w:b/>
                <w:sz w:val="16"/>
                <w:szCs w:val="16"/>
              </w:rPr>
            </w:pPr>
          </w:p>
        </w:tc>
        <w:tc>
          <w:tcPr>
            <w:tcW w:w="917" w:type="dxa"/>
            <w:vMerge/>
            <w:shd w:val="clear" w:color="auto" w:fill="auto"/>
          </w:tcPr>
          <w:p w14:paraId="6A3C151E" w14:textId="77777777" w:rsidR="00CE500A" w:rsidRPr="001D74C5" w:rsidRDefault="00CE500A" w:rsidP="001D74C5">
            <w:pPr>
              <w:spacing w:before="40" w:after="40"/>
              <w:jc w:val="center"/>
              <w:rPr>
                <w:rFonts w:cs="Arial"/>
                <w:b/>
                <w:sz w:val="16"/>
                <w:szCs w:val="16"/>
              </w:rPr>
            </w:pPr>
          </w:p>
        </w:tc>
        <w:tc>
          <w:tcPr>
            <w:tcW w:w="1116" w:type="dxa"/>
            <w:vMerge/>
            <w:shd w:val="clear" w:color="auto" w:fill="auto"/>
          </w:tcPr>
          <w:p w14:paraId="1E032220" w14:textId="77777777" w:rsidR="00CE500A" w:rsidRPr="001D74C5" w:rsidRDefault="00CE500A" w:rsidP="001D74C5">
            <w:pPr>
              <w:spacing w:before="40" w:after="40"/>
              <w:jc w:val="center"/>
              <w:rPr>
                <w:rFonts w:cs="Arial"/>
                <w:b/>
                <w:sz w:val="16"/>
                <w:szCs w:val="16"/>
              </w:rPr>
            </w:pPr>
          </w:p>
        </w:tc>
      </w:tr>
      <w:tr w:rsidR="00D079A1" w:rsidRPr="001D74C5" w14:paraId="0B61FFC4" w14:textId="77777777" w:rsidTr="00D079A1">
        <w:tc>
          <w:tcPr>
            <w:tcW w:w="9112" w:type="dxa"/>
            <w:gridSpan w:val="8"/>
            <w:shd w:val="clear" w:color="auto" w:fill="F2F2F2"/>
            <w:vAlign w:val="center"/>
          </w:tcPr>
          <w:p w14:paraId="39A85F6F" w14:textId="24CA1786" w:rsidR="00D079A1" w:rsidRPr="001D74C5" w:rsidRDefault="00D079A1" w:rsidP="001D74C5">
            <w:pPr>
              <w:spacing w:before="40" w:after="40"/>
              <w:rPr>
                <w:rFonts w:cs="Arial"/>
                <w:b/>
                <w:sz w:val="16"/>
                <w:szCs w:val="16"/>
              </w:rPr>
            </w:pPr>
            <w:r w:rsidRPr="001D74C5">
              <w:rPr>
                <w:rFonts w:cs="Arial"/>
                <w:b/>
                <w:sz w:val="16"/>
                <w:szCs w:val="16"/>
              </w:rPr>
              <w:t>Freshwater</w:t>
            </w:r>
          </w:p>
        </w:tc>
      </w:tr>
      <w:tr w:rsidR="00FD5486" w:rsidRPr="001D74C5" w14:paraId="378D7F37" w14:textId="77777777" w:rsidTr="006142A4">
        <w:tc>
          <w:tcPr>
            <w:tcW w:w="1650" w:type="dxa"/>
            <w:shd w:val="clear" w:color="auto" w:fill="auto"/>
          </w:tcPr>
          <w:p w14:paraId="499DBEE5" w14:textId="77777777" w:rsidR="00137898" w:rsidRPr="001D74C5" w:rsidRDefault="00137898" w:rsidP="001D74C5">
            <w:pPr>
              <w:spacing w:before="40" w:after="40"/>
              <w:rPr>
                <w:rFonts w:cs="Arial"/>
                <w:b/>
                <w:sz w:val="16"/>
                <w:szCs w:val="16"/>
              </w:rPr>
            </w:pPr>
            <w:r w:rsidRPr="001D74C5">
              <w:rPr>
                <w:rFonts w:cs="Arial"/>
                <w:i/>
                <w:sz w:val="16"/>
                <w:szCs w:val="16"/>
              </w:rPr>
              <w:t>Galaxiella pusilla</w:t>
            </w:r>
          </w:p>
        </w:tc>
        <w:tc>
          <w:tcPr>
            <w:tcW w:w="1135" w:type="dxa"/>
            <w:shd w:val="clear" w:color="auto" w:fill="auto"/>
            <w:vAlign w:val="center"/>
          </w:tcPr>
          <w:p w14:paraId="43B135FA" w14:textId="77777777" w:rsidR="00137898" w:rsidRPr="001D74C5" w:rsidRDefault="00137898" w:rsidP="001D74C5">
            <w:pPr>
              <w:spacing w:before="40" w:after="40"/>
              <w:rPr>
                <w:rFonts w:cs="Arial"/>
                <w:b/>
                <w:sz w:val="16"/>
                <w:szCs w:val="16"/>
              </w:rPr>
            </w:pPr>
            <w:r w:rsidRPr="001D74C5">
              <w:rPr>
                <w:rFonts w:cs="Arial"/>
                <w:sz w:val="16"/>
                <w:szCs w:val="16"/>
              </w:rPr>
              <w:t>Dwarf galaxias</w:t>
            </w:r>
          </w:p>
        </w:tc>
        <w:tc>
          <w:tcPr>
            <w:tcW w:w="1174" w:type="dxa"/>
            <w:shd w:val="clear" w:color="auto" w:fill="auto"/>
            <w:vAlign w:val="center"/>
          </w:tcPr>
          <w:p w14:paraId="0070890C" w14:textId="1E7D1F4F" w:rsidR="00137898" w:rsidRPr="001D74C5" w:rsidRDefault="00984146" w:rsidP="001D74C5">
            <w:pPr>
              <w:spacing w:before="40" w:after="40"/>
              <w:jc w:val="center"/>
              <w:rPr>
                <w:rFonts w:cs="Arial"/>
                <w:b/>
                <w:sz w:val="16"/>
                <w:szCs w:val="16"/>
              </w:rPr>
            </w:pPr>
            <w:r w:rsidRPr="001D74C5">
              <w:rPr>
                <w:rFonts w:cs="Arial"/>
                <w:sz w:val="16"/>
                <w:szCs w:val="16"/>
              </w:rPr>
              <w:t>V</w:t>
            </w:r>
          </w:p>
        </w:tc>
        <w:tc>
          <w:tcPr>
            <w:tcW w:w="1045" w:type="dxa"/>
            <w:shd w:val="clear" w:color="auto" w:fill="auto"/>
            <w:vAlign w:val="center"/>
          </w:tcPr>
          <w:p w14:paraId="784640F0" w14:textId="77777777" w:rsidR="00137898" w:rsidRPr="001D74C5" w:rsidRDefault="00CA33B6" w:rsidP="001D74C5">
            <w:pPr>
              <w:spacing w:before="40" w:after="40"/>
              <w:jc w:val="center"/>
              <w:rPr>
                <w:rFonts w:cs="Arial"/>
                <w:sz w:val="16"/>
                <w:szCs w:val="16"/>
              </w:rPr>
            </w:pPr>
            <w:r w:rsidRPr="001D74C5">
              <w:rPr>
                <w:rFonts w:cs="Arial"/>
                <w:sz w:val="16"/>
                <w:szCs w:val="16"/>
              </w:rPr>
              <w:t>-</w:t>
            </w:r>
          </w:p>
        </w:tc>
        <w:tc>
          <w:tcPr>
            <w:tcW w:w="882" w:type="dxa"/>
            <w:shd w:val="clear" w:color="auto" w:fill="auto"/>
            <w:vAlign w:val="center"/>
          </w:tcPr>
          <w:p w14:paraId="3A361E24" w14:textId="77777777" w:rsidR="00137898" w:rsidRPr="001D74C5" w:rsidRDefault="000A4BA1" w:rsidP="001D74C5">
            <w:pPr>
              <w:spacing w:before="40" w:after="40"/>
              <w:jc w:val="center"/>
              <w:rPr>
                <w:rFonts w:cs="Arial"/>
                <w:sz w:val="16"/>
                <w:szCs w:val="16"/>
              </w:rPr>
            </w:pPr>
            <w:r w:rsidRPr="001D74C5">
              <w:rPr>
                <w:rFonts w:cs="Arial"/>
                <w:sz w:val="16"/>
                <w:szCs w:val="16"/>
              </w:rPr>
              <w:t>-</w:t>
            </w:r>
          </w:p>
        </w:tc>
        <w:tc>
          <w:tcPr>
            <w:tcW w:w="1193" w:type="dxa"/>
            <w:shd w:val="clear" w:color="auto" w:fill="auto"/>
            <w:vAlign w:val="center"/>
          </w:tcPr>
          <w:p w14:paraId="492F201F" w14:textId="7D2FECF5" w:rsidR="00137898" w:rsidRPr="001D74C5" w:rsidRDefault="00556DB8" w:rsidP="001D74C5">
            <w:pPr>
              <w:spacing w:before="40" w:after="40"/>
              <w:jc w:val="center"/>
              <w:rPr>
                <w:rFonts w:cs="Arial"/>
                <w:sz w:val="16"/>
                <w:szCs w:val="16"/>
              </w:rPr>
            </w:pPr>
            <w:r w:rsidRPr="001D74C5">
              <w:rPr>
                <w:rFonts w:cs="Arial"/>
                <w:sz w:val="16"/>
                <w:szCs w:val="16"/>
              </w:rPr>
              <w:t>T</w:t>
            </w:r>
          </w:p>
        </w:tc>
        <w:tc>
          <w:tcPr>
            <w:tcW w:w="917" w:type="dxa"/>
            <w:shd w:val="clear" w:color="auto" w:fill="auto"/>
            <w:vAlign w:val="center"/>
          </w:tcPr>
          <w:p w14:paraId="2FF02552" w14:textId="4632F91D" w:rsidR="00137898" w:rsidRPr="001D74C5" w:rsidRDefault="006142A4" w:rsidP="001D74C5">
            <w:pPr>
              <w:spacing w:before="40" w:after="40"/>
              <w:jc w:val="center"/>
              <w:rPr>
                <w:rFonts w:cs="Arial"/>
                <w:sz w:val="16"/>
                <w:szCs w:val="16"/>
              </w:rPr>
            </w:pPr>
            <w:r w:rsidRPr="001D74C5">
              <w:rPr>
                <w:rFonts w:cs="Arial"/>
                <w:sz w:val="16"/>
                <w:szCs w:val="16"/>
              </w:rPr>
              <w:t>-</w:t>
            </w:r>
          </w:p>
        </w:tc>
        <w:tc>
          <w:tcPr>
            <w:tcW w:w="1116" w:type="dxa"/>
            <w:shd w:val="clear" w:color="auto" w:fill="auto"/>
            <w:vAlign w:val="center"/>
          </w:tcPr>
          <w:p w14:paraId="2AD48F62" w14:textId="16E533C8" w:rsidR="00137898" w:rsidRPr="001D74C5" w:rsidRDefault="00556DB8" w:rsidP="001D74C5">
            <w:pPr>
              <w:spacing w:before="40" w:after="40"/>
              <w:jc w:val="center"/>
              <w:rPr>
                <w:rFonts w:cs="Arial"/>
                <w:sz w:val="16"/>
                <w:szCs w:val="16"/>
              </w:rPr>
            </w:pPr>
            <w:r w:rsidRPr="001D74C5">
              <w:rPr>
                <w:rFonts w:cs="Arial"/>
                <w:sz w:val="16"/>
                <w:szCs w:val="16"/>
              </w:rPr>
              <w:t>RP</w:t>
            </w:r>
          </w:p>
        </w:tc>
      </w:tr>
      <w:tr w:rsidR="00984146" w:rsidRPr="001D74C5" w14:paraId="65BCDCD7" w14:textId="77777777" w:rsidTr="00984146">
        <w:tc>
          <w:tcPr>
            <w:tcW w:w="1650" w:type="dxa"/>
            <w:shd w:val="clear" w:color="auto" w:fill="auto"/>
            <w:vAlign w:val="center"/>
          </w:tcPr>
          <w:p w14:paraId="5E4D5CC0" w14:textId="67741BFA" w:rsidR="00984146" w:rsidRPr="001D74C5" w:rsidRDefault="00984146" w:rsidP="001D74C5">
            <w:pPr>
              <w:spacing w:before="40" w:after="40"/>
              <w:rPr>
                <w:rFonts w:cs="Arial"/>
                <w:i/>
                <w:sz w:val="16"/>
                <w:szCs w:val="16"/>
              </w:rPr>
            </w:pPr>
            <w:r w:rsidRPr="001D74C5">
              <w:rPr>
                <w:rFonts w:cs="Arial"/>
                <w:i/>
                <w:sz w:val="16"/>
                <w:szCs w:val="16"/>
              </w:rPr>
              <w:t>Nannoperca obscura</w:t>
            </w:r>
          </w:p>
        </w:tc>
        <w:tc>
          <w:tcPr>
            <w:tcW w:w="1135" w:type="dxa"/>
            <w:shd w:val="clear" w:color="auto" w:fill="auto"/>
          </w:tcPr>
          <w:p w14:paraId="58EC17F3" w14:textId="6C62305E" w:rsidR="00984146" w:rsidRPr="001D74C5" w:rsidRDefault="00984146" w:rsidP="001D74C5">
            <w:pPr>
              <w:spacing w:before="40" w:after="40"/>
              <w:rPr>
                <w:rFonts w:cs="Arial"/>
                <w:sz w:val="16"/>
                <w:szCs w:val="16"/>
              </w:rPr>
            </w:pPr>
            <w:r w:rsidRPr="001D74C5">
              <w:rPr>
                <w:rFonts w:cs="Arial"/>
                <w:sz w:val="16"/>
                <w:szCs w:val="16"/>
              </w:rPr>
              <w:t>Yarra pygmy perch</w:t>
            </w:r>
          </w:p>
        </w:tc>
        <w:tc>
          <w:tcPr>
            <w:tcW w:w="1174" w:type="dxa"/>
            <w:shd w:val="clear" w:color="auto" w:fill="auto"/>
            <w:vAlign w:val="center"/>
          </w:tcPr>
          <w:p w14:paraId="745FBC30" w14:textId="0DE66B3B" w:rsidR="00984146" w:rsidRPr="001D74C5" w:rsidRDefault="00984146" w:rsidP="001D74C5">
            <w:pPr>
              <w:spacing w:before="40" w:after="40"/>
              <w:jc w:val="center"/>
              <w:rPr>
                <w:rFonts w:cs="Arial"/>
                <w:sz w:val="16"/>
                <w:szCs w:val="16"/>
              </w:rPr>
            </w:pPr>
            <w:r w:rsidRPr="001D74C5">
              <w:rPr>
                <w:rFonts w:cs="Arial"/>
                <w:sz w:val="16"/>
                <w:szCs w:val="16"/>
              </w:rPr>
              <w:t>V</w:t>
            </w:r>
          </w:p>
        </w:tc>
        <w:tc>
          <w:tcPr>
            <w:tcW w:w="1045" w:type="dxa"/>
            <w:shd w:val="clear" w:color="auto" w:fill="auto"/>
            <w:vAlign w:val="center"/>
          </w:tcPr>
          <w:p w14:paraId="17C36165" w14:textId="5BAC6B42" w:rsidR="00984146" w:rsidRPr="001D74C5" w:rsidRDefault="00984146" w:rsidP="001D74C5">
            <w:pPr>
              <w:spacing w:before="40" w:after="40"/>
              <w:jc w:val="center"/>
              <w:rPr>
                <w:rFonts w:cs="Arial"/>
                <w:sz w:val="16"/>
                <w:szCs w:val="16"/>
              </w:rPr>
            </w:pPr>
            <w:r w:rsidRPr="001D74C5">
              <w:rPr>
                <w:rFonts w:cs="Arial"/>
                <w:sz w:val="16"/>
                <w:szCs w:val="16"/>
              </w:rPr>
              <w:t>-</w:t>
            </w:r>
          </w:p>
        </w:tc>
        <w:tc>
          <w:tcPr>
            <w:tcW w:w="882" w:type="dxa"/>
            <w:shd w:val="clear" w:color="auto" w:fill="auto"/>
            <w:vAlign w:val="center"/>
          </w:tcPr>
          <w:p w14:paraId="3D7C1F28" w14:textId="009B9EFE" w:rsidR="00984146" w:rsidRPr="001D74C5" w:rsidRDefault="00984146" w:rsidP="001D74C5">
            <w:pPr>
              <w:spacing w:before="40" w:after="40"/>
              <w:jc w:val="center"/>
              <w:rPr>
                <w:rFonts w:cs="Arial"/>
                <w:sz w:val="16"/>
                <w:szCs w:val="16"/>
              </w:rPr>
            </w:pPr>
            <w:r w:rsidRPr="001D74C5">
              <w:rPr>
                <w:rFonts w:cs="Arial"/>
                <w:sz w:val="16"/>
                <w:szCs w:val="16"/>
              </w:rPr>
              <w:t>-</w:t>
            </w:r>
          </w:p>
        </w:tc>
        <w:tc>
          <w:tcPr>
            <w:tcW w:w="1193" w:type="dxa"/>
            <w:shd w:val="clear" w:color="auto" w:fill="auto"/>
            <w:vAlign w:val="center"/>
          </w:tcPr>
          <w:p w14:paraId="5DC41599" w14:textId="6D2F2BD8"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auto"/>
            <w:vAlign w:val="center"/>
          </w:tcPr>
          <w:p w14:paraId="467D8724" w14:textId="45B1F8CD" w:rsidR="00984146" w:rsidRPr="001D74C5" w:rsidRDefault="00984146" w:rsidP="001D74C5">
            <w:pPr>
              <w:spacing w:before="40" w:after="40"/>
              <w:jc w:val="center"/>
              <w:rPr>
                <w:rFonts w:cs="Arial"/>
                <w:sz w:val="16"/>
                <w:szCs w:val="16"/>
              </w:rPr>
            </w:pPr>
            <w:r w:rsidRPr="001D74C5">
              <w:rPr>
                <w:rFonts w:cs="Arial"/>
                <w:sz w:val="16"/>
                <w:szCs w:val="16"/>
              </w:rPr>
              <w:t>-</w:t>
            </w:r>
          </w:p>
        </w:tc>
        <w:tc>
          <w:tcPr>
            <w:tcW w:w="1116" w:type="dxa"/>
            <w:shd w:val="clear" w:color="auto" w:fill="auto"/>
            <w:vAlign w:val="center"/>
          </w:tcPr>
          <w:p w14:paraId="58B653E2" w14:textId="57A2B51A" w:rsidR="00984146" w:rsidRPr="001D74C5" w:rsidRDefault="00984146" w:rsidP="001D74C5">
            <w:pPr>
              <w:spacing w:before="40" w:after="40"/>
              <w:jc w:val="center"/>
              <w:rPr>
                <w:rFonts w:cs="Arial"/>
                <w:sz w:val="16"/>
                <w:szCs w:val="16"/>
              </w:rPr>
            </w:pPr>
            <w:r w:rsidRPr="001D74C5">
              <w:rPr>
                <w:rFonts w:cs="Arial"/>
                <w:sz w:val="16"/>
                <w:szCs w:val="16"/>
              </w:rPr>
              <w:t>RP</w:t>
            </w:r>
          </w:p>
        </w:tc>
      </w:tr>
      <w:tr w:rsidR="00984146" w:rsidRPr="001D74C5" w14:paraId="32039139" w14:textId="77777777" w:rsidTr="00D079A1">
        <w:tc>
          <w:tcPr>
            <w:tcW w:w="9112" w:type="dxa"/>
            <w:gridSpan w:val="8"/>
            <w:shd w:val="clear" w:color="auto" w:fill="F2F2F2"/>
            <w:vAlign w:val="center"/>
          </w:tcPr>
          <w:p w14:paraId="36C155C1" w14:textId="63132EFE" w:rsidR="00984146" w:rsidRPr="001D74C5" w:rsidRDefault="00984146" w:rsidP="001D74C5">
            <w:pPr>
              <w:spacing w:before="40" w:after="40"/>
              <w:rPr>
                <w:rFonts w:cs="Arial"/>
                <w:b/>
                <w:sz w:val="16"/>
                <w:szCs w:val="16"/>
              </w:rPr>
            </w:pPr>
            <w:r w:rsidRPr="001D74C5">
              <w:rPr>
                <w:rFonts w:cs="Arial"/>
                <w:b/>
                <w:sz w:val="16"/>
                <w:szCs w:val="16"/>
              </w:rPr>
              <w:t>Oceanic</w:t>
            </w:r>
          </w:p>
        </w:tc>
      </w:tr>
      <w:tr w:rsidR="00984146" w:rsidRPr="001D74C5" w14:paraId="6426EF51" w14:textId="77777777" w:rsidTr="006142A4">
        <w:tc>
          <w:tcPr>
            <w:tcW w:w="1650" w:type="dxa"/>
            <w:shd w:val="clear" w:color="auto" w:fill="auto"/>
            <w:vAlign w:val="center"/>
          </w:tcPr>
          <w:p w14:paraId="4DE715D1" w14:textId="77777777" w:rsidR="00984146" w:rsidRPr="001D74C5" w:rsidRDefault="00984146" w:rsidP="001D74C5">
            <w:pPr>
              <w:spacing w:before="40" w:after="40"/>
              <w:rPr>
                <w:rFonts w:cs="Arial"/>
                <w:i/>
                <w:sz w:val="16"/>
                <w:szCs w:val="16"/>
              </w:rPr>
            </w:pPr>
            <w:r w:rsidRPr="001D74C5">
              <w:rPr>
                <w:rFonts w:cs="Arial"/>
                <w:i/>
                <w:sz w:val="16"/>
                <w:szCs w:val="16"/>
              </w:rPr>
              <w:t>Carcharodon carcharias</w:t>
            </w:r>
          </w:p>
        </w:tc>
        <w:tc>
          <w:tcPr>
            <w:tcW w:w="1135" w:type="dxa"/>
            <w:shd w:val="clear" w:color="auto" w:fill="auto"/>
          </w:tcPr>
          <w:p w14:paraId="353CD229" w14:textId="77777777" w:rsidR="00984146" w:rsidRPr="001D74C5" w:rsidRDefault="00984146" w:rsidP="001D74C5">
            <w:pPr>
              <w:spacing w:before="40" w:after="40"/>
              <w:rPr>
                <w:rFonts w:cs="Arial"/>
                <w:sz w:val="16"/>
                <w:szCs w:val="16"/>
              </w:rPr>
            </w:pPr>
            <w:r w:rsidRPr="001D74C5">
              <w:rPr>
                <w:rFonts w:cs="Arial"/>
                <w:sz w:val="16"/>
                <w:szCs w:val="16"/>
              </w:rPr>
              <w:t>Great white shark</w:t>
            </w:r>
          </w:p>
        </w:tc>
        <w:tc>
          <w:tcPr>
            <w:tcW w:w="1174" w:type="dxa"/>
            <w:shd w:val="clear" w:color="auto" w:fill="auto"/>
            <w:vAlign w:val="center"/>
          </w:tcPr>
          <w:p w14:paraId="7957438F" w14:textId="0B0F8CB3" w:rsidR="00984146" w:rsidRPr="001D74C5" w:rsidRDefault="00984146" w:rsidP="001D74C5">
            <w:pPr>
              <w:spacing w:before="40" w:after="40"/>
              <w:jc w:val="center"/>
              <w:rPr>
                <w:rFonts w:cs="Arial"/>
                <w:sz w:val="16"/>
                <w:szCs w:val="16"/>
              </w:rPr>
            </w:pPr>
            <w:r w:rsidRPr="001D74C5">
              <w:rPr>
                <w:rFonts w:cs="Arial"/>
                <w:sz w:val="16"/>
                <w:szCs w:val="16"/>
              </w:rPr>
              <w:t>V</w:t>
            </w:r>
          </w:p>
        </w:tc>
        <w:tc>
          <w:tcPr>
            <w:tcW w:w="1045" w:type="dxa"/>
            <w:shd w:val="clear" w:color="auto" w:fill="auto"/>
            <w:vAlign w:val="center"/>
          </w:tcPr>
          <w:p w14:paraId="23C7CEE5" w14:textId="77777777" w:rsidR="00984146" w:rsidRPr="001D74C5" w:rsidRDefault="00984146" w:rsidP="001D74C5">
            <w:pPr>
              <w:spacing w:before="40" w:after="40"/>
              <w:jc w:val="center"/>
              <w:rPr>
                <w:rFonts w:cs="Arial"/>
                <w:sz w:val="16"/>
                <w:szCs w:val="16"/>
              </w:rPr>
            </w:pPr>
            <w:r w:rsidRPr="001D74C5">
              <w:rPr>
                <w:rFonts w:cs="Arial"/>
                <w:sz w:val="16"/>
                <w:szCs w:val="16"/>
              </w:rPr>
              <w:t>Yes</w:t>
            </w:r>
          </w:p>
        </w:tc>
        <w:tc>
          <w:tcPr>
            <w:tcW w:w="882" w:type="dxa"/>
            <w:shd w:val="clear" w:color="auto" w:fill="auto"/>
            <w:vAlign w:val="center"/>
          </w:tcPr>
          <w:p w14:paraId="4358EA1A" w14:textId="77777777" w:rsidR="00984146" w:rsidRPr="001D74C5" w:rsidRDefault="00984146" w:rsidP="001D74C5">
            <w:pPr>
              <w:spacing w:before="40" w:after="40"/>
              <w:jc w:val="center"/>
              <w:rPr>
                <w:rFonts w:cs="Arial"/>
                <w:sz w:val="16"/>
                <w:szCs w:val="16"/>
              </w:rPr>
            </w:pPr>
            <w:r w:rsidRPr="001D74C5">
              <w:rPr>
                <w:rFonts w:cs="Arial"/>
                <w:sz w:val="16"/>
                <w:szCs w:val="16"/>
              </w:rPr>
              <w:t>-</w:t>
            </w:r>
          </w:p>
        </w:tc>
        <w:tc>
          <w:tcPr>
            <w:tcW w:w="1193" w:type="dxa"/>
            <w:shd w:val="clear" w:color="auto" w:fill="auto"/>
            <w:vAlign w:val="center"/>
          </w:tcPr>
          <w:p w14:paraId="4519C927" w14:textId="1EBA181A" w:rsidR="00984146" w:rsidRPr="001D74C5" w:rsidRDefault="00984146" w:rsidP="001D74C5">
            <w:pPr>
              <w:spacing w:before="40" w:after="40"/>
              <w:jc w:val="center"/>
              <w:rPr>
                <w:rFonts w:cs="Arial"/>
                <w:sz w:val="16"/>
                <w:szCs w:val="16"/>
              </w:rPr>
            </w:pPr>
            <w:r w:rsidRPr="001D74C5">
              <w:rPr>
                <w:rFonts w:cs="Arial"/>
                <w:sz w:val="16"/>
                <w:szCs w:val="16"/>
              </w:rPr>
              <w:t>T</w:t>
            </w:r>
          </w:p>
        </w:tc>
        <w:tc>
          <w:tcPr>
            <w:tcW w:w="917" w:type="dxa"/>
            <w:shd w:val="clear" w:color="auto" w:fill="auto"/>
            <w:vAlign w:val="center"/>
          </w:tcPr>
          <w:p w14:paraId="0946B19E" w14:textId="5506439A" w:rsidR="00984146" w:rsidRPr="001D74C5" w:rsidRDefault="00984146" w:rsidP="001D74C5">
            <w:pPr>
              <w:spacing w:before="40" w:after="40"/>
              <w:jc w:val="center"/>
              <w:rPr>
                <w:rFonts w:cs="Arial"/>
                <w:sz w:val="16"/>
                <w:szCs w:val="16"/>
              </w:rPr>
            </w:pPr>
            <w:r w:rsidRPr="001D74C5">
              <w:rPr>
                <w:rFonts w:cs="Arial"/>
                <w:sz w:val="16"/>
                <w:szCs w:val="16"/>
              </w:rPr>
              <w:t>D</w:t>
            </w:r>
          </w:p>
        </w:tc>
        <w:tc>
          <w:tcPr>
            <w:tcW w:w="1116" w:type="dxa"/>
            <w:shd w:val="clear" w:color="auto" w:fill="auto"/>
            <w:vAlign w:val="center"/>
          </w:tcPr>
          <w:p w14:paraId="7818A2B5" w14:textId="0EAD7A65" w:rsidR="00984146" w:rsidRPr="001D74C5" w:rsidRDefault="00984146" w:rsidP="001D74C5">
            <w:pPr>
              <w:spacing w:before="40" w:after="40"/>
              <w:jc w:val="center"/>
              <w:rPr>
                <w:rFonts w:cs="Arial"/>
                <w:sz w:val="16"/>
                <w:szCs w:val="16"/>
              </w:rPr>
            </w:pPr>
            <w:r w:rsidRPr="001D74C5">
              <w:rPr>
                <w:rFonts w:cs="Arial"/>
                <w:sz w:val="16"/>
                <w:szCs w:val="16"/>
              </w:rPr>
              <w:t>RP</w:t>
            </w:r>
          </w:p>
        </w:tc>
      </w:tr>
      <w:tr w:rsidR="00984146" w:rsidRPr="001D74C5" w14:paraId="30485398" w14:textId="77777777" w:rsidTr="006142A4">
        <w:tc>
          <w:tcPr>
            <w:tcW w:w="1650" w:type="dxa"/>
            <w:shd w:val="clear" w:color="auto" w:fill="F2F2F2"/>
            <w:vAlign w:val="center"/>
          </w:tcPr>
          <w:p w14:paraId="44B7D01D" w14:textId="77777777" w:rsidR="00984146" w:rsidRPr="001D74C5" w:rsidRDefault="00984146" w:rsidP="001D74C5">
            <w:pPr>
              <w:spacing w:before="40" w:after="40"/>
              <w:rPr>
                <w:rFonts w:cs="Arial"/>
                <w:i/>
                <w:sz w:val="16"/>
                <w:szCs w:val="16"/>
              </w:rPr>
            </w:pPr>
            <w:r w:rsidRPr="001D74C5">
              <w:rPr>
                <w:rFonts w:cs="Arial"/>
                <w:i/>
                <w:sz w:val="16"/>
                <w:szCs w:val="16"/>
              </w:rPr>
              <w:t>Isurus oxyrinchus</w:t>
            </w:r>
          </w:p>
        </w:tc>
        <w:tc>
          <w:tcPr>
            <w:tcW w:w="1135" w:type="dxa"/>
            <w:shd w:val="clear" w:color="auto" w:fill="F2F2F2"/>
          </w:tcPr>
          <w:p w14:paraId="5AB7D2A2" w14:textId="77777777" w:rsidR="00984146" w:rsidRPr="001D74C5" w:rsidRDefault="00984146" w:rsidP="001D74C5">
            <w:pPr>
              <w:spacing w:before="40" w:after="40"/>
              <w:rPr>
                <w:rFonts w:cs="Arial"/>
                <w:sz w:val="16"/>
                <w:szCs w:val="16"/>
              </w:rPr>
            </w:pPr>
            <w:r w:rsidRPr="001D74C5">
              <w:rPr>
                <w:rFonts w:cs="Arial"/>
                <w:sz w:val="16"/>
                <w:szCs w:val="16"/>
              </w:rPr>
              <w:t>Shortfin mako shark</w:t>
            </w:r>
          </w:p>
        </w:tc>
        <w:tc>
          <w:tcPr>
            <w:tcW w:w="1174" w:type="dxa"/>
            <w:shd w:val="clear" w:color="auto" w:fill="F2F2F2"/>
            <w:vAlign w:val="center"/>
          </w:tcPr>
          <w:p w14:paraId="5918727B" w14:textId="77777777" w:rsidR="00984146" w:rsidRPr="001D74C5" w:rsidRDefault="00984146" w:rsidP="001D74C5">
            <w:pPr>
              <w:spacing w:before="40" w:after="40"/>
              <w:jc w:val="center"/>
              <w:rPr>
                <w:rFonts w:cs="Arial"/>
                <w:sz w:val="16"/>
                <w:szCs w:val="16"/>
              </w:rPr>
            </w:pPr>
            <w:r w:rsidRPr="001D74C5">
              <w:rPr>
                <w:rFonts w:cs="Arial"/>
                <w:sz w:val="16"/>
                <w:szCs w:val="16"/>
              </w:rPr>
              <w:t>-</w:t>
            </w:r>
          </w:p>
        </w:tc>
        <w:tc>
          <w:tcPr>
            <w:tcW w:w="1045" w:type="dxa"/>
            <w:shd w:val="clear" w:color="auto" w:fill="F2F2F2"/>
            <w:vAlign w:val="center"/>
          </w:tcPr>
          <w:p w14:paraId="19ECCC86" w14:textId="77777777" w:rsidR="00984146" w:rsidRPr="001D74C5" w:rsidRDefault="00984146" w:rsidP="001D74C5">
            <w:pPr>
              <w:spacing w:before="40" w:after="40"/>
              <w:jc w:val="center"/>
              <w:rPr>
                <w:rFonts w:cs="Arial"/>
                <w:sz w:val="16"/>
                <w:szCs w:val="16"/>
              </w:rPr>
            </w:pPr>
            <w:r w:rsidRPr="001D74C5">
              <w:rPr>
                <w:rFonts w:cs="Arial"/>
                <w:sz w:val="16"/>
                <w:szCs w:val="16"/>
              </w:rPr>
              <w:t>Yes</w:t>
            </w:r>
          </w:p>
        </w:tc>
        <w:tc>
          <w:tcPr>
            <w:tcW w:w="882" w:type="dxa"/>
            <w:shd w:val="clear" w:color="auto" w:fill="F2F2F2"/>
            <w:vAlign w:val="center"/>
          </w:tcPr>
          <w:p w14:paraId="2C6F037A" w14:textId="77777777" w:rsidR="00984146" w:rsidRPr="001D74C5" w:rsidRDefault="00984146" w:rsidP="001D74C5">
            <w:pPr>
              <w:spacing w:before="40" w:after="40"/>
              <w:jc w:val="center"/>
              <w:rPr>
                <w:rFonts w:cs="Arial"/>
                <w:sz w:val="16"/>
                <w:szCs w:val="16"/>
              </w:rPr>
            </w:pPr>
            <w:r w:rsidRPr="001D74C5">
              <w:rPr>
                <w:rFonts w:cs="Arial"/>
                <w:sz w:val="16"/>
                <w:szCs w:val="16"/>
              </w:rPr>
              <w:t>-</w:t>
            </w:r>
          </w:p>
        </w:tc>
        <w:tc>
          <w:tcPr>
            <w:tcW w:w="1193" w:type="dxa"/>
            <w:shd w:val="clear" w:color="auto" w:fill="F2F2F2"/>
            <w:vAlign w:val="center"/>
          </w:tcPr>
          <w:p w14:paraId="39E52E25" w14:textId="0B157A7C"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F2F2F2"/>
            <w:vAlign w:val="center"/>
          </w:tcPr>
          <w:p w14:paraId="28281E94" w14:textId="65022F08" w:rsidR="00984146" w:rsidRPr="001D74C5" w:rsidRDefault="00984146" w:rsidP="001D74C5">
            <w:pPr>
              <w:spacing w:before="40" w:after="40"/>
              <w:jc w:val="center"/>
              <w:rPr>
                <w:rFonts w:cs="Arial"/>
                <w:sz w:val="16"/>
                <w:szCs w:val="16"/>
              </w:rPr>
            </w:pPr>
            <w:r w:rsidRPr="001D74C5">
              <w:rPr>
                <w:rFonts w:cs="Arial"/>
                <w:sz w:val="16"/>
                <w:szCs w:val="16"/>
              </w:rPr>
              <w:t>-</w:t>
            </w:r>
          </w:p>
        </w:tc>
        <w:tc>
          <w:tcPr>
            <w:tcW w:w="1116" w:type="dxa"/>
            <w:shd w:val="clear" w:color="auto" w:fill="F2F2F2"/>
            <w:vAlign w:val="center"/>
          </w:tcPr>
          <w:p w14:paraId="2629E524" w14:textId="2439B5D8" w:rsidR="00984146" w:rsidRPr="001D74C5" w:rsidRDefault="00984146" w:rsidP="001D74C5">
            <w:pPr>
              <w:spacing w:before="40" w:after="40"/>
              <w:jc w:val="center"/>
              <w:rPr>
                <w:rFonts w:cs="Arial"/>
                <w:sz w:val="16"/>
                <w:szCs w:val="16"/>
              </w:rPr>
            </w:pPr>
            <w:r w:rsidRPr="001D74C5">
              <w:rPr>
                <w:rFonts w:cs="Arial"/>
                <w:sz w:val="16"/>
                <w:szCs w:val="16"/>
              </w:rPr>
              <w:t>-</w:t>
            </w:r>
          </w:p>
        </w:tc>
      </w:tr>
      <w:tr w:rsidR="00984146" w:rsidRPr="001D74C5" w14:paraId="748A1C9A" w14:textId="77777777" w:rsidTr="006142A4">
        <w:tc>
          <w:tcPr>
            <w:tcW w:w="1650" w:type="dxa"/>
            <w:shd w:val="clear" w:color="auto" w:fill="auto"/>
            <w:vAlign w:val="center"/>
          </w:tcPr>
          <w:p w14:paraId="61BBCCED" w14:textId="77777777" w:rsidR="00984146" w:rsidRPr="001D74C5" w:rsidRDefault="00984146" w:rsidP="001D74C5">
            <w:pPr>
              <w:spacing w:before="40" w:after="40"/>
              <w:rPr>
                <w:rFonts w:cs="Arial"/>
                <w:i/>
                <w:sz w:val="16"/>
                <w:szCs w:val="16"/>
              </w:rPr>
            </w:pPr>
            <w:r w:rsidRPr="001D74C5">
              <w:rPr>
                <w:rFonts w:cs="Arial"/>
                <w:i/>
                <w:sz w:val="16"/>
                <w:szCs w:val="16"/>
              </w:rPr>
              <w:t>Lamna nasus</w:t>
            </w:r>
          </w:p>
        </w:tc>
        <w:tc>
          <w:tcPr>
            <w:tcW w:w="1135" w:type="dxa"/>
            <w:shd w:val="clear" w:color="auto" w:fill="auto"/>
          </w:tcPr>
          <w:p w14:paraId="7CB190B6" w14:textId="77777777" w:rsidR="00984146" w:rsidRPr="001D74C5" w:rsidRDefault="00984146" w:rsidP="001D74C5">
            <w:pPr>
              <w:spacing w:before="40" w:after="40"/>
              <w:rPr>
                <w:rFonts w:cs="Arial"/>
                <w:sz w:val="16"/>
                <w:szCs w:val="16"/>
              </w:rPr>
            </w:pPr>
            <w:r w:rsidRPr="001D74C5">
              <w:rPr>
                <w:rFonts w:cs="Arial"/>
                <w:sz w:val="16"/>
                <w:szCs w:val="16"/>
              </w:rPr>
              <w:t>Porbeagle shark</w:t>
            </w:r>
          </w:p>
        </w:tc>
        <w:tc>
          <w:tcPr>
            <w:tcW w:w="1174" w:type="dxa"/>
            <w:shd w:val="clear" w:color="auto" w:fill="auto"/>
            <w:vAlign w:val="center"/>
          </w:tcPr>
          <w:p w14:paraId="4309968B" w14:textId="77777777" w:rsidR="00984146" w:rsidRPr="001D74C5" w:rsidRDefault="00984146" w:rsidP="001D74C5">
            <w:pPr>
              <w:spacing w:before="40" w:after="40"/>
              <w:jc w:val="center"/>
              <w:rPr>
                <w:rFonts w:cs="Arial"/>
                <w:sz w:val="16"/>
                <w:szCs w:val="16"/>
              </w:rPr>
            </w:pPr>
            <w:r w:rsidRPr="001D74C5">
              <w:rPr>
                <w:rFonts w:cs="Arial"/>
                <w:sz w:val="16"/>
                <w:szCs w:val="16"/>
              </w:rPr>
              <w:t>-</w:t>
            </w:r>
          </w:p>
        </w:tc>
        <w:tc>
          <w:tcPr>
            <w:tcW w:w="1045" w:type="dxa"/>
            <w:shd w:val="clear" w:color="auto" w:fill="auto"/>
            <w:vAlign w:val="center"/>
          </w:tcPr>
          <w:p w14:paraId="61E13939" w14:textId="77777777" w:rsidR="00984146" w:rsidRPr="001D74C5" w:rsidRDefault="00984146" w:rsidP="001D74C5">
            <w:pPr>
              <w:spacing w:before="40" w:after="40"/>
              <w:jc w:val="center"/>
              <w:rPr>
                <w:rFonts w:cs="Arial"/>
                <w:sz w:val="16"/>
                <w:szCs w:val="16"/>
              </w:rPr>
            </w:pPr>
            <w:r w:rsidRPr="001D74C5">
              <w:rPr>
                <w:rFonts w:cs="Arial"/>
                <w:sz w:val="16"/>
                <w:szCs w:val="16"/>
              </w:rPr>
              <w:t>Yes</w:t>
            </w:r>
          </w:p>
        </w:tc>
        <w:tc>
          <w:tcPr>
            <w:tcW w:w="882" w:type="dxa"/>
            <w:shd w:val="clear" w:color="auto" w:fill="auto"/>
            <w:vAlign w:val="center"/>
          </w:tcPr>
          <w:p w14:paraId="185D1AAC" w14:textId="77777777" w:rsidR="00984146" w:rsidRPr="001D74C5" w:rsidRDefault="00984146" w:rsidP="001D74C5">
            <w:pPr>
              <w:spacing w:before="40" w:after="40"/>
              <w:jc w:val="center"/>
              <w:rPr>
                <w:rFonts w:cs="Arial"/>
                <w:sz w:val="16"/>
                <w:szCs w:val="16"/>
              </w:rPr>
            </w:pPr>
            <w:r w:rsidRPr="001D74C5">
              <w:rPr>
                <w:rFonts w:cs="Arial"/>
                <w:sz w:val="16"/>
                <w:szCs w:val="16"/>
              </w:rPr>
              <w:t>-</w:t>
            </w:r>
          </w:p>
        </w:tc>
        <w:tc>
          <w:tcPr>
            <w:tcW w:w="1193" w:type="dxa"/>
            <w:shd w:val="clear" w:color="auto" w:fill="auto"/>
            <w:vAlign w:val="center"/>
          </w:tcPr>
          <w:p w14:paraId="46D4FF97" w14:textId="5208962D"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auto"/>
            <w:vAlign w:val="center"/>
          </w:tcPr>
          <w:p w14:paraId="745E2C27" w14:textId="1FD33541" w:rsidR="00984146" w:rsidRPr="001D74C5" w:rsidRDefault="00984146" w:rsidP="001D74C5">
            <w:pPr>
              <w:spacing w:before="40" w:after="40"/>
              <w:jc w:val="center"/>
              <w:rPr>
                <w:rFonts w:cs="Arial"/>
                <w:sz w:val="16"/>
                <w:szCs w:val="16"/>
              </w:rPr>
            </w:pPr>
            <w:r w:rsidRPr="001D74C5">
              <w:rPr>
                <w:rFonts w:cs="Arial"/>
                <w:sz w:val="16"/>
                <w:szCs w:val="16"/>
              </w:rPr>
              <w:t>-</w:t>
            </w:r>
          </w:p>
        </w:tc>
        <w:tc>
          <w:tcPr>
            <w:tcW w:w="1116" w:type="dxa"/>
            <w:shd w:val="clear" w:color="auto" w:fill="auto"/>
            <w:vAlign w:val="center"/>
          </w:tcPr>
          <w:p w14:paraId="5BD0CE60" w14:textId="09EFA59B" w:rsidR="00984146" w:rsidRPr="001D74C5" w:rsidRDefault="00984146" w:rsidP="001D74C5">
            <w:pPr>
              <w:spacing w:before="40" w:after="40"/>
              <w:jc w:val="center"/>
              <w:rPr>
                <w:rFonts w:cs="Arial"/>
                <w:sz w:val="16"/>
                <w:szCs w:val="16"/>
              </w:rPr>
            </w:pPr>
            <w:r w:rsidRPr="001D74C5">
              <w:rPr>
                <w:rFonts w:cs="Arial"/>
                <w:sz w:val="16"/>
                <w:szCs w:val="16"/>
              </w:rPr>
              <w:t>-</w:t>
            </w:r>
          </w:p>
        </w:tc>
      </w:tr>
      <w:tr w:rsidR="00984146" w:rsidRPr="001D74C5" w14:paraId="59FCC8E1" w14:textId="77777777" w:rsidTr="006142A4">
        <w:tc>
          <w:tcPr>
            <w:tcW w:w="1650" w:type="dxa"/>
            <w:shd w:val="clear" w:color="auto" w:fill="auto"/>
            <w:vAlign w:val="center"/>
          </w:tcPr>
          <w:p w14:paraId="5F97C176" w14:textId="77777777" w:rsidR="00984146" w:rsidRPr="001D74C5" w:rsidRDefault="00984146" w:rsidP="001D74C5">
            <w:pPr>
              <w:spacing w:before="40" w:after="40"/>
              <w:rPr>
                <w:rFonts w:cs="Arial"/>
                <w:i/>
                <w:sz w:val="16"/>
                <w:szCs w:val="16"/>
              </w:rPr>
            </w:pPr>
            <w:r w:rsidRPr="001D74C5">
              <w:rPr>
                <w:rFonts w:cs="Arial"/>
                <w:i/>
                <w:sz w:val="16"/>
                <w:szCs w:val="16"/>
              </w:rPr>
              <w:t>Prototroctes maraena</w:t>
            </w:r>
          </w:p>
        </w:tc>
        <w:tc>
          <w:tcPr>
            <w:tcW w:w="1135" w:type="dxa"/>
            <w:shd w:val="clear" w:color="auto" w:fill="auto"/>
          </w:tcPr>
          <w:p w14:paraId="5BE5C639" w14:textId="77777777" w:rsidR="00984146" w:rsidRPr="001D74C5" w:rsidRDefault="00984146" w:rsidP="001D74C5">
            <w:pPr>
              <w:spacing w:before="40" w:after="40"/>
              <w:rPr>
                <w:rFonts w:cs="Arial"/>
                <w:sz w:val="16"/>
                <w:szCs w:val="16"/>
              </w:rPr>
            </w:pPr>
            <w:r w:rsidRPr="001D74C5">
              <w:rPr>
                <w:rFonts w:cs="Arial"/>
                <w:sz w:val="16"/>
                <w:szCs w:val="16"/>
              </w:rPr>
              <w:t>Australian grayling</w:t>
            </w:r>
          </w:p>
        </w:tc>
        <w:tc>
          <w:tcPr>
            <w:tcW w:w="1174" w:type="dxa"/>
            <w:shd w:val="clear" w:color="auto" w:fill="auto"/>
            <w:vAlign w:val="center"/>
          </w:tcPr>
          <w:p w14:paraId="18F26A4D" w14:textId="7E09101E" w:rsidR="00984146" w:rsidRPr="001D74C5" w:rsidRDefault="00984146" w:rsidP="001D74C5">
            <w:pPr>
              <w:spacing w:before="40" w:after="40"/>
              <w:jc w:val="center"/>
              <w:rPr>
                <w:rFonts w:cs="Arial"/>
                <w:sz w:val="16"/>
                <w:szCs w:val="16"/>
              </w:rPr>
            </w:pPr>
            <w:r w:rsidRPr="001D74C5">
              <w:rPr>
                <w:rFonts w:cs="Arial"/>
                <w:sz w:val="16"/>
                <w:szCs w:val="16"/>
              </w:rPr>
              <w:t>V</w:t>
            </w:r>
          </w:p>
        </w:tc>
        <w:tc>
          <w:tcPr>
            <w:tcW w:w="1045" w:type="dxa"/>
            <w:shd w:val="clear" w:color="auto" w:fill="auto"/>
            <w:vAlign w:val="center"/>
          </w:tcPr>
          <w:p w14:paraId="26E4CD89" w14:textId="77777777" w:rsidR="00984146" w:rsidRPr="001D74C5" w:rsidRDefault="00984146" w:rsidP="001D74C5">
            <w:pPr>
              <w:spacing w:before="40" w:after="40"/>
              <w:jc w:val="center"/>
              <w:rPr>
                <w:rFonts w:cs="Arial"/>
                <w:sz w:val="16"/>
                <w:szCs w:val="16"/>
              </w:rPr>
            </w:pPr>
            <w:r w:rsidRPr="001D74C5">
              <w:rPr>
                <w:rFonts w:cs="Arial"/>
                <w:sz w:val="16"/>
                <w:szCs w:val="16"/>
              </w:rPr>
              <w:t>-</w:t>
            </w:r>
          </w:p>
        </w:tc>
        <w:tc>
          <w:tcPr>
            <w:tcW w:w="882" w:type="dxa"/>
            <w:shd w:val="clear" w:color="auto" w:fill="auto"/>
            <w:vAlign w:val="center"/>
          </w:tcPr>
          <w:p w14:paraId="32ADD823" w14:textId="77777777" w:rsidR="00984146" w:rsidRPr="001D74C5" w:rsidRDefault="00984146" w:rsidP="001D74C5">
            <w:pPr>
              <w:spacing w:before="40" w:after="40"/>
              <w:jc w:val="center"/>
              <w:rPr>
                <w:rFonts w:cs="Arial"/>
                <w:sz w:val="16"/>
                <w:szCs w:val="16"/>
              </w:rPr>
            </w:pPr>
            <w:r w:rsidRPr="001D74C5">
              <w:rPr>
                <w:rFonts w:cs="Arial"/>
                <w:sz w:val="16"/>
                <w:szCs w:val="16"/>
              </w:rPr>
              <w:t>-</w:t>
            </w:r>
          </w:p>
        </w:tc>
        <w:tc>
          <w:tcPr>
            <w:tcW w:w="1193" w:type="dxa"/>
            <w:shd w:val="clear" w:color="auto" w:fill="auto"/>
            <w:vAlign w:val="center"/>
          </w:tcPr>
          <w:p w14:paraId="5249889C" w14:textId="6C5C40A9" w:rsidR="00984146" w:rsidRPr="001D74C5" w:rsidRDefault="00984146" w:rsidP="001D74C5">
            <w:pPr>
              <w:spacing w:before="40" w:after="40"/>
              <w:jc w:val="center"/>
              <w:rPr>
                <w:rFonts w:cs="Arial"/>
                <w:sz w:val="16"/>
                <w:szCs w:val="16"/>
              </w:rPr>
            </w:pPr>
            <w:r w:rsidRPr="001D74C5">
              <w:rPr>
                <w:rFonts w:cs="Arial"/>
                <w:sz w:val="16"/>
                <w:szCs w:val="16"/>
              </w:rPr>
              <w:t>T</w:t>
            </w:r>
          </w:p>
        </w:tc>
        <w:tc>
          <w:tcPr>
            <w:tcW w:w="917" w:type="dxa"/>
            <w:shd w:val="clear" w:color="auto" w:fill="auto"/>
            <w:vAlign w:val="center"/>
          </w:tcPr>
          <w:p w14:paraId="6A0AB6F7" w14:textId="79F0593F" w:rsidR="00984146" w:rsidRPr="001D74C5" w:rsidRDefault="00984146" w:rsidP="001D74C5">
            <w:pPr>
              <w:spacing w:before="40" w:after="40"/>
              <w:jc w:val="center"/>
              <w:rPr>
                <w:rFonts w:cs="Arial"/>
                <w:sz w:val="16"/>
                <w:szCs w:val="16"/>
              </w:rPr>
            </w:pPr>
            <w:r w:rsidRPr="001D74C5">
              <w:rPr>
                <w:rFonts w:cs="Arial"/>
                <w:sz w:val="16"/>
                <w:szCs w:val="16"/>
              </w:rPr>
              <w:t>-</w:t>
            </w:r>
          </w:p>
        </w:tc>
        <w:tc>
          <w:tcPr>
            <w:tcW w:w="1116" w:type="dxa"/>
            <w:shd w:val="clear" w:color="auto" w:fill="auto"/>
            <w:vAlign w:val="center"/>
          </w:tcPr>
          <w:p w14:paraId="381A09F5" w14:textId="7168504F" w:rsidR="00984146" w:rsidRPr="001D74C5" w:rsidRDefault="00984146" w:rsidP="001D74C5">
            <w:pPr>
              <w:spacing w:before="40" w:after="40"/>
              <w:jc w:val="center"/>
              <w:rPr>
                <w:rFonts w:cs="Arial"/>
                <w:sz w:val="16"/>
                <w:szCs w:val="16"/>
              </w:rPr>
            </w:pPr>
            <w:r w:rsidRPr="001D74C5">
              <w:rPr>
                <w:rFonts w:cs="Arial"/>
                <w:sz w:val="16"/>
                <w:szCs w:val="16"/>
              </w:rPr>
              <w:t>RP</w:t>
            </w:r>
          </w:p>
        </w:tc>
      </w:tr>
      <w:tr w:rsidR="00984146" w:rsidRPr="001D74C5" w14:paraId="2C4CB0C5" w14:textId="77777777" w:rsidTr="00D079A1">
        <w:tc>
          <w:tcPr>
            <w:tcW w:w="9112" w:type="dxa"/>
            <w:gridSpan w:val="8"/>
            <w:shd w:val="clear" w:color="auto" w:fill="F2F2F2"/>
          </w:tcPr>
          <w:p w14:paraId="63CC3651" w14:textId="7065430D" w:rsidR="00984146" w:rsidRPr="001D74C5" w:rsidRDefault="00984146" w:rsidP="001D74C5">
            <w:pPr>
              <w:spacing w:before="40" w:after="40"/>
              <w:rPr>
                <w:rFonts w:cs="Arial"/>
                <w:b/>
                <w:sz w:val="16"/>
                <w:szCs w:val="16"/>
              </w:rPr>
            </w:pPr>
            <w:r w:rsidRPr="001D74C5">
              <w:rPr>
                <w:rFonts w:cs="Arial"/>
                <w:b/>
                <w:sz w:val="16"/>
                <w:szCs w:val="16"/>
              </w:rPr>
              <w:t>Pipefish, pipehorses, seadragons</w:t>
            </w:r>
          </w:p>
        </w:tc>
      </w:tr>
      <w:tr w:rsidR="00984146" w:rsidRPr="001D74C5" w14:paraId="110BBBA4" w14:textId="77777777" w:rsidTr="00200F27">
        <w:tc>
          <w:tcPr>
            <w:tcW w:w="1650" w:type="dxa"/>
            <w:shd w:val="clear" w:color="auto" w:fill="auto"/>
            <w:vAlign w:val="center"/>
          </w:tcPr>
          <w:p w14:paraId="15264C43" w14:textId="77777777" w:rsidR="00984146" w:rsidRPr="001D74C5" w:rsidRDefault="00984146" w:rsidP="001D74C5">
            <w:pPr>
              <w:spacing w:before="40" w:after="40"/>
              <w:rPr>
                <w:rFonts w:cs="Arial"/>
                <w:b/>
                <w:sz w:val="16"/>
                <w:szCs w:val="16"/>
              </w:rPr>
            </w:pPr>
            <w:r w:rsidRPr="001D74C5">
              <w:rPr>
                <w:rFonts w:cs="Arial"/>
                <w:i/>
                <w:sz w:val="16"/>
                <w:szCs w:val="16"/>
              </w:rPr>
              <w:lastRenderedPageBreak/>
              <w:t>Heraldia nocturna</w:t>
            </w:r>
          </w:p>
        </w:tc>
        <w:tc>
          <w:tcPr>
            <w:tcW w:w="1135" w:type="dxa"/>
            <w:shd w:val="clear" w:color="auto" w:fill="auto"/>
            <w:vAlign w:val="center"/>
          </w:tcPr>
          <w:p w14:paraId="79485FE2" w14:textId="77777777" w:rsidR="00984146" w:rsidRPr="001D74C5" w:rsidRDefault="00984146" w:rsidP="001D74C5">
            <w:pPr>
              <w:spacing w:before="40" w:after="40"/>
              <w:rPr>
                <w:rFonts w:cs="Arial"/>
                <w:b/>
                <w:sz w:val="16"/>
                <w:szCs w:val="16"/>
              </w:rPr>
            </w:pPr>
            <w:r w:rsidRPr="001D74C5">
              <w:rPr>
                <w:rFonts w:eastAsia="TTE185D0F0t00" w:cs="Arial"/>
                <w:sz w:val="16"/>
                <w:szCs w:val="16"/>
              </w:rPr>
              <w:t>Upside-down pipefish</w:t>
            </w:r>
          </w:p>
        </w:tc>
        <w:tc>
          <w:tcPr>
            <w:tcW w:w="1174" w:type="dxa"/>
            <w:shd w:val="clear" w:color="auto" w:fill="auto"/>
            <w:vAlign w:val="center"/>
          </w:tcPr>
          <w:p w14:paraId="68934E1F"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auto"/>
            <w:vAlign w:val="center"/>
          </w:tcPr>
          <w:p w14:paraId="7628E030"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auto"/>
            <w:vAlign w:val="center"/>
          </w:tcPr>
          <w:p w14:paraId="192D84FB" w14:textId="527091C3"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auto"/>
            <w:vAlign w:val="center"/>
          </w:tcPr>
          <w:p w14:paraId="02534843" w14:textId="32D594B2"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auto"/>
            <w:vAlign w:val="center"/>
          </w:tcPr>
          <w:p w14:paraId="5007D2DC" w14:textId="006745C6"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116" w:type="dxa"/>
            <w:shd w:val="clear" w:color="auto" w:fill="auto"/>
            <w:vAlign w:val="center"/>
          </w:tcPr>
          <w:p w14:paraId="57311551" w14:textId="120BC9C8" w:rsidR="00984146" w:rsidRPr="001D74C5" w:rsidRDefault="00984146" w:rsidP="001D74C5">
            <w:pPr>
              <w:spacing w:before="40" w:after="40"/>
              <w:jc w:val="center"/>
              <w:rPr>
                <w:rFonts w:cs="Arial"/>
                <w:sz w:val="16"/>
                <w:szCs w:val="16"/>
              </w:rPr>
            </w:pPr>
            <w:r w:rsidRPr="001D74C5">
              <w:rPr>
                <w:rFonts w:cs="Arial"/>
                <w:sz w:val="16"/>
                <w:szCs w:val="16"/>
              </w:rPr>
              <w:t>-</w:t>
            </w:r>
          </w:p>
        </w:tc>
      </w:tr>
      <w:tr w:rsidR="00984146" w:rsidRPr="001D74C5" w14:paraId="79E0ED9B" w14:textId="77777777" w:rsidTr="00200F27">
        <w:tc>
          <w:tcPr>
            <w:tcW w:w="1650" w:type="dxa"/>
            <w:shd w:val="clear" w:color="auto" w:fill="F2F2F2"/>
            <w:vAlign w:val="center"/>
          </w:tcPr>
          <w:p w14:paraId="0A2A35AF" w14:textId="77777777" w:rsidR="00984146" w:rsidRPr="001D74C5" w:rsidRDefault="00984146" w:rsidP="001D74C5">
            <w:pPr>
              <w:spacing w:before="40" w:after="40"/>
              <w:rPr>
                <w:rFonts w:cs="Arial"/>
                <w:b/>
                <w:sz w:val="16"/>
                <w:szCs w:val="16"/>
              </w:rPr>
            </w:pPr>
            <w:r w:rsidRPr="001D74C5">
              <w:rPr>
                <w:rFonts w:cs="Arial"/>
                <w:i/>
                <w:sz w:val="16"/>
                <w:szCs w:val="16"/>
              </w:rPr>
              <w:t>Hippocampus abdominalis</w:t>
            </w:r>
          </w:p>
        </w:tc>
        <w:tc>
          <w:tcPr>
            <w:tcW w:w="1135" w:type="dxa"/>
            <w:shd w:val="clear" w:color="auto" w:fill="F2F2F2"/>
            <w:vAlign w:val="center"/>
          </w:tcPr>
          <w:p w14:paraId="105A2968" w14:textId="77777777" w:rsidR="00984146" w:rsidRPr="001D74C5" w:rsidRDefault="00984146" w:rsidP="001D74C5">
            <w:pPr>
              <w:spacing w:before="40" w:after="40"/>
              <w:rPr>
                <w:rFonts w:cs="Arial"/>
                <w:b/>
                <w:sz w:val="16"/>
                <w:szCs w:val="16"/>
              </w:rPr>
            </w:pPr>
            <w:r w:rsidRPr="001D74C5">
              <w:rPr>
                <w:rFonts w:eastAsia="TTE185D0F0t00" w:cs="Arial"/>
                <w:sz w:val="16"/>
                <w:szCs w:val="16"/>
              </w:rPr>
              <w:t>Bigbelly seahorse</w:t>
            </w:r>
          </w:p>
        </w:tc>
        <w:tc>
          <w:tcPr>
            <w:tcW w:w="1174" w:type="dxa"/>
            <w:shd w:val="clear" w:color="auto" w:fill="F2F2F2"/>
            <w:vAlign w:val="center"/>
          </w:tcPr>
          <w:p w14:paraId="6DF34269"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F2F2F2"/>
            <w:vAlign w:val="center"/>
          </w:tcPr>
          <w:p w14:paraId="2847A8DD"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F2F2F2"/>
            <w:vAlign w:val="center"/>
          </w:tcPr>
          <w:p w14:paraId="6025DD5B" w14:textId="619843CC"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F2F2F2"/>
            <w:vAlign w:val="center"/>
          </w:tcPr>
          <w:p w14:paraId="27A9D94E" w14:textId="46B6427C"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F2F2F2"/>
            <w:vAlign w:val="center"/>
          </w:tcPr>
          <w:p w14:paraId="3A0258BB" w14:textId="14EC6D7C"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116" w:type="dxa"/>
            <w:shd w:val="clear" w:color="auto" w:fill="F2F2F2"/>
            <w:vAlign w:val="center"/>
          </w:tcPr>
          <w:p w14:paraId="0712DE25" w14:textId="2316CA2A"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56310E75" w14:textId="77777777" w:rsidTr="00200F27">
        <w:tc>
          <w:tcPr>
            <w:tcW w:w="1650" w:type="dxa"/>
            <w:shd w:val="clear" w:color="auto" w:fill="auto"/>
            <w:vAlign w:val="center"/>
          </w:tcPr>
          <w:p w14:paraId="45084E0B" w14:textId="77777777" w:rsidR="00984146" w:rsidRPr="001D74C5" w:rsidRDefault="00984146" w:rsidP="001D74C5">
            <w:pPr>
              <w:spacing w:before="40" w:after="40"/>
              <w:rPr>
                <w:rFonts w:cs="Arial"/>
                <w:b/>
                <w:sz w:val="16"/>
                <w:szCs w:val="16"/>
              </w:rPr>
            </w:pPr>
            <w:r w:rsidRPr="001D74C5">
              <w:rPr>
                <w:rFonts w:cs="Arial"/>
                <w:i/>
                <w:sz w:val="16"/>
                <w:szCs w:val="16"/>
              </w:rPr>
              <w:t>Hippocampus breviceps</w:t>
            </w:r>
          </w:p>
        </w:tc>
        <w:tc>
          <w:tcPr>
            <w:tcW w:w="1135" w:type="dxa"/>
            <w:shd w:val="clear" w:color="auto" w:fill="auto"/>
            <w:vAlign w:val="center"/>
          </w:tcPr>
          <w:p w14:paraId="6AA6C3DA" w14:textId="77777777" w:rsidR="00984146" w:rsidRPr="001D74C5" w:rsidRDefault="00984146" w:rsidP="001D74C5">
            <w:pPr>
              <w:spacing w:before="40" w:after="40"/>
              <w:rPr>
                <w:rFonts w:cs="Arial"/>
                <w:b/>
                <w:sz w:val="16"/>
                <w:szCs w:val="16"/>
              </w:rPr>
            </w:pPr>
            <w:r w:rsidRPr="001D74C5">
              <w:rPr>
                <w:rFonts w:cs="Arial"/>
                <w:sz w:val="16"/>
                <w:szCs w:val="16"/>
              </w:rPr>
              <w:t>Short-head seahorse</w:t>
            </w:r>
          </w:p>
        </w:tc>
        <w:tc>
          <w:tcPr>
            <w:tcW w:w="1174" w:type="dxa"/>
            <w:shd w:val="clear" w:color="auto" w:fill="auto"/>
            <w:vAlign w:val="center"/>
          </w:tcPr>
          <w:p w14:paraId="1AB46374"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auto"/>
            <w:vAlign w:val="center"/>
          </w:tcPr>
          <w:p w14:paraId="15582A24"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auto"/>
            <w:vAlign w:val="center"/>
          </w:tcPr>
          <w:p w14:paraId="7255681D" w14:textId="76326F89"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auto"/>
            <w:vAlign w:val="center"/>
          </w:tcPr>
          <w:p w14:paraId="518813D9" w14:textId="5921765F"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auto"/>
            <w:vAlign w:val="center"/>
          </w:tcPr>
          <w:p w14:paraId="6C6E5AA6" w14:textId="4D30FC7F"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116" w:type="dxa"/>
            <w:shd w:val="clear" w:color="auto" w:fill="auto"/>
            <w:vAlign w:val="center"/>
          </w:tcPr>
          <w:p w14:paraId="609884F1" w14:textId="5DE2E341"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50834A5D" w14:textId="77777777" w:rsidTr="00200F27">
        <w:tc>
          <w:tcPr>
            <w:tcW w:w="1650" w:type="dxa"/>
            <w:shd w:val="clear" w:color="auto" w:fill="F2F2F2"/>
            <w:vAlign w:val="center"/>
          </w:tcPr>
          <w:p w14:paraId="3304707A" w14:textId="77777777" w:rsidR="00984146" w:rsidRPr="001D74C5" w:rsidRDefault="00984146" w:rsidP="001D74C5">
            <w:pPr>
              <w:spacing w:before="40" w:after="40"/>
              <w:rPr>
                <w:rFonts w:cs="Arial"/>
                <w:sz w:val="16"/>
                <w:szCs w:val="16"/>
              </w:rPr>
            </w:pPr>
            <w:r w:rsidRPr="001D74C5">
              <w:rPr>
                <w:rFonts w:cs="Arial"/>
                <w:i/>
                <w:sz w:val="16"/>
                <w:szCs w:val="16"/>
              </w:rPr>
              <w:t>Hippocampus minotaur</w:t>
            </w:r>
          </w:p>
        </w:tc>
        <w:tc>
          <w:tcPr>
            <w:tcW w:w="1135" w:type="dxa"/>
            <w:shd w:val="clear" w:color="auto" w:fill="F2F2F2"/>
            <w:vAlign w:val="center"/>
          </w:tcPr>
          <w:p w14:paraId="4C5BC738" w14:textId="77777777" w:rsidR="00984146" w:rsidRPr="001D74C5" w:rsidRDefault="00984146" w:rsidP="001D74C5">
            <w:pPr>
              <w:spacing w:before="40" w:after="40"/>
              <w:rPr>
                <w:rFonts w:cs="Arial"/>
                <w:i/>
                <w:sz w:val="16"/>
                <w:szCs w:val="16"/>
              </w:rPr>
            </w:pPr>
            <w:r w:rsidRPr="001D74C5">
              <w:rPr>
                <w:rFonts w:cs="Arial"/>
                <w:sz w:val="16"/>
                <w:szCs w:val="16"/>
              </w:rPr>
              <w:t>Bullneck seahorse</w:t>
            </w:r>
          </w:p>
        </w:tc>
        <w:tc>
          <w:tcPr>
            <w:tcW w:w="1174" w:type="dxa"/>
            <w:shd w:val="clear" w:color="auto" w:fill="F2F2F2"/>
            <w:vAlign w:val="center"/>
          </w:tcPr>
          <w:p w14:paraId="77F69372" w14:textId="77777777" w:rsidR="00984146" w:rsidRPr="001D74C5" w:rsidRDefault="00984146" w:rsidP="001D74C5">
            <w:pPr>
              <w:spacing w:before="40" w:after="40"/>
              <w:jc w:val="center"/>
              <w:rPr>
                <w:rFonts w:cs="Arial"/>
                <w:sz w:val="16"/>
                <w:szCs w:val="16"/>
              </w:rPr>
            </w:pPr>
            <w:r w:rsidRPr="001D74C5">
              <w:rPr>
                <w:rFonts w:cs="Arial"/>
                <w:sz w:val="16"/>
                <w:szCs w:val="16"/>
              </w:rPr>
              <w:t>-</w:t>
            </w:r>
          </w:p>
        </w:tc>
        <w:tc>
          <w:tcPr>
            <w:tcW w:w="1045" w:type="dxa"/>
            <w:shd w:val="clear" w:color="auto" w:fill="F2F2F2"/>
            <w:vAlign w:val="center"/>
          </w:tcPr>
          <w:p w14:paraId="49837007" w14:textId="77777777" w:rsidR="00984146" w:rsidRPr="001D74C5" w:rsidRDefault="00984146" w:rsidP="001D74C5">
            <w:pPr>
              <w:spacing w:before="40" w:after="40"/>
              <w:jc w:val="center"/>
              <w:rPr>
                <w:rFonts w:cs="Arial"/>
                <w:sz w:val="16"/>
                <w:szCs w:val="16"/>
              </w:rPr>
            </w:pPr>
            <w:r w:rsidRPr="001D74C5">
              <w:rPr>
                <w:rFonts w:cs="Arial"/>
                <w:sz w:val="16"/>
                <w:szCs w:val="16"/>
              </w:rPr>
              <w:t>-</w:t>
            </w:r>
          </w:p>
        </w:tc>
        <w:tc>
          <w:tcPr>
            <w:tcW w:w="882" w:type="dxa"/>
            <w:shd w:val="clear" w:color="auto" w:fill="F2F2F2"/>
            <w:vAlign w:val="center"/>
          </w:tcPr>
          <w:p w14:paraId="526DA0DF" w14:textId="627E56F6" w:rsidR="00984146" w:rsidRPr="001D74C5" w:rsidRDefault="00984146" w:rsidP="001D74C5">
            <w:pPr>
              <w:spacing w:before="40" w:after="40"/>
              <w:jc w:val="center"/>
              <w:rPr>
                <w:rFonts w:cs="Arial"/>
                <w:sz w:val="16"/>
                <w:szCs w:val="16"/>
              </w:rPr>
            </w:pPr>
            <w:r w:rsidRPr="001D74C5">
              <w:rPr>
                <w:rFonts w:cs="Arial"/>
                <w:sz w:val="16"/>
                <w:szCs w:val="16"/>
              </w:rPr>
              <w:t>Yes</w:t>
            </w:r>
          </w:p>
        </w:tc>
        <w:tc>
          <w:tcPr>
            <w:tcW w:w="1193" w:type="dxa"/>
            <w:shd w:val="clear" w:color="auto" w:fill="F2F2F2"/>
            <w:vAlign w:val="center"/>
          </w:tcPr>
          <w:p w14:paraId="52C16D2B" w14:textId="73C706DB"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F2F2F2"/>
            <w:vAlign w:val="center"/>
          </w:tcPr>
          <w:p w14:paraId="6185E283" w14:textId="6B538329" w:rsidR="00984146" w:rsidRPr="001D74C5" w:rsidRDefault="00984146" w:rsidP="001D74C5">
            <w:pPr>
              <w:spacing w:before="40" w:after="40"/>
              <w:jc w:val="center"/>
              <w:rPr>
                <w:rFonts w:cs="Arial"/>
                <w:sz w:val="16"/>
                <w:szCs w:val="16"/>
              </w:rPr>
            </w:pPr>
            <w:r w:rsidRPr="001D74C5">
              <w:rPr>
                <w:rFonts w:cs="Arial"/>
                <w:sz w:val="16"/>
                <w:szCs w:val="16"/>
              </w:rPr>
              <w:t>-</w:t>
            </w:r>
          </w:p>
        </w:tc>
        <w:tc>
          <w:tcPr>
            <w:tcW w:w="1116" w:type="dxa"/>
            <w:shd w:val="clear" w:color="auto" w:fill="F2F2F2"/>
            <w:vAlign w:val="center"/>
          </w:tcPr>
          <w:p w14:paraId="684F97E6" w14:textId="63BA3B53"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190D7829" w14:textId="77777777" w:rsidTr="00200F27">
        <w:tc>
          <w:tcPr>
            <w:tcW w:w="1650" w:type="dxa"/>
            <w:shd w:val="clear" w:color="auto" w:fill="auto"/>
            <w:vAlign w:val="center"/>
          </w:tcPr>
          <w:p w14:paraId="57C8BCA2" w14:textId="77777777" w:rsidR="00984146" w:rsidRPr="001D74C5" w:rsidRDefault="00984146" w:rsidP="001D74C5">
            <w:pPr>
              <w:spacing w:before="40" w:after="40"/>
              <w:rPr>
                <w:rFonts w:cs="Arial"/>
                <w:b/>
                <w:sz w:val="16"/>
                <w:szCs w:val="16"/>
              </w:rPr>
            </w:pPr>
            <w:r w:rsidRPr="001D74C5">
              <w:rPr>
                <w:rFonts w:cs="Arial"/>
                <w:i/>
                <w:sz w:val="16"/>
                <w:szCs w:val="16"/>
              </w:rPr>
              <w:t>Histiogamphelus briggsii</w:t>
            </w:r>
          </w:p>
        </w:tc>
        <w:tc>
          <w:tcPr>
            <w:tcW w:w="1135" w:type="dxa"/>
            <w:shd w:val="clear" w:color="auto" w:fill="auto"/>
            <w:vAlign w:val="center"/>
          </w:tcPr>
          <w:p w14:paraId="4AF96D71" w14:textId="77777777" w:rsidR="00984146" w:rsidRPr="001D74C5" w:rsidRDefault="00984146" w:rsidP="001D74C5">
            <w:pPr>
              <w:spacing w:before="40" w:after="40"/>
              <w:rPr>
                <w:rFonts w:cs="Arial"/>
                <w:b/>
                <w:sz w:val="16"/>
                <w:szCs w:val="16"/>
              </w:rPr>
            </w:pPr>
            <w:r w:rsidRPr="001D74C5">
              <w:rPr>
                <w:rFonts w:eastAsia="TTE185D0F0t00" w:cs="Arial"/>
                <w:sz w:val="16"/>
                <w:szCs w:val="16"/>
              </w:rPr>
              <w:t>Briggs' crested pipefish</w:t>
            </w:r>
          </w:p>
        </w:tc>
        <w:tc>
          <w:tcPr>
            <w:tcW w:w="1174" w:type="dxa"/>
            <w:shd w:val="clear" w:color="auto" w:fill="auto"/>
            <w:vAlign w:val="center"/>
          </w:tcPr>
          <w:p w14:paraId="5DE852AE"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auto"/>
            <w:vAlign w:val="center"/>
          </w:tcPr>
          <w:p w14:paraId="34B8B3C1"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auto"/>
            <w:vAlign w:val="center"/>
          </w:tcPr>
          <w:p w14:paraId="2CD4C516" w14:textId="19F14555"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auto"/>
            <w:vAlign w:val="center"/>
          </w:tcPr>
          <w:p w14:paraId="7999ABE3" w14:textId="355EF26D"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auto"/>
            <w:vAlign w:val="center"/>
          </w:tcPr>
          <w:p w14:paraId="17642DEF" w14:textId="7DDBA4F1" w:rsidR="00984146" w:rsidRPr="001D74C5" w:rsidRDefault="00984146" w:rsidP="001D74C5">
            <w:pPr>
              <w:spacing w:before="40" w:after="40"/>
              <w:jc w:val="center"/>
              <w:rPr>
                <w:rFonts w:cs="Arial"/>
                <w:sz w:val="16"/>
                <w:szCs w:val="16"/>
              </w:rPr>
            </w:pPr>
            <w:r w:rsidRPr="001D74C5">
              <w:rPr>
                <w:rFonts w:cs="Arial"/>
                <w:sz w:val="16"/>
                <w:szCs w:val="16"/>
              </w:rPr>
              <w:t>-</w:t>
            </w:r>
          </w:p>
        </w:tc>
        <w:tc>
          <w:tcPr>
            <w:tcW w:w="1116" w:type="dxa"/>
            <w:shd w:val="clear" w:color="auto" w:fill="auto"/>
            <w:vAlign w:val="center"/>
          </w:tcPr>
          <w:p w14:paraId="7942F712" w14:textId="09803A94"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1E028890" w14:textId="77777777" w:rsidTr="00200F27">
        <w:tc>
          <w:tcPr>
            <w:tcW w:w="1650" w:type="dxa"/>
            <w:shd w:val="clear" w:color="auto" w:fill="F2F2F2"/>
            <w:vAlign w:val="center"/>
          </w:tcPr>
          <w:p w14:paraId="34C771DF" w14:textId="77777777" w:rsidR="00984146" w:rsidRPr="001D74C5" w:rsidRDefault="00984146" w:rsidP="001D74C5">
            <w:pPr>
              <w:spacing w:before="40" w:after="40"/>
              <w:rPr>
                <w:rFonts w:cs="Arial"/>
                <w:b/>
                <w:sz w:val="16"/>
                <w:szCs w:val="16"/>
              </w:rPr>
            </w:pPr>
            <w:r w:rsidRPr="001D74C5">
              <w:rPr>
                <w:rFonts w:cs="Arial"/>
                <w:i/>
                <w:sz w:val="16"/>
                <w:szCs w:val="16"/>
              </w:rPr>
              <w:t>Histiogamphelus cristatus</w:t>
            </w:r>
          </w:p>
        </w:tc>
        <w:tc>
          <w:tcPr>
            <w:tcW w:w="1135" w:type="dxa"/>
            <w:shd w:val="clear" w:color="auto" w:fill="F2F2F2"/>
            <w:vAlign w:val="center"/>
          </w:tcPr>
          <w:p w14:paraId="62683B98" w14:textId="77777777" w:rsidR="00984146" w:rsidRPr="001D74C5" w:rsidRDefault="00984146" w:rsidP="001D74C5">
            <w:pPr>
              <w:spacing w:before="40" w:after="40"/>
              <w:rPr>
                <w:rFonts w:cs="Arial"/>
                <w:b/>
                <w:sz w:val="16"/>
                <w:szCs w:val="16"/>
              </w:rPr>
            </w:pPr>
            <w:r w:rsidRPr="001D74C5">
              <w:rPr>
                <w:rFonts w:cs="Arial"/>
                <w:sz w:val="16"/>
                <w:szCs w:val="16"/>
              </w:rPr>
              <w:t>Rhino pipefish</w:t>
            </w:r>
          </w:p>
        </w:tc>
        <w:tc>
          <w:tcPr>
            <w:tcW w:w="1174" w:type="dxa"/>
            <w:shd w:val="clear" w:color="auto" w:fill="F2F2F2"/>
            <w:vAlign w:val="center"/>
          </w:tcPr>
          <w:p w14:paraId="53C33047"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F2F2F2"/>
            <w:vAlign w:val="center"/>
          </w:tcPr>
          <w:p w14:paraId="021FE984"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F2F2F2"/>
            <w:vAlign w:val="center"/>
          </w:tcPr>
          <w:p w14:paraId="1D4E18A4" w14:textId="34E7DFC1"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F2F2F2"/>
            <w:vAlign w:val="center"/>
          </w:tcPr>
          <w:p w14:paraId="5813FB15" w14:textId="1687049C"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F2F2F2"/>
            <w:vAlign w:val="center"/>
          </w:tcPr>
          <w:p w14:paraId="11944B9E" w14:textId="6E53A4DD" w:rsidR="00984146" w:rsidRPr="001D74C5" w:rsidRDefault="00984146" w:rsidP="001D74C5">
            <w:pPr>
              <w:spacing w:before="40" w:after="40"/>
              <w:jc w:val="center"/>
              <w:rPr>
                <w:rFonts w:cs="Arial"/>
                <w:sz w:val="16"/>
                <w:szCs w:val="16"/>
              </w:rPr>
            </w:pPr>
            <w:r w:rsidRPr="001D74C5">
              <w:rPr>
                <w:rFonts w:cs="Arial"/>
                <w:sz w:val="16"/>
                <w:szCs w:val="16"/>
              </w:rPr>
              <w:t>-</w:t>
            </w:r>
          </w:p>
        </w:tc>
        <w:tc>
          <w:tcPr>
            <w:tcW w:w="1116" w:type="dxa"/>
            <w:shd w:val="clear" w:color="auto" w:fill="F2F2F2"/>
            <w:vAlign w:val="center"/>
          </w:tcPr>
          <w:p w14:paraId="0125B0F6" w14:textId="0CACCBEC"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17B7188C" w14:textId="77777777" w:rsidTr="00200F27">
        <w:tc>
          <w:tcPr>
            <w:tcW w:w="1650" w:type="dxa"/>
            <w:shd w:val="clear" w:color="auto" w:fill="auto"/>
            <w:vAlign w:val="center"/>
          </w:tcPr>
          <w:p w14:paraId="623DC2D2" w14:textId="77777777" w:rsidR="00984146" w:rsidRPr="001D74C5" w:rsidRDefault="00984146" w:rsidP="001D74C5">
            <w:pPr>
              <w:spacing w:before="40" w:after="40"/>
              <w:rPr>
                <w:rFonts w:cs="Arial"/>
                <w:b/>
                <w:sz w:val="16"/>
                <w:szCs w:val="16"/>
              </w:rPr>
            </w:pPr>
            <w:r w:rsidRPr="001D74C5">
              <w:rPr>
                <w:rFonts w:cs="Arial"/>
                <w:i/>
                <w:sz w:val="16"/>
                <w:szCs w:val="16"/>
              </w:rPr>
              <w:t>Hypselognathus rostratus</w:t>
            </w:r>
          </w:p>
        </w:tc>
        <w:tc>
          <w:tcPr>
            <w:tcW w:w="1135" w:type="dxa"/>
            <w:shd w:val="clear" w:color="auto" w:fill="auto"/>
            <w:vAlign w:val="center"/>
          </w:tcPr>
          <w:p w14:paraId="7667D4B4" w14:textId="77777777" w:rsidR="00984146" w:rsidRPr="001D74C5" w:rsidRDefault="00984146" w:rsidP="001D74C5">
            <w:pPr>
              <w:spacing w:before="40" w:after="40"/>
              <w:rPr>
                <w:rFonts w:cs="Arial"/>
                <w:b/>
                <w:sz w:val="16"/>
                <w:szCs w:val="16"/>
              </w:rPr>
            </w:pPr>
            <w:r w:rsidRPr="001D74C5">
              <w:rPr>
                <w:rFonts w:eastAsia="TTE185D0F0t00" w:cs="Arial"/>
                <w:sz w:val="16"/>
                <w:szCs w:val="16"/>
              </w:rPr>
              <w:t>Knife-snouted pipefish</w:t>
            </w:r>
          </w:p>
        </w:tc>
        <w:tc>
          <w:tcPr>
            <w:tcW w:w="1174" w:type="dxa"/>
            <w:shd w:val="clear" w:color="auto" w:fill="auto"/>
            <w:vAlign w:val="center"/>
          </w:tcPr>
          <w:p w14:paraId="085800D2"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auto"/>
            <w:vAlign w:val="center"/>
          </w:tcPr>
          <w:p w14:paraId="33241C7B"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auto"/>
            <w:vAlign w:val="center"/>
          </w:tcPr>
          <w:p w14:paraId="0B656A43" w14:textId="47A06690"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auto"/>
            <w:vAlign w:val="center"/>
          </w:tcPr>
          <w:p w14:paraId="4CAA3C12" w14:textId="54C89350"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auto"/>
            <w:vAlign w:val="center"/>
          </w:tcPr>
          <w:p w14:paraId="39CF4D11" w14:textId="19E8A11B" w:rsidR="00984146" w:rsidRPr="001D74C5" w:rsidRDefault="00984146" w:rsidP="001D74C5">
            <w:pPr>
              <w:spacing w:before="40" w:after="40"/>
              <w:jc w:val="center"/>
              <w:rPr>
                <w:rFonts w:cs="Arial"/>
                <w:sz w:val="16"/>
                <w:szCs w:val="16"/>
              </w:rPr>
            </w:pPr>
            <w:r w:rsidRPr="001D74C5">
              <w:rPr>
                <w:rFonts w:cs="Arial"/>
                <w:sz w:val="16"/>
                <w:szCs w:val="16"/>
              </w:rPr>
              <w:t>-</w:t>
            </w:r>
          </w:p>
        </w:tc>
        <w:tc>
          <w:tcPr>
            <w:tcW w:w="1116" w:type="dxa"/>
            <w:shd w:val="clear" w:color="auto" w:fill="auto"/>
            <w:vAlign w:val="center"/>
          </w:tcPr>
          <w:p w14:paraId="60CC4670" w14:textId="169BD050"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1B3D0577" w14:textId="77777777" w:rsidTr="00200F27">
        <w:tc>
          <w:tcPr>
            <w:tcW w:w="1650" w:type="dxa"/>
            <w:shd w:val="clear" w:color="auto" w:fill="F2F2F2"/>
            <w:vAlign w:val="center"/>
          </w:tcPr>
          <w:p w14:paraId="66356EE0" w14:textId="77777777" w:rsidR="00984146" w:rsidRPr="001D74C5" w:rsidRDefault="00984146" w:rsidP="001D74C5">
            <w:pPr>
              <w:spacing w:before="40" w:after="40"/>
              <w:rPr>
                <w:rFonts w:cs="Arial"/>
                <w:b/>
                <w:sz w:val="16"/>
                <w:szCs w:val="16"/>
              </w:rPr>
            </w:pPr>
            <w:r w:rsidRPr="001D74C5">
              <w:rPr>
                <w:rFonts w:cs="Arial"/>
                <w:i/>
                <w:sz w:val="16"/>
                <w:szCs w:val="16"/>
              </w:rPr>
              <w:t>Kaupus costatus</w:t>
            </w:r>
          </w:p>
        </w:tc>
        <w:tc>
          <w:tcPr>
            <w:tcW w:w="1135" w:type="dxa"/>
            <w:shd w:val="clear" w:color="auto" w:fill="F2F2F2"/>
            <w:vAlign w:val="center"/>
          </w:tcPr>
          <w:p w14:paraId="2AEB742C" w14:textId="77777777" w:rsidR="00984146" w:rsidRPr="001D74C5" w:rsidRDefault="00984146" w:rsidP="001D74C5">
            <w:pPr>
              <w:spacing w:before="40" w:after="40"/>
              <w:rPr>
                <w:rFonts w:cs="Arial"/>
                <w:b/>
                <w:sz w:val="16"/>
                <w:szCs w:val="16"/>
              </w:rPr>
            </w:pPr>
            <w:r w:rsidRPr="001D74C5">
              <w:rPr>
                <w:rFonts w:eastAsia="TTE185D0F0t00" w:cs="Arial"/>
                <w:sz w:val="16"/>
                <w:szCs w:val="16"/>
              </w:rPr>
              <w:t>Deep-bodied pipefish</w:t>
            </w:r>
          </w:p>
        </w:tc>
        <w:tc>
          <w:tcPr>
            <w:tcW w:w="1174" w:type="dxa"/>
            <w:shd w:val="clear" w:color="auto" w:fill="F2F2F2"/>
            <w:vAlign w:val="center"/>
          </w:tcPr>
          <w:p w14:paraId="25D48BEF"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F2F2F2"/>
            <w:vAlign w:val="center"/>
          </w:tcPr>
          <w:p w14:paraId="66092265"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F2F2F2"/>
            <w:vAlign w:val="center"/>
          </w:tcPr>
          <w:p w14:paraId="07795CFA" w14:textId="546BDE3F"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F2F2F2"/>
            <w:vAlign w:val="center"/>
          </w:tcPr>
          <w:p w14:paraId="55F0A5F4" w14:textId="2DC83835"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F2F2F2"/>
            <w:vAlign w:val="center"/>
          </w:tcPr>
          <w:p w14:paraId="0C1B7841" w14:textId="0C79552A" w:rsidR="00984146" w:rsidRPr="001D74C5" w:rsidRDefault="00984146" w:rsidP="001D74C5">
            <w:pPr>
              <w:spacing w:before="40" w:after="40"/>
              <w:jc w:val="center"/>
              <w:rPr>
                <w:rFonts w:cs="Arial"/>
                <w:sz w:val="16"/>
                <w:szCs w:val="16"/>
              </w:rPr>
            </w:pPr>
            <w:r w:rsidRPr="001D74C5">
              <w:rPr>
                <w:rFonts w:cs="Arial"/>
                <w:sz w:val="16"/>
                <w:szCs w:val="16"/>
              </w:rPr>
              <w:t>-</w:t>
            </w:r>
          </w:p>
        </w:tc>
        <w:tc>
          <w:tcPr>
            <w:tcW w:w="1116" w:type="dxa"/>
            <w:shd w:val="clear" w:color="auto" w:fill="F2F2F2"/>
            <w:vAlign w:val="center"/>
          </w:tcPr>
          <w:p w14:paraId="14E11DB2" w14:textId="16C0B891"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7B6176F5" w14:textId="77777777" w:rsidTr="00200F27">
        <w:tc>
          <w:tcPr>
            <w:tcW w:w="1650" w:type="dxa"/>
            <w:shd w:val="clear" w:color="auto" w:fill="auto"/>
            <w:vAlign w:val="center"/>
          </w:tcPr>
          <w:p w14:paraId="0F076ADE" w14:textId="77777777" w:rsidR="00984146" w:rsidRPr="001D74C5" w:rsidRDefault="00984146" w:rsidP="001D74C5">
            <w:pPr>
              <w:spacing w:before="40" w:after="40"/>
              <w:rPr>
                <w:rFonts w:eastAsia="TTE185D0F0t00" w:cs="Arial"/>
                <w:sz w:val="16"/>
                <w:szCs w:val="16"/>
              </w:rPr>
            </w:pPr>
            <w:r w:rsidRPr="001D74C5">
              <w:rPr>
                <w:rFonts w:cs="Arial"/>
                <w:i/>
                <w:sz w:val="16"/>
                <w:szCs w:val="16"/>
              </w:rPr>
              <w:t>Kimblaeus bassensis</w:t>
            </w:r>
          </w:p>
        </w:tc>
        <w:tc>
          <w:tcPr>
            <w:tcW w:w="1135" w:type="dxa"/>
            <w:shd w:val="clear" w:color="auto" w:fill="auto"/>
            <w:vAlign w:val="center"/>
          </w:tcPr>
          <w:p w14:paraId="2A9B88D0" w14:textId="77777777" w:rsidR="00984146" w:rsidRPr="001D74C5" w:rsidRDefault="00984146" w:rsidP="001D74C5">
            <w:pPr>
              <w:spacing w:before="40" w:after="40"/>
              <w:rPr>
                <w:rFonts w:cs="Arial"/>
                <w:i/>
                <w:sz w:val="16"/>
                <w:szCs w:val="16"/>
              </w:rPr>
            </w:pPr>
            <w:r w:rsidRPr="001D74C5">
              <w:rPr>
                <w:rFonts w:eastAsia="TTE185D0F0t00" w:cs="Arial"/>
                <w:sz w:val="16"/>
                <w:szCs w:val="16"/>
              </w:rPr>
              <w:t>Bass Strait pipefish</w:t>
            </w:r>
          </w:p>
        </w:tc>
        <w:tc>
          <w:tcPr>
            <w:tcW w:w="1174" w:type="dxa"/>
            <w:shd w:val="clear" w:color="auto" w:fill="auto"/>
            <w:vAlign w:val="center"/>
          </w:tcPr>
          <w:p w14:paraId="2BDC55F3" w14:textId="77777777" w:rsidR="00984146" w:rsidRPr="001D74C5" w:rsidRDefault="00984146" w:rsidP="001D74C5">
            <w:pPr>
              <w:spacing w:before="40" w:after="40"/>
              <w:jc w:val="center"/>
              <w:rPr>
                <w:rFonts w:cs="Arial"/>
                <w:sz w:val="16"/>
                <w:szCs w:val="16"/>
              </w:rPr>
            </w:pPr>
            <w:r w:rsidRPr="001D74C5">
              <w:rPr>
                <w:rFonts w:cs="Arial"/>
                <w:sz w:val="16"/>
                <w:szCs w:val="16"/>
              </w:rPr>
              <w:t>-</w:t>
            </w:r>
          </w:p>
        </w:tc>
        <w:tc>
          <w:tcPr>
            <w:tcW w:w="1045" w:type="dxa"/>
            <w:shd w:val="clear" w:color="auto" w:fill="auto"/>
            <w:vAlign w:val="center"/>
          </w:tcPr>
          <w:p w14:paraId="3EDA2292" w14:textId="77777777" w:rsidR="00984146" w:rsidRPr="001D74C5" w:rsidRDefault="00984146" w:rsidP="001D74C5">
            <w:pPr>
              <w:spacing w:before="40" w:after="40"/>
              <w:jc w:val="center"/>
              <w:rPr>
                <w:rFonts w:cs="Arial"/>
                <w:sz w:val="16"/>
                <w:szCs w:val="16"/>
              </w:rPr>
            </w:pPr>
            <w:r w:rsidRPr="001D74C5">
              <w:rPr>
                <w:rFonts w:cs="Arial"/>
                <w:sz w:val="16"/>
                <w:szCs w:val="16"/>
              </w:rPr>
              <w:t>-</w:t>
            </w:r>
          </w:p>
        </w:tc>
        <w:tc>
          <w:tcPr>
            <w:tcW w:w="882" w:type="dxa"/>
            <w:shd w:val="clear" w:color="auto" w:fill="auto"/>
            <w:vAlign w:val="center"/>
          </w:tcPr>
          <w:p w14:paraId="516D05F7" w14:textId="4EACA30D" w:rsidR="00984146" w:rsidRPr="001D74C5" w:rsidRDefault="00984146" w:rsidP="001D74C5">
            <w:pPr>
              <w:spacing w:before="40" w:after="40"/>
              <w:jc w:val="center"/>
              <w:rPr>
                <w:rFonts w:cs="Arial"/>
                <w:sz w:val="16"/>
                <w:szCs w:val="16"/>
              </w:rPr>
            </w:pPr>
            <w:r w:rsidRPr="001D74C5">
              <w:rPr>
                <w:rFonts w:cs="Arial"/>
                <w:sz w:val="16"/>
                <w:szCs w:val="16"/>
              </w:rPr>
              <w:t>Yes</w:t>
            </w:r>
          </w:p>
        </w:tc>
        <w:tc>
          <w:tcPr>
            <w:tcW w:w="1193" w:type="dxa"/>
            <w:shd w:val="clear" w:color="auto" w:fill="auto"/>
            <w:vAlign w:val="center"/>
          </w:tcPr>
          <w:p w14:paraId="5E8AC725" w14:textId="7521226A"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auto"/>
            <w:vAlign w:val="center"/>
          </w:tcPr>
          <w:p w14:paraId="0D06BE4C" w14:textId="25C4E342" w:rsidR="00984146" w:rsidRPr="001D74C5" w:rsidRDefault="00984146" w:rsidP="001D74C5">
            <w:pPr>
              <w:spacing w:before="40" w:after="40"/>
              <w:jc w:val="center"/>
              <w:rPr>
                <w:rFonts w:cs="Arial"/>
                <w:sz w:val="16"/>
                <w:szCs w:val="16"/>
              </w:rPr>
            </w:pPr>
            <w:r w:rsidRPr="001D74C5">
              <w:rPr>
                <w:rFonts w:cs="Arial"/>
                <w:sz w:val="16"/>
                <w:szCs w:val="16"/>
              </w:rPr>
              <w:t>-</w:t>
            </w:r>
          </w:p>
        </w:tc>
        <w:tc>
          <w:tcPr>
            <w:tcW w:w="1116" w:type="dxa"/>
            <w:shd w:val="clear" w:color="auto" w:fill="auto"/>
            <w:vAlign w:val="center"/>
          </w:tcPr>
          <w:p w14:paraId="56BF13A5" w14:textId="7FEE9963"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46C262E6" w14:textId="77777777" w:rsidTr="00200F27">
        <w:tc>
          <w:tcPr>
            <w:tcW w:w="1650" w:type="dxa"/>
            <w:shd w:val="clear" w:color="auto" w:fill="F2F2F2"/>
            <w:vAlign w:val="center"/>
          </w:tcPr>
          <w:p w14:paraId="651D82EC" w14:textId="77777777" w:rsidR="00984146" w:rsidRPr="001D74C5" w:rsidRDefault="00984146" w:rsidP="001D74C5">
            <w:pPr>
              <w:spacing w:before="40" w:after="40"/>
              <w:rPr>
                <w:rFonts w:cs="Arial"/>
                <w:b/>
                <w:sz w:val="16"/>
                <w:szCs w:val="16"/>
              </w:rPr>
            </w:pPr>
            <w:r w:rsidRPr="001D74C5">
              <w:rPr>
                <w:rFonts w:cs="Arial"/>
                <w:i/>
                <w:sz w:val="16"/>
                <w:szCs w:val="16"/>
              </w:rPr>
              <w:t>Leptoichthys fistularius</w:t>
            </w:r>
          </w:p>
        </w:tc>
        <w:tc>
          <w:tcPr>
            <w:tcW w:w="1135" w:type="dxa"/>
            <w:shd w:val="clear" w:color="auto" w:fill="F2F2F2"/>
            <w:vAlign w:val="center"/>
          </w:tcPr>
          <w:p w14:paraId="3834838F" w14:textId="77777777" w:rsidR="00984146" w:rsidRPr="001D74C5" w:rsidRDefault="00984146" w:rsidP="001D74C5">
            <w:pPr>
              <w:spacing w:before="40" w:after="40"/>
              <w:rPr>
                <w:rFonts w:cs="Arial"/>
                <w:b/>
                <w:sz w:val="16"/>
                <w:szCs w:val="16"/>
              </w:rPr>
            </w:pPr>
            <w:r w:rsidRPr="001D74C5">
              <w:rPr>
                <w:rFonts w:eastAsia="TTE185D0F0t00" w:cs="Arial"/>
                <w:sz w:val="16"/>
                <w:szCs w:val="16"/>
              </w:rPr>
              <w:t>Brushtail pipefish</w:t>
            </w:r>
          </w:p>
        </w:tc>
        <w:tc>
          <w:tcPr>
            <w:tcW w:w="1174" w:type="dxa"/>
            <w:shd w:val="clear" w:color="auto" w:fill="F2F2F2"/>
            <w:vAlign w:val="center"/>
          </w:tcPr>
          <w:p w14:paraId="51A7C709"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F2F2F2"/>
            <w:vAlign w:val="center"/>
          </w:tcPr>
          <w:p w14:paraId="2C8B860D"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F2F2F2"/>
            <w:vAlign w:val="center"/>
          </w:tcPr>
          <w:p w14:paraId="7FA27C22" w14:textId="7B81DC64"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F2F2F2"/>
            <w:vAlign w:val="center"/>
          </w:tcPr>
          <w:p w14:paraId="17811545" w14:textId="1332428F"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F2F2F2"/>
            <w:vAlign w:val="center"/>
          </w:tcPr>
          <w:p w14:paraId="4E19C7B7" w14:textId="0D4F1AE5" w:rsidR="00984146" w:rsidRPr="001D74C5" w:rsidRDefault="00984146" w:rsidP="001D74C5">
            <w:pPr>
              <w:spacing w:before="40" w:after="40"/>
              <w:jc w:val="center"/>
              <w:rPr>
                <w:rFonts w:cs="Arial"/>
                <w:sz w:val="16"/>
                <w:szCs w:val="16"/>
              </w:rPr>
            </w:pPr>
            <w:r w:rsidRPr="001D74C5">
              <w:rPr>
                <w:rFonts w:cs="Arial"/>
                <w:sz w:val="16"/>
                <w:szCs w:val="16"/>
              </w:rPr>
              <w:t>-</w:t>
            </w:r>
          </w:p>
        </w:tc>
        <w:tc>
          <w:tcPr>
            <w:tcW w:w="1116" w:type="dxa"/>
            <w:shd w:val="clear" w:color="auto" w:fill="F2F2F2"/>
            <w:vAlign w:val="center"/>
          </w:tcPr>
          <w:p w14:paraId="4E0F948A" w14:textId="57DD0FBE"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128FF87F" w14:textId="77777777" w:rsidTr="00200F27">
        <w:tc>
          <w:tcPr>
            <w:tcW w:w="1650" w:type="dxa"/>
            <w:shd w:val="clear" w:color="auto" w:fill="auto"/>
            <w:vAlign w:val="center"/>
          </w:tcPr>
          <w:p w14:paraId="2A58F98F" w14:textId="77777777" w:rsidR="00984146" w:rsidRPr="001D74C5" w:rsidRDefault="00984146" w:rsidP="001D74C5">
            <w:pPr>
              <w:spacing w:before="40" w:after="40"/>
              <w:rPr>
                <w:rFonts w:cs="Arial"/>
                <w:b/>
                <w:sz w:val="16"/>
                <w:szCs w:val="16"/>
              </w:rPr>
            </w:pPr>
            <w:r w:rsidRPr="001D74C5">
              <w:rPr>
                <w:rFonts w:cs="Arial"/>
                <w:i/>
                <w:sz w:val="16"/>
                <w:szCs w:val="16"/>
              </w:rPr>
              <w:t>Lissocampus caudalis</w:t>
            </w:r>
          </w:p>
        </w:tc>
        <w:tc>
          <w:tcPr>
            <w:tcW w:w="1135" w:type="dxa"/>
            <w:shd w:val="clear" w:color="auto" w:fill="auto"/>
            <w:vAlign w:val="center"/>
          </w:tcPr>
          <w:p w14:paraId="326A9AEC" w14:textId="77777777" w:rsidR="00984146" w:rsidRPr="001D74C5" w:rsidRDefault="00984146" w:rsidP="001D74C5">
            <w:pPr>
              <w:spacing w:before="40" w:after="40"/>
              <w:rPr>
                <w:rFonts w:cs="Arial"/>
                <w:b/>
                <w:sz w:val="16"/>
                <w:szCs w:val="16"/>
              </w:rPr>
            </w:pPr>
            <w:r w:rsidRPr="001D74C5">
              <w:rPr>
                <w:rFonts w:cs="Arial"/>
                <w:sz w:val="16"/>
                <w:szCs w:val="16"/>
              </w:rPr>
              <w:t>Australian smooth pipefish</w:t>
            </w:r>
          </w:p>
        </w:tc>
        <w:tc>
          <w:tcPr>
            <w:tcW w:w="1174" w:type="dxa"/>
            <w:shd w:val="clear" w:color="auto" w:fill="auto"/>
            <w:vAlign w:val="center"/>
          </w:tcPr>
          <w:p w14:paraId="3EC61D83"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auto"/>
            <w:vAlign w:val="center"/>
          </w:tcPr>
          <w:p w14:paraId="5166F2E5"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auto"/>
            <w:vAlign w:val="center"/>
          </w:tcPr>
          <w:p w14:paraId="75811FE4" w14:textId="179CC096"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auto"/>
            <w:vAlign w:val="center"/>
          </w:tcPr>
          <w:p w14:paraId="75B172D3" w14:textId="0A3019C8"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auto"/>
            <w:vAlign w:val="center"/>
          </w:tcPr>
          <w:p w14:paraId="338EF261" w14:textId="2EC77459" w:rsidR="00984146" w:rsidRPr="001D74C5" w:rsidRDefault="00984146" w:rsidP="001D74C5">
            <w:pPr>
              <w:spacing w:before="40" w:after="40"/>
              <w:jc w:val="center"/>
              <w:rPr>
                <w:rFonts w:cs="Arial"/>
                <w:sz w:val="16"/>
                <w:szCs w:val="16"/>
              </w:rPr>
            </w:pPr>
            <w:r w:rsidRPr="001D74C5">
              <w:rPr>
                <w:rFonts w:cs="Arial"/>
                <w:sz w:val="16"/>
                <w:szCs w:val="16"/>
              </w:rPr>
              <w:t>-</w:t>
            </w:r>
          </w:p>
        </w:tc>
        <w:tc>
          <w:tcPr>
            <w:tcW w:w="1116" w:type="dxa"/>
            <w:shd w:val="clear" w:color="auto" w:fill="auto"/>
            <w:vAlign w:val="center"/>
          </w:tcPr>
          <w:p w14:paraId="0DF5321B" w14:textId="010B5267"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6B566891" w14:textId="77777777" w:rsidTr="00200F27">
        <w:tc>
          <w:tcPr>
            <w:tcW w:w="1650" w:type="dxa"/>
            <w:shd w:val="clear" w:color="auto" w:fill="F2F2F2"/>
            <w:vAlign w:val="center"/>
          </w:tcPr>
          <w:p w14:paraId="383CECF0" w14:textId="77777777" w:rsidR="00984146" w:rsidRPr="001D74C5" w:rsidRDefault="00984146" w:rsidP="001D74C5">
            <w:pPr>
              <w:spacing w:before="40" w:after="40"/>
              <w:rPr>
                <w:rFonts w:cs="Arial"/>
                <w:b/>
                <w:sz w:val="16"/>
                <w:szCs w:val="16"/>
              </w:rPr>
            </w:pPr>
            <w:r w:rsidRPr="001D74C5">
              <w:rPr>
                <w:rFonts w:cs="Arial"/>
                <w:i/>
                <w:sz w:val="16"/>
                <w:szCs w:val="16"/>
              </w:rPr>
              <w:t>Lissocampus runa</w:t>
            </w:r>
          </w:p>
        </w:tc>
        <w:tc>
          <w:tcPr>
            <w:tcW w:w="1135" w:type="dxa"/>
            <w:shd w:val="clear" w:color="auto" w:fill="F2F2F2"/>
            <w:vAlign w:val="center"/>
          </w:tcPr>
          <w:p w14:paraId="145A93FF" w14:textId="77777777" w:rsidR="00984146" w:rsidRPr="001D74C5" w:rsidRDefault="00984146" w:rsidP="001D74C5">
            <w:pPr>
              <w:spacing w:before="40" w:after="40"/>
              <w:rPr>
                <w:rFonts w:cs="Arial"/>
                <w:b/>
                <w:sz w:val="16"/>
                <w:szCs w:val="16"/>
              </w:rPr>
            </w:pPr>
            <w:r w:rsidRPr="001D74C5">
              <w:rPr>
                <w:rFonts w:eastAsia="TTE185D0F0t00" w:cs="Arial"/>
                <w:sz w:val="16"/>
                <w:szCs w:val="16"/>
              </w:rPr>
              <w:t>Javelin pipefish</w:t>
            </w:r>
          </w:p>
        </w:tc>
        <w:tc>
          <w:tcPr>
            <w:tcW w:w="1174" w:type="dxa"/>
            <w:shd w:val="clear" w:color="auto" w:fill="F2F2F2"/>
            <w:vAlign w:val="center"/>
          </w:tcPr>
          <w:p w14:paraId="71EC6B2F"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F2F2F2"/>
            <w:vAlign w:val="center"/>
          </w:tcPr>
          <w:p w14:paraId="15D8EA34"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F2F2F2"/>
            <w:vAlign w:val="center"/>
          </w:tcPr>
          <w:p w14:paraId="3D9D97BF" w14:textId="376547A2"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F2F2F2"/>
            <w:vAlign w:val="center"/>
          </w:tcPr>
          <w:p w14:paraId="61D33F78" w14:textId="7259B91D"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F2F2F2"/>
            <w:vAlign w:val="center"/>
          </w:tcPr>
          <w:p w14:paraId="0036CA92" w14:textId="34C733CE" w:rsidR="00984146" w:rsidRPr="001D74C5" w:rsidRDefault="00984146" w:rsidP="001D74C5">
            <w:pPr>
              <w:spacing w:before="40" w:after="40"/>
              <w:jc w:val="center"/>
              <w:rPr>
                <w:rFonts w:cs="Arial"/>
                <w:sz w:val="16"/>
                <w:szCs w:val="16"/>
              </w:rPr>
            </w:pPr>
            <w:r w:rsidRPr="001D74C5">
              <w:rPr>
                <w:rFonts w:cs="Arial"/>
                <w:sz w:val="16"/>
                <w:szCs w:val="16"/>
              </w:rPr>
              <w:t>-</w:t>
            </w:r>
          </w:p>
        </w:tc>
        <w:tc>
          <w:tcPr>
            <w:tcW w:w="1116" w:type="dxa"/>
            <w:shd w:val="clear" w:color="auto" w:fill="F2F2F2"/>
            <w:vAlign w:val="center"/>
          </w:tcPr>
          <w:p w14:paraId="5105ECB3" w14:textId="7EB289E9"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50504918" w14:textId="77777777" w:rsidTr="00200F27">
        <w:tc>
          <w:tcPr>
            <w:tcW w:w="1650" w:type="dxa"/>
            <w:shd w:val="clear" w:color="auto" w:fill="auto"/>
            <w:vAlign w:val="center"/>
          </w:tcPr>
          <w:p w14:paraId="6CF66D39" w14:textId="77777777" w:rsidR="00984146" w:rsidRPr="001D74C5" w:rsidRDefault="00984146" w:rsidP="001D74C5">
            <w:pPr>
              <w:spacing w:before="40" w:after="40"/>
              <w:rPr>
                <w:rFonts w:cs="Arial"/>
                <w:b/>
                <w:sz w:val="16"/>
                <w:szCs w:val="16"/>
              </w:rPr>
            </w:pPr>
            <w:r w:rsidRPr="001D74C5">
              <w:rPr>
                <w:rFonts w:cs="Arial"/>
                <w:i/>
                <w:sz w:val="16"/>
                <w:szCs w:val="16"/>
              </w:rPr>
              <w:t>Maroubra perserrata</w:t>
            </w:r>
          </w:p>
        </w:tc>
        <w:tc>
          <w:tcPr>
            <w:tcW w:w="1135" w:type="dxa"/>
            <w:shd w:val="clear" w:color="auto" w:fill="auto"/>
            <w:vAlign w:val="center"/>
          </w:tcPr>
          <w:p w14:paraId="44C908EF" w14:textId="77777777" w:rsidR="00984146" w:rsidRPr="001D74C5" w:rsidRDefault="00984146" w:rsidP="001D74C5">
            <w:pPr>
              <w:spacing w:before="40" w:after="40"/>
              <w:rPr>
                <w:rFonts w:cs="Arial"/>
                <w:b/>
                <w:sz w:val="16"/>
                <w:szCs w:val="16"/>
              </w:rPr>
            </w:pPr>
            <w:r w:rsidRPr="001D74C5">
              <w:rPr>
                <w:rFonts w:cs="Arial"/>
                <w:sz w:val="16"/>
                <w:szCs w:val="16"/>
              </w:rPr>
              <w:t>Sawtooth pipefish</w:t>
            </w:r>
          </w:p>
        </w:tc>
        <w:tc>
          <w:tcPr>
            <w:tcW w:w="1174" w:type="dxa"/>
            <w:shd w:val="clear" w:color="auto" w:fill="auto"/>
            <w:vAlign w:val="center"/>
          </w:tcPr>
          <w:p w14:paraId="6F68A1F2"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auto"/>
            <w:vAlign w:val="center"/>
          </w:tcPr>
          <w:p w14:paraId="1C19BB0D"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auto"/>
            <w:vAlign w:val="center"/>
          </w:tcPr>
          <w:p w14:paraId="22299833" w14:textId="3473D815"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auto"/>
            <w:vAlign w:val="center"/>
          </w:tcPr>
          <w:p w14:paraId="30C09207" w14:textId="771F74DC"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auto"/>
            <w:vAlign w:val="center"/>
          </w:tcPr>
          <w:p w14:paraId="66AEE48B" w14:textId="591B2586" w:rsidR="00984146" w:rsidRPr="001D74C5" w:rsidRDefault="00984146" w:rsidP="001D74C5">
            <w:pPr>
              <w:spacing w:before="40" w:after="40"/>
              <w:jc w:val="center"/>
              <w:rPr>
                <w:rFonts w:cs="Arial"/>
                <w:sz w:val="16"/>
                <w:szCs w:val="16"/>
              </w:rPr>
            </w:pPr>
            <w:r w:rsidRPr="001D74C5">
              <w:rPr>
                <w:rFonts w:cs="Arial"/>
                <w:sz w:val="16"/>
                <w:szCs w:val="16"/>
              </w:rPr>
              <w:t>-</w:t>
            </w:r>
          </w:p>
        </w:tc>
        <w:tc>
          <w:tcPr>
            <w:tcW w:w="1116" w:type="dxa"/>
            <w:shd w:val="clear" w:color="auto" w:fill="auto"/>
            <w:vAlign w:val="center"/>
          </w:tcPr>
          <w:p w14:paraId="5E8285B5" w14:textId="17FBC12F"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4999DEC1" w14:textId="77777777" w:rsidTr="00200F27">
        <w:tc>
          <w:tcPr>
            <w:tcW w:w="1650" w:type="dxa"/>
            <w:shd w:val="clear" w:color="auto" w:fill="F2F2F2"/>
            <w:vAlign w:val="center"/>
          </w:tcPr>
          <w:p w14:paraId="3310FD7A" w14:textId="77777777" w:rsidR="00984146" w:rsidRPr="001D74C5" w:rsidRDefault="00984146" w:rsidP="001D74C5">
            <w:pPr>
              <w:spacing w:before="40" w:after="40"/>
              <w:rPr>
                <w:rFonts w:eastAsia="TTE185D0F0t00" w:cs="Arial"/>
                <w:sz w:val="16"/>
                <w:szCs w:val="16"/>
              </w:rPr>
            </w:pPr>
            <w:r w:rsidRPr="001D74C5">
              <w:rPr>
                <w:rFonts w:cs="Arial"/>
                <w:i/>
                <w:sz w:val="16"/>
                <w:szCs w:val="16"/>
              </w:rPr>
              <w:t>Mitotichthys mollisoni</w:t>
            </w:r>
          </w:p>
        </w:tc>
        <w:tc>
          <w:tcPr>
            <w:tcW w:w="1135" w:type="dxa"/>
            <w:shd w:val="clear" w:color="auto" w:fill="F2F2F2"/>
            <w:vAlign w:val="center"/>
          </w:tcPr>
          <w:p w14:paraId="2DD91068" w14:textId="77777777" w:rsidR="00984146" w:rsidRPr="001D74C5" w:rsidRDefault="00984146" w:rsidP="001D74C5">
            <w:pPr>
              <w:spacing w:before="40" w:after="40"/>
              <w:rPr>
                <w:rFonts w:cs="Arial"/>
                <w:i/>
                <w:sz w:val="16"/>
                <w:szCs w:val="16"/>
              </w:rPr>
            </w:pPr>
            <w:r w:rsidRPr="001D74C5">
              <w:rPr>
                <w:rFonts w:eastAsia="TTE185D0F0t00" w:cs="Arial"/>
                <w:sz w:val="16"/>
                <w:szCs w:val="16"/>
              </w:rPr>
              <w:t>Mollison’s pipefish</w:t>
            </w:r>
          </w:p>
        </w:tc>
        <w:tc>
          <w:tcPr>
            <w:tcW w:w="1174" w:type="dxa"/>
            <w:shd w:val="clear" w:color="auto" w:fill="F2F2F2"/>
            <w:vAlign w:val="center"/>
          </w:tcPr>
          <w:p w14:paraId="7B572C83" w14:textId="77777777" w:rsidR="00984146" w:rsidRPr="001D74C5" w:rsidRDefault="00984146" w:rsidP="001D74C5">
            <w:pPr>
              <w:spacing w:before="40" w:after="40"/>
              <w:jc w:val="center"/>
              <w:rPr>
                <w:rFonts w:cs="Arial"/>
                <w:sz w:val="16"/>
                <w:szCs w:val="16"/>
              </w:rPr>
            </w:pPr>
            <w:r w:rsidRPr="001D74C5">
              <w:rPr>
                <w:rFonts w:cs="Arial"/>
                <w:sz w:val="16"/>
                <w:szCs w:val="16"/>
              </w:rPr>
              <w:t>-</w:t>
            </w:r>
          </w:p>
        </w:tc>
        <w:tc>
          <w:tcPr>
            <w:tcW w:w="1045" w:type="dxa"/>
            <w:shd w:val="clear" w:color="auto" w:fill="F2F2F2"/>
            <w:vAlign w:val="center"/>
          </w:tcPr>
          <w:p w14:paraId="5A538969" w14:textId="77777777" w:rsidR="00984146" w:rsidRPr="001D74C5" w:rsidRDefault="00984146" w:rsidP="001D74C5">
            <w:pPr>
              <w:spacing w:before="40" w:after="40"/>
              <w:jc w:val="center"/>
              <w:rPr>
                <w:rFonts w:cs="Arial"/>
                <w:sz w:val="16"/>
                <w:szCs w:val="16"/>
              </w:rPr>
            </w:pPr>
            <w:r w:rsidRPr="001D74C5">
              <w:rPr>
                <w:rFonts w:cs="Arial"/>
                <w:sz w:val="16"/>
                <w:szCs w:val="16"/>
              </w:rPr>
              <w:t>-</w:t>
            </w:r>
          </w:p>
        </w:tc>
        <w:tc>
          <w:tcPr>
            <w:tcW w:w="882" w:type="dxa"/>
            <w:shd w:val="clear" w:color="auto" w:fill="F2F2F2"/>
            <w:vAlign w:val="center"/>
          </w:tcPr>
          <w:p w14:paraId="51CB69AB" w14:textId="2A43EA27" w:rsidR="00984146" w:rsidRPr="001D74C5" w:rsidRDefault="00984146" w:rsidP="001D74C5">
            <w:pPr>
              <w:spacing w:before="40" w:after="40"/>
              <w:jc w:val="center"/>
              <w:rPr>
                <w:rFonts w:cs="Arial"/>
                <w:sz w:val="16"/>
                <w:szCs w:val="16"/>
              </w:rPr>
            </w:pPr>
            <w:r w:rsidRPr="001D74C5">
              <w:rPr>
                <w:rFonts w:cs="Arial"/>
                <w:sz w:val="16"/>
                <w:szCs w:val="16"/>
              </w:rPr>
              <w:t>Yes</w:t>
            </w:r>
          </w:p>
        </w:tc>
        <w:tc>
          <w:tcPr>
            <w:tcW w:w="1193" w:type="dxa"/>
            <w:shd w:val="clear" w:color="auto" w:fill="F2F2F2"/>
            <w:vAlign w:val="center"/>
          </w:tcPr>
          <w:p w14:paraId="03A1ADE0" w14:textId="0CD30859"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F2F2F2"/>
            <w:vAlign w:val="center"/>
          </w:tcPr>
          <w:p w14:paraId="6C981B4D" w14:textId="017B6EA9" w:rsidR="00984146" w:rsidRPr="001D74C5" w:rsidRDefault="00984146" w:rsidP="001D74C5">
            <w:pPr>
              <w:spacing w:before="40" w:after="40"/>
              <w:jc w:val="center"/>
              <w:rPr>
                <w:rFonts w:cs="Arial"/>
                <w:sz w:val="16"/>
                <w:szCs w:val="16"/>
              </w:rPr>
            </w:pPr>
            <w:r w:rsidRPr="001D74C5">
              <w:rPr>
                <w:rFonts w:cs="Arial"/>
                <w:sz w:val="16"/>
                <w:szCs w:val="16"/>
              </w:rPr>
              <w:t>-</w:t>
            </w:r>
          </w:p>
        </w:tc>
        <w:tc>
          <w:tcPr>
            <w:tcW w:w="1116" w:type="dxa"/>
            <w:shd w:val="clear" w:color="auto" w:fill="F2F2F2"/>
            <w:vAlign w:val="center"/>
          </w:tcPr>
          <w:p w14:paraId="225C4A44" w14:textId="13CB7DD1"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41F76526" w14:textId="77777777" w:rsidTr="00200F27">
        <w:tc>
          <w:tcPr>
            <w:tcW w:w="1650" w:type="dxa"/>
            <w:shd w:val="clear" w:color="auto" w:fill="auto"/>
            <w:vAlign w:val="center"/>
          </w:tcPr>
          <w:p w14:paraId="2F0379F7" w14:textId="77777777" w:rsidR="00984146" w:rsidRPr="001D74C5" w:rsidRDefault="00984146" w:rsidP="001D74C5">
            <w:pPr>
              <w:spacing w:before="40" w:after="40"/>
              <w:rPr>
                <w:rFonts w:cs="Arial"/>
                <w:b/>
                <w:sz w:val="16"/>
                <w:szCs w:val="16"/>
              </w:rPr>
            </w:pPr>
            <w:r w:rsidRPr="001D74C5">
              <w:rPr>
                <w:rFonts w:cs="Arial"/>
                <w:i/>
                <w:sz w:val="16"/>
                <w:szCs w:val="16"/>
              </w:rPr>
              <w:t>Mitotichthys semistriatus</w:t>
            </w:r>
          </w:p>
        </w:tc>
        <w:tc>
          <w:tcPr>
            <w:tcW w:w="1135" w:type="dxa"/>
            <w:shd w:val="clear" w:color="auto" w:fill="auto"/>
            <w:vAlign w:val="center"/>
          </w:tcPr>
          <w:p w14:paraId="336AC921" w14:textId="77777777" w:rsidR="00984146" w:rsidRPr="001D74C5" w:rsidRDefault="00984146" w:rsidP="001D74C5">
            <w:pPr>
              <w:spacing w:before="40" w:after="40"/>
              <w:rPr>
                <w:rFonts w:cs="Arial"/>
                <w:b/>
                <w:sz w:val="16"/>
                <w:szCs w:val="16"/>
              </w:rPr>
            </w:pPr>
            <w:r w:rsidRPr="001D74C5">
              <w:rPr>
                <w:rFonts w:eastAsia="TTE185D0F0t00" w:cs="Arial"/>
                <w:sz w:val="16"/>
                <w:szCs w:val="16"/>
              </w:rPr>
              <w:t>Half-banded pipefish</w:t>
            </w:r>
          </w:p>
        </w:tc>
        <w:tc>
          <w:tcPr>
            <w:tcW w:w="1174" w:type="dxa"/>
            <w:shd w:val="clear" w:color="auto" w:fill="auto"/>
            <w:vAlign w:val="center"/>
          </w:tcPr>
          <w:p w14:paraId="22B2CD02"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auto"/>
            <w:vAlign w:val="center"/>
          </w:tcPr>
          <w:p w14:paraId="406F8D49"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auto"/>
            <w:vAlign w:val="center"/>
          </w:tcPr>
          <w:p w14:paraId="128BEEE8" w14:textId="1B5C3BD2"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auto"/>
            <w:vAlign w:val="center"/>
          </w:tcPr>
          <w:p w14:paraId="1D58F567" w14:textId="16F3EB84"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auto"/>
            <w:vAlign w:val="center"/>
          </w:tcPr>
          <w:p w14:paraId="78CB2FF4" w14:textId="7750E8DD" w:rsidR="00984146" w:rsidRPr="001D74C5" w:rsidRDefault="00984146" w:rsidP="001D74C5">
            <w:pPr>
              <w:spacing w:before="40" w:after="40"/>
              <w:jc w:val="center"/>
              <w:rPr>
                <w:rFonts w:cs="Arial"/>
                <w:sz w:val="16"/>
                <w:szCs w:val="16"/>
              </w:rPr>
            </w:pPr>
            <w:r w:rsidRPr="001D74C5">
              <w:rPr>
                <w:rFonts w:cs="Arial"/>
                <w:sz w:val="16"/>
                <w:szCs w:val="16"/>
              </w:rPr>
              <w:t>-</w:t>
            </w:r>
          </w:p>
        </w:tc>
        <w:tc>
          <w:tcPr>
            <w:tcW w:w="1116" w:type="dxa"/>
            <w:shd w:val="clear" w:color="auto" w:fill="auto"/>
            <w:vAlign w:val="center"/>
          </w:tcPr>
          <w:p w14:paraId="25FBA50B" w14:textId="0C0015EE"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1B51BA60" w14:textId="77777777" w:rsidTr="00200F27">
        <w:tc>
          <w:tcPr>
            <w:tcW w:w="1650" w:type="dxa"/>
            <w:shd w:val="clear" w:color="auto" w:fill="F2F2F2"/>
            <w:vAlign w:val="center"/>
          </w:tcPr>
          <w:p w14:paraId="4AF02797" w14:textId="77777777" w:rsidR="00984146" w:rsidRPr="001D74C5" w:rsidRDefault="00984146" w:rsidP="001D74C5">
            <w:pPr>
              <w:spacing w:before="40" w:after="40"/>
              <w:rPr>
                <w:rFonts w:cs="Arial"/>
                <w:b/>
                <w:sz w:val="16"/>
                <w:szCs w:val="16"/>
              </w:rPr>
            </w:pPr>
            <w:r w:rsidRPr="001D74C5">
              <w:rPr>
                <w:rFonts w:cs="Arial"/>
                <w:i/>
                <w:sz w:val="16"/>
                <w:szCs w:val="16"/>
              </w:rPr>
              <w:t>Mitotichthys tuckeri</w:t>
            </w:r>
          </w:p>
        </w:tc>
        <w:tc>
          <w:tcPr>
            <w:tcW w:w="1135" w:type="dxa"/>
            <w:shd w:val="clear" w:color="auto" w:fill="F2F2F2"/>
            <w:vAlign w:val="center"/>
          </w:tcPr>
          <w:p w14:paraId="7A2B9BF3" w14:textId="77777777" w:rsidR="00984146" w:rsidRPr="001D74C5" w:rsidRDefault="00984146" w:rsidP="001D74C5">
            <w:pPr>
              <w:spacing w:before="40" w:after="40"/>
              <w:rPr>
                <w:rFonts w:cs="Arial"/>
                <w:b/>
                <w:sz w:val="16"/>
                <w:szCs w:val="16"/>
              </w:rPr>
            </w:pPr>
            <w:r w:rsidRPr="001D74C5">
              <w:rPr>
                <w:rFonts w:eastAsia="TTE185D0F0t00" w:cs="Arial"/>
                <w:sz w:val="16"/>
                <w:szCs w:val="16"/>
              </w:rPr>
              <w:t>Tucker's pipefish</w:t>
            </w:r>
          </w:p>
        </w:tc>
        <w:tc>
          <w:tcPr>
            <w:tcW w:w="1174" w:type="dxa"/>
            <w:shd w:val="clear" w:color="auto" w:fill="F2F2F2"/>
            <w:vAlign w:val="center"/>
          </w:tcPr>
          <w:p w14:paraId="760AC025"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F2F2F2"/>
            <w:vAlign w:val="center"/>
          </w:tcPr>
          <w:p w14:paraId="157A49D9"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F2F2F2"/>
            <w:vAlign w:val="center"/>
          </w:tcPr>
          <w:p w14:paraId="0F6FCDCC" w14:textId="247F359D"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F2F2F2"/>
            <w:vAlign w:val="center"/>
          </w:tcPr>
          <w:p w14:paraId="4F36B4EB" w14:textId="269EEEBC"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F2F2F2"/>
            <w:vAlign w:val="center"/>
          </w:tcPr>
          <w:p w14:paraId="00C782DA" w14:textId="76024B36" w:rsidR="00984146" w:rsidRPr="001D74C5" w:rsidRDefault="00984146" w:rsidP="001D74C5">
            <w:pPr>
              <w:spacing w:before="40" w:after="40"/>
              <w:jc w:val="center"/>
              <w:rPr>
                <w:rFonts w:cs="Arial"/>
                <w:sz w:val="16"/>
                <w:szCs w:val="16"/>
              </w:rPr>
            </w:pPr>
            <w:r w:rsidRPr="001D74C5">
              <w:rPr>
                <w:rFonts w:cs="Arial"/>
                <w:sz w:val="16"/>
                <w:szCs w:val="16"/>
              </w:rPr>
              <w:t>-</w:t>
            </w:r>
          </w:p>
        </w:tc>
        <w:tc>
          <w:tcPr>
            <w:tcW w:w="1116" w:type="dxa"/>
            <w:shd w:val="clear" w:color="auto" w:fill="F2F2F2"/>
            <w:vAlign w:val="center"/>
          </w:tcPr>
          <w:p w14:paraId="00F392C2" w14:textId="5041B8F0"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554D4893" w14:textId="77777777" w:rsidTr="00200F27">
        <w:tc>
          <w:tcPr>
            <w:tcW w:w="1650" w:type="dxa"/>
            <w:shd w:val="clear" w:color="auto" w:fill="auto"/>
            <w:vAlign w:val="center"/>
          </w:tcPr>
          <w:p w14:paraId="2967C60F" w14:textId="77777777" w:rsidR="00984146" w:rsidRPr="001D74C5" w:rsidRDefault="00984146" w:rsidP="001D74C5">
            <w:pPr>
              <w:spacing w:before="40" w:after="40"/>
              <w:rPr>
                <w:rFonts w:cs="Arial"/>
                <w:b/>
                <w:sz w:val="16"/>
                <w:szCs w:val="16"/>
              </w:rPr>
            </w:pPr>
            <w:r w:rsidRPr="001D74C5">
              <w:rPr>
                <w:rFonts w:cs="Arial"/>
                <w:i/>
                <w:sz w:val="16"/>
                <w:szCs w:val="16"/>
              </w:rPr>
              <w:t>Notiocampus ruber</w:t>
            </w:r>
          </w:p>
        </w:tc>
        <w:tc>
          <w:tcPr>
            <w:tcW w:w="1135" w:type="dxa"/>
            <w:shd w:val="clear" w:color="auto" w:fill="auto"/>
            <w:vAlign w:val="center"/>
          </w:tcPr>
          <w:p w14:paraId="0D25FC17" w14:textId="77777777" w:rsidR="00984146" w:rsidRPr="001D74C5" w:rsidRDefault="00984146" w:rsidP="001D74C5">
            <w:pPr>
              <w:spacing w:before="40" w:after="40"/>
              <w:rPr>
                <w:rFonts w:cs="Arial"/>
                <w:b/>
                <w:sz w:val="16"/>
                <w:szCs w:val="16"/>
              </w:rPr>
            </w:pPr>
            <w:r w:rsidRPr="001D74C5">
              <w:rPr>
                <w:rFonts w:cs="Arial"/>
                <w:sz w:val="16"/>
                <w:szCs w:val="16"/>
              </w:rPr>
              <w:t>Red pipefish</w:t>
            </w:r>
          </w:p>
        </w:tc>
        <w:tc>
          <w:tcPr>
            <w:tcW w:w="1174" w:type="dxa"/>
            <w:shd w:val="clear" w:color="auto" w:fill="auto"/>
            <w:vAlign w:val="center"/>
          </w:tcPr>
          <w:p w14:paraId="0544B6E5"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auto"/>
            <w:vAlign w:val="center"/>
          </w:tcPr>
          <w:p w14:paraId="38291152"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auto"/>
            <w:vAlign w:val="center"/>
          </w:tcPr>
          <w:p w14:paraId="1A8A59BC" w14:textId="77260865"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auto"/>
            <w:vAlign w:val="center"/>
          </w:tcPr>
          <w:p w14:paraId="48A1427C" w14:textId="3A397C96"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auto"/>
            <w:vAlign w:val="center"/>
          </w:tcPr>
          <w:p w14:paraId="6D8069EF" w14:textId="510C55C5" w:rsidR="00984146" w:rsidRPr="001D74C5" w:rsidRDefault="00984146" w:rsidP="001D74C5">
            <w:pPr>
              <w:spacing w:before="40" w:after="40"/>
              <w:jc w:val="center"/>
              <w:rPr>
                <w:rFonts w:cs="Arial"/>
                <w:sz w:val="16"/>
                <w:szCs w:val="16"/>
              </w:rPr>
            </w:pPr>
            <w:r w:rsidRPr="001D74C5">
              <w:rPr>
                <w:rFonts w:cs="Arial"/>
                <w:sz w:val="16"/>
                <w:szCs w:val="16"/>
              </w:rPr>
              <w:t>-</w:t>
            </w:r>
          </w:p>
        </w:tc>
        <w:tc>
          <w:tcPr>
            <w:tcW w:w="1116" w:type="dxa"/>
            <w:shd w:val="clear" w:color="auto" w:fill="auto"/>
            <w:vAlign w:val="center"/>
          </w:tcPr>
          <w:p w14:paraId="726CDC53" w14:textId="0C5AF68B"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60957D66" w14:textId="77777777" w:rsidTr="00200F27">
        <w:tc>
          <w:tcPr>
            <w:tcW w:w="1650" w:type="dxa"/>
            <w:shd w:val="clear" w:color="auto" w:fill="F2F2F2"/>
            <w:vAlign w:val="center"/>
          </w:tcPr>
          <w:p w14:paraId="10E602F3" w14:textId="77777777" w:rsidR="00984146" w:rsidRPr="001D74C5" w:rsidRDefault="00984146" w:rsidP="001D74C5">
            <w:pPr>
              <w:spacing w:before="40" w:after="40"/>
              <w:rPr>
                <w:rFonts w:cs="Arial"/>
                <w:b/>
                <w:sz w:val="16"/>
                <w:szCs w:val="16"/>
              </w:rPr>
            </w:pPr>
            <w:r w:rsidRPr="001D74C5">
              <w:rPr>
                <w:rFonts w:cs="Arial"/>
                <w:i/>
                <w:sz w:val="16"/>
                <w:szCs w:val="16"/>
              </w:rPr>
              <w:t>Phycodurus eques</w:t>
            </w:r>
          </w:p>
        </w:tc>
        <w:tc>
          <w:tcPr>
            <w:tcW w:w="1135" w:type="dxa"/>
            <w:shd w:val="clear" w:color="auto" w:fill="F2F2F2"/>
            <w:vAlign w:val="center"/>
          </w:tcPr>
          <w:p w14:paraId="630BEC0F" w14:textId="77777777" w:rsidR="00984146" w:rsidRPr="001D74C5" w:rsidRDefault="00984146" w:rsidP="001D74C5">
            <w:pPr>
              <w:spacing w:before="40" w:after="40"/>
              <w:rPr>
                <w:rFonts w:cs="Arial"/>
                <w:b/>
                <w:sz w:val="16"/>
                <w:szCs w:val="16"/>
              </w:rPr>
            </w:pPr>
            <w:r w:rsidRPr="001D74C5">
              <w:rPr>
                <w:rFonts w:eastAsia="TTE185D0F0t00" w:cs="Arial"/>
                <w:sz w:val="16"/>
                <w:szCs w:val="16"/>
              </w:rPr>
              <w:t>Leafy seadragon</w:t>
            </w:r>
          </w:p>
        </w:tc>
        <w:tc>
          <w:tcPr>
            <w:tcW w:w="1174" w:type="dxa"/>
            <w:shd w:val="clear" w:color="auto" w:fill="F2F2F2"/>
            <w:vAlign w:val="center"/>
          </w:tcPr>
          <w:p w14:paraId="5B6BD5BD"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F2F2F2"/>
            <w:vAlign w:val="center"/>
          </w:tcPr>
          <w:p w14:paraId="52F388C7"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F2F2F2"/>
            <w:vAlign w:val="center"/>
          </w:tcPr>
          <w:p w14:paraId="63D32151" w14:textId="375DA5CA"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F2F2F2"/>
            <w:vAlign w:val="center"/>
          </w:tcPr>
          <w:p w14:paraId="35B21743" w14:textId="4A6D5B9C"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F2F2F2"/>
            <w:vAlign w:val="center"/>
          </w:tcPr>
          <w:p w14:paraId="0C334254" w14:textId="614349D8" w:rsidR="00984146" w:rsidRPr="001D74C5" w:rsidRDefault="00984146" w:rsidP="001D74C5">
            <w:pPr>
              <w:spacing w:before="40" w:after="40"/>
              <w:jc w:val="center"/>
              <w:rPr>
                <w:rFonts w:cs="Arial"/>
                <w:sz w:val="16"/>
                <w:szCs w:val="16"/>
              </w:rPr>
            </w:pPr>
            <w:r w:rsidRPr="001D74C5">
              <w:rPr>
                <w:rFonts w:cs="Arial"/>
                <w:sz w:val="16"/>
                <w:szCs w:val="16"/>
              </w:rPr>
              <w:t>-</w:t>
            </w:r>
          </w:p>
        </w:tc>
        <w:tc>
          <w:tcPr>
            <w:tcW w:w="1116" w:type="dxa"/>
            <w:shd w:val="clear" w:color="auto" w:fill="F2F2F2"/>
            <w:vAlign w:val="center"/>
          </w:tcPr>
          <w:p w14:paraId="258453F4" w14:textId="5819B49B"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493CC037" w14:textId="77777777" w:rsidTr="00200F27">
        <w:tc>
          <w:tcPr>
            <w:tcW w:w="1650" w:type="dxa"/>
            <w:shd w:val="clear" w:color="auto" w:fill="auto"/>
            <w:vAlign w:val="center"/>
          </w:tcPr>
          <w:p w14:paraId="61F89003" w14:textId="77777777" w:rsidR="00984146" w:rsidRPr="001D74C5" w:rsidRDefault="00984146" w:rsidP="001D74C5">
            <w:pPr>
              <w:spacing w:before="40" w:after="40"/>
              <w:rPr>
                <w:rFonts w:cs="Arial"/>
                <w:b/>
                <w:sz w:val="16"/>
                <w:szCs w:val="16"/>
              </w:rPr>
            </w:pPr>
            <w:r w:rsidRPr="001D74C5">
              <w:rPr>
                <w:rFonts w:cs="Arial"/>
                <w:i/>
                <w:sz w:val="16"/>
                <w:szCs w:val="16"/>
              </w:rPr>
              <w:t>Phyllopteryx taeniolatus</w:t>
            </w:r>
          </w:p>
        </w:tc>
        <w:tc>
          <w:tcPr>
            <w:tcW w:w="1135" w:type="dxa"/>
            <w:shd w:val="clear" w:color="auto" w:fill="auto"/>
            <w:vAlign w:val="center"/>
          </w:tcPr>
          <w:p w14:paraId="17B9BAC1" w14:textId="77777777" w:rsidR="00984146" w:rsidRPr="001D74C5" w:rsidRDefault="00984146" w:rsidP="001D74C5">
            <w:pPr>
              <w:spacing w:before="40" w:after="40"/>
              <w:rPr>
                <w:rFonts w:cs="Arial"/>
                <w:b/>
                <w:sz w:val="16"/>
                <w:szCs w:val="16"/>
              </w:rPr>
            </w:pPr>
            <w:r w:rsidRPr="001D74C5">
              <w:rPr>
                <w:rFonts w:eastAsia="TTE185D0F0t00" w:cs="Arial"/>
                <w:sz w:val="16"/>
                <w:szCs w:val="16"/>
              </w:rPr>
              <w:t>Common seadragon</w:t>
            </w:r>
          </w:p>
        </w:tc>
        <w:tc>
          <w:tcPr>
            <w:tcW w:w="1174" w:type="dxa"/>
            <w:shd w:val="clear" w:color="auto" w:fill="auto"/>
            <w:vAlign w:val="center"/>
          </w:tcPr>
          <w:p w14:paraId="4B3E34A9"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auto"/>
            <w:vAlign w:val="center"/>
          </w:tcPr>
          <w:p w14:paraId="2C771A3A"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auto"/>
            <w:vAlign w:val="center"/>
          </w:tcPr>
          <w:p w14:paraId="7035ECF2" w14:textId="138F3077"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auto"/>
            <w:vAlign w:val="center"/>
          </w:tcPr>
          <w:p w14:paraId="5FD003DC" w14:textId="606056B2"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auto"/>
            <w:vAlign w:val="center"/>
          </w:tcPr>
          <w:p w14:paraId="4A310A2E" w14:textId="6D74D728" w:rsidR="00984146" w:rsidRPr="001D74C5" w:rsidRDefault="00984146" w:rsidP="001D74C5">
            <w:pPr>
              <w:spacing w:before="40" w:after="40"/>
              <w:jc w:val="center"/>
              <w:rPr>
                <w:rFonts w:cs="Arial"/>
                <w:sz w:val="16"/>
                <w:szCs w:val="16"/>
              </w:rPr>
            </w:pPr>
            <w:r w:rsidRPr="001D74C5">
              <w:rPr>
                <w:rFonts w:cs="Arial"/>
                <w:sz w:val="16"/>
                <w:szCs w:val="16"/>
              </w:rPr>
              <w:t>-</w:t>
            </w:r>
          </w:p>
        </w:tc>
        <w:tc>
          <w:tcPr>
            <w:tcW w:w="1116" w:type="dxa"/>
            <w:shd w:val="clear" w:color="auto" w:fill="auto"/>
            <w:vAlign w:val="center"/>
          </w:tcPr>
          <w:p w14:paraId="566058D5" w14:textId="47E13151"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1EDFEC0A" w14:textId="77777777" w:rsidTr="00200F27">
        <w:tc>
          <w:tcPr>
            <w:tcW w:w="1650" w:type="dxa"/>
            <w:shd w:val="clear" w:color="auto" w:fill="F2F2F2"/>
            <w:vAlign w:val="center"/>
          </w:tcPr>
          <w:p w14:paraId="3AA6D9D8" w14:textId="77777777" w:rsidR="00984146" w:rsidRPr="001D74C5" w:rsidRDefault="00984146" w:rsidP="001D74C5">
            <w:pPr>
              <w:spacing w:before="40" w:after="40"/>
              <w:rPr>
                <w:rFonts w:cs="Arial"/>
                <w:b/>
                <w:sz w:val="16"/>
                <w:szCs w:val="16"/>
              </w:rPr>
            </w:pPr>
            <w:r w:rsidRPr="001D74C5">
              <w:rPr>
                <w:rFonts w:cs="Arial"/>
                <w:i/>
                <w:sz w:val="16"/>
                <w:szCs w:val="16"/>
              </w:rPr>
              <w:t>Pugnaso curtirostris</w:t>
            </w:r>
          </w:p>
        </w:tc>
        <w:tc>
          <w:tcPr>
            <w:tcW w:w="1135" w:type="dxa"/>
            <w:shd w:val="clear" w:color="auto" w:fill="F2F2F2"/>
            <w:vAlign w:val="center"/>
          </w:tcPr>
          <w:p w14:paraId="2E000178" w14:textId="77777777" w:rsidR="00984146" w:rsidRPr="001D74C5" w:rsidRDefault="00984146" w:rsidP="001D74C5">
            <w:pPr>
              <w:spacing w:before="40" w:after="40"/>
              <w:rPr>
                <w:rFonts w:cs="Arial"/>
                <w:b/>
                <w:sz w:val="16"/>
                <w:szCs w:val="16"/>
              </w:rPr>
            </w:pPr>
            <w:r w:rsidRPr="001D74C5">
              <w:rPr>
                <w:rFonts w:eastAsia="TTE185D0F0t00" w:cs="Arial"/>
                <w:sz w:val="16"/>
                <w:szCs w:val="16"/>
              </w:rPr>
              <w:t>Pug-nosed pipefish</w:t>
            </w:r>
          </w:p>
        </w:tc>
        <w:tc>
          <w:tcPr>
            <w:tcW w:w="1174" w:type="dxa"/>
            <w:shd w:val="clear" w:color="auto" w:fill="F2F2F2"/>
            <w:vAlign w:val="center"/>
          </w:tcPr>
          <w:p w14:paraId="514535CE"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F2F2F2"/>
            <w:vAlign w:val="center"/>
          </w:tcPr>
          <w:p w14:paraId="672DF82D"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F2F2F2"/>
            <w:vAlign w:val="center"/>
          </w:tcPr>
          <w:p w14:paraId="6996B61B" w14:textId="5F0FAC24"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F2F2F2"/>
            <w:vAlign w:val="center"/>
          </w:tcPr>
          <w:p w14:paraId="55D508E4" w14:textId="6AEAE17F"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F2F2F2"/>
            <w:vAlign w:val="center"/>
          </w:tcPr>
          <w:p w14:paraId="68C2FFEC" w14:textId="366F04C1" w:rsidR="00984146" w:rsidRPr="001D74C5" w:rsidRDefault="00984146" w:rsidP="001D74C5">
            <w:pPr>
              <w:spacing w:before="40" w:after="40"/>
              <w:jc w:val="center"/>
              <w:rPr>
                <w:rFonts w:cs="Arial"/>
                <w:sz w:val="16"/>
                <w:szCs w:val="16"/>
              </w:rPr>
            </w:pPr>
            <w:r w:rsidRPr="001D74C5">
              <w:rPr>
                <w:rFonts w:cs="Arial"/>
                <w:sz w:val="16"/>
                <w:szCs w:val="16"/>
              </w:rPr>
              <w:t>-</w:t>
            </w:r>
          </w:p>
        </w:tc>
        <w:tc>
          <w:tcPr>
            <w:tcW w:w="1116" w:type="dxa"/>
            <w:shd w:val="clear" w:color="auto" w:fill="F2F2F2"/>
            <w:vAlign w:val="center"/>
          </w:tcPr>
          <w:p w14:paraId="1BE0EC8F" w14:textId="68876671"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65039A57" w14:textId="77777777" w:rsidTr="00200F27">
        <w:tc>
          <w:tcPr>
            <w:tcW w:w="1650" w:type="dxa"/>
            <w:shd w:val="clear" w:color="auto" w:fill="auto"/>
            <w:vAlign w:val="center"/>
          </w:tcPr>
          <w:p w14:paraId="0F6EF70E" w14:textId="77777777" w:rsidR="00984146" w:rsidRPr="001D74C5" w:rsidRDefault="00984146" w:rsidP="001D74C5">
            <w:pPr>
              <w:spacing w:before="40" w:after="40"/>
              <w:rPr>
                <w:rFonts w:cs="Arial"/>
                <w:b/>
                <w:sz w:val="16"/>
                <w:szCs w:val="16"/>
              </w:rPr>
            </w:pPr>
            <w:r w:rsidRPr="001D74C5">
              <w:rPr>
                <w:rFonts w:cs="Arial"/>
                <w:i/>
                <w:sz w:val="16"/>
                <w:szCs w:val="16"/>
              </w:rPr>
              <w:t>Solegnathus robustus</w:t>
            </w:r>
          </w:p>
        </w:tc>
        <w:tc>
          <w:tcPr>
            <w:tcW w:w="1135" w:type="dxa"/>
            <w:shd w:val="clear" w:color="auto" w:fill="auto"/>
            <w:vAlign w:val="center"/>
          </w:tcPr>
          <w:p w14:paraId="2F088923" w14:textId="77777777" w:rsidR="00984146" w:rsidRPr="001D74C5" w:rsidRDefault="00984146" w:rsidP="001D74C5">
            <w:pPr>
              <w:spacing w:before="40" w:after="40"/>
              <w:rPr>
                <w:rFonts w:cs="Arial"/>
                <w:b/>
                <w:sz w:val="16"/>
                <w:szCs w:val="16"/>
              </w:rPr>
            </w:pPr>
            <w:r w:rsidRPr="001D74C5">
              <w:rPr>
                <w:rFonts w:cs="Arial"/>
                <w:sz w:val="16"/>
                <w:szCs w:val="16"/>
              </w:rPr>
              <w:t>Robust pipehorse</w:t>
            </w:r>
          </w:p>
        </w:tc>
        <w:tc>
          <w:tcPr>
            <w:tcW w:w="1174" w:type="dxa"/>
            <w:shd w:val="clear" w:color="auto" w:fill="auto"/>
            <w:vAlign w:val="center"/>
          </w:tcPr>
          <w:p w14:paraId="7581CE44"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auto"/>
            <w:vAlign w:val="center"/>
          </w:tcPr>
          <w:p w14:paraId="0FD2FCA5"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auto"/>
            <w:vAlign w:val="center"/>
          </w:tcPr>
          <w:p w14:paraId="2C32F5D2" w14:textId="30B8CAC0"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auto"/>
            <w:vAlign w:val="center"/>
          </w:tcPr>
          <w:p w14:paraId="3A0D55C0" w14:textId="4FD9C87C"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auto"/>
            <w:vAlign w:val="center"/>
          </w:tcPr>
          <w:p w14:paraId="2C9F8623" w14:textId="5C163741" w:rsidR="00984146" w:rsidRPr="001D74C5" w:rsidRDefault="00984146" w:rsidP="001D74C5">
            <w:pPr>
              <w:spacing w:before="40" w:after="40"/>
              <w:jc w:val="center"/>
              <w:rPr>
                <w:rFonts w:cs="Arial"/>
                <w:sz w:val="16"/>
                <w:szCs w:val="16"/>
              </w:rPr>
            </w:pPr>
            <w:r w:rsidRPr="001D74C5">
              <w:rPr>
                <w:rFonts w:cs="Arial"/>
                <w:sz w:val="16"/>
                <w:szCs w:val="16"/>
              </w:rPr>
              <w:t>-</w:t>
            </w:r>
          </w:p>
        </w:tc>
        <w:tc>
          <w:tcPr>
            <w:tcW w:w="1116" w:type="dxa"/>
            <w:shd w:val="clear" w:color="auto" w:fill="auto"/>
            <w:vAlign w:val="center"/>
          </w:tcPr>
          <w:p w14:paraId="7EE9A8F4" w14:textId="075E4BB0"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30FDE93C" w14:textId="77777777" w:rsidTr="00200F27">
        <w:tc>
          <w:tcPr>
            <w:tcW w:w="1650" w:type="dxa"/>
            <w:shd w:val="clear" w:color="auto" w:fill="F2F2F2"/>
            <w:vAlign w:val="center"/>
          </w:tcPr>
          <w:p w14:paraId="5644E5A1" w14:textId="77777777" w:rsidR="00984146" w:rsidRPr="001D74C5" w:rsidRDefault="00984146" w:rsidP="001D74C5">
            <w:pPr>
              <w:spacing w:before="40" w:after="40"/>
              <w:rPr>
                <w:rFonts w:cs="Arial"/>
                <w:b/>
                <w:sz w:val="16"/>
                <w:szCs w:val="16"/>
              </w:rPr>
            </w:pPr>
            <w:r w:rsidRPr="001D74C5">
              <w:rPr>
                <w:rFonts w:cs="Arial"/>
                <w:i/>
                <w:sz w:val="16"/>
                <w:szCs w:val="16"/>
              </w:rPr>
              <w:t>Solegnathus spinosissimus</w:t>
            </w:r>
          </w:p>
        </w:tc>
        <w:tc>
          <w:tcPr>
            <w:tcW w:w="1135" w:type="dxa"/>
            <w:shd w:val="clear" w:color="auto" w:fill="F2F2F2"/>
            <w:vAlign w:val="center"/>
          </w:tcPr>
          <w:p w14:paraId="2C2A2C27" w14:textId="77777777" w:rsidR="00984146" w:rsidRPr="001D74C5" w:rsidRDefault="00984146" w:rsidP="001D74C5">
            <w:pPr>
              <w:spacing w:before="40" w:after="40"/>
              <w:rPr>
                <w:rFonts w:cs="Arial"/>
                <w:b/>
                <w:sz w:val="16"/>
                <w:szCs w:val="16"/>
              </w:rPr>
            </w:pPr>
            <w:r w:rsidRPr="001D74C5">
              <w:rPr>
                <w:rFonts w:eastAsia="TTE185D0F0t00" w:cs="Arial"/>
                <w:sz w:val="16"/>
                <w:szCs w:val="16"/>
              </w:rPr>
              <w:t>Spiny pipehorse</w:t>
            </w:r>
          </w:p>
        </w:tc>
        <w:tc>
          <w:tcPr>
            <w:tcW w:w="1174" w:type="dxa"/>
            <w:shd w:val="clear" w:color="auto" w:fill="F2F2F2"/>
            <w:vAlign w:val="center"/>
          </w:tcPr>
          <w:p w14:paraId="68ECA5C3"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F2F2F2"/>
            <w:vAlign w:val="center"/>
          </w:tcPr>
          <w:p w14:paraId="59A0229F"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F2F2F2"/>
            <w:vAlign w:val="center"/>
          </w:tcPr>
          <w:p w14:paraId="6F5D2678" w14:textId="07EFF3BE"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F2F2F2"/>
            <w:vAlign w:val="center"/>
          </w:tcPr>
          <w:p w14:paraId="6399BB55" w14:textId="70ED26EB"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F2F2F2"/>
            <w:vAlign w:val="center"/>
          </w:tcPr>
          <w:p w14:paraId="1BB4A1E5" w14:textId="5B529BF8"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116" w:type="dxa"/>
            <w:shd w:val="clear" w:color="auto" w:fill="F2F2F2"/>
            <w:vAlign w:val="center"/>
          </w:tcPr>
          <w:p w14:paraId="7BB384E3" w14:textId="211DF775"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267A585A" w14:textId="77777777" w:rsidTr="00200F27">
        <w:tc>
          <w:tcPr>
            <w:tcW w:w="1650" w:type="dxa"/>
            <w:shd w:val="clear" w:color="auto" w:fill="auto"/>
            <w:vAlign w:val="center"/>
          </w:tcPr>
          <w:p w14:paraId="17E96483" w14:textId="77777777" w:rsidR="00984146" w:rsidRPr="001D74C5" w:rsidRDefault="00984146" w:rsidP="001D74C5">
            <w:pPr>
              <w:spacing w:before="40" w:after="40"/>
              <w:rPr>
                <w:rFonts w:cs="Arial"/>
                <w:b/>
                <w:sz w:val="16"/>
                <w:szCs w:val="16"/>
              </w:rPr>
            </w:pPr>
            <w:r w:rsidRPr="001D74C5">
              <w:rPr>
                <w:rFonts w:cs="Arial"/>
                <w:i/>
                <w:sz w:val="16"/>
                <w:szCs w:val="16"/>
              </w:rPr>
              <w:t>Stigmatopora argus</w:t>
            </w:r>
          </w:p>
        </w:tc>
        <w:tc>
          <w:tcPr>
            <w:tcW w:w="1135" w:type="dxa"/>
            <w:shd w:val="clear" w:color="auto" w:fill="auto"/>
            <w:vAlign w:val="center"/>
          </w:tcPr>
          <w:p w14:paraId="6FC1B487" w14:textId="77777777" w:rsidR="00984146" w:rsidRPr="001D74C5" w:rsidRDefault="00984146" w:rsidP="001D74C5">
            <w:pPr>
              <w:spacing w:before="40" w:after="40"/>
              <w:rPr>
                <w:rFonts w:cs="Arial"/>
                <w:b/>
                <w:sz w:val="16"/>
                <w:szCs w:val="16"/>
              </w:rPr>
            </w:pPr>
            <w:r w:rsidRPr="001D74C5">
              <w:rPr>
                <w:rFonts w:cs="Arial"/>
                <w:sz w:val="16"/>
                <w:szCs w:val="16"/>
              </w:rPr>
              <w:t>Spotted pipefish</w:t>
            </w:r>
          </w:p>
        </w:tc>
        <w:tc>
          <w:tcPr>
            <w:tcW w:w="1174" w:type="dxa"/>
            <w:shd w:val="clear" w:color="auto" w:fill="auto"/>
            <w:vAlign w:val="center"/>
          </w:tcPr>
          <w:p w14:paraId="75378F0F"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auto"/>
            <w:vAlign w:val="center"/>
          </w:tcPr>
          <w:p w14:paraId="6F782191"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auto"/>
            <w:vAlign w:val="center"/>
          </w:tcPr>
          <w:p w14:paraId="6EAC9FE6" w14:textId="7690E03A"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auto"/>
            <w:vAlign w:val="center"/>
          </w:tcPr>
          <w:p w14:paraId="6F7F2DDE" w14:textId="54FAF876"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auto"/>
            <w:vAlign w:val="center"/>
          </w:tcPr>
          <w:p w14:paraId="7D0F8C77" w14:textId="0B364D64"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116" w:type="dxa"/>
            <w:shd w:val="clear" w:color="auto" w:fill="auto"/>
            <w:vAlign w:val="center"/>
          </w:tcPr>
          <w:p w14:paraId="588CA3F2" w14:textId="5D21F236"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04E01E09" w14:textId="77777777" w:rsidTr="00200F27">
        <w:tc>
          <w:tcPr>
            <w:tcW w:w="1650" w:type="dxa"/>
            <w:shd w:val="clear" w:color="auto" w:fill="F2F2F2"/>
            <w:vAlign w:val="center"/>
          </w:tcPr>
          <w:p w14:paraId="3E9C3B94" w14:textId="77777777" w:rsidR="00984146" w:rsidRPr="001D74C5" w:rsidRDefault="00984146" w:rsidP="001D74C5">
            <w:pPr>
              <w:spacing w:before="40" w:after="40"/>
              <w:rPr>
                <w:rFonts w:cs="Arial"/>
                <w:b/>
                <w:sz w:val="16"/>
                <w:szCs w:val="16"/>
              </w:rPr>
            </w:pPr>
            <w:r w:rsidRPr="001D74C5">
              <w:rPr>
                <w:rFonts w:cs="Arial"/>
                <w:i/>
                <w:sz w:val="16"/>
                <w:szCs w:val="16"/>
              </w:rPr>
              <w:t>Stigmatopora nigra</w:t>
            </w:r>
          </w:p>
        </w:tc>
        <w:tc>
          <w:tcPr>
            <w:tcW w:w="1135" w:type="dxa"/>
            <w:shd w:val="clear" w:color="auto" w:fill="F2F2F2"/>
            <w:vAlign w:val="center"/>
          </w:tcPr>
          <w:p w14:paraId="0AA6702A" w14:textId="77777777" w:rsidR="00984146" w:rsidRPr="001D74C5" w:rsidRDefault="00984146" w:rsidP="001D74C5">
            <w:pPr>
              <w:spacing w:before="40" w:after="40"/>
              <w:rPr>
                <w:rFonts w:cs="Arial"/>
                <w:b/>
                <w:sz w:val="16"/>
                <w:szCs w:val="16"/>
              </w:rPr>
            </w:pPr>
            <w:r w:rsidRPr="001D74C5">
              <w:rPr>
                <w:rFonts w:eastAsia="TTE185D0F0t00" w:cs="Arial"/>
                <w:sz w:val="16"/>
                <w:szCs w:val="16"/>
              </w:rPr>
              <w:t>Black pipefish</w:t>
            </w:r>
          </w:p>
        </w:tc>
        <w:tc>
          <w:tcPr>
            <w:tcW w:w="1174" w:type="dxa"/>
            <w:shd w:val="clear" w:color="auto" w:fill="F2F2F2"/>
            <w:vAlign w:val="center"/>
          </w:tcPr>
          <w:p w14:paraId="2E29B51B"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F2F2F2"/>
            <w:vAlign w:val="center"/>
          </w:tcPr>
          <w:p w14:paraId="111588FB"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F2F2F2"/>
            <w:vAlign w:val="center"/>
          </w:tcPr>
          <w:p w14:paraId="0234B332" w14:textId="5514168F"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F2F2F2"/>
            <w:vAlign w:val="center"/>
          </w:tcPr>
          <w:p w14:paraId="3ACB2682" w14:textId="3B1AA0B5"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F2F2F2"/>
            <w:vAlign w:val="center"/>
          </w:tcPr>
          <w:p w14:paraId="1E911C8D" w14:textId="3D43B611"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116" w:type="dxa"/>
            <w:shd w:val="clear" w:color="auto" w:fill="F2F2F2"/>
            <w:vAlign w:val="center"/>
          </w:tcPr>
          <w:p w14:paraId="4001171A" w14:textId="4FC1B046"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273DDBFC" w14:textId="77777777" w:rsidTr="00200F27">
        <w:tc>
          <w:tcPr>
            <w:tcW w:w="1650" w:type="dxa"/>
            <w:shd w:val="clear" w:color="auto" w:fill="auto"/>
            <w:vAlign w:val="center"/>
          </w:tcPr>
          <w:p w14:paraId="24ECEDBA" w14:textId="77777777" w:rsidR="00984146" w:rsidRPr="001D74C5" w:rsidRDefault="00984146" w:rsidP="001D74C5">
            <w:pPr>
              <w:spacing w:before="40" w:after="40"/>
              <w:rPr>
                <w:rFonts w:cs="Arial"/>
                <w:b/>
                <w:sz w:val="16"/>
                <w:szCs w:val="16"/>
              </w:rPr>
            </w:pPr>
            <w:r w:rsidRPr="001D74C5">
              <w:rPr>
                <w:rFonts w:cs="Arial"/>
                <w:i/>
                <w:sz w:val="16"/>
                <w:szCs w:val="16"/>
              </w:rPr>
              <w:t>Stigmatopora olivacea</w:t>
            </w:r>
          </w:p>
        </w:tc>
        <w:tc>
          <w:tcPr>
            <w:tcW w:w="1135" w:type="dxa"/>
            <w:shd w:val="clear" w:color="auto" w:fill="auto"/>
            <w:vAlign w:val="center"/>
          </w:tcPr>
          <w:p w14:paraId="3068C3BA" w14:textId="77777777" w:rsidR="00984146" w:rsidRPr="001D74C5" w:rsidRDefault="00984146" w:rsidP="001D74C5">
            <w:pPr>
              <w:spacing w:before="40" w:after="40"/>
              <w:rPr>
                <w:rFonts w:cs="Arial"/>
                <w:b/>
                <w:sz w:val="16"/>
                <w:szCs w:val="16"/>
              </w:rPr>
            </w:pPr>
            <w:r w:rsidRPr="001D74C5">
              <w:rPr>
                <w:rFonts w:cs="Arial"/>
                <w:sz w:val="16"/>
                <w:szCs w:val="16"/>
              </w:rPr>
              <w:t>A pipefish</w:t>
            </w:r>
          </w:p>
        </w:tc>
        <w:tc>
          <w:tcPr>
            <w:tcW w:w="1174" w:type="dxa"/>
            <w:shd w:val="clear" w:color="auto" w:fill="auto"/>
            <w:vAlign w:val="center"/>
          </w:tcPr>
          <w:p w14:paraId="3E29712A"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auto"/>
            <w:vAlign w:val="center"/>
          </w:tcPr>
          <w:p w14:paraId="56E733BF"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auto"/>
            <w:vAlign w:val="center"/>
          </w:tcPr>
          <w:p w14:paraId="7EB8F7E8" w14:textId="18A7C27F"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auto"/>
            <w:vAlign w:val="center"/>
          </w:tcPr>
          <w:p w14:paraId="190B711A" w14:textId="0794116E"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auto"/>
            <w:vAlign w:val="center"/>
          </w:tcPr>
          <w:p w14:paraId="66FEA29F" w14:textId="69AC819D"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116" w:type="dxa"/>
            <w:shd w:val="clear" w:color="auto" w:fill="auto"/>
            <w:vAlign w:val="center"/>
          </w:tcPr>
          <w:p w14:paraId="51B1A619" w14:textId="55EC85D8"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54DE6FDE" w14:textId="77777777" w:rsidTr="00200F27">
        <w:tc>
          <w:tcPr>
            <w:tcW w:w="1650" w:type="dxa"/>
            <w:shd w:val="clear" w:color="auto" w:fill="F2F2F2"/>
            <w:vAlign w:val="center"/>
          </w:tcPr>
          <w:p w14:paraId="0B2D104B" w14:textId="77777777" w:rsidR="00984146" w:rsidRPr="001D74C5" w:rsidRDefault="00984146" w:rsidP="001D74C5">
            <w:pPr>
              <w:spacing w:before="40" w:after="40"/>
              <w:rPr>
                <w:rFonts w:eastAsia="TTE185D0F0t00" w:cs="Arial"/>
                <w:sz w:val="16"/>
                <w:szCs w:val="16"/>
              </w:rPr>
            </w:pPr>
            <w:r w:rsidRPr="001D74C5">
              <w:rPr>
                <w:rFonts w:cs="Arial"/>
                <w:i/>
                <w:sz w:val="16"/>
                <w:szCs w:val="16"/>
              </w:rPr>
              <w:lastRenderedPageBreak/>
              <w:t>Stipecampus cristatus</w:t>
            </w:r>
          </w:p>
        </w:tc>
        <w:tc>
          <w:tcPr>
            <w:tcW w:w="1135" w:type="dxa"/>
            <w:shd w:val="clear" w:color="auto" w:fill="F2F2F2"/>
            <w:vAlign w:val="center"/>
          </w:tcPr>
          <w:p w14:paraId="5AD6B422" w14:textId="77777777" w:rsidR="00984146" w:rsidRPr="001D74C5" w:rsidRDefault="00984146" w:rsidP="001D74C5">
            <w:pPr>
              <w:spacing w:before="40" w:after="40"/>
              <w:rPr>
                <w:rFonts w:cs="Arial"/>
                <w:b/>
                <w:sz w:val="16"/>
                <w:szCs w:val="16"/>
              </w:rPr>
            </w:pPr>
            <w:r w:rsidRPr="001D74C5">
              <w:rPr>
                <w:rFonts w:eastAsia="TTE185D0F0t00" w:cs="Arial"/>
                <w:sz w:val="16"/>
                <w:szCs w:val="16"/>
              </w:rPr>
              <w:t>Ringback pipefish</w:t>
            </w:r>
          </w:p>
        </w:tc>
        <w:tc>
          <w:tcPr>
            <w:tcW w:w="1174" w:type="dxa"/>
            <w:shd w:val="clear" w:color="auto" w:fill="F2F2F2"/>
            <w:vAlign w:val="center"/>
          </w:tcPr>
          <w:p w14:paraId="79C9609A"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F2F2F2"/>
            <w:vAlign w:val="center"/>
          </w:tcPr>
          <w:p w14:paraId="3D8BF57F"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F2F2F2"/>
            <w:vAlign w:val="center"/>
          </w:tcPr>
          <w:p w14:paraId="3D55E539" w14:textId="2180C123"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F2F2F2"/>
            <w:vAlign w:val="center"/>
          </w:tcPr>
          <w:p w14:paraId="23479E9D" w14:textId="566D5BFC"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F2F2F2"/>
            <w:vAlign w:val="center"/>
          </w:tcPr>
          <w:p w14:paraId="0D9CBDE3" w14:textId="19F56344"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116" w:type="dxa"/>
            <w:shd w:val="clear" w:color="auto" w:fill="F2F2F2"/>
            <w:vAlign w:val="center"/>
          </w:tcPr>
          <w:p w14:paraId="512D6091" w14:textId="00E3AB91"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79C41685" w14:textId="77777777" w:rsidTr="00200F27">
        <w:tc>
          <w:tcPr>
            <w:tcW w:w="1650" w:type="dxa"/>
            <w:shd w:val="clear" w:color="auto" w:fill="auto"/>
            <w:vAlign w:val="center"/>
          </w:tcPr>
          <w:p w14:paraId="747685A4" w14:textId="77777777" w:rsidR="00984146" w:rsidRPr="001D74C5" w:rsidRDefault="00984146" w:rsidP="001D74C5">
            <w:pPr>
              <w:spacing w:before="40" w:after="40"/>
              <w:rPr>
                <w:rFonts w:cs="Arial"/>
                <w:b/>
                <w:sz w:val="16"/>
                <w:szCs w:val="16"/>
              </w:rPr>
            </w:pPr>
            <w:r w:rsidRPr="001D74C5">
              <w:rPr>
                <w:rFonts w:cs="Arial"/>
                <w:i/>
                <w:sz w:val="16"/>
                <w:szCs w:val="16"/>
              </w:rPr>
              <w:t>Urocampus carinirostris</w:t>
            </w:r>
          </w:p>
        </w:tc>
        <w:tc>
          <w:tcPr>
            <w:tcW w:w="1135" w:type="dxa"/>
            <w:shd w:val="clear" w:color="auto" w:fill="auto"/>
            <w:vAlign w:val="center"/>
          </w:tcPr>
          <w:p w14:paraId="01F1D74C" w14:textId="77777777" w:rsidR="00984146" w:rsidRPr="001D74C5" w:rsidRDefault="00984146" w:rsidP="001D74C5">
            <w:pPr>
              <w:spacing w:before="40" w:after="40"/>
              <w:rPr>
                <w:rFonts w:cs="Arial"/>
                <w:b/>
                <w:sz w:val="16"/>
                <w:szCs w:val="16"/>
              </w:rPr>
            </w:pPr>
            <w:r w:rsidRPr="001D74C5">
              <w:rPr>
                <w:rFonts w:cs="Arial"/>
                <w:sz w:val="16"/>
                <w:szCs w:val="16"/>
              </w:rPr>
              <w:t>Hairy pipefish</w:t>
            </w:r>
          </w:p>
        </w:tc>
        <w:tc>
          <w:tcPr>
            <w:tcW w:w="1174" w:type="dxa"/>
            <w:shd w:val="clear" w:color="auto" w:fill="auto"/>
            <w:vAlign w:val="center"/>
          </w:tcPr>
          <w:p w14:paraId="35DD35AF"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auto"/>
            <w:vAlign w:val="center"/>
          </w:tcPr>
          <w:p w14:paraId="02614176"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auto"/>
            <w:vAlign w:val="center"/>
          </w:tcPr>
          <w:p w14:paraId="68190FE6" w14:textId="796C7630"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auto"/>
            <w:vAlign w:val="center"/>
          </w:tcPr>
          <w:p w14:paraId="2483E810" w14:textId="3C6EC723"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auto"/>
            <w:vAlign w:val="center"/>
          </w:tcPr>
          <w:p w14:paraId="736A81CE" w14:textId="75EDEB83"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116" w:type="dxa"/>
            <w:shd w:val="clear" w:color="auto" w:fill="auto"/>
            <w:vAlign w:val="center"/>
          </w:tcPr>
          <w:p w14:paraId="5802AD6D" w14:textId="6CF204FB"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1C8BC55A" w14:textId="77777777" w:rsidTr="00200F27">
        <w:tc>
          <w:tcPr>
            <w:tcW w:w="1650" w:type="dxa"/>
            <w:shd w:val="clear" w:color="auto" w:fill="F2F2F2"/>
            <w:vAlign w:val="center"/>
          </w:tcPr>
          <w:p w14:paraId="72A0EA0B" w14:textId="77777777" w:rsidR="00984146" w:rsidRPr="001D74C5" w:rsidRDefault="00984146" w:rsidP="001D74C5">
            <w:pPr>
              <w:spacing w:before="40" w:after="40"/>
              <w:rPr>
                <w:rFonts w:cs="Arial"/>
                <w:b/>
                <w:sz w:val="16"/>
                <w:szCs w:val="16"/>
              </w:rPr>
            </w:pPr>
            <w:r w:rsidRPr="001D74C5">
              <w:rPr>
                <w:rFonts w:cs="Arial"/>
                <w:i/>
                <w:sz w:val="16"/>
                <w:szCs w:val="16"/>
              </w:rPr>
              <w:t>Vanacampus margaritifer</w:t>
            </w:r>
          </w:p>
        </w:tc>
        <w:tc>
          <w:tcPr>
            <w:tcW w:w="1135" w:type="dxa"/>
            <w:shd w:val="clear" w:color="auto" w:fill="F2F2F2"/>
            <w:vAlign w:val="center"/>
          </w:tcPr>
          <w:p w14:paraId="223FA068" w14:textId="77777777" w:rsidR="00984146" w:rsidRPr="001D74C5" w:rsidRDefault="00984146" w:rsidP="001D74C5">
            <w:pPr>
              <w:spacing w:before="40" w:after="40"/>
              <w:rPr>
                <w:rFonts w:cs="Arial"/>
                <w:b/>
                <w:sz w:val="16"/>
                <w:szCs w:val="16"/>
              </w:rPr>
            </w:pPr>
            <w:r w:rsidRPr="001D74C5">
              <w:rPr>
                <w:rFonts w:eastAsia="TTE185D0F0t00" w:cs="Arial"/>
                <w:sz w:val="16"/>
                <w:szCs w:val="16"/>
              </w:rPr>
              <w:t>Mother-of-pearl pipefish</w:t>
            </w:r>
          </w:p>
        </w:tc>
        <w:tc>
          <w:tcPr>
            <w:tcW w:w="1174" w:type="dxa"/>
            <w:shd w:val="clear" w:color="auto" w:fill="F2F2F2"/>
            <w:vAlign w:val="center"/>
          </w:tcPr>
          <w:p w14:paraId="7DF98BB8"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F2F2F2"/>
            <w:vAlign w:val="center"/>
          </w:tcPr>
          <w:p w14:paraId="69721F28"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F2F2F2"/>
            <w:vAlign w:val="center"/>
          </w:tcPr>
          <w:p w14:paraId="5A22318C" w14:textId="65218BA6"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F2F2F2"/>
            <w:vAlign w:val="center"/>
          </w:tcPr>
          <w:p w14:paraId="6CD3B6E7" w14:textId="00DA5579"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F2F2F2"/>
            <w:vAlign w:val="center"/>
          </w:tcPr>
          <w:p w14:paraId="111C9D1A" w14:textId="4370E931"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116" w:type="dxa"/>
            <w:shd w:val="clear" w:color="auto" w:fill="F2F2F2"/>
            <w:vAlign w:val="center"/>
          </w:tcPr>
          <w:p w14:paraId="11C3B88D" w14:textId="30BD8C32"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3E4DD2C4" w14:textId="77777777" w:rsidTr="00200F27">
        <w:tc>
          <w:tcPr>
            <w:tcW w:w="1650" w:type="dxa"/>
            <w:shd w:val="clear" w:color="auto" w:fill="auto"/>
            <w:vAlign w:val="center"/>
          </w:tcPr>
          <w:p w14:paraId="391ED627" w14:textId="77777777" w:rsidR="00984146" w:rsidRPr="001D74C5" w:rsidRDefault="00984146" w:rsidP="001D74C5">
            <w:pPr>
              <w:spacing w:before="40" w:after="40"/>
              <w:rPr>
                <w:rFonts w:cs="Arial"/>
                <w:b/>
                <w:sz w:val="16"/>
                <w:szCs w:val="16"/>
              </w:rPr>
            </w:pPr>
            <w:r w:rsidRPr="001D74C5">
              <w:rPr>
                <w:rFonts w:cs="Arial"/>
                <w:i/>
                <w:sz w:val="16"/>
                <w:szCs w:val="16"/>
              </w:rPr>
              <w:t>Vanacampus phillipi</w:t>
            </w:r>
          </w:p>
        </w:tc>
        <w:tc>
          <w:tcPr>
            <w:tcW w:w="1135" w:type="dxa"/>
            <w:shd w:val="clear" w:color="auto" w:fill="auto"/>
            <w:vAlign w:val="center"/>
          </w:tcPr>
          <w:p w14:paraId="6F0A6271" w14:textId="77777777" w:rsidR="00984146" w:rsidRPr="001D74C5" w:rsidRDefault="00984146" w:rsidP="001D74C5">
            <w:pPr>
              <w:spacing w:before="40" w:after="40"/>
              <w:rPr>
                <w:rFonts w:cs="Arial"/>
                <w:b/>
                <w:sz w:val="16"/>
                <w:szCs w:val="16"/>
              </w:rPr>
            </w:pPr>
            <w:r w:rsidRPr="001D74C5">
              <w:rPr>
                <w:rFonts w:eastAsia="TTE185D0F0t00" w:cs="Arial"/>
                <w:sz w:val="16"/>
                <w:szCs w:val="16"/>
              </w:rPr>
              <w:t>Port Phillip pipefish</w:t>
            </w:r>
          </w:p>
        </w:tc>
        <w:tc>
          <w:tcPr>
            <w:tcW w:w="1174" w:type="dxa"/>
            <w:shd w:val="clear" w:color="auto" w:fill="auto"/>
            <w:vAlign w:val="center"/>
          </w:tcPr>
          <w:p w14:paraId="7C6F85CE"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auto"/>
            <w:vAlign w:val="center"/>
          </w:tcPr>
          <w:p w14:paraId="5D6D1A4F"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auto"/>
            <w:vAlign w:val="center"/>
          </w:tcPr>
          <w:p w14:paraId="3D9726E2" w14:textId="7509C790"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auto"/>
            <w:vAlign w:val="center"/>
          </w:tcPr>
          <w:p w14:paraId="6ABB924D" w14:textId="530DA892"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auto"/>
            <w:vAlign w:val="center"/>
          </w:tcPr>
          <w:p w14:paraId="38E88AE2" w14:textId="5DAEC62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116" w:type="dxa"/>
            <w:shd w:val="clear" w:color="auto" w:fill="auto"/>
            <w:vAlign w:val="center"/>
          </w:tcPr>
          <w:p w14:paraId="4C24E40E" w14:textId="1E82099E" w:rsidR="00984146" w:rsidRPr="001D74C5" w:rsidRDefault="00984146" w:rsidP="001D74C5">
            <w:pPr>
              <w:spacing w:before="40" w:after="40"/>
              <w:jc w:val="center"/>
              <w:rPr>
                <w:rFonts w:cs="Arial"/>
                <w:b/>
                <w:sz w:val="16"/>
                <w:szCs w:val="16"/>
              </w:rPr>
            </w:pPr>
            <w:r w:rsidRPr="001D74C5">
              <w:rPr>
                <w:rFonts w:cs="Arial"/>
                <w:sz w:val="16"/>
                <w:szCs w:val="16"/>
              </w:rPr>
              <w:t>-</w:t>
            </w:r>
          </w:p>
        </w:tc>
      </w:tr>
      <w:tr w:rsidR="00984146" w:rsidRPr="001D74C5" w14:paraId="76B98915" w14:textId="77777777" w:rsidTr="00200F27">
        <w:tc>
          <w:tcPr>
            <w:tcW w:w="1650" w:type="dxa"/>
            <w:shd w:val="clear" w:color="auto" w:fill="F2F2F2"/>
            <w:vAlign w:val="center"/>
          </w:tcPr>
          <w:p w14:paraId="4A9B6F56" w14:textId="77777777" w:rsidR="00984146" w:rsidRPr="001D74C5" w:rsidRDefault="00984146" w:rsidP="001D74C5">
            <w:pPr>
              <w:spacing w:before="40" w:after="40"/>
              <w:rPr>
                <w:rFonts w:cs="Arial"/>
                <w:b/>
                <w:sz w:val="16"/>
                <w:szCs w:val="16"/>
              </w:rPr>
            </w:pPr>
            <w:r w:rsidRPr="001D74C5">
              <w:rPr>
                <w:rFonts w:cs="Arial"/>
                <w:i/>
                <w:sz w:val="16"/>
                <w:szCs w:val="16"/>
              </w:rPr>
              <w:t>Vanacampus poecilolaemus</w:t>
            </w:r>
          </w:p>
        </w:tc>
        <w:tc>
          <w:tcPr>
            <w:tcW w:w="1135" w:type="dxa"/>
            <w:shd w:val="clear" w:color="auto" w:fill="F2F2F2"/>
            <w:vAlign w:val="center"/>
          </w:tcPr>
          <w:p w14:paraId="480B10AE" w14:textId="77777777" w:rsidR="00984146" w:rsidRPr="001D74C5" w:rsidRDefault="00984146" w:rsidP="001D74C5">
            <w:pPr>
              <w:spacing w:before="40" w:after="40"/>
              <w:rPr>
                <w:rFonts w:cs="Arial"/>
                <w:b/>
                <w:sz w:val="16"/>
                <w:szCs w:val="16"/>
              </w:rPr>
            </w:pPr>
            <w:r w:rsidRPr="001D74C5">
              <w:rPr>
                <w:rFonts w:eastAsia="TTE185D0F0t00" w:cs="Arial"/>
                <w:sz w:val="16"/>
                <w:szCs w:val="16"/>
              </w:rPr>
              <w:t>Australian long-snout pipefish</w:t>
            </w:r>
          </w:p>
        </w:tc>
        <w:tc>
          <w:tcPr>
            <w:tcW w:w="1174" w:type="dxa"/>
            <w:shd w:val="clear" w:color="auto" w:fill="F2F2F2"/>
            <w:vAlign w:val="center"/>
          </w:tcPr>
          <w:p w14:paraId="6B8BC644"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045" w:type="dxa"/>
            <w:shd w:val="clear" w:color="auto" w:fill="F2F2F2"/>
            <w:vAlign w:val="center"/>
          </w:tcPr>
          <w:p w14:paraId="6C41FD7C" w14:textId="77777777"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882" w:type="dxa"/>
            <w:shd w:val="clear" w:color="auto" w:fill="F2F2F2"/>
            <w:vAlign w:val="center"/>
          </w:tcPr>
          <w:p w14:paraId="3AA675B5" w14:textId="2C38542F" w:rsidR="00984146" w:rsidRPr="001D74C5" w:rsidRDefault="00984146" w:rsidP="001D74C5">
            <w:pPr>
              <w:spacing w:before="40" w:after="40"/>
              <w:jc w:val="center"/>
              <w:rPr>
                <w:rFonts w:cs="Arial"/>
                <w:b/>
                <w:sz w:val="16"/>
                <w:szCs w:val="16"/>
              </w:rPr>
            </w:pPr>
            <w:r w:rsidRPr="001D74C5">
              <w:rPr>
                <w:rFonts w:cs="Arial"/>
                <w:sz w:val="16"/>
                <w:szCs w:val="16"/>
              </w:rPr>
              <w:t>Yes</w:t>
            </w:r>
          </w:p>
        </w:tc>
        <w:tc>
          <w:tcPr>
            <w:tcW w:w="1193" w:type="dxa"/>
            <w:shd w:val="clear" w:color="auto" w:fill="F2F2F2"/>
            <w:vAlign w:val="center"/>
          </w:tcPr>
          <w:p w14:paraId="1EFE7DBE" w14:textId="4E08C9EC" w:rsidR="00984146" w:rsidRPr="001D74C5" w:rsidRDefault="00984146" w:rsidP="001D74C5">
            <w:pPr>
              <w:spacing w:before="40" w:after="40"/>
              <w:jc w:val="center"/>
              <w:rPr>
                <w:rFonts w:cs="Arial"/>
                <w:sz w:val="16"/>
                <w:szCs w:val="16"/>
              </w:rPr>
            </w:pPr>
            <w:r w:rsidRPr="001D74C5">
              <w:rPr>
                <w:rFonts w:cs="Arial"/>
                <w:sz w:val="16"/>
                <w:szCs w:val="16"/>
              </w:rPr>
              <w:t>-</w:t>
            </w:r>
          </w:p>
        </w:tc>
        <w:tc>
          <w:tcPr>
            <w:tcW w:w="917" w:type="dxa"/>
            <w:shd w:val="clear" w:color="auto" w:fill="F2F2F2"/>
            <w:vAlign w:val="center"/>
          </w:tcPr>
          <w:p w14:paraId="242AA576" w14:textId="14F4BFB4" w:rsidR="00984146" w:rsidRPr="001D74C5" w:rsidRDefault="00984146" w:rsidP="001D74C5">
            <w:pPr>
              <w:spacing w:before="40" w:after="40"/>
              <w:jc w:val="center"/>
              <w:rPr>
                <w:rFonts w:cs="Arial"/>
                <w:b/>
                <w:sz w:val="16"/>
                <w:szCs w:val="16"/>
              </w:rPr>
            </w:pPr>
            <w:r w:rsidRPr="001D74C5">
              <w:rPr>
                <w:rFonts w:cs="Arial"/>
                <w:sz w:val="16"/>
                <w:szCs w:val="16"/>
              </w:rPr>
              <w:t>-</w:t>
            </w:r>
          </w:p>
        </w:tc>
        <w:tc>
          <w:tcPr>
            <w:tcW w:w="1116" w:type="dxa"/>
            <w:shd w:val="clear" w:color="auto" w:fill="F2F2F2"/>
            <w:vAlign w:val="center"/>
          </w:tcPr>
          <w:p w14:paraId="131A65A1" w14:textId="0AF00234" w:rsidR="00984146" w:rsidRPr="001D74C5" w:rsidRDefault="00984146" w:rsidP="001D74C5">
            <w:pPr>
              <w:spacing w:before="40" w:after="40"/>
              <w:jc w:val="center"/>
              <w:rPr>
                <w:rFonts w:cs="Arial"/>
                <w:b/>
                <w:sz w:val="16"/>
                <w:szCs w:val="16"/>
              </w:rPr>
            </w:pPr>
            <w:r w:rsidRPr="001D74C5">
              <w:rPr>
                <w:rFonts w:cs="Arial"/>
                <w:sz w:val="16"/>
                <w:szCs w:val="16"/>
              </w:rPr>
              <w:t>-</w:t>
            </w:r>
          </w:p>
        </w:tc>
      </w:tr>
    </w:tbl>
    <w:p w14:paraId="0ABA1939" w14:textId="77777777" w:rsidR="00101C92" w:rsidRPr="00136A5A" w:rsidRDefault="00101C92" w:rsidP="00136A5A">
      <w:pPr>
        <w:spacing w:after="0"/>
        <w:rPr>
          <w:vanish/>
        </w:rPr>
      </w:pPr>
    </w:p>
    <w:tbl>
      <w:tblPr>
        <w:tblW w:w="49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9"/>
        <w:gridCol w:w="1393"/>
        <w:gridCol w:w="829"/>
        <w:gridCol w:w="4431"/>
      </w:tblGrid>
      <w:tr w:rsidR="000A4BA1" w:rsidRPr="00544C5F" w14:paraId="4F7DEC89" w14:textId="77777777" w:rsidTr="006A24B3">
        <w:tc>
          <w:tcPr>
            <w:tcW w:w="1246" w:type="pct"/>
            <w:tcBorders>
              <w:top w:val="nil"/>
              <w:left w:val="nil"/>
              <w:bottom w:val="single" w:sz="4" w:space="0" w:color="auto"/>
              <w:right w:val="nil"/>
            </w:tcBorders>
            <w:shd w:val="clear" w:color="auto" w:fill="auto"/>
          </w:tcPr>
          <w:p w14:paraId="3D120DDF" w14:textId="4B367A19" w:rsidR="000A4BA1" w:rsidRPr="001D74C5" w:rsidRDefault="000A4BA1" w:rsidP="000A4BA1">
            <w:pPr>
              <w:spacing w:before="40" w:after="80"/>
              <w:rPr>
                <w:rFonts w:cs="Arial"/>
                <w:sz w:val="16"/>
                <w:szCs w:val="16"/>
                <w:u w:val="single"/>
              </w:rPr>
            </w:pPr>
            <w:r w:rsidRPr="001D74C5">
              <w:rPr>
                <w:rFonts w:cs="Arial"/>
                <w:sz w:val="16"/>
                <w:szCs w:val="16"/>
                <w:u w:val="single"/>
              </w:rPr>
              <w:t>Definitions</w:t>
            </w:r>
          </w:p>
        </w:tc>
        <w:tc>
          <w:tcPr>
            <w:tcW w:w="3752" w:type="pct"/>
            <w:gridSpan w:val="3"/>
            <w:tcBorders>
              <w:top w:val="nil"/>
              <w:left w:val="nil"/>
              <w:bottom w:val="single" w:sz="4" w:space="0" w:color="auto"/>
              <w:right w:val="nil"/>
            </w:tcBorders>
            <w:shd w:val="clear" w:color="auto" w:fill="auto"/>
          </w:tcPr>
          <w:p w14:paraId="78AAE772" w14:textId="77777777" w:rsidR="000A4BA1" w:rsidRPr="001D74C5" w:rsidRDefault="000A4BA1" w:rsidP="000A4BA1">
            <w:pPr>
              <w:spacing w:before="40" w:after="80"/>
              <w:rPr>
                <w:rFonts w:cs="Arial"/>
                <w:sz w:val="16"/>
                <w:szCs w:val="16"/>
              </w:rPr>
            </w:pPr>
          </w:p>
        </w:tc>
      </w:tr>
      <w:tr w:rsidR="000A4BA1" w:rsidRPr="00544C5F" w14:paraId="38BB223C" w14:textId="77777777" w:rsidTr="006A24B3">
        <w:tc>
          <w:tcPr>
            <w:tcW w:w="1246" w:type="pct"/>
            <w:tcBorders>
              <w:top w:val="single" w:sz="4" w:space="0" w:color="auto"/>
              <w:left w:val="single" w:sz="4" w:space="0" w:color="auto"/>
              <w:bottom w:val="single" w:sz="4" w:space="0" w:color="auto"/>
              <w:right w:val="single" w:sz="4" w:space="0" w:color="auto"/>
            </w:tcBorders>
            <w:shd w:val="clear" w:color="auto" w:fill="auto"/>
          </w:tcPr>
          <w:p w14:paraId="2CE821CE" w14:textId="77777777" w:rsidR="000A4BA1" w:rsidRPr="001D74C5" w:rsidRDefault="000A4BA1" w:rsidP="000A4BA1">
            <w:pPr>
              <w:spacing w:before="40" w:after="80"/>
              <w:rPr>
                <w:rFonts w:cs="Arial"/>
                <w:sz w:val="16"/>
                <w:szCs w:val="16"/>
              </w:rPr>
            </w:pPr>
            <w:r w:rsidRPr="001D74C5">
              <w:rPr>
                <w:rFonts w:cs="Arial"/>
                <w:i/>
                <w:sz w:val="16"/>
                <w:szCs w:val="16"/>
              </w:rPr>
              <w:t>Listed threatened species</w:t>
            </w:r>
            <w:r w:rsidRPr="001D74C5">
              <w:rPr>
                <w:rFonts w:cs="Arial"/>
                <w:sz w:val="16"/>
                <w:szCs w:val="16"/>
              </w:rPr>
              <w:t>:</w:t>
            </w:r>
          </w:p>
        </w:tc>
        <w:tc>
          <w:tcPr>
            <w:tcW w:w="3752" w:type="pct"/>
            <w:gridSpan w:val="3"/>
            <w:tcBorders>
              <w:top w:val="single" w:sz="4" w:space="0" w:color="auto"/>
              <w:left w:val="single" w:sz="4" w:space="0" w:color="auto"/>
              <w:bottom w:val="single" w:sz="4" w:space="0" w:color="auto"/>
              <w:right w:val="single" w:sz="4" w:space="0" w:color="auto"/>
            </w:tcBorders>
            <w:shd w:val="clear" w:color="auto" w:fill="auto"/>
          </w:tcPr>
          <w:p w14:paraId="6065B41A" w14:textId="77777777" w:rsidR="000A4BA1" w:rsidRPr="001D74C5" w:rsidRDefault="000A4BA1" w:rsidP="000A4BA1">
            <w:pPr>
              <w:spacing w:before="40" w:after="80"/>
              <w:rPr>
                <w:rFonts w:cs="Arial"/>
                <w:sz w:val="16"/>
                <w:szCs w:val="16"/>
              </w:rPr>
            </w:pPr>
            <w:r w:rsidRPr="001D74C5">
              <w:rPr>
                <w:rFonts w:cs="Arial"/>
                <w:sz w:val="16"/>
                <w:szCs w:val="16"/>
              </w:rPr>
              <w:t xml:space="preserve">A native species listed in Section 178 of the </w:t>
            </w:r>
            <w:r w:rsidRPr="001D74C5">
              <w:rPr>
                <w:rFonts w:cs="Arial"/>
                <w:i/>
                <w:sz w:val="16"/>
                <w:szCs w:val="16"/>
              </w:rPr>
              <w:t>EPBC Act</w:t>
            </w:r>
            <w:r w:rsidRPr="001D74C5">
              <w:rPr>
                <w:rFonts w:cs="Arial"/>
                <w:sz w:val="16"/>
                <w:szCs w:val="16"/>
              </w:rPr>
              <w:t xml:space="preserve"> as either extinct, extinct in the wild, critically endangered, endangered, and vulnerable or conservation dependent. </w:t>
            </w:r>
          </w:p>
        </w:tc>
      </w:tr>
      <w:tr w:rsidR="000A4BA1" w:rsidRPr="00544C5F" w14:paraId="78649142" w14:textId="77777777" w:rsidTr="006A24B3">
        <w:tc>
          <w:tcPr>
            <w:tcW w:w="1246" w:type="pct"/>
            <w:tcBorders>
              <w:top w:val="single" w:sz="4" w:space="0" w:color="auto"/>
              <w:left w:val="single" w:sz="4" w:space="0" w:color="auto"/>
              <w:bottom w:val="single" w:sz="4" w:space="0" w:color="auto"/>
              <w:right w:val="single" w:sz="4" w:space="0" w:color="auto"/>
            </w:tcBorders>
            <w:shd w:val="clear" w:color="auto" w:fill="auto"/>
          </w:tcPr>
          <w:p w14:paraId="7E1D3B00" w14:textId="77777777" w:rsidR="000A4BA1" w:rsidRPr="001D74C5" w:rsidRDefault="000A4BA1" w:rsidP="000A4BA1">
            <w:pPr>
              <w:spacing w:before="40" w:after="80"/>
              <w:rPr>
                <w:rFonts w:cs="Arial"/>
                <w:sz w:val="16"/>
                <w:szCs w:val="16"/>
              </w:rPr>
            </w:pPr>
            <w:r w:rsidRPr="001D74C5">
              <w:rPr>
                <w:rFonts w:cs="Arial"/>
                <w:i/>
                <w:sz w:val="16"/>
                <w:szCs w:val="16"/>
              </w:rPr>
              <w:t>Listed migratory species</w:t>
            </w:r>
            <w:r w:rsidRPr="001D74C5">
              <w:rPr>
                <w:rFonts w:cs="Arial"/>
                <w:sz w:val="16"/>
                <w:szCs w:val="16"/>
              </w:rPr>
              <w:t xml:space="preserve">: </w:t>
            </w:r>
          </w:p>
        </w:tc>
        <w:tc>
          <w:tcPr>
            <w:tcW w:w="3752" w:type="pct"/>
            <w:gridSpan w:val="3"/>
            <w:tcBorders>
              <w:top w:val="single" w:sz="4" w:space="0" w:color="auto"/>
              <w:left w:val="single" w:sz="4" w:space="0" w:color="auto"/>
              <w:bottom w:val="single" w:sz="4" w:space="0" w:color="auto"/>
              <w:right w:val="single" w:sz="4" w:space="0" w:color="auto"/>
            </w:tcBorders>
            <w:shd w:val="clear" w:color="auto" w:fill="auto"/>
          </w:tcPr>
          <w:p w14:paraId="426D5BB9" w14:textId="77777777" w:rsidR="000A4BA1" w:rsidRPr="001D74C5" w:rsidRDefault="000A4BA1" w:rsidP="000A4BA1">
            <w:pPr>
              <w:spacing w:before="40" w:after="80"/>
              <w:rPr>
                <w:rFonts w:cs="Arial"/>
                <w:sz w:val="16"/>
                <w:szCs w:val="16"/>
              </w:rPr>
            </w:pPr>
            <w:r w:rsidRPr="001D74C5">
              <w:rPr>
                <w:rFonts w:cs="Arial"/>
                <w:sz w:val="16"/>
                <w:szCs w:val="16"/>
              </w:rPr>
              <w:t xml:space="preserve">A native species that from time to time is included in the appendices to the Bonn Convention and the annexes of JAMBA, CAMBA and ROKAMBA, as listed in Section 209 of the </w:t>
            </w:r>
            <w:r w:rsidRPr="001D74C5">
              <w:rPr>
                <w:rFonts w:cs="Arial"/>
                <w:i/>
                <w:sz w:val="16"/>
                <w:szCs w:val="16"/>
              </w:rPr>
              <w:t>EPBC Act</w:t>
            </w:r>
            <w:r w:rsidRPr="001D74C5">
              <w:rPr>
                <w:rFonts w:cs="Arial"/>
                <w:sz w:val="16"/>
                <w:szCs w:val="16"/>
              </w:rPr>
              <w:t xml:space="preserve">. </w:t>
            </w:r>
          </w:p>
        </w:tc>
      </w:tr>
      <w:tr w:rsidR="000A4BA1" w:rsidRPr="00544C5F" w14:paraId="0BE15829" w14:textId="77777777" w:rsidTr="006A24B3">
        <w:tc>
          <w:tcPr>
            <w:tcW w:w="1246" w:type="pct"/>
            <w:tcBorders>
              <w:top w:val="single" w:sz="4" w:space="0" w:color="auto"/>
              <w:left w:val="single" w:sz="4" w:space="0" w:color="auto"/>
              <w:bottom w:val="single" w:sz="4" w:space="0" w:color="auto"/>
              <w:right w:val="single" w:sz="4" w:space="0" w:color="auto"/>
            </w:tcBorders>
            <w:shd w:val="clear" w:color="auto" w:fill="auto"/>
          </w:tcPr>
          <w:p w14:paraId="45259500" w14:textId="77777777" w:rsidR="000A4BA1" w:rsidRPr="001D74C5" w:rsidRDefault="000A4BA1" w:rsidP="000A4BA1">
            <w:pPr>
              <w:spacing w:before="40" w:after="80"/>
              <w:rPr>
                <w:rFonts w:cs="Arial"/>
                <w:sz w:val="16"/>
                <w:szCs w:val="16"/>
              </w:rPr>
            </w:pPr>
            <w:r w:rsidRPr="001D74C5">
              <w:rPr>
                <w:rFonts w:cs="Arial"/>
                <w:i/>
                <w:sz w:val="16"/>
                <w:szCs w:val="16"/>
              </w:rPr>
              <w:t>Listed marine species</w:t>
            </w:r>
            <w:r w:rsidRPr="001D74C5">
              <w:rPr>
                <w:rFonts w:cs="Arial"/>
                <w:sz w:val="16"/>
                <w:szCs w:val="16"/>
              </w:rPr>
              <w:t xml:space="preserve">: </w:t>
            </w:r>
          </w:p>
        </w:tc>
        <w:tc>
          <w:tcPr>
            <w:tcW w:w="3752" w:type="pct"/>
            <w:gridSpan w:val="3"/>
            <w:tcBorders>
              <w:top w:val="single" w:sz="4" w:space="0" w:color="auto"/>
              <w:left w:val="single" w:sz="4" w:space="0" w:color="auto"/>
              <w:bottom w:val="single" w:sz="4" w:space="0" w:color="auto"/>
              <w:right w:val="single" w:sz="4" w:space="0" w:color="auto"/>
            </w:tcBorders>
            <w:shd w:val="clear" w:color="auto" w:fill="auto"/>
          </w:tcPr>
          <w:p w14:paraId="4DD1FCF0" w14:textId="77777777" w:rsidR="000A4BA1" w:rsidRPr="001D74C5" w:rsidRDefault="000A4BA1" w:rsidP="000A4BA1">
            <w:pPr>
              <w:spacing w:before="40" w:after="80"/>
              <w:rPr>
                <w:rFonts w:cs="Arial"/>
                <w:sz w:val="16"/>
                <w:szCs w:val="16"/>
              </w:rPr>
            </w:pPr>
            <w:r w:rsidRPr="001D74C5">
              <w:rPr>
                <w:rFonts w:cs="Arial"/>
                <w:sz w:val="16"/>
                <w:szCs w:val="16"/>
              </w:rPr>
              <w:t xml:space="preserve">As listed in Section 248 of the </w:t>
            </w:r>
            <w:r w:rsidRPr="001D74C5">
              <w:rPr>
                <w:rFonts w:cs="Arial"/>
                <w:i/>
                <w:sz w:val="16"/>
                <w:szCs w:val="16"/>
              </w:rPr>
              <w:t>EPBC Act</w:t>
            </w:r>
            <w:r w:rsidRPr="001D74C5">
              <w:rPr>
                <w:rFonts w:cs="Arial"/>
                <w:sz w:val="16"/>
                <w:szCs w:val="16"/>
              </w:rPr>
              <w:t>.</w:t>
            </w:r>
          </w:p>
        </w:tc>
      </w:tr>
      <w:tr w:rsidR="00A36EA8" w:rsidRPr="00544C5F" w14:paraId="35E4ED3D" w14:textId="68147FA8" w:rsidTr="006A24B3">
        <w:tc>
          <w:tcPr>
            <w:tcW w:w="2032" w:type="pct"/>
            <w:gridSpan w:val="2"/>
            <w:tcBorders>
              <w:top w:val="nil"/>
              <w:left w:val="nil"/>
              <w:bottom w:val="single" w:sz="4" w:space="0" w:color="auto"/>
              <w:right w:val="nil"/>
            </w:tcBorders>
            <w:shd w:val="clear" w:color="auto" w:fill="auto"/>
          </w:tcPr>
          <w:p w14:paraId="073EC396" w14:textId="0F6B4CA9" w:rsidR="003C6FDA" w:rsidRPr="001D74C5" w:rsidRDefault="003C6FDA" w:rsidP="003C6FDA">
            <w:pPr>
              <w:spacing w:before="40" w:after="80"/>
              <w:rPr>
                <w:rFonts w:cs="Arial"/>
                <w:sz w:val="16"/>
                <w:szCs w:val="16"/>
                <w:u w:val="single"/>
              </w:rPr>
            </w:pPr>
            <w:r w:rsidRPr="001D74C5">
              <w:rPr>
                <w:rFonts w:cs="Arial"/>
                <w:sz w:val="16"/>
                <w:szCs w:val="16"/>
                <w:u w:val="single"/>
              </w:rPr>
              <w:t>Key to acronyms</w:t>
            </w:r>
          </w:p>
        </w:tc>
        <w:tc>
          <w:tcPr>
            <w:tcW w:w="468" w:type="pct"/>
            <w:tcBorders>
              <w:top w:val="nil"/>
              <w:left w:val="nil"/>
              <w:bottom w:val="single" w:sz="4" w:space="0" w:color="auto"/>
              <w:right w:val="nil"/>
            </w:tcBorders>
            <w:shd w:val="clear" w:color="auto" w:fill="auto"/>
          </w:tcPr>
          <w:p w14:paraId="0DE218FA" w14:textId="77777777" w:rsidR="003C6FDA" w:rsidRPr="001D74C5" w:rsidRDefault="003C6FDA" w:rsidP="003C6FDA">
            <w:pPr>
              <w:spacing w:before="40" w:after="80"/>
              <w:rPr>
                <w:rFonts w:cs="Arial"/>
                <w:sz w:val="16"/>
                <w:szCs w:val="16"/>
              </w:rPr>
            </w:pPr>
          </w:p>
        </w:tc>
        <w:tc>
          <w:tcPr>
            <w:tcW w:w="2501" w:type="pct"/>
            <w:tcBorders>
              <w:top w:val="nil"/>
              <w:left w:val="nil"/>
              <w:bottom w:val="single" w:sz="4" w:space="0" w:color="auto"/>
              <w:right w:val="nil"/>
            </w:tcBorders>
          </w:tcPr>
          <w:p w14:paraId="75724A9C" w14:textId="77777777" w:rsidR="003C6FDA" w:rsidRPr="001D74C5" w:rsidRDefault="003C6FDA" w:rsidP="003C6FDA">
            <w:pPr>
              <w:spacing w:before="40" w:after="80"/>
              <w:rPr>
                <w:rFonts w:cs="Arial"/>
                <w:sz w:val="16"/>
                <w:szCs w:val="16"/>
              </w:rPr>
            </w:pPr>
          </w:p>
        </w:tc>
      </w:tr>
      <w:tr w:rsidR="00A36EA8" w:rsidRPr="00544C5F" w14:paraId="2A9AC4B1" w14:textId="3CA5492B" w:rsidTr="006A24B3">
        <w:tc>
          <w:tcPr>
            <w:tcW w:w="2032" w:type="pct"/>
            <w:gridSpan w:val="2"/>
            <w:vMerge w:val="restart"/>
            <w:tcBorders>
              <w:top w:val="single" w:sz="4" w:space="0" w:color="auto"/>
              <w:left w:val="single" w:sz="4" w:space="0" w:color="auto"/>
              <w:right w:val="single" w:sz="4" w:space="0" w:color="auto"/>
            </w:tcBorders>
            <w:shd w:val="clear" w:color="auto" w:fill="auto"/>
          </w:tcPr>
          <w:p w14:paraId="2A6DFC67" w14:textId="2566B8BB" w:rsidR="00556DB8" w:rsidRPr="001D74C5" w:rsidRDefault="00556DB8" w:rsidP="003C6FDA">
            <w:pPr>
              <w:spacing w:before="40" w:after="80"/>
              <w:rPr>
                <w:rFonts w:cs="Arial"/>
                <w:sz w:val="16"/>
                <w:szCs w:val="16"/>
              </w:rPr>
            </w:pPr>
            <w:r w:rsidRPr="001D74C5">
              <w:rPr>
                <w:rFonts w:cs="Arial"/>
                <w:i/>
                <w:sz w:val="16"/>
                <w:szCs w:val="16"/>
              </w:rPr>
              <w:t>EPBC Act status (as at December 2016):</w:t>
            </w:r>
          </w:p>
        </w:tc>
        <w:tc>
          <w:tcPr>
            <w:tcW w:w="468" w:type="pct"/>
            <w:tcBorders>
              <w:top w:val="single" w:sz="4" w:space="0" w:color="auto"/>
              <w:left w:val="single" w:sz="4" w:space="0" w:color="auto"/>
              <w:bottom w:val="nil"/>
              <w:right w:val="single" w:sz="4" w:space="0" w:color="auto"/>
            </w:tcBorders>
            <w:shd w:val="clear" w:color="auto" w:fill="auto"/>
          </w:tcPr>
          <w:p w14:paraId="5878BA95" w14:textId="18D56449" w:rsidR="00556DB8" w:rsidRPr="001D74C5" w:rsidRDefault="00556DB8" w:rsidP="003C6FDA">
            <w:pPr>
              <w:spacing w:before="40" w:after="80"/>
              <w:rPr>
                <w:rFonts w:cs="Arial"/>
                <w:sz w:val="16"/>
                <w:szCs w:val="16"/>
              </w:rPr>
            </w:pPr>
            <w:r w:rsidRPr="001D74C5">
              <w:rPr>
                <w:rFonts w:cs="Arial"/>
                <w:sz w:val="16"/>
                <w:szCs w:val="16"/>
              </w:rPr>
              <w:t>V</w:t>
            </w:r>
          </w:p>
        </w:tc>
        <w:tc>
          <w:tcPr>
            <w:tcW w:w="2501" w:type="pct"/>
            <w:tcBorders>
              <w:top w:val="single" w:sz="4" w:space="0" w:color="auto"/>
              <w:left w:val="single" w:sz="4" w:space="0" w:color="auto"/>
              <w:bottom w:val="nil"/>
              <w:right w:val="single" w:sz="4" w:space="0" w:color="auto"/>
            </w:tcBorders>
          </w:tcPr>
          <w:p w14:paraId="2BF4D243" w14:textId="6A12CF30" w:rsidR="00556DB8" w:rsidRPr="001D74C5" w:rsidRDefault="00556DB8" w:rsidP="003C6FDA">
            <w:pPr>
              <w:spacing w:before="40" w:after="80"/>
              <w:rPr>
                <w:rFonts w:cs="Arial"/>
                <w:sz w:val="16"/>
                <w:szCs w:val="16"/>
              </w:rPr>
            </w:pPr>
            <w:r w:rsidRPr="001D74C5">
              <w:rPr>
                <w:rFonts w:cs="Arial"/>
                <w:sz w:val="16"/>
                <w:szCs w:val="16"/>
              </w:rPr>
              <w:t>Vulnerable</w:t>
            </w:r>
          </w:p>
        </w:tc>
      </w:tr>
      <w:tr w:rsidR="00A36EA8" w:rsidRPr="00544C5F" w14:paraId="525A5A88" w14:textId="77777777" w:rsidTr="006A24B3">
        <w:tc>
          <w:tcPr>
            <w:tcW w:w="2032" w:type="pct"/>
            <w:gridSpan w:val="2"/>
            <w:vMerge/>
            <w:tcBorders>
              <w:left w:val="single" w:sz="4" w:space="0" w:color="auto"/>
              <w:bottom w:val="nil"/>
              <w:right w:val="single" w:sz="4" w:space="0" w:color="auto"/>
            </w:tcBorders>
            <w:shd w:val="clear" w:color="auto" w:fill="auto"/>
          </w:tcPr>
          <w:p w14:paraId="7733FA1B" w14:textId="77777777" w:rsidR="00556DB8" w:rsidRPr="001D74C5" w:rsidRDefault="00556DB8" w:rsidP="003C6FDA">
            <w:pPr>
              <w:spacing w:before="40" w:after="80"/>
              <w:rPr>
                <w:rFonts w:cs="Arial"/>
                <w:i/>
                <w:sz w:val="16"/>
                <w:szCs w:val="16"/>
              </w:rPr>
            </w:pPr>
          </w:p>
        </w:tc>
        <w:tc>
          <w:tcPr>
            <w:tcW w:w="468" w:type="pct"/>
            <w:tcBorders>
              <w:top w:val="nil"/>
              <w:left w:val="single" w:sz="4" w:space="0" w:color="auto"/>
              <w:bottom w:val="nil"/>
              <w:right w:val="single" w:sz="4" w:space="0" w:color="auto"/>
            </w:tcBorders>
            <w:shd w:val="clear" w:color="auto" w:fill="auto"/>
          </w:tcPr>
          <w:p w14:paraId="200ED41F" w14:textId="4D7505A2" w:rsidR="00556DB8" w:rsidRPr="001D74C5" w:rsidRDefault="00556DB8" w:rsidP="003C6FDA">
            <w:pPr>
              <w:spacing w:before="40" w:after="80"/>
              <w:rPr>
                <w:rFonts w:cs="Arial"/>
                <w:sz w:val="16"/>
                <w:szCs w:val="16"/>
              </w:rPr>
            </w:pPr>
            <w:r w:rsidRPr="001D74C5">
              <w:rPr>
                <w:rFonts w:cs="Arial"/>
                <w:sz w:val="16"/>
                <w:szCs w:val="16"/>
              </w:rPr>
              <w:t>E</w:t>
            </w:r>
          </w:p>
        </w:tc>
        <w:tc>
          <w:tcPr>
            <w:tcW w:w="2501" w:type="pct"/>
            <w:tcBorders>
              <w:top w:val="nil"/>
              <w:left w:val="single" w:sz="4" w:space="0" w:color="auto"/>
              <w:bottom w:val="nil"/>
              <w:right w:val="single" w:sz="4" w:space="0" w:color="auto"/>
            </w:tcBorders>
          </w:tcPr>
          <w:p w14:paraId="73EC7BE8" w14:textId="52BA5374" w:rsidR="00556DB8" w:rsidRPr="001D74C5" w:rsidRDefault="00556DB8" w:rsidP="003C6FDA">
            <w:pPr>
              <w:spacing w:before="40" w:after="80"/>
              <w:rPr>
                <w:rFonts w:cs="Arial"/>
                <w:sz w:val="16"/>
                <w:szCs w:val="16"/>
              </w:rPr>
            </w:pPr>
            <w:r w:rsidRPr="001D74C5">
              <w:rPr>
                <w:rFonts w:cs="Arial"/>
                <w:sz w:val="16"/>
                <w:szCs w:val="16"/>
              </w:rPr>
              <w:t>E</w:t>
            </w:r>
            <w:r w:rsidR="00DD5ED8" w:rsidRPr="001D74C5">
              <w:rPr>
                <w:rFonts w:cs="Arial"/>
                <w:sz w:val="16"/>
                <w:szCs w:val="16"/>
              </w:rPr>
              <w:t>ndangered</w:t>
            </w:r>
          </w:p>
        </w:tc>
      </w:tr>
      <w:tr w:rsidR="00A36EA8" w:rsidRPr="00544C5F" w14:paraId="7F090A19" w14:textId="77777777" w:rsidTr="006A24B3">
        <w:tc>
          <w:tcPr>
            <w:tcW w:w="2032" w:type="pct"/>
            <w:gridSpan w:val="2"/>
            <w:tcBorders>
              <w:top w:val="nil"/>
              <w:left w:val="single" w:sz="4" w:space="0" w:color="auto"/>
              <w:bottom w:val="single" w:sz="4" w:space="0" w:color="auto"/>
              <w:right w:val="single" w:sz="4" w:space="0" w:color="auto"/>
            </w:tcBorders>
            <w:shd w:val="clear" w:color="auto" w:fill="auto"/>
          </w:tcPr>
          <w:p w14:paraId="7589B533" w14:textId="77777777" w:rsidR="003C6FDA" w:rsidRPr="001D74C5" w:rsidRDefault="003C6FDA" w:rsidP="003C6FDA">
            <w:pPr>
              <w:spacing w:before="40" w:after="80"/>
              <w:rPr>
                <w:rFonts w:cs="Arial"/>
                <w:i/>
                <w:sz w:val="16"/>
                <w:szCs w:val="16"/>
              </w:rPr>
            </w:pPr>
          </w:p>
        </w:tc>
        <w:tc>
          <w:tcPr>
            <w:tcW w:w="468" w:type="pct"/>
            <w:tcBorders>
              <w:top w:val="nil"/>
              <w:left w:val="single" w:sz="4" w:space="0" w:color="auto"/>
              <w:bottom w:val="single" w:sz="4" w:space="0" w:color="auto"/>
              <w:right w:val="single" w:sz="4" w:space="0" w:color="auto"/>
            </w:tcBorders>
            <w:shd w:val="clear" w:color="auto" w:fill="auto"/>
          </w:tcPr>
          <w:p w14:paraId="3EF9697A" w14:textId="1D65EBC6" w:rsidR="003C6FDA" w:rsidRPr="001D74C5" w:rsidRDefault="003C6FDA" w:rsidP="003C6FDA">
            <w:pPr>
              <w:spacing w:before="40" w:after="80"/>
              <w:rPr>
                <w:rFonts w:cs="Arial"/>
                <w:sz w:val="16"/>
                <w:szCs w:val="16"/>
              </w:rPr>
            </w:pPr>
            <w:r w:rsidRPr="001D74C5">
              <w:rPr>
                <w:rFonts w:cs="Arial"/>
                <w:sz w:val="16"/>
                <w:szCs w:val="16"/>
              </w:rPr>
              <w:t>CE</w:t>
            </w:r>
          </w:p>
        </w:tc>
        <w:tc>
          <w:tcPr>
            <w:tcW w:w="2501" w:type="pct"/>
            <w:tcBorders>
              <w:top w:val="nil"/>
              <w:left w:val="single" w:sz="4" w:space="0" w:color="auto"/>
              <w:bottom w:val="single" w:sz="4" w:space="0" w:color="auto"/>
              <w:right w:val="single" w:sz="4" w:space="0" w:color="auto"/>
            </w:tcBorders>
          </w:tcPr>
          <w:p w14:paraId="01504238" w14:textId="613497DB" w:rsidR="003C6FDA" w:rsidRPr="001D74C5" w:rsidRDefault="003C6FDA" w:rsidP="00DD5ED8">
            <w:pPr>
              <w:spacing w:before="40" w:after="80"/>
              <w:rPr>
                <w:rFonts w:cs="Arial"/>
                <w:sz w:val="16"/>
                <w:szCs w:val="16"/>
              </w:rPr>
            </w:pPr>
            <w:r w:rsidRPr="001D74C5">
              <w:rPr>
                <w:rFonts w:cs="Arial"/>
                <w:sz w:val="16"/>
                <w:szCs w:val="16"/>
              </w:rPr>
              <w:t xml:space="preserve">Critically </w:t>
            </w:r>
            <w:r w:rsidR="00DD5ED8" w:rsidRPr="001D74C5">
              <w:rPr>
                <w:rFonts w:cs="Arial"/>
                <w:sz w:val="16"/>
                <w:szCs w:val="16"/>
              </w:rPr>
              <w:t>E</w:t>
            </w:r>
            <w:r w:rsidRPr="001D74C5">
              <w:rPr>
                <w:rFonts w:cs="Arial"/>
                <w:sz w:val="16"/>
                <w:szCs w:val="16"/>
              </w:rPr>
              <w:t>ndangered</w:t>
            </w:r>
          </w:p>
        </w:tc>
      </w:tr>
      <w:tr w:rsidR="00A36EA8" w:rsidRPr="00544C5F" w14:paraId="3A5C7838" w14:textId="6A330D6F" w:rsidTr="006A24B3">
        <w:tc>
          <w:tcPr>
            <w:tcW w:w="2032" w:type="pct"/>
            <w:gridSpan w:val="2"/>
            <w:tcBorders>
              <w:top w:val="single" w:sz="4" w:space="0" w:color="auto"/>
              <w:left w:val="single" w:sz="4" w:space="0" w:color="auto"/>
              <w:bottom w:val="single" w:sz="4" w:space="0" w:color="auto"/>
              <w:right w:val="single" w:sz="4" w:space="0" w:color="auto"/>
            </w:tcBorders>
            <w:shd w:val="clear" w:color="auto" w:fill="auto"/>
          </w:tcPr>
          <w:p w14:paraId="0E78769F" w14:textId="4C10F2CC" w:rsidR="003C6FDA" w:rsidRPr="001D74C5" w:rsidRDefault="003C6FDA" w:rsidP="003C6FDA">
            <w:pPr>
              <w:spacing w:before="40" w:after="80"/>
              <w:rPr>
                <w:rFonts w:cs="Arial"/>
                <w:sz w:val="16"/>
                <w:szCs w:val="16"/>
              </w:rPr>
            </w:pPr>
            <w:r w:rsidRPr="001D74C5">
              <w:rPr>
                <w:rFonts w:cs="Arial"/>
                <w:i/>
                <w:sz w:val="16"/>
                <w:szCs w:val="16"/>
              </w:rPr>
              <w:t>FFG Act status</w:t>
            </w:r>
            <w:r w:rsidR="00556DB8" w:rsidRPr="001D74C5">
              <w:rPr>
                <w:rFonts w:cs="Arial"/>
                <w:i/>
                <w:sz w:val="16"/>
                <w:szCs w:val="16"/>
              </w:rPr>
              <w:t xml:space="preserve"> (as at December 2016)</w:t>
            </w:r>
            <w:r w:rsidRPr="001D74C5">
              <w:rPr>
                <w:rFonts w:cs="Arial"/>
                <w:i/>
                <w:sz w:val="16"/>
                <w:szCs w:val="16"/>
              </w:rPr>
              <w:t>:</w:t>
            </w:r>
            <w:r w:rsidRPr="001D74C5">
              <w:rPr>
                <w:rFonts w:cs="Arial"/>
                <w:sz w:val="16"/>
                <w:szCs w:val="16"/>
              </w:rPr>
              <w:t xml:space="preserve"> </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3E6B6DB4" w14:textId="48394BFC" w:rsidR="003C6FDA" w:rsidRPr="001D74C5" w:rsidRDefault="003C6FDA" w:rsidP="003C6FDA">
            <w:pPr>
              <w:spacing w:before="40" w:after="80"/>
              <w:rPr>
                <w:rFonts w:cs="Arial"/>
                <w:sz w:val="16"/>
                <w:szCs w:val="16"/>
              </w:rPr>
            </w:pPr>
            <w:r w:rsidRPr="001D74C5">
              <w:rPr>
                <w:rFonts w:cs="Arial"/>
                <w:sz w:val="16"/>
                <w:szCs w:val="16"/>
              </w:rPr>
              <w:t>T</w:t>
            </w:r>
          </w:p>
        </w:tc>
        <w:tc>
          <w:tcPr>
            <w:tcW w:w="2501" w:type="pct"/>
            <w:tcBorders>
              <w:top w:val="single" w:sz="4" w:space="0" w:color="auto"/>
              <w:left w:val="single" w:sz="4" w:space="0" w:color="auto"/>
              <w:bottom w:val="single" w:sz="4" w:space="0" w:color="auto"/>
              <w:right w:val="single" w:sz="4" w:space="0" w:color="auto"/>
            </w:tcBorders>
          </w:tcPr>
          <w:p w14:paraId="439744E6" w14:textId="5924EAFF" w:rsidR="003C6FDA" w:rsidRPr="001D74C5" w:rsidRDefault="003C6FDA" w:rsidP="003C6FDA">
            <w:pPr>
              <w:spacing w:before="40" w:after="80"/>
              <w:rPr>
                <w:rFonts w:cs="Arial"/>
                <w:sz w:val="16"/>
                <w:szCs w:val="16"/>
              </w:rPr>
            </w:pPr>
            <w:r w:rsidRPr="001D74C5">
              <w:rPr>
                <w:rFonts w:cs="Arial"/>
                <w:sz w:val="16"/>
                <w:szCs w:val="16"/>
              </w:rPr>
              <w:t>Threatened</w:t>
            </w:r>
          </w:p>
        </w:tc>
      </w:tr>
      <w:tr w:rsidR="00A36EA8" w:rsidRPr="00544C5F" w14:paraId="36DC9132" w14:textId="1D3B02C6" w:rsidTr="006A24B3">
        <w:tc>
          <w:tcPr>
            <w:tcW w:w="2032" w:type="pct"/>
            <w:gridSpan w:val="2"/>
            <w:tcBorders>
              <w:top w:val="single" w:sz="4" w:space="0" w:color="auto"/>
              <w:left w:val="single" w:sz="4" w:space="0" w:color="auto"/>
              <w:bottom w:val="nil"/>
              <w:right w:val="single" w:sz="4" w:space="0" w:color="auto"/>
            </w:tcBorders>
            <w:shd w:val="clear" w:color="auto" w:fill="auto"/>
          </w:tcPr>
          <w:p w14:paraId="087CD06B" w14:textId="2CCCF913" w:rsidR="003C6FDA" w:rsidRPr="001D74C5" w:rsidRDefault="003C6FDA" w:rsidP="003C6FDA">
            <w:pPr>
              <w:spacing w:before="40" w:after="80"/>
              <w:rPr>
                <w:rFonts w:cs="Arial"/>
                <w:sz w:val="16"/>
                <w:szCs w:val="16"/>
              </w:rPr>
            </w:pPr>
            <w:r w:rsidRPr="001D74C5">
              <w:rPr>
                <w:rFonts w:cs="Arial"/>
                <w:i/>
                <w:sz w:val="16"/>
                <w:szCs w:val="16"/>
              </w:rPr>
              <w:t>BIA:</w:t>
            </w:r>
            <w:r w:rsidRPr="001D74C5">
              <w:rPr>
                <w:rFonts w:cs="Arial"/>
                <w:sz w:val="16"/>
                <w:szCs w:val="16"/>
              </w:rPr>
              <w:t xml:space="preserve"> </w:t>
            </w:r>
          </w:p>
        </w:tc>
        <w:tc>
          <w:tcPr>
            <w:tcW w:w="468" w:type="pct"/>
            <w:tcBorders>
              <w:top w:val="single" w:sz="4" w:space="0" w:color="auto"/>
              <w:left w:val="single" w:sz="4" w:space="0" w:color="auto"/>
              <w:bottom w:val="nil"/>
              <w:right w:val="single" w:sz="4" w:space="0" w:color="auto"/>
            </w:tcBorders>
            <w:shd w:val="clear" w:color="auto" w:fill="auto"/>
          </w:tcPr>
          <w:p w14:paraId="375444B4" w14:textId="24EADCDB" w:rsidR="003C6FDA" w:rsidRPr="001D74C5" w:rsidRDefault="00DD5ED8" w:rsidP="003C6FDA">
            <w:pPr>
              <w:spacing w:before="40" w:after="80"/>
              <w:rPr>
                <w:rFonts w:cs="Arial"/>
                <w:sz w:val="16"/>
                <w:szCs w:val="16"/>
              </w:rPr>
            </w:pPr>
            <w:r w:rsidRPr="001D74C5">
              <w:rPr>
                <w:rFonts w:cs="Arial"/>
                <w:sz w:val="16"/>
                <w:szCs w:val="16"/>
              </w:rPr>
              <w:t>A</w:t>
            </w:r>
          </w:p>
        </w:tc>
        <w:tc>
          <w:tcPr>
            <w:tcW w:w="2501" w:type="pct"/>
            <w:tcBorders>
              <w:top w:val="single" w:sz="4" w:space="0" w:color="auto"/>
              <w:left w:val="single" w:sz="4" w:space="0" w:color="auto"/>
              <w:bottom w:val="nil"/>
              <w:right w:val="single" w:sz="4" w:space="0" w:color="auto"/>
            </w:tcBorders>
          </w:tcPr>
          <w:p w14:paraId="7BE629E3" w14:textId="61278F9A" w:rsidR="003C6FDA" w:rsidRPr="001D74C5" w:rsidRDefault="00DD5ED8" w:rsidP="003C6FDA">
            <w:pPr>
              <w:spacing w:before="40" w:after="80"/>
              <w:rPr>
                <w:rFonts w:cs="Arial"/>
                <w:sz w:val="16"/>
                <w:szCs w:val="16"/>
              </w:rPr>
            </w:pPr>
            <w:r w:rsidRPr="001D74C5">
              <w:rPr>
                <w:rFonts w:cs="Arial"/>
                <w:sz w:val="16"/>
                <w:szCs w:val="16"/>
              </w:rPr>
              <w:t>Aggregation</w:t>
            </w:r>
          </w:p>
        </w:tc>
      </w:tr>
      <w:tr w:rsidR="00A36EA8" w:rsidRPr="00544C5F" w14:paraId="44F7716B" w14:textId="77777777" w:rsidTr="006A24B3">
        <w:tc>
          <w:tcPr>
            <w:tcW w:w="2032" w:type="pct"/>
            <w:gridSpan w:val="2"/>
            <w:tcBorders>
              <w:top w:val="nil"/>
              <w:left w:val="single" w:sz="4" w:space="0" w:color="auto"/>
              <w:bottom w:val="nil"/>
              <w:right w:val="single" w:sz="4" w:space="0" w:color="auto"/>
            </w:tcBorders>
            <w:shd w:val="clear" w:color="auto" w:fill="auto"/>
          </w:tcPr>
          <w:p w14:paraId="654EA04C" w14:textId="77777777" w:rsidR="00DD5ED8" w:rsidRPr="001D74C5" w:rsidRDefault="00DD5ED8" w:rsidP="003C6FDA">
            <w:pPr>
              <w:spacing w:before="40" w:after="80"/>
              <w:rPr>
                <w:rFonts w:cs="Arial"/>
                <w:i/>
                <w:sz w:val="16"/>
                <w:szCs w:val="16"/>
              </w:rPr>
            </w:pPr>
          </w:p>
        </w:tc>
        <w:tc>
          <w:tcPr>
            <w:tcW w:w="468" w:type="pct"/>
            <w:tcBorders>
              <w:top w:val="nil"/>
              <w:left w:val="single" w:sz="4" w:space="0" w:color="auto"/>
              <w:bottom w:val="nil"/>
              <w:right w:val="single" w:sz="4" w:space="0" w:color="auto"/>
            </w:tcBorders>
            <w:shd w:val="clear" w:color="auto" w:fill="auto"/>
          </w:tcPr>
          <w:p w14:paraId="14685EA6" w14:textId="0B9A6032" w:rsidR="00DD5ED8" w:rsidRPr="001D74C5" w:rsidRDefault="00DD5ED8" w:rsidP="003C6FDA">
            <w:pPr>
              <w:spacing w:before="40" w:after="80"/>
              <w:rPr>
                <w:rFonts w:cs="Arial"/>
                <w:sz w:val="16"/>
                <w:szCs w:val="16"/>
              </w:rPr>
            </w:pPr>
            <w:r w:rsidRPr="001D74C5">
              <w:rPr>
                <w:rFonts w:cs="Arial"/>
                <w:sz w:val="16"/>
                <w:szCs w:val="16"/>
              </w:rPr>
              <w:t>D</w:t>
            </w:r>
          </w:p>
        </w:tc>
        <w:tc>
          <w:tcPr>
            <w:tcW w:w="2501" w:type="pct"/>
            <w:tcBorders>
              <w:top w:val="nil"/>
              <w:left w:val="single" w:sz="4" w:space="0" w:color="auto"/>
              <w:bottom w:val="nil"/>
              <w:right w:val="single" w:sz="4" w:space="0" w:color="auto"/>
            </w:tcBorders>
          </w:tcPr>
          <w:p w14:paraId="0303D462" w14:textId="3C690B7F" w:rsidR="00DD5ED8" w:rsidRPr="001D74C5" w:rsidRDefault="00DD5ED8" w:rsidP="003C6FDA">
            <w:pPr>
              <w:spacing w:before="40" w:after="80"/>
              <w:rPr>
                <w:rFonts w:cs="Arial"/>
                <w:sz w:val="16"/>
                <w:szCs w:val="16"/>
              </w:rPr>
            </w:pPr>
            <w:r w:rsidRPr="001D74C5">
              <w:rPr>
                <w:rFonts w:cs="Arial"/>
                <w:sz w:val="16"/>
                <w:szCs w:val="16"/>
              </w:rPr>
              <w:t>Distribution (i.e., presence only)</w:t>
            </w:r>
          </w:p>
        </w:tc>
      </w:tr>
      <w:tr w:rsidR="00A36EA8" w:rsidRPr="00544C5F" w14:paraId="622041B6" w14:textId="77777777" w:rsidTr="006A24B3">
        <w:tc>
          <w:tcPr>
            <w:tcW w:w="2032" w:type="pct"/>
            <w:gridSpan w:val="2"/>
            <w:tcBorders>
              <w:top w:val="nil"/>
              <w:left w:val="single" w:sz="4" w:space="0" w:color="auto"/>
              <w:bottom w:val="nil"/>
              <w:right w:val="single" w:sz="4" w:space="0" w:color="auto"/>
            </w:tcBorders>
            <w:shd w:val="clear" w:color="auto" w:fill="auto"/>
          </w:tcPr>
          <w:p w14:paraId="166D9762" w14:textId="77777777" w:rsidR="00DD5ED8" w:rsidRPr="001D74C5" w:rsidRDefault="00DD5ED8" w:rsidP="003C6FDA">
            <w:pPr>
              <w:spacing w:before="40" w:after="80"/>
              <w:rPr>
                <w:rFonts w:cs="Arial"/>
                <w:i/>
                <w:sz w:val="16"/>
                <w:szCs w:val="16"/>
              </w:rPr>
            </w:pPr>
          </w:p>
        </w:tc>
        <w:tc>
          <w:tcPr>
            <w:tcW w:w="468" w:type="pct"/>
            <w:tcBorders>
              <w:top w:val="nil"/>
              <w:left w:val="single" w:sz="4" w:space="0" w:color="auto"/>
              <w:bottom w:val="nil"/>
              <w:right w:val="single" w:sz="4" w:space="0" w:color="auto"/>
            </w:tcBorders>
            <w:shd w:val="clear" w:color="auto" w:fill="auto"/>
          </w:tcPr>
          <w:p w14:paraId="055551DD" w14:textId="2FE2DE19" w:rsidR="00DD5ED8" w:rsidRPr="001D74C5" w:rsidRDefault="00DD5ED8" w:rsidP="003C6FDA">
            <w:pPr>
              <w:spacing w:before="40" w:after="80"/>
              <w:rPr>
                <w:rFonts w:cs="Arial"/>
                <w:sz w:val="16"/>
                <w:szCs w:val="16"/>
              </w:rPr>
            </w:pPr>
            <w:r w:rsidRPr="001D74C5">
              <w:rPr>
                <w:rFonts w:cs="Arial"/>
                <w:sz w:val="16"/>
                <w:szCs w:val="16"/>
              </w:rPr>
              <w:t>F</w:t>
            </w:r>
          </w:p>
        </w:tc>
        <w:tc>
          <w:tcPr>
            <w:tcW w:w="2501" w:type="pct"/>
            <w:tcBorders>
              <w:top w:val="nil"/>
              <w:left w:val="single" w:sz="4" w:space="0" w:color="auto"/>
              <w:bottom w:val="nil"/>
              <w:right w:val="single" w:sz="4" w:space="0" w:color="auto"/>
            </w:tcBorders>
          </w:tcPr>
          <w:p w14:paraId="353234CC" w14:textId="2D6F3807" w:rsidR="00DD5ED8" w:rsidRPr="001D74C5" w:rsidRDefault="00DD5ED8" w:rsidP="003C6FDA">
            <w:pPr>
              <w:spacing w:before="40" w:after="80"/>
              <w:rPr>
                <w:rFonts w:cs="Arial"/>
                <w:sz w:val="16"/>
                <w:szCs w:val="16"/>
              </w:rPr>
            </w:pPr>
            <w:r w:rsidRPr="001D74C5">
              <w:rPr>
                <w:rFonts w:cs="Arial"/>
                <w:sz w:val="16"/>
                <w:szCs w:val="16"/>
              </w:rPr>
              <w:t>Foraging</w:t>
            </w:r>
          </w:p>
        </w:tc>
      </w:tr>
      <w:tr w:rsidR="00A36EA8" w:rsidRPr="00544C5F" w14:paraId="5B9FEFFB" w14:textId="77777777" w:rsidTr="006A24B3">
        <w:tc>
          <w:tcPr>
            <w:tcW w:w="2032" w:type="pct"/>
            <w:gridSpan w:val="2"/>
            <w:tcBorders>
              <w:top w:val="nil"/>
              <w:left w:val="single" w:sz="4" w:space="0" w:color="auto"/>
              <w:bottom w:val="single" w:sz="4" w:space="0" w:color="auto"/>
              <w:right w:val="single" w:sz="4" w:space="0" w:color="auto"/>
            </w:tcBorders>
            <w:shd w:val="clear" w:color="auto" w:fill="auto"/>
          </w:tcPr>
          <w:p w14:paraId="35E95998" w14:textId="77777777" w:rsidR="00DD5ED8" w:rsidRPr="001D74C5" w:rsidRDefault="00DD5ED8" w:rsidP="003C6FDA">
            <w:pPr>
              <w:spacing w:before="40" w:after="80"/>
              <w:rPr>
                <w:rFonts w:cs="Arial"/>
                <w:i/>
                <w:sz w:val="16"/>
                <w:szCs w:val="16"/>
              </w:rPr>
            </w:pPr>
          </w:p>
        </w:tc>
        <w:tc>
          <w:tcPr>
            <w:tcW w:w="468" w:type="pct"/>
            <w:tcBorders>
              <w:top w:val="nil"/>
              <w:left w:val="single" w:sz="4" w:space="0" w:color="auto"/>
              <w:bottom w:val="single" w:sz="4" w:space="0" w:color="auto"/>
              <w:right w:val="single" w:sz="4" w:space="0" w:color="auto"/>
            </w:tcBorders>
            <w:shd w:val="clear" w:color="auto" w:fill="auto"/>
          </w:tcPr>
          <w:p w14:paraId="541EDE88" w14:textId="1EC5414E" w:rsidR="00DD5ED8" w:rsidRPr="001D74C5" w:rsidRDefault="00DD5ED8" w:rsidP="003C6FDA">
            <w:pPr>
              <w:spacing w:before="40" w:after="80"/>
              <w:rPr>
                <w:rFonts w:cs="Arial"/>
                <w:sz w:val="16"/>
                <w:szCs w:val="16"/>
              </w:rPr>
            </w:pPr>
            <w:r w:rsidRPr="001D74C5">
              <w:rPr>
                <w:rFonts w:cs="Arial"/>
                <w:sz w:val="16"/>
                <w:szCs w:val="16"/>
              </w:rPr>
              <w:t>M</w:t>
            </w:r>
          </w:p>
        </w:tc>
        <w:tc>
          <w:tcPr>
            <w:tcW w:w="2501" w:type="pct"/>
            <w:tcBorders>
              <w:top w:val="nil"/>
              <w:left w:val="single" w:sz="4" w:space="0" w:color="auto"/>
              <w:bottom w:val="single" w:sz="4" w:space="0" w:color="auto"/>
              <w:right w:val="single" w:sz="4" w:space="0" w:color="auto"/>
            </w:tcBorders>
          </w:tcPr>
          <w:p w14:paraId="3F4BD7BB" w14:textId="1067223C" w:rsidR="00DD5ED8" w:rsidRPr="001D74C5" w:rsidRDefault="00DD5ED8" w:rsidP="003C6FDA">
            <w:pPr>
              <w:spacing w:before="40" w:after="80"/>
              <w:rPr>
                <w:rFonts w:cs="Arial"/>
                <w:sz w:val="16"/>
                <w:szCs w:val="16"/>
              </w:rPr>
            </w:pPr>
            <w:r w:rsidRPr="001D74C5">
              <w:rPr>
                <w:rFonts w:cs="Arial"/>
                <w:sz w:val="16"/>
                <w:szCs w:val="16"/>
              </w:rPr>
              <w:t>Migration</w:t>
            </w:r>
          </w:p>
        </w:tc>
      </w:tr>
      <w:tr w:rsidR="00A36EA8" w:rsidRPr="00544C5F" w14:paraId="6EC4B5CF" w14:textId="77777777" w:rsidTr="006A24B3">
        <w:tc>
          <w:tcPr>
            <w:tcW w:w="2032" w:type="pct"/>
            <w:gridSpan w:val="2"/>
            <w:tcBorders>
              <w:top w:val="single" w:sz="4" w:space="0" w:color="auto"/>
              <w:left w:val="single" w:sz="4" w:space="0" w:color="auto"/>
              <w:bottom w:val="nil"/>
              <w:right w:val="single" w:sz="4" w:space="0" w:color="auto"/>
            </w:tcBorders>
            <w:shd w:val="clear" w:color="auto" w:fill="auto"/>
          </w:tcPr>
          <w:p w14:paraId="6E26AC56" w14:textId="3BDB4CC3" w:rsidR="00DD5ED8" w:rsidRPr="001D74C5" w:rsidRDefault="00A36EA8" w:rsidP="003C6FDA">
            <w:pPr>
              <w:spacing w:before="40" w:after="80"/>
              <w:rPr>
                <w:rFonts w:cs="Arial"/>
                <w:i/>
                <w:sz w:val="16"/>
                <w:szCs w:val="16"/>
              </w:rPr>
            </w:pPr>
            <w:r w:rsidRPr="001D74C5">
              <w:rPr>
                <w:rFonts w:cs="Arial"/>
                <w:i/>
                <w:sz w:val="16"/>
                <w:szCs w:val="16"/>
              </w:rPr>
              <w:t>Recovery plans:</w:t>
            </w:r>
          </w:p>
        </w:tc>
        <w:tc>
          <w:tcPr>
            <w:tcW w:w="468" w:type="pct"/>
            <w:tcBorders>
              <w:top w:val="single" w:sz="4" w:space="0" w:color="auto"/>
              <w:left w:val="single" w:sz="4" w:space="0" w:color="auto"/>
              <w:bottom w:val="nil"/>
              <w:right w:val="single" w:sz="4" w:space="0" w:color="auto"/>
            </w:tcBorders>
            <w:shd w:val="clear" w:color="auto" w:fill="auto"/>
          </w:tcPr>
          <w:p w14:paraId="5CAE5AF3" w14:textId="0B7FC68E" w:rsidR="00DD5ED8" w:rsidRPr="001D74C5" w:rsidRDefault="00DD5ED8" w:rsidP="003C6FDA">
            <w:pPr>
              <w:spacing w:before="40" w:after="80"/>
              <w:rPr>
                <w:rFonts w:cs="Arial"/>
                <w:sz w:val="16"/>
                <w:szCs w:val="16"/>
              </w:rPr>
            </w:pPr>
            <w:r w:rsidRPr="001D74C5">
              <w:rPr>
                <w:rFonts w:cs="Arial"/>
                <w:sz w:val="16"/>
                <w:szCs w:val="16"/>
              </w:rPr>
              <w:t>CA</w:t>
            </w:r>
          </w:p>
        </w:tc>
        <w:tc>
          <w:tcPr>
            <w:tcW w:w="2501" w:type="pct"/>
            <w:tcBorders>
              <w:top w:val="single" w:sz="4" w:space="0" w:color="auto"/>
              <w:left w:val="single" w:sz="4" w:space="0" w:color="auto"/>
              <w:bottom w:val="nil"/>
              <w:right w:val="single" w:sz="4" w:space="0" w:color="auto"/>
            </w:tcBorders>
          </w:tcPr>
          <w:p w14:paraId="27E3F1EC" w14:textId="3FF0EEE8" w:rsidR="00DD5ED8" w:rsidRPr="001D74C5" w:rsidRDefault="00DD5ED8" w:rsidP="003C6FDA">
            <w:pPr>
              <w:spacing w:before="40" w:after="80"/>
              <w:rPr>
                <w:rFonts w:cs="Arial"/>
                <w:sz w:val="16"/>
                <w:szCs w:val="16"/>
              </w:rPr>
            </w:pPr>
            <w:r w:rsidRPr="001D74C5">
              <w:rPr>
                <w:rFonts w:cs="Arial"/>
                <w:sz w:val="16"/>
                <w:szCs w:val="16"/>
              </w:rPr>
              <w:t>Conservation Advice</w:t>
            </w:r>
          </w:p>
        </w:tc>
      </w:tr>
      <w:tr w:rsidR="00A36EA8" w:rsidRPr="00544C5F" w14:paraId="27280ED3" w14:textId="77777777" w:rsidTr="006A24B3">
        <w:tc>
          <w:tcPr>
            <w:tcW w:w="2032" w:type="pct"/>
            <w:gridSpan w:val="2"/>
            <w:tcBorders>
              <w:top w:val="nil"/>
              <w:left w:val="single" w:sz="4" w:space="0" w:color="auto"/>
              <w:bottom w:val="nil"/>
              <w:right w:val="single" w:sz="4" w:space="0" w:color="auto"/>
            </w:tcBorders>
            <w:shd w:val="clear" w:color="auto" w:fill="auto"/>
          </w:tcPr>
          <w:p w14:paraId="0F84FDF6" w14:textId="77777777" w:rsidR="00A36EA8" w:rsidRPr="001D74C5" w:rsidRDefault="00A36EA8" w:rsidP="003C6FDA">
            <w:pPr>
              <w:spacing w:before="40" w:after="80"/>
              <w:rPr>
                <w:rFonts w:cs="Arial"/>
                <w:i/>
                <w:sz w:val="16"/>
                <w:szCs w:val="16"/>
              </w:rPr>
            </w:pPr>
          </w:p>
        </w:tc>
        <w:tc>
          <w:tcPr>
            <w:tcW w:w="468" w:type="pct"/>
            <w:tcBorders>
              <w:top w:val="nil"/>
              <w:left w:val="single" w:sz="4" w:space="0" w:color="auto"/>
              <w:bottom w:val="nil"/>
              <w:right w:val="single" w:sz="4" w:space="0" w:color="auto"/>
            </w:tcBorders>
            <w:shd w:val="clear" w:color="auto" w:fill="auto"/>
          </w:tcPr>
          <w:p w14:paraId="7C0F8D79" w14:textId="46CD7205" w:rsidR="00A36EA8" w:rsidRPr="001D74C5" w:rsidRDefault="00A36EA8" w:rsidP="003C6FDA">
            <w:pPr>
              <w:spacing w:before="40" w:after="80"/>
              <w:rPr>
                <w:rFonts w:cs="Arial"/>
                <w:sz w:val="16"/>
                <w:szCs w:val="16"/>
              </w:rPr>
            </w:pPr>
            <w:r w:rsidRPr="001D74C5">
              <w:rPr>
                <w:rFonts w:cs="Arial"/>
                <w:sz w:val="16"/>
                <w:szCs w:val="16"/>
              </w:rPr>
              <w:t>CMP</w:t>
            </w:r>
          </w:p>
        </w:tc>
        <w:tc>
          <w:tcPr>
            <w:tcW w:w="2501" w:type="pct"/>
            <w:tcBorders>
              <w:top w:val="nil"/>
              <w:left w:val="single" w:sz="4" w:space="0" w:color="auto"/>
              <w:bottom w:val="nil"/>
              <w:right w:val="single" w:sz="4" w:space="0" w:color="auto"/>
            </w:tcBorders>
          </w:tcPr>
          <w:p w14:paraId="7BB34341" w14:textId="529BFA97" w:rsidR="00A36EA8" w:rsidRPr="001D74C5" w:rsidRDefault="00A36EA8" w:rsidP="003C6FDA">
            <w:pPr>
              <w:spacing w:before="40" w:after="80"/>
              <w:rPr>
                <w:rFonts w:cs="Arial"/>
                <w:sz w:val="16"/>
                <w:szCs w:val="16"/>
              </w:rPr>
            </w:pPr>
            <w:r w:rsidRPr="001D74C5">
              <w:rPr>
                <w:rFonts w:cs="Arial"/>
                <w:sz w:val="16"/>
                <w:szCs w:val="16"/>
              </w:rPr>
              <w:t>Conservation Management Plan</w:t>
            </w:r>
          </w:p>
        </w:tc>
      </w:tr>
      <w:tr w:rsidR="00A36EA8" w:rsidRPr="00544C5F" w14:paraId="0774967F" w14:textId="77777777" w:rsidTr="006A24B3">
        <w:tc>
          <w:tcPr>
            <w:tcW w:w="2032" w:type="pct"/>
            <w:gridSpan w:val="2"/>
            <w:tcBorders>
              <w:top w:val="nil"/>
              <w:left w:val="single" w:sz="4" w:space="0" w:color="auto"/>
              <w:bottom w:val="single" w:sz="4" w:space="0" w:color="auto"/>
              <w:right w:val="single" w:sz="4" w:space="0" w:color="auto"/>
            </w:tcBorders>
            <w:shd w:val="clear" w:color="auto" w:fill="auto"/>
          </w:tcPr>
          <w:p w14:paraId="3E261735" w14:textId="77777777" w:rsidR="00A36EA8" w:rsidRPr="001D74C5" w:rsidRDefault="00A36EA8" w:rsidP="003C6FDA">
            <w:pPr>
              <w:spacing w:before="40" w:after="80"/>
              <w:rPr>
                <w:rFonts w:cs="Arial"/>
                <w:i/>
                <w:sz w:val="16"/>
                <w:szCs w:val="16"/>
              </w:rPr>
            </w:pPr>
          </w:p>
        </w:tc>
        <w:tc>
          <w:tcPr>
            <w:tcW w:w="468" w:type="pct"/>
            <w:tcBorders>
              <w:top w:val="nil"/>
              <w:left w:val="single" w:sz="4" w:space="0" w:color="auto"/>
              <w:bottom w:val="single" w:sz="4" w:space="0" w:color="auto"/>
              <w:right w:val="single" w:sz="4" w:space="0" w:color="auto"/>
            </w:tcBorders>
            <w:shd w:val="clear" w:color="auto" w:fill="auto"/>
          </w:tcPr>
          <w:p w14:paraId="565517DB" w14:textId="6A8162BC" w:rsidR="00A36EA8" w:rsidRPr="001D74C5" w:rsidRDefault="00A36EA8" w:rsidP="003C6FDA">
            <w:pPr>
              <w:spacing w:before="40" w:after="80"/>
              <w:rPr>
                <w:rFonts w:cs="Arial"/>
                <w:sz w:val="16"/>
                <w:szCs w:val="16"/>
              </w:rPr>
            </w:pPr>
            <w:r w:rsidRPr="001D74C5">
              <w:rPr>
                <w:rFonts w:cs="Arial"/>
                <w:sz w:val="16"/>
                <w:szCs w:val="16"/>
              </w:rPr>
              <w:t>RP</w:t>
            </w:r>
          </w:p>
        </w:tc>
        <w:tc>
          <w:tcPr>
            <w:tcW w:w="2501" w:type="pct"/>
            <w:tcBorders>
              <w:top w:val="nil"/>
              <w:left w:val="single" w:sz="4" w:space="0" w:color="auto"/>
              <w:bottom w:val="single" w:sz="4" w:space="0" w:color="auto"/>
              <w:right w:val="single" w:sz="4" w:space="0" w:color="auto"/>
            </w:tcBorders>
          </w:tcPr>
          <w:p w14:paraId="198110F7" w14:textId="00B5B0C6" w:rsidR="00A36EA8" w:rsidRPr="001D74C5" w:rsidRDefault="00A36EA8" w:rsidP="003C6FDA">
            <w:pPr>
              <w:spacing w:before="40" w:after="80"/>
              <w:rPr>
                <w:rFonts w:cs="Arial"/>
                <w:sz w:val="16"/>
                <w:szCs w:val="16"/>
              </w:rPr>
            </w:pPr>
            <w:r w:rsidRPr="001D74C5">
              <w:rPr>
                <w:rFonts w:cs="Arial"/>
                <w:sz w:val="16"/>
                <w:szCs w:val="16"/>
              </w:rPr>
              <w:t>Recovery Plan</w:t>
            </w:r>
          </w:p>
        </w:tc>
      </w:tr>
    </w:tbl>
    <w:p w14:paraId="4DD7B15C" w14:textId="7BF8A462" w:rsidR="00AD32EF" w:rsidRDefault="00AD32EF" w:rsidP="00C52844">
      <w:pPr>
        <w:pStyle w:val="Heading3"/>
      </w:pPr>
      <w:bookmarkStart w:id="84" w:name="_Toc346898895"/>
      <w:bookmarkStart w:id="85" w:name="_Ref473518540"/>
      <w:bookmarkStart w:id="86" w:name="_Ref473518779"/>
      <w:r>
        <w:t>Cetaceans</w:t>
      </w:r>
      <w:bookmarkEnd w:id="84"/>
      <w:bookmarkEnd w:id="85"/>
      <w:bookmarkEnd w:id="86"/>
    </w:p>
    <w:p w14:paraId="558F4E65" w14:textId="113B64A0" w:rsidR="007A17DF" w:rsidRDefault="0087283D" w:rsidP="00E439A6">
      <w:pPr>
        <w:pStyle w:val="BodyText"/>
        <w:rPr>
          <w:szCs w:val="20"/>
        </w:rPr>
      </w:pPr>
      <w:r w:rsidRPr="001D74C5">
        <w:rPr>
          <w:szCs w:val="20"/>
        </w:rPr>
        <w:t xml:space="preserve">Thirty-one cetacean species </w:t>
      </w:r>
      <w:r w:rsidR="00895324" w:rsidRPr="001D74C5">
        <w:rPr>
          <w:szCs w:val="20"/>
        </w:rPr>
        <w:t xml:space="preserve">(24 whales, 7 dolphins) </w:t>
      </w:r>
      <w:r w:rsidRPr="001D74C5">
        <w:rPr>
          <w:szCs w:val="20"/>
        </w:rPr>
        <w:t xml:space="preserve">are listed under the EPBC Act PMST as </w:t>
      </w:r>
      <w:r w:rsidR="00895324" w:rsidRPr="001D74C5">
        <w:rPr>
          <w:szCs w:val="20"/>
        </w:rPr>
        <w:t>possibly occurring within the EMBA, of which five whales are threatened</w:t>
      </w:r>
      <w:r w:rsidR="00787F3E" w:rsidRPr="001D74C5">
        <w:rPr>
          <w:szCs w:val="20"/>
        </w:rPr>
        <w:t xml:space="preserve"> (</w:t>
      </w:r>
      <w:r w:rsidR="001D74C5">
        <w:rPr>
          <w:color w:val="FF0000"/>
          <w:szCs w:val="20"/>
        </w:rPr>
        <w:fldChar w:fldCharType="begin"/>
      </w:r>
      <w:r w:rsidR="001D74C5">
        <w:rPr>
          <w:szCs w:val="20"/>
        </w:rPr>
        <w:instrText xml:space="preserve"> REF _Ref473347349 \h </w:instrText>
      </w:r>
      <w:r w:rsidR="001D74C5">
        <w:rPr>
          <w:color w:val="FF0000"/>
          <w:szCs w:val="20"/>
        </w:rPr>
      </w:r>
      <w:r w:rsidR="001D74C5">
        <w:rPr>
          <w:color w:val="FF0000"/>
          <w:szCs w:val="20"/>
        </w:rPr>
        <w:fldChar w:fldCharType="separate"/>
      </w:r>
      <w:r w:rsidR="00CC4C35" w:rsidRPr="001D74C5">
        <w:rPr>
          <w:szCs w:val="20"/>
        </w:rPr>
        <w:t xml:space="preserve">Table </w:t>
      </w:r>
      <w:r w:rsidR="00CC4C35">
        <w:rPr>
          <w:noProof/>
          <w:szCs w:val="20"/>
        </w:rPr>
        <w:t>3</w:t>
      </w:r>
      <w:r w:rsidR="00CC4C35">
        <w:rPr>
          <w:szCs w:val="20"/>
        </w:rPr>
        <w:noBreakHyphen/>
      </w:r>
      <w:r w:rsidR="00CC4C35">
        <w:rPr>
          <w:noProof/>
          <w:szCs w:val="20"/>
        </w:rPr>
        <w:t>2</w:t>
      </w:r>
      <w:r w:rsidR="001D74C5">
        <w:rPr>
          <w:color w:val="FF0000"/>
          <w:szCs w:val="20"/>
        </w:rPr>
        <w:fldChar w:fldCharType="end"/>
      </w:r>
      <w:r w:rsidR="00787F3E" w:rsidRPr="001D74C5">
        <w:rPr>
          <w:szCs w:val="20"/>
        </w:rPr>
        <w:t>)</w:t>
      </w:r>
      <w:r w:rsidR="00895324" w:rsidRPr="001D74C5">
        <w:rPr>
          <w:szCs w:val="20"/>
        </w:rPr>
        <w:t xml:space="preserve">. Three of these species are also listed as threatened under the FFG Act. </w:t>
      </w:r>
      <w:r w:rsidR="003F632C">
        <w:rPr>
          <w:szCs w:val="20"/>
        </w:rPr>
        <w:t xml:space="preserve"> The</w:t>
      </w:r>
      <w:r w:rsidR="003F632C" w:rsidRPr="003F632C">
        <w:rPr>
          <w:szCs w:val="20"/>
        </w:rPr>
        <w:t xml:space="preserve"> Victorian State waters section of the CHN pipeline (VIC/PL37(v)) alignment is a BIA for migrating and resting southern right whales</w:t>
      </w:r>
      <w:r w:rsidR="003F632C">
        <w:rPr>
          <w:szCs w:val="20"/>
        </w:rPr>
        <w:t>.  No other BIA are overlapped by the VIC/PL37(v) pipeline.</w:t>
      </w:r>
    </w:p>
    <w:p w14:paraId="61BE89ED" w14:textId="77777777" w:rsidR="0094303F" w:rsidRDefault="0094303F" w:rsidP="00E439A6">
      <w:pPr>
        <w:pStyle w:val="BodyText"/>
        <w:rPr>
          <w:szCs w:val="20"/>
        </w:rPr>
      </w:pPr>
    </w:p>
    <w:p w14:paraId="65BE3704" w14:textId="77777777" w:rsidR="0094303F" w:rsidRDefault="0094303F" w:rsidP="00E439A6">
      <w:pPr>
        <w:pStyle w:val="BodyText"/>
        <w:rPr>
          <w:szCs w:val="20"/>
        </w:rPr>
      </w:pPr>
    </w:p>
    <w:p w14:paraId="4D518033" w14:textId="77777777" w:rsidR="0094303F" w:rsidRDefault="0094303F" w:rsidP="00E439A6">
      <w:pPr>
        <w:pStyle w:val="BodyText"/>
        <w:rPr>
          <w:szCs w:val="20"/>
        </w:rPr>
      </w:pPr>
    </w:p>
    <w:p w14:paraId="4AB00602" w14:textId="77777777" w:rsidR="0094303F" w:rsidRDefault="0094303F" w:rsidP="00E439A6">
      <w:pPr>
        <w:pStyle w:val="BodyText"/>
        <w:rPr>
          <w:szCs w:val="20"/>
        </w:rPr>
      </w:pPr>
    </w:p>
    <w:p w14:paraId="5DE360A1" w14:textId="77777777" w:rsidR="0094303F" w:rsidRDefault="0094303F" w:rsidP="00E439A6">
      <w:pPr>
        <w:pStyle w:val="BodyText"/>
        <w:rPr>
          <w:szCs w:val="20"/>
        </w:rPr>
      </w:pPr>
    </w:p>
    <w:p w14:paraId="76FEDB86" w14:textId="77777777" w:rsidR="0094303F" w:rsidRPr="001D74C5" w:rsidRDefault="0094303F" w:rsidP="00E439A6">
      <w:pPr>
        <w:pStyle w:val="BodyText"/>
        <w:rPr>
          <w:szCs w:val="20"/>
        </w:rPr>
      </w:pPr>
    </w:p>
    <w:p w14:paraId="08BBFA35" w14:textId="78A51FF0" w:rsidR="00A52CA9" w:rsidRPr="00A52CA9" w:rsidRDefault="001D74C5" w:rsidP="00E439A6">
      <w:pPr>
        <w:pStyle w:val="Caption"/>
        <w:keepNext w:val="0"/>
        <w:outlineLvl w:val="9"/>
      </w:pPr>
      <w:bookmarkStart w:id="87" w:name="_Ref473347349"/>
      <w:bookmarkStart w:id="88" w:name="_Toc511032581"/>
      <w:r w:rsidRPr="001D74C5">
        <w:rPr>
          <w:sz w:val="20"/>
          <w:szCs w:val="20"/>
        </w:rPr>
        <w:lastRenderedPageBreak/>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3</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2</w:t>
      </w:r>
      <w:r w:rsidR="00103328">
        <w:rPr>
          <w:sz w:val="20"/>
          <w:szCs w:val="20"/>
        </w:rPr>
        <w:fldChar w:fldCharType="end"/>
      </w:r>
      <w:bookmarkEnd w:id="87"/>
      <w:r w:rsidR="00F3228E">
        <w:rPr>
          <w:rFonts w:cs="Arial"/>
          <w:sz w:val="20"/>
          <w:szCs w:val="20"/>
        </w:rPr>
        <w:t xml:space="preserve">: </w:t>
      </w:r>
      <w:r w:rsidR="00787F3E" w:rsidRPr="001D74C5">
        <w:rPr>
          <w:rFonts w:cs="Arial"/>
          <w:sz w:val="20"/>
          <w:szCs w:val="20"/>
        </w:rPr>
        <w:t>EPBC Act-listed cetacean species that may occur in the EMBA</w:t>
      </w:r>
      <w:bookmarkEnd w:id="88"/>
    </w:p>
    <w:tbl>
      <w:tblPr>
        <w:tblW w:w="0" w:type="auto"/>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1622"/>
        <w:gridCol w:w="1161"/>
        <w:gridCol w:w="1167"/>
        <w:gridCol w:w="989"/>
        <w:gridCol w:w="836"/>
        <w:gridCol w:w="1011"/>
        <w:gridCol w:w="1085"/>
        <w:gridCol w:w="1054"/>
      </w:tblGrid>
      <w:tr w:rsidR="00FD5486" w:rsidRPr="001D74C5" w14:paraId="3AAF992B" w14:textId="77777777" w:rsidTr="006B0B83">
        <w:trPr>
          <w:trHeight w:val="166"/>
          <w:tblHeader/>
        </w:trPr>
        <w:tc>
          <w:tcPr>
            <w:tcW w:w="1649" w:type="dxa"/>
            <w:vMerge w:val="restart"/>
            <w:tcBorders>
              <w:right w:val="single" w:sz="6" w:space="0" w:color="F2F2F2"/>
            </w:tcBorders>
            <w:shd w:val="clear" w:color="auto" w:fill="A6A6A6"/>
            <w:tcMar>
              <w:top w:w="142" w:type="dxa"/>
            </w:tcMar>
          </w:tcPr>
          <w:p w14:paraId="4A0A0358" w14:textId="77777777" w:rsidR="007A17DF" w:rsidRPr="001D74C5" w:rsidRDefault="007A17DF" w:rsidP="001D74C5">
            <w:pPr>
              <w:spacing w:before="40" w:after="40"/>
              <w:jc w:val="center"/>
              <w:rPr>
                <w:rFonts w:cs="Arial"/>
                <w:b/>
                <w:sz w:val="16"/>
                <w:szCs w:val="16"/>
              </w:rPr>
            </w:pPr>
            <w:r w:rsidRPr="001D74C5">
              <w:rPr>
                <w:rFonts w:cs="Arial"/>
                <w:b/>
                <w:sz w:val="16"/>
                <w:szCs w:val="16"/>
              </w:rPr>
              <w:t>Scientific name</w:t>
            </w:r>
          </w:p>
        </w:tc>
        <w:tc>
          <w:tcPr>
            <w:tcW w:w="1179" w:type="dxa"/>
            <w:vMerge w:val="restart"/>
            <w:tcBorders>
              <w:left w:val="single" w:sz="6" w:space="0" w:color="F2F2F2"/>
              <w:right w:val="single" w:sz="6" w:space="0" w:color="F2F2F2"/>
            </w:tcBorders>
            <w:shd w:val="clear" w:color="auto" w:fill="A6A6A6"/>
            <w:tcMar>
              <w:top w:w="142" w:type="dxa"/>
            </w:tcMar>
          </w:tcPr>
          <w:p w14:paraId="7D2F11F8" w14:textId="77777777" w:rsidR="007A17DF" w:rsidRPr="001D74C5" w:rsidRDefault="007A17DF" w:rsidP="001D74C5">
            <w:pPr>
              <w:spacing w:before="40" w:after="40"/>
              <w:jc w:val="center"/>
              <w:rPr>
                <w:rFonts w:cs="Arial"/>
                <w:b/>
                <w:sz w:val="16"/>
                <w:szCs w:val="16"/>
              </w:rPr>
            </w:pPr>
            <w:r w:rsidRPr="001D74C5">
              <w:rPr>
                <w:rFonts w:cs="Arial"/>
                <w:b/>
                <w:sz w:val="16"/>
                <w:szCs w:val="16"/>
              </w:rPr>
              <w:t>Common name</w:t>
            </w:r>
          </w:p>
        </w:tc>
        <w:tc>
          <w:tcPr>
            <w:tcW w:w="3044" w:type="dxa"/>
            <w:gridSpan w:val="3"/>
            <w:tcBorders>
              <w:left w:val="single" w:sz="6" w:space="0" w:color="F2F2F2"/>
              <w:right w:val="single" w:sz="6" w:space="0" w:color="F2F2F2"/>
            </w:tcBorders>
            <w:shd w:val="clear" w:color="auto" w:fill="A6A6A6"/>
            <w:tcMar>
              <w:top w:w="142" w:type="dxa"/>
            </w:tcMar>
          </w:tcPr>
          <w:p w14:paraId="11D1507B" w14:textId="77777777" w:rsidR="007A17DF" w:rsidRPr="001D74C5" w:rsidRDefault="007A17DF" w:rsidP="001D74C5">
            <w:pPr>
              <w:spacing w:before="40" w:after="40"/>
              <w:jc w:val="center"/>
              <w:rPr>
                <w:rFonts w:cs="Arial"/>
                <w:b/>
                <w:sz w:val="16"/>
                <w:szCs w:val="16"/>
              </w:rPr>
            </w:pPr>
            <w:r w:rsidRPr="001D74C5">
              <w:rPr>
                <w:rFonts w:cs="Arial"/>
                <w:b/>
                <w:sz w:val="16"/>
                <w:szCs w:val="16"/>
              </w:rPr>
              <w:t>EPBC Act status</w:t>
            </w:r>
          </w:p>
        </w:tc>
        <w:tc>
          <w:tcPr>
            <w:tcW w:w="1049" w:type="dxa"/>
            <w:vMerge w:val="restart"/>
            <w:tcBorders>
              <w:left w:val="single" w:sz="6" w:space="0" w:color="F2F2F2"/>
              <w:right w:val="single" w:sz="6" w:space="0" w:color="F2F2F2"/>
            </w:tcBorders>
            <w:shd w:val="clear" w:color="auto" w:fill="A6A6A6"/>
            <w:tcMar>
              <w:top w:w="142" w:type="dxa"/>
            </w:tcMar>
          </w:tcPr>
          <w:p w14:paraId="26093C0D" w14:textId="77777777" w:rsidR="007A17DF" w:rsidRPr="001D74C5" w:rsidRDefault="007A17DF" w:rsidP="001D74C5">
            <w:pPr>
              <w:spacing w:before="40" w:after="40"/>
              <w:jc w:val="center"/>
              <w:rPr>
                <w:rFonts w:cs="Arial"/>
                <w:b/>
                <w:sz w:val="16"/>
                <w:szCs w:val="16"/>
              </w:rPr>
            </w:pPr>
            <w:r w:rsidRPr="001D74C5">
              <w:rPr>
                <w:rFonts w:cs="Arial"/>
                <w:b/>
                <w:sz w:val="16"/>
                <w:szCs w:val="16"/>
              </w:rPr>
              <w:t>FFG Act status</w:t>
            </w:r>
          </w:p>
        </w:tc>
        <w:tc>
          <w:tcPr>
            <w:tcW w:w="1120" w:type="dxa"/>
            <w:vMerge w:val="restart"/>
            <w:tcBorders>
              <w:left w:val="single" w:sz="6" w:space="0" w:color="F2F2F2"/>
              <w:right w:val="single" w:sz="6" w:space="0" w:color="F2F2F2"/>
            </w:tcBorders>
            <w:shd w:val="clear" w:color="auto" w:fill="A6A6A6"/>
            <w:tcMar>
              <w:top w:w="142" w:type="dxa"/>
            </w:tcMar>
          </w:tcPr>
          <w:p w14:paraId="4B518F7F" w14:textId="77777777" w:rsidR="007A17DF" w:rsidRPr="001D74C5" w:rsidRDefault="007A17DF" w:rsidP="001D74C5">
            <w:pPr>
              <w:spacing w:before="40" w:after="40"/>
              <w:jc w:val="center"/>
              <w:rPr>
                <w:rFonts w:cs="Arial"/>
                <w:b/>
                <w:sz w:val="16"/>
                <w:szCs w:val="16"/>
              </w:rPr>
            </w:pPr>
            <w:r w:rsidRPr="001D74C5">
              <w:rPr>
                <w:rFonts w:cs="Arial"/>
                <w:b/>
                <w:sz w:val="16"/>
                <w:szCs w:val="16"/>
              </w:rPr>
              <w:t>BIA within the EMBA?</w:t>
            </w:r>
          </w:p>
        </w:tc>
        <w:tc>
          <w:tcPr>
            <w:tcW w:w="1071" w:type="dxa"/>
            <w:vMerge w:val="restart"/>
            <w:tcBorders>
              <w:left w:val="single" w:sz="6" w:space="0" w:color="F2F2F2"/>
            </w:tcBorders>
            <w:shd w:val="clear" w:color="auto" w:fill="A6A6A6"/>
            <w:tcMar>
              <w:top w:w="142" w:type="dxa"/>
            </w:tcMar>
          </w:tcPr>
          <w:p w14:paraId="12FACDA3" w14:textId="75E5E07D" w:rsidR="007A17DF" w:rsidRPr="001D74C5" w:rsidRDefault="007A17DF" w:rsidP="001D74C5">
            <w:pPr>
              <w:spacing w:before="40" w:after="40"/>
              <w:jc w:val="center"/>
              <w:rPr>
                <w:rFonts w:cs="Arial"/>
                <w:b/>
                <w:sz w:val="16"/>
                <w:szCs w:val="16"/>
              </w:rPr>
            </w:pPr>
            <w:r w:rsidRPr="001D74C5">
              <w:rPr>
                <w:rFonts w:cs="Arial"/>
                <w:b/>
                <w:sz w:val="16"/>
                <w:szCs w:val="16"/>
              </w:rPr>
              <w:t>Recovery plan etc</w:t>
            </w:r>
            <w:r w:rsidR="001D74C5">
              <w:rPr>
                <w:rFonts w:cs="Arial"/>
                <w:b/>
                <w:sz w:val="16"/>
                <w:szCs w:val="16"/>
              </w:rPr>
              <w:t>.</w:t>
            </w:r>
            <w:r w:rsidRPr="001D74C5">
              <w:rPr>
                <w:rFonts w:cs="Arial"/>
                <w:b/>
                <w:sz w:val="16"/>
                <w:szCs w:val="16"/>
              </w:rPr>
              <w:t xml:space="preserve"> in place?</w:t>
            </w:r>
          </w:p>
        </w:tc>
      </w:tr>
      <w:tr w:rsidR="00FD5486" w:rsidRPr="001D74C5" w14:paraId="5C9F6115" w14:textId="77777777" w:rsidTr="006B0B83">
        <w:trPr>
          <w:trHeight w:val="165"/>
          <w:tblHeader/>
        </w:trPr>
        <w:tc>
          <w:tcPr>
            <w:tcW w:w="1649" w:type="dxa"/>
            <w:vMerge/>
            <w:shd w:val="clear" w:color="auto" w:fill="auto"/>
          </w:tcPr>
          <w:p w14:paraId="7D93CDE0" w14:textId="77777777" w:rsidR="007A17DF" w:rsidRPr="001D74C5" w:rsidRDefault="007A17DF" w:rsidP="001D74C5">
            <w:pPr>
              <w:spacing w:before="40" w:after="40"/>
              <w:jc w:val="center"/>
              <w:rPr>
                <w:rFonts w:cs="Arial"/>
                <w:b/>
                <w:sz w:val="16"/>
                <w:szCs w:val="16"/>
              </w:rPr>
            </w:pPr>
          </w:p>
        </w:tc>
        <w:tc>
          <w:tcPr>
            <w:tcW w:w="1179" w:type="dxa"/>
            <w:vMerge/>
            <w:shd w:val="clear" w:color="auto" w:fill="auto"/>
          </w:tcPr>
          <w:p w14:paraId="2A4E009D" w14:textId="77777777" w:rsidR="007A17DF" w:rsidRPr="001D74C5" w:rsidRDefault="007A17DF" w:rsidP="001D74C5">
            <w:pPr>
              <w:spacing w:before="40" w:after="40"/>
              <w:jc w:val="center"/>
              <w:rPr>
                <w:rFonts w:cs="Arial"/>
                <w:b/>
                <w:sz w:val="16"/>
                <w:szCs w:val="16"/>
              </w:rPr>
            </w:pPr>
          </w:p>
        </w:tc>
        <w:tc>
          <w:tcPr>
            <w:tcW w:w="1191" w:type="dxa"/>
            <w:shd w:val="clear" w:color="auto" w:fill="A6A6A6"/>
          </w:tcPr>
          <w:p w14:paraId="0D7A52CB" w14:textId="77777777" w:rsidR="007A17DF" w:rsidRPr="001D74C5" w:rsidRDefault="007A17DF" w:rsidP="001D74C5">
            <w:pPr>
              <w:spacing w:before="40" w:after="40"/>
              <w:jc w:val="center"/>
              <w:rPr>
                <w:rFonts w:cs="Arial"/>
                <w:sz w:val="16"/>
                <w:szCs w:val="16"/>
              </w:rPr>
            </w:pPr>
            <w:r w:rsidRPr="001D74C5">
              <w:rPr>
                <w:rFonts w:cs="Arial"/>
                <w:sz w:val="16"/>
                <w:szCs w:val="16"/>
              </w:rPr>
              <w:t>Listed threatened species</w:t>
            </w:r>
          </w:p>
        </w:tc>
        <w:tc>
          <w:tcPr>
            <w:tcW w:w="1004" w:type="dxa"/>
            <w:shd w:val="clear" w:color="auto" w:fill="A6A6A6"/>
          </w:tcPr>
          <w:p w14:paraId="28C6DB5D" w14:textId="77777777" w:rsidR="007A17DF" w:rsidRPr="001D74C5" w:rsidRDefault="007A17DF" w:rsidP="001D74C5">
            <w:pPr>
              <w:spacing w:before="40" w:after="40"/>
              <w:jc w:val="center"/>
              <w:rPr>
                <w:rFonts w:cs="Arial"/>
                <w:sz w:val="16"/>
                <w:szCs w:val="16"/>
              </w:rPr>
            </w:pPr>
            <w:r w:rsidRPr="001D74C5">
              <w:rPr>
                <w:rFonts w:cs="Arial"/>
                <w:sz w:val="16"/>
                <w:szCs w:val="16"/>
              </w:rPr>
              <w:t>Listed migratory species</w:t>
            </w:r>
          </w:p>
        </w:tc>
        <w:tc>
          <w:tcPr>
            <w:tcW w:w="849" w:type="dxa"/>
            <w:shd w:val="clear" w:color="auto" w:fill="A6A6A6"/>
          </w:tcPr>
          <w:p w14:paraId="6FDA394D" w14:textId="77777777" w:rsidR="007A17DF" w:rsidRPr="001D74C5" w:rsidRDefault="007A17DF" w:rsidP="001D74C5">
            <w:pPr>
              <w:spacing w:before="40" w:after="40"/>
              <w:jc w:val="center"/>
              <w:rPr>
                <w:rFonts w:cs="Arial"/>
                <w:sz w:val="16"/>
                <w:szCs w:val="16"/>
              </w:rPr>
            </w:pPr>
            <w:r w:rsidRPr="001D74C5">
              <w:rPr>
                <w:rFonts w:cs="Arial"/>
                <w:sz w:val="16"/>
                <w:szCs w:val="16"/>
              </w:rPr>
              <w:t>Listed marine species</w:t>
            </w:r>
          </w:p>
        </w:tc>
        <w:tc>
          <w:tcPr>
            <w:tcW w:w="1049" w:type="dxa"/>
            <w:vMerge/>
            <w:shd w:val="clear" w:color="auto" w:fill="auto"/>
          </w:tcPr>
          <w:p w14:paraId="21D539DB" w14:textId="77777777" w:rsidR="007A17DF" w:rsidRPr="001D74C5" w:rsidRDefault="007A17DF" w:rsidP="001D74C5">
            <w:pPr>
              <w:spacing w:before="40" w:after="40"/>
              <w:jc w:val="center"/>
              <w:rPr>
                <w:rFonts w:cs="Arial"/>
                <w:b/>
                <w:sz w:val="16"/>
                <w:szCs w:val="16"/>
              </w:rPr>
            </w:pPr>
          </w:p>
        </w:tc>
        <w:tc>
          <w:tcPr>
            <w:tcW w:w="1120" w:type="dxa"/>
            <w:vMerge/>
            <w:shd w:val="clear" w:color="auto" w:fill="auto"/>
          </w:tcPr>
          <w:p w14:paraId="0C195C35" w14:textId="77777777" w:rsidR="007A17DF" w:rsidRPr="001D74C5" w:rsidRDefault="007A17DF" w:rsidP="001D74C5">
            <w:pPr>
              <w:spacing w:before="40" w:after="40"/>
              <w:jc w:val="center"/>
              <w:rPr>
                <w:rFonts w:cs="Arial"/>
                <w:b/>
                <w:sz w:val="16"/>
                <w:szCs w:val="16"/>
              </w:rPr>
            </w:pPr>
          </w:p>
        </w:tc>
        <w:tc>
          <w:tcPr>
            <w:tcW w:w="1071" w:type="dxa"/>
            <w:vMerge/>
            <w:shd w:val="clear" w:color="auto" w:fill="auto"/>
          </w:tcPr>
          <w:p w14:paraId="43F301F8" w14:textId="77777777" w:rsidR="007A17DF" w:rsidRPr="001D74C5" w:rsidRDefault="007A17DF" w:rsidP="001D74C5">
            <w:pPr>
              <w:spacing w:before="40" w:after="40"/>
              <w:jc w:val="center"/>
              <w:rPr>
                <w:rFonts w:cs="Arial"/>
                <w:b/>
                <w:sz w:val="16"/>
                <w:szCs w:val="16"/>
              </w:rPr>
            </w:pPr>
          </w:p>
        </w:tc>
      </w:tr>
      <w:tr w:rsidR="00A74208" w:rsidRPr="001D74C5" w14:paraId="65C0EA24" w14:textId="77777777" w:rsidTr="00A74208">
        <w:tc>
          <w:tcPr>
            <w:tcW w:w="9112" w:type="dxa"/>
            <w:gridSpan w:val="8"/>
            <w:shd w:val="clear" w:color="auto" w:fill="F2F2F2"/>
            <w:vAlign w:val="center"/>
          </w:tcPr>
          <w:p w14:paraId="7CE12E7A" w14:textId="2B35C36A" w:rsidR="00A74208" w:rsidRPr="001D74C5" w:rsidRDefault="00A74208" w:rsidP="001D74C5">
            <w:pPr>
              <w:spacing w:before="40" w:after="40"/>
              <w:rPr>
                <w:rFonts w:cs="Arial"/>
                <w:b/>
                <w:sz w:val="16"/>
                <w:szCs w:val="16"/>
              </w:rPr>
            </w:pPr>
            <w:r w:rsidRPr="001D74C5">
              <w:rPr>
                <w:rFonts w:cs="Arial"/>
                <w:b/>
                <w:sz w:val="16"/>
                <w:szCs w:val="16"/>
              </w:rPr>
              <w:t>Whales</w:t>
            </w:r>
          </w:p>
        </w:tc>
      </w:tr>
      <w:tr w:rsidR="001A582E" w:rsidRPr="001D74C5" w14:paraId="0F256A8F" w14:textId="77777777" w:rsidTr="00BB47F6">
        <w:tc>
          <w:tcPr>
            <w:tcW w:w="1649" w:type="dxa"/>
            <w:shd w:val="clear" w:color="auto" w:fill="auto"/>
            <w:vAlign w:val="center"/>
          </w:tcPr>
          <w:p w14:paraId="34E34F9B" w14:textId="77777777" w:rsidR="001A582E" w:rsidRPr="001D74C5" w:rsidRDefault="001A582E" w:rsidP="001D74C5">
            <w:pPr>
              <w:spacing w:before="40" w:after="40"/>
              <w:rPr>
                <w:rFonts w:cs="Arial"/>
                <w:b/>
                <w:sz w:val="16"/>
                <w:szCs w:val="16"/>
              </w:rPr>
            </w:pPr>
            <w:r w:rsidRPr="001D74C5">
              <w:rPr>
                <w:rFonts w:cs="Arial"/>
                <w:i/>
                <w:sz w:val="16"/>
                <w:szCs w:val="16"/>
              </w:rPr>
              <w:t>Balaenoptera acutorostrata</w:t>
            </w:r>
          </w:p>
        </w:tc>
        <w:tc>
          <w:tcPr>
            <w:tcW w:w="1179" w:type="dxa"/>
            <w:shd w:val="clear" w:color="auto" w:fill="auto"/>
            <w:vAlign w:val="center"/>
          </w:tcPr>
          <w:p w14:paraId="0F71AFB3" w14:textId="77777777" w:rsidR="001A582E" w:rsidRPr="001D74C5" w:rsidRDefault="001A582E" w:rsidP="001D74C5">
            <w:pPr>
              <w:spacing w:before="40" w:after="40"/>
              <w:rPr>
                <w:rFonts w:cs="Arial"/>
                <w:b/>
                <w:sz w:val="16"/>
                <w:szCs w:val="16"/>
              </w:rPr>
            </w:pPr>
            <w:r w:rsidRPr="001D74C5">
              <w:rPr>
                <w:rFonts w:cs="Arial"/>
                <w:sz w:val="16"/>
                <w:szCs w:val="16"/>
              </w:rPr>
              <w:t>Minke whale</w:t>
            </w:r>
          </w:p>
        </w:tc>
        <w:tc>
          <w:tcPr>
            <w:tcW w:w="1191" w:type="dxa"/>
            <w:shd w:val="clear" w:color="auto" w:fill="auto"/>
            <w:vAlign w:val="center"/>
          </w:tcPr>
          <w:p w14:paraId="176E16F5" w14:textId="77777777" w:rsidR="001A582E" w:rsidRPr="001D74C5" w:rsidRDefault="001A582E" w:rsidP="001D74C5">
            <w:pPr>
              <w:spacing w:before="40" w:after="40"/>
              <w:jc w:val="center"/>
              <w:rPr>
                <w:rFonts w:cs="Arial"/>
                <w:b/>
                <w:sz w:val="16"/>
                <w:szCs w:val="16"/>
              </w:rPr>
            </w:pPr>
            <w:r w:rsidRPr="001D74C5">
              <w:rPr>
                <w:rFonts w:cs="Arial"/>
                <w:sz w:val="16"/>
                <w:szCs w:val="16"/>
              </w:rPr>
              <w:t>-</w:t>
            </w:r>
          </w:p>
        </w:tc>
        <w:tc>
          <w:tcPr>
            <w:tcW w:w="1004" w:type="dxa"/>
            <w:shd w:val="clear" w:color="auto" w:fill="auto"/>
            <w:vAlign w:val="center"/>
          </w:tcPr>
          <w:p w14:paraId="75737FEE" w14:textId="5F59D053"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849" w:type="dxa"/>
            <w:shd w:val="clear" w:color="auto" w:fill="auto"/>
            <w:vAlign w:val="center"/>
          </w:tcPr>
          <w:p w14:paraId="6AFFBFE0" w14:textId="41CA8C6A"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auto"/>
            <w:vAlign w:val="center"/>
          </w:tcPr>
          <w:p w14:paraId="7070DC4C" w14:textId="5994AE07" w:rsidR="001A582E" w:rsidRPr="001D74C5" w:rsidRDefault="00DD5ED8" w:rsidP="001D74C5">
            <w:pPr>
              <w:spacing w:before="40" w:after="40"/>
              <w:jc w:val="center"/>
              <w:rPr>
                <w:rFonts w:cs="Arial"/>
                <w:b/>
                <w:sz w:val="16"/>
                <w:szCs w:val="16"/>
              </w:rPr>
            </w:pPr>
            <w:r w:rsidRPr="001D74C5">
              <w:rPr>
                <w:rFonts w:cs="Arial"/>
                <w:sz w:val="16"/>
                <w:szCs w:val="16"/>
              </w:rPr>
              <w:t>T</w:t>
            </w:r>
          </w:p>
        </w:tc>
        <w:tc>
          <w:tcPr>
            <w:tcW w:w="1120" w:type="dxa"/>
            <w:shd w:val="clear" w:color="auto" w:fill="auto"/>
            <w:vAlign w:val="center"/>
          </w:tcPr>
          <w:p w14:paraId="34C04D6A" w14:textId="1E91F1AF" w:rsidR="001A582E" w:rsidRPr="001D74C5" w:rsidRDefault="001A582E" w:rsidP="001D74C5">
            <w:pPr>
              <w:spacing w:before="40" w:after="40"/>
              <w:jc w:val="center"/>
              <w:rPr>
                <w:rFonts w:cs="Arial"/>
                <w:b/>
                <w:sz w:val="16"/>
                <w:szCs w:val="16"/>
              </w:rPr>
            </w:pPr>
            <w:r w:rsidRPr="001D74C5">
              <w:rPr>
                <w:rFonts w:cs="Arial"/>
                <w:b/>
                <w:sz w:val="16"/>
                <w:szCs w:val="16"/>
              </w:rPr>
              <w:t>-</w:t>
            </w:r>
          </w:p>
        </w:tc>
        <w:tc>
          <w:tcPr>
            <w:tcW w:w="1071" w:type="dxa"/>
            <w:shd w:val="clear" w:color="auto" w:fill="auto"/>
            <w:vAlign w:val="center"/>
          </w:tcPr>
          <w:p w14:paraId="5066B472" w14:textId="09602182" w:rsidR="001A582E" w:rsidRPr="001D74C5" w:rsidRDefault="001A582E" w:rsidP="001D74C5">
            <w:pPr>
              <w:spacing w:before="40" w:after="40"/>
              <w:jc w:val="center"/>
              <w:rPr>
                <w:rFonts w:cs="Arial"/>
                <w:b/>
                <w:sz w:val="16"/>
                <w:szCs w:val="16"/>
              </w:rPr>
            </w:pPr>
            <w:r w:rsidRPr="001D74C5">
              <w:rPr>
                <w:rFonts w:cs="Arial"/>
                <w:b/>
                <w:sz w:val="16"/>
                <w:szCs w:val="16"/>
              </w:rPr>
              <w:t>-</w:t>
            </w:r>
          </w:p>
        </w:tc>
      </w:tr>
      <w:tr w:rsidR="001A582E" w:rsidRPr="001D74C5" w14:paraId="5798AA01" w14:textId="77777777" w:rsidTr="00BB47F6">
        <w:tc>
          <w:tcPr>
            <w:tcW w:w="1649" w:type="dxa"/>
            <w:shd w:val="clear" w:color="auto" w:fill="F2F2F2"/>
            <w:vAlign w:val="center"/>
          </w:tcPr>
          <w:p w14:paraId="2975AE11" w14:textId="02F9A1D7" w:rsidR="001A582E" w:rsidRPr="001D74C5" w:rsidRDefault="001A582E" w:rsidP="001D74C5">
            <w:pPr>
              <w:spacing w:before="40" w:after="40"/>
              <w:rPr>
                <w:rFonts w:cs="Arial"/>
                <w:i/>
                <w:sz w:val="16"/>
                <w:szCs w:val="16"/>
              </w:rPr>
            </w:pPr>
            <w:r w:rsidRPr="001D74C5">
              <w:rPr>
                <w:rFonts w:cs="Arial"/>
                <w:i/>
                <w:sz w:val="16"/>
                <w:szCs w:val="16"/>
              </w:rPr>
              <w:t>Balaenoptera bonaerensis</w:t>
            </w:r>
          </w:p>
        </w:tc>
        <w:tc>
          <w:tcPr>
            <w:tcW w:w="1179" w:type="dxa"/>
            <w:shd w:val="clear" w:color="auto" w:fill="F2F2F2"/>
            <w:vAlign w:val="center"/>
          </w:tcPr>
          <w:p w14:paraId="22A38BE8" w14:textId="77777777" w:rsidR="001A582E" w:rsidRPr="001D74C5" w:rsidRDefault="001A582E" w:rsidP="001D74C5">
            <w:pPr>
              <w:spacing w:before="40" w:after="40"/>
              <w:rPr>
                <w:rFonts w:cs="Arial"/>
                <w:sz w:val="16"/>
                <w:szCs w:val="16"/>
              </w:rPr>
            </w:pPr>
            <w:r w:rsidRPr="001D74C5">
              <w:rPr>
                <w:rFonts w:cs="Arial"/>
                <w:sz w:val="16"/>
                <w:szCs w:val="16"/>
              </w:rPr>
              <w:t>Antarctic minke whale</w:t>
            </w:r>
          </w:p>
        </w:tc>
        <w:tc>
          <w:tcPr>
            <w:tcW w:w="1191" w:type="dxa"/>
            <w:shd w:val="clear" w:color="auto" w:fill="F2F2F2"/>
            <w:vAlign w:val="center"/>
          </w:tcPr>
          <w:p w14:paraId="773B12ED"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004" w:type="dxa"/>
            <w:shd w:val="clear" w:color="auto" w:fill="F2F2F2"/>
            <w:vAlign w:val="center"/>
          </w:tcPr>
          <w:p w14:paraId="30521186" w14:textId="11DF24D8"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849" w:type="dxa"/>
            <w:shd w:val="clear" w:color="auto" w:fill="F2F2F2"/>
            <w:vAlign w:val="center"/>
          </w:tcPr>
          <w:p w14:paraId="57770C3B" w14:textId="5DF31EB6"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F2F2F2"/>
            <w:vAlign w:val="center"/>
          </w:tcPr>
          <w:p w14:paraId="0D1D2960" w14:textId="7CE4757A" w:rsidR="001A582E" w:rsidRPr="001D74C5" w:rsidRDefault="001A582E" w:rsidP="001D74C5">
            <w:pPr>
              <w:spacing w:before="40" w:after="40"/>
              <w:jc w:val="center"/>
              <w:rPr>
                <w:rFonts w:cs="Arial"/>
                <w:sz w:val="16"/>
                <w:szCs w:val="16"/>
              </w:rPr>
            </w:pPr>
            <w:r w:rsidRPr="001D74C5">
              <w:rPr>
                <w:rFonts w:cs="Arial"/>
                <w:sz w:val="16"/>
                <w:szCs w:val="16"/>
              </w:rPr>
              <w:t>-</w:t>
            </w:r>
          </w:p>
        </w:tc>
        <w:tc>
          <w:tcPr>
            <w:tcW w:w="1120" w:type="dxa"/>
            <w:shd w:val="clear" w:color="auto" w:fill="F2F2F2"/>
            <w:vAlign w:val="center"/>
          </w:tcPr>
          <w:p w14:paraId="32C8F79B" w14:textId="5FF18117" w:rsidR="001A582E" w:rsidRPr="001D74C5" w:rsidRDefault="001A582E" w:rsidP="001D74C5">
            <w:pPr>
              <w:spacing w:before="40" w:after="40"/>
              <w:jc w:val="center"/>
              <w:rPr>
                <w:rFonts w:cs="Arial"/>
                <w:sz w:val="16"/>
                <w:szCs w:val="16"/>
              </w:rPr>
            </w:pPr>
            <w:r w:rsidRPr="001D74C5">
              <w:rPr>
                <w:rFonts w:cs="Arial"/>
                <w:sz w:val="16"/>
                <w:szCs w:val="16"/>
              </w:rPr>
              <w:t>-</w:t>
            </w:r>
          </w:p>
        </w:tc>
        <w:tc>
          <w:tcPr>
            <w:tcW w:w="1071" w:type="dxa"/>
            <w:shd w:val="clear" w:color="auto" w:fill="F2F2F2"/>
            <w:vAlign w:val="center"/>
          </w:tcPr>
          <w:p w14:paraId="62CFC3D5" w14:textId="47F21B71" w:rsidR="001A582E" w:rsidRPr="001D74C5" w:rsidRDefault="001A582E" w:rsidP="001D74C5">
            <w:pPr>
              <w:spacing w:before="40" w:after="40"/>
              <w:jc w:val="center"/>
              <w:rPr>
                <w:rFonts w:cs="Arial"/>
                <w:sz w:val="16"/>
                <w:szCs w:val="16"/>
              </w:rPr>
            </w:pPr>
            <w:r w:rsidRPr="001D74C5">
              <w:rPr>
                <w:rFonts w:cs="Arial"/>
                <w:sz w:val="16"/>
                <w:szCs w:val="16"/>
              </w:rPr>
              <w:t>-</w:t>
            </w:r>
          </w:p>
        </w:tc>
      </w:tr>
      <w:tr w:rsidR="001A582E" w:rsidRPr="001D74C5" w14:paraId="1D101D42" w14:textId="77777777" w:rsidTr="00BB47F6">
        <w:tc>
          <w:tcPr>
            <w:tcW w:w="1649" w:type="dxa"/>
            <w:shd w:val="clear" w:color="auto" w:fill="auto"/>
            <w:vAlign w:val="center"/>
          </w:tcPr>
          <w:p w14:paraId="16BECA39" w14:textId="665B2BFE" w:rsidR="001A582E" w:rsidRPr="001D74C5" w:rsidRDefault="001A582E" w:rsidP="001D74C5">
            <w:pPr>
              <w:spacing w:before="40" w:after="40"/>
              <w:rPr>
                <w:rFonts w:cs="Arial"/>
                <w:i/>
                <w:sz w:val="16"/>
                <w:szCs w:val="16"/>
              </w:rPr>
            </w:pPr>
            <w:r w:rsidRPr="001D74C5">
              <w:rPr>
                <w:rFonts w:cs="Arial"/>
                <w:i/>
                <w:sz w:val="16"/>
                <w:szCs w:val="16"/>
              </w:rPr>
              <w:t>Balaenoptera borealis</w:t>
            </w:r>
          </w:p>
        </w:tc>
        <w:tc>
          <w:tcPr>
            <w:tcW w:w="1179" w:type="dxa"/>
            <w:shd w:val="clear" w:color="auto" w:fill="auto"/>
            <w:vAlign w:val="center"/>
          </w:tcPr>
          <w:p w14:paraId="3060A8BA" w14:textId="77777777" w:rsidR="001A582E" w:rsidRPr="001D74C5" w:rsidRDefault="001A582E" w:rsidP="001D74C5">
            <w:pPr>
              <w:spacing w:before="40" w:after="40"/>
              <w:rPr>
                <w:rFonts w:cs="Arial"/>
                <w:sz w:val="16"/>
                <w:szCs w:val="16"/>
              </w:rPr>
            </w:pPr>
            <w:r w:rsidRPr="001D74C5">
              <w:rPr>
                <w:rFonts w:cs="Arial"/>
                <w:sz w:val="16"/>
                <w:szCs w:val="16"/>
              </w:rPr>
              <w:t>Sei whale</w:t>
            </w:r>
          </w:p>
        </w:tc>
        <w:tc>
          <w:tcPr>
            <w:tcW w:w="1191" w:type="dxa"/>
            <w:shd w:val="clear" w:color="auto" w:fill="auto"/>
            <w:vAlign w:val="center"/>
          </w:tcPr>
          <w:p w14:paraId="0735AE02" w14:textId="5F00F476" w:rsidR="001A582E" w:rsidRPr="001D74C5" w:rsidRDefault="001A582E" w:rsidP="001D74C5">
            <w:pPr>
              <w:spacing w:before="40" w:after="40"/>
              <w:jc w:val="center"/>
              <w:rPr>
                <w:rFonts w:cs="Arial"/>
                <w:sz w:val="16"/>
                <w:szCs w:val="16"/>
              </w:rPr>
            </w:pPr>
            <w:r w:rsidRPr="001D74C5">
              <w:rPr>
                <w:rFonts w:cs="Arial"/>
                <w:sz w:val="16"/>
                <w:szCs w:val="16"/>
              </w:rPr>
              <w:t>V</w:t>
            </w:r>
          </w:p>
        </w:tc>
        <w:tc>
          <w:tcPr>
            <w:tcW w:w="1004" w:type="dxa"/>
            <w:shd w:val="clear" w:color="auto" w:fill="auto"/>
            <w:vAlign w:val="center"/>
          </w:tcPr>
          <w:p w14:paraId="31612C50" w14:textId="4C92C9F3"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849" w:type="dxa"/>
            <w:shd w:val="clear" w:color="auto" w:fill="auto"/>
            <w:vAlign w:val="center"/>
          </w:tcPr>
          <w:p w14:paraId="77EDCBA1" w14:textId="0FE8DF5F"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auto"/>
            <w:vAlign w:val="center"/>
          </w:tcPr>
          <w:p w14:paraId="78A9E622" w14:textId="20AF5741" w:rsidR="001A582E" w:rsidRPr="001D74C5" w:rsidRDefault="001A582E" w:rsidP="001D74C5">
            <w:pPr>
              <w:spacing w:before="40" w:after="40"/>
              <w:jc w:val="center"/>
              <w:rPr>
                <w:rFonts w:cs="Arial"/>
                <w:sz w:val="16"/>
                <w:szCs w:val="16"/>
              </w:rPr>
            </w:pPr>
            <w:r w:rsidRPr="001D74C5">
              <w:rPr>
                <w:rFonts w:cs="Arial"/>
                <w:sz w:val="16"/>
                <w:szCs w:val="16"/>
              </w:rPr>
              <w:t>-</w:t>
            </w:r>
          </w:p>
        </w:tc>
        <w:tc>
          <w:tcPr>
            <w:tcW w:w="1120" w:type="dxa"/>
            <w:shd w:val="clear" w:color="auto" w:fill="auto"/>
            <w:vAlign w:val="center"/>
          </w:tcPr>
          <w:p w14:paraId="28EE8FED" w14:textId="4EF24A3D" w:rsidR="001A582E" w:rsidRPr="001D74C5" w:rsidRDefault="001A582E" w:rsidP="001D74C5">
            <w:pPr>
              <w:spacing w:before="40" w:after="40"/>
              <w:jc w:val="center"/>
              <w:rPr>
                <w:rFonts w:cs="Arial"/>
                <w:sz w:val="16"/>
                <w:szCs w:val="16"/>
              </w:rPr>
            </w:pPr>
            <w:r w:rsidRPr="001D74C5">
              <w:rPr>
                <w:rFonts w:cs="Arial"/>
                <w:sz w:val="16"/>
                <w:szCs w:val="16"/>
              </w:rPr>
              <w:t>-</w:t>
            </w:r>
          </w:p>
        </w:tc>
        <w:tc>
          <w:tcPr>
            <w:tcW w:w="1071" w:type="dxa"/>
            <w:shd w:val="clear" w:color="auto" w:fill="auto"/>
            <w:vAlign w:val="center"/>
          </w:tcPr>
          <w:p w14:paraId="63144E63" w14:textId="11AA2112" w:rsidR="001A582E" w:rsidRPr="001D74C5" w:rsidRDefault="00D810C1" w:rsidP="001D74C5">
            <w:pPr>
              <w:spacing w:before="40" w:after="40"/>
              <w:jc w:val="center"/>
              <w:rPr>
                <w:rFonts w:cs="Arial"/>
                <w:sz w:val="16"/>
                <w:szCs w:val="16"/>
              </w:rPr>
            </w:pPr>
            <w:r w:rsidRPr="001D74C5">
              <w:rPr>
                <w:rFonts w:cs="Arial"/>
                <w:sz w:val="16"/>
                <w:szCs w:val="16"/>
              </w:rPr>
              <w:t>CA</w:t>
            </w:r>
          </w:p>
        </w:tc>
      </w:tr>
      <w:tr w:rsidR="001A582E" w:rsidRPr="001D74C5" w14:paraId="327A7B11" w14:textId="77777777" w:rsidTr="00BB47F6">
        <w:tc>
          <w:tcPr>
            <w:tcW w:w="1649" w:type="dxa"/>
            <w:shd w:val="clear" w:color="auto" w:fill="F2F2F2"/>
            <w:vAlign w:val="center"/>
          </w:tcPr>
          <w:p w14:paraId="0E3F3908" w14:textId="4D1B89A5" w:rsidR="001A582E" w:rsidRPr="001D74C5" w:rsidRDefault="001A582E" w:rsidP="001D74C5">
            <w:pPr>
              <w:spacing w:before="40" w:after="40"/>
              <w:rPr>
                <w:rFonts w:cs="Arial"/>
                <w:i/>
                <w:sz w:val="16"/>
                <w:szCs w:val="16"/>
              </w:rPr>
            </w:pPr>
            <w:r w:rsidRPr="001D74C5">
              <w:rPr>
                <w:rFonts w:cs="Arial"/>
                <w:i/>
                <w:sz w:val="16"/>
                <w:szCs w:val="16"/>
              </w:rPr>
              <w:t>Balaenoptera edeni</w:t>
            </w:r>
          </w:p>
        </w:tc>
        <w:tc>
          <w:tcPr>
            <w:tcW w:w="1179" w:type="dxa"/>
            <w:shd w:val="clear" w:color="auto" w:fill="F2F2F2"/>
            <w:vAlign w:val="center"/>
          </w:tcPr>
          <w:p w14:paraId="2A7BA965" w14:textId="77777777" w:rsidR="001A582E" w:rsidRPr="001D74C5" w:rsidRDefault="001A582E" w:rsidP="001D74C5">
            <w:pPr>
              <w:spacing w:before="40" w:after="40"/>
              <w:rPr>
                <w:rFonts w:cs="Arial"/>
                <w:sz w:val="16"/>
                <w:szCs w:val="16"/>
              </w:rPr>
            </w:pPr>
            <w:r w:rsidRPr="001D74C5">
              <w:rPr>
                <w:rFonts w:cs="Arial"/>
                <w:sz w:val="16"/>
                <w:szCs w:val="16"/>
              </w:rPr>
              <w:t>Bryde’s whale</w:t>
            </w:r>
          </w:p>
        </w:tc>
        <w:tc>
          <w:tcPr>
            <w:tcW w:w="1191" w:type="dxa"/>
            <w:shd w:val="clear" w:color="auto" w:fill="F2F2F2"/>
            <w:vAlign w:val="center"/>
          </w:tcPr>
          <w:p w14:paraId="651E5816"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004" w:type="dxa"/>
            <w:shd w:val="clear" w:color="auto" w:fill="F2F2F2"/>
            <w:vAlign w:val="center"/>
          </w:tcPr>
          <w:p w14:paraId="5826405F" w14:textId="3F71E40E"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849" w:type="dxa"/>
            <w:shd w:val="clear" w:color="auto" w:fill="F2F2F2"/>
            <w:vAlign w:val="center"/>
          </w:tcPr>
          <w:p w14:paraId="4E806A6E" w14:textId="3D4BF877"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F2F2F2"/>
            <w:vAlign w:val="center"/>
          </w:tcPr>
          <w:p w14:paraId="2F7FE9B6" w14:textId="637BD536" w:rsidR="001A582E" w:rsidRPr="001D74C5" w:rsidRDefault="001A582E" w:rsidP="001D74C5">
            <w:pPr>
              <w:spacing w:before="40" w:after="40"/>
              <w:jc w:val="center"/>
              <w:rPr>
                <w:rFonts w:cs="Arial"/>
                <w:sz w:val="16"/>
                <w:szCs w:val="16"/>
              </w:rPr>
            </w:pPr>
            <w:r w:rsidRPr="001D74C5">
              <w:rPr>
                <w:rFonts w:cs="Arial"/>
                <w:sz w:val="16"/>
                <w:szCs w:val="16"/>
              </w:rPr>
              <w:t>-</w:t>
            </w:r>
          </w:p>
        </w:tc>
        <w:tc>
          <w:tcPr>
            <w:tcW w:w="1120" w:type="dxa"/>
            <w:shd w:val="clear" w:color="auto" w:fill="F2F2F2"/>
            <w:vAlign w:val="center"/>
          </w:tcPr>
          <w:p w14:paraId="5935A63C" w14:textId="4016DBCE" w:rsidR="001A582E" w:rsidRPr="001D74C5" w:rsidRDefault="001A582E" w:rsidP="001D74C5">
            <w:pPr>
              <w:spacing w:before="40" w:after="40"/>
              <w:jc w:val="center"/>
              <w:rPr>
                <w:rFonts w:cs="Arial"/>
                <w:sz w:val="16"/>
                <w:szCs w:val="16"/>
              </w:rPr>
            </w:pPr>
            <w:r w:rsidRPr="001D74C5">
              <w:rPr>
                <w:rFonts w:cs="Arial"/>
                <w:sz w:val="16"/>
                <w:szCs w:val="16"/>
              </w:rPr>
              <w:t>-</w:t>
            </w:r>
          </w:p>
        </w:tc>
        <w:tc>
          <w:tcPr>
            <w:tcW w:w="1071" w:type="dxa"/>
            <w:shd w:val="clear" w:color="auto" w:fill="F2F2F2"/>
            <w:vAlign w:val="center"/>
          </w:tcPr>
          <w:p w14:paraId="7A3731B2" w14:textId="42D8FEEE" w:rsidR="001A582E" w:rsidRPr="001D74C5" w:rsidRDefault="001A582E" w:rsidP="001D74C5">
            <w:pPr>
              <w:spacing w:before="40" w:after="40"/>
              <w:jc w:val="center"/>
              <w:rPr>
                <w:rFonts w:cs="Arial"/>
                <w:sz w:val="16"/>
                <w:szCs w:val="16"/>
              </w:rPr>
            </w:pPr>
            <w:r w:rsidRPr="001D74C5">
              <w:rPr>
                <w:rFonts w:cs="Arial"/>
                <w:sz w:val="16"/>
                <w:szCs w:val="16"/>
              </w:rPr>
              <w:t>-</w:t>
            </w:r>
          </w:p>
        </w:tc>
      </w:tr>
      <w:tr w:rsidR="001A582E" w:rsidRPr="001D74C5" w14:paraId="736B537A" w14:textId="77777777" w:rsidTr="00BB47F6">
        <w:tc>
          <w:tcPr>
            <w:tcW w:w="1649" w:type="dxa"/>
            <w:shd w:val="clear" w:color="auto" w:fill="auto"/>
            <w:vAlign w:val="center"/>
          </w:tcPr>
          <w:p w14:paraId="1FD00954" w14:textId="238609E3" w:rsidR="001A582E" w:rsidRPr="001D74C5" w:rsidRDefault="001A582E" w:rsidP="001D74C5">
            <w:pPr>
              <w:spacing w:before="40" w:after="40"/>
              <w:rPr>
                <w:rFonts w:cs="Arial"/>
                <w:i/>
                <w:sz w:val="16"/>
                <w:szCs w:val="16"/>
              </w:rPr>
            </w:pPr>
            <w:r w:rsidRPr="001D74C5">
              <w:rPr>
                <w:rFonts w:cs="Arial"/>
                <w:i/>
                <w:sz w:val="16"/>
                <w:szCs w:val="16"/>
              </w:rPr>
              <w:t>Balaenoptera musculus</w:t>
            </w:r>
          </w:p>
        </w:tc>
        <w:tc>
          <w:tcPr>
            <w:tcW w:w="1179" w:type="dxa"/>
            <w:shd w:val="clear" w:color="auto" w:fill="auto"/>
            <w:vAlign w:val="center"/>
          </w:tcPr>
          <w:p w14:paraId="0B02A04E" w14:textId="42DFC4FC" w:rsidR="001A582E" w:rsidRPr="001D74C5" w:rsidRDefault="001A582E" w:rsidP="001D74C5">
            <w:pPr>
              <w:spacing w:before="40" w:after="40"/>
              <w:rPr>
                <w:rFonts w:cs="Arial"/>
                <w:sz w:val="16"/>
                <w:szCs w:val="16"/>
              </w:rPr>
            </w:pPr>
            <w:r w:rsidRPr="001D74C5">
              <w:rPr>
                <w:rFonts w:cs="Arial"/>
                <w:sz w:val="16"/>
                <w:szCs w:val="16"/>
              </w:rPr>
              <w:t>Blue whale (pygmy)</w:t>
            </w:r>
          </w:p>
        </w:tc>
        <w:tc>
          <w:tcPr>
            <w:tcW w:w="1191" w:type="dxa"/>
            <w:shd w:val="clear" w:color="auto" w:fill="auto"/>
            <w:vAlign w:val="center"/>
          </w:tcPr>
          <w:p w14:paraId="7ECC7A11" w14:textId="42AF3B9E" w:rsidR="001A582E" w:rsidRPr="001D74C5" w:rsidRDefault="001A582E" w:rsidP="001D74C5">
            <w:pPr>
              <w:spacing w:before="40" w:after="40"/>
              <w:jc w:val="center"/>
              <w:rPr>
                <w:rFonts w:cs="Arial"/>
                <w:sz w:val="16"/>
                <w:szCs w:val="16"/>
              </w:rPr>
            </w:pPr>
            <w:r w:rsidRPr="001D74C5">
              <w:rPr>
                <w:rFonts w:cs="Arial"/>
                <w:sz w:val="16"/>
                <w:szCs w:val="16"/>
              </w:rPr>
              <w:t>E</w:t>
            </w:r>
          </w:p>
        </w:tc>
        <w:tc>
          <w:tcPr>
            <w:tcW w:w="1004" w:type="dxa"/>
            <w:shd w:val="clear" w:color="auto" w:fill="auto"/>
            <w:vAlign w:val="center"/>
          </w:tcPr>
          <w:p w14:paraId="0573E50D" w14:textId="2967027A"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849" w:type="dxa"/>
            <w:shd w:val="clear" w:color="auto" w:fill="auto"/>
            <w:vAlign w:val="center"/>
          </w:tcPr>
          <w:p w14:paraId="4A26D566" w14:textId="4009E4F0"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auto"/>
            <w:vAlign w:val="center"/>
          </w:tcPr>
          <w:p w14:paraId="4ED5944D" w14:textId="6F727FC0" w:rsidR="001A582E" w:rsidRPr="001D74C5" w:rsidRDefault="00DD5ED8" w:rsidP="001D74C5">
            <w:pPr>
              <w:spacing w:before="40" w:after="40"/>
              <w:jc w:val="center"/>
              <w:rPr>
                <w:rFonts w:cs="Arial"/>
                <w:sz w:val="16"/>
                <w:szCs w:val="16"/>
              </w:rPr>
            </w:pPr>
            <w:r w:rsidRPr="001D74C5">
              <w:rPr>
                <w:rFonts w:cs="Arial"/>
                <w:sz w:val="16"/>
                <w:szCs w:val="16"/>
              </w:rPr>
              <w:t>T</w:t>
            </w:r>
          </w:p>
        </w:tc>
        <w:tc>
          <w:tcPr>
            <w:tcW w:w="1120" w:type="dxa"/>
            <w:shd w:val="clear" w:color="auto" w:fill="auto"/>
            <w:vAlign w:val="center"/>
          </w:tcPr>
          <w:p w14:paraId="72A73D8A" w14:textId="1C7C0BE6" w:rsidR="001A582E" w:rsidRPr="001D74C5" w:rsidRDefault="001A582E" w:rsidP="001D74C5">
            <w:pPr>
              <w:spacing w:before="40" w:after="40"/>
              <w:jc w:val="center"/>
              <w:rPr>
                <w:rFonts w:cs="Arial"/>
                <w:sz w:val="16"/>
                <w:szCs w:val="16"/>
              </w:rPr>
            </w:pPr>
            <w:r w:rsidRPr="001D74C5">
              <w:rPr>
                <w:rFonts w:cs="Arial"/>
                <w:sz w:val="16"/>
                <w:szCs w:val="16"/>
              </w:rPr>
              <w:t>F</w:t>
            </w:r>
          </w:p>
        </w:tc>
        <w:tc>
          <w:tcPr>
            <w:tcW w:w="1071" w:type="dxa"/>
            <w:shd w:val="clear" w:color="auto" w:fill="auto"/>
            <w:vAlign w:val="center"/>
          </w:tcPr>
          <w:p w14:paraId="14F0C2BC" w14:textId="7C8E1EFD" w:rsidR="001A582E" w:rsidRPr="001D74C5" w:rsidRDefault="00D810C1" w:rsidP="001D74C5">
            <w:pPr>
              <w:spacing w:before="40" w:after="40"/>
              <w:jc w:val="center"/>
              <w:rPr>
                <w:rFonts w:cs="Arial"/>
                <w:sz w:val="16"/>
                <w:szCs w:val="16"/>
              </w:rPr>
            </w:pPr>
            <w:r w:rsidRPr="001D74C5">
              <w:rPr>
                <w:rFonts w:cs="Arial"/>
                <w:sz w:val="16"/>
                <w:szCs w:val="16"/>
              </w:rPr>
              <w:t>RP</w:t>
            </w:r>
          </w:p>
        </w:tc>
      </w:tr>
      <w:tr w:rsidR="001A582E" w:rsidRPr="001D74C5" w14:paraId="59EDBC6C" w14:textId="77777777" w:rsidTr="00BB47F6">
        <w:tc>
          <w:tcPr>
            <w:tcW w:w="1649" w:type="dxa"/>
            <w:shd w:val="clear" w:color="auto" w:fill="F2F2F2"/>
            <w:vAlign w:val="center"/>
          </w:tcPr>
          <w:p w14:paraId="776E5D76" w14:textId="7E266DD3" w:rsidR="001A582E" w:rsidRPr="001D74C5" w:rsidRDefault="001A582E" w:rsidP="001D74C5">
            <w:pPr>
              <w:spacing w:before="40" w:after="40"/>
              <w:rPr>
                <w:rFonts w:cs="Arial"/>
                <w:i/>
                <w:sz w:val="16"/>
                <w:szCs w:val="16"/>
              </w:rPr>
            </w:pPr>
            <w:r w:rsidRPr="001D74C5">
              <w:rPr>
                <w:rFonts w:cs="Arial"/>
                <w:i/>
                <w:sz w:val="16"/>
                <w:szCs w:val="16"/>
              </w:rPr>
              <w:t>Balaenoptera physalus</w:t>
            </w:r>
          </w:p>
        </w:tc>
        <w:tc>
          <w:tcPr>
            <w:tcW w:w="1179" w:type="dxa"/>
            <w:shd w:val="clear" w:color="auto" w:fill="F2F2F2"/>
            <w:vAlign w:val="center"/>
          </w:tcPr>
          <w:p w14:paraId="600478AB" w14:textId="77777777" w:rsidR="001A582E" w:rsidRPr="001D74C5" w:rsidRDefault="001A582E" w:rsidP="001D74C5">
            <w:pPr>
              <w:spacing w:before="40" w:after="40"/>
              <w:rPr>
                <w:rFonts w:cs="Arial"/>
                <w:sz w:val="16"/>
                <w:szCs w:val="16"/>
              </w:rPr>
            </w:pPr>
            <w:r w:rsidRPr="001D74C5">
              <w:rPr>
                <w:rFonts w:cs="Arial"/>
                <w:sz w:val="16"/>
                <w:szCs w:val="16"/>
              </w:rPr>
              <w:t>Fin whale</w:t>
            </w:r>
          </w:p>
        </w:tc>
        <w:tc>
          <w:tcPr>
            <w:tcW w:w="1191" w:type="dxa"/>
            <w:shd w:val="clear" w:color="auto" w:fill="F2F2F2"/>
            <w:vAlign w:val="center"/>
          </w:tcPr>
          <w:p w14:paraId="26961B41" w14:textId="578EF3B0" w:rsidR="001A582E" w:rsidRPr="001D74C5" w:rsidRDefault="001A582E" w:rsidP="001D74C5">
            <w:pPr>
              <w:spacing w:before="40" w:after="40"/>
              <w:jc w:val="center"/>
              <w:rPr>
                <w:rFonts w:cs="Arial"/>
                <w:sz w:val="16"/>
                <w:szCs w:val="16"/>
              </w:rPr>
            </w:pPr>
            <w:r w:rsidRPr="001D74C5">
              <w:rPr>
                <w:rFonts w:cs="Arial"/>
                <w:sz w:val="16"/>
                <w:szCs w:val="16"/>
              </w:rPr>
              <w:t>V</w:t>
            </w:r>
          </w:p>
        </w:tc>
        <w:tc>
          <w:tcPr>
            <w:tcW w:w="1004" w:type="dxa"/>
            <w:shd w:val="clear" w:color="auto" w:fill="F2F2F2"/>
            <w:vAlign w:val="center"/>
          </w:tcPr>
          <w:p w14:paraId="67A04C00" w14:textId="204A6842"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849" w:type="dxa"/>
            <w:shd w:val="clear" w:color="auto" w:fill="F2F2F2"/>
            <w:vAlign w:val="center"/>
          </w:tcPr>
          <w:p w14:paraId="0B908F78" w14:textId="6C1B8CE2"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F2F2F2"/>
            <w:vAlign w:val="center"/>
          </w:tcPr>
          <w:p w14:paraId="43DC9E8C" w14:textId="235042B9" w:rsidR="001A582E" w:rsidRPr="001D74C5" w:rsidRDefault="001A582E" w:rsidP="001D74C5">
            <w:pPr>
              <w:spacing w:before="40" w:after="40"/>
              <w:jc w:val="center"/>
              <w:rPr>
                <w:rFonts w:cs="Arial"/>
                <w:sz w:val="16"/>
                <w:szCs w:val="16"/>
              </w:rPr>
            </w:pPr>
            <w:r w:rsidRPr="001D74C5">
              <w:rPr>
                <w:rFonts w:cs="Arial"/>
                <w:sz w:val="16"/>
                <w:szCs w:val="16"/>
              </w:rPr>
              <w:t>-</w:t>
            </w:r>
          </w:p>
        </w:tc>
        <w:tc>
          <w:tcPr>
            <w:tcW w:w="1120" w:type="dxa"/>
            <w:shd w:val="clear" w:color="auto" w:fill="F2F2F2"/>
            <w:vAlign w:val="center"/>
          </w:tcPr>
          <w:p w14:paraId="01BB444B" w14:textId="47FB38EA" w:rsidR="001A582E" w:rsidRPr="001D74C5" w:rsidRDefault="001A582E" w:rsidP="001D74C5">
            <w:pPr>
              <w:spacing w:before="40" w:after="40"/>
              <w:jc w:val="center"/>
              <w:rPr>
                <w:rFonts w:cs="Arial"/>
                <w:sz w:val="16"/>
                <w:szCs w:val="16"/>
              </w:rPr>
            </w:pPr>
            <w:r w:rsidRPr="001D74C5">
              <w:rPr>
                <w:rFonts w:cs="Arial"/>
                <w:sz w:val="16"/>
                <w:szCs w:val="16"/>
              </w:rPr>
              <w:t>-</w:t>
            </w:r>
          </w:p>
        </w:tc>
        <w:tc>
          <w:tcPr>
            <w:tcW w:w="1071" w:type="dxa"/>
            <w:shd w:val="clear" w:color="auto" w:fill="F2F2F2"/>
            <w:vAlign w:val="center"/>
          </w:tcPr>
          <w:p w14:paraId="0837A626" w14:textId="2D9B18A8" w:rsidR="001A582E" w:rsidRPr="001D74C5" w:rsidRDefault="00D810C1" w:rsidP="001D74C5">
            <w:pPr>
              <w:spacing w:before="40" w:after="40"/>
              <w:jc w:val="center"/>
              <w:rPr>
                <w:rFonts w:cs="Arial"/>
                <w:sz w:val="16"/>
                <w:szCs w:val="16"/>
              </w:rPr>
            </w:pPr>
            <w:r w:rsidRPr="001D74C5">
              <w:rPr>
                <w:rFonts w:cs="Arial"/>
                <w:sz w:val="16"/>
                <w:szCs w:val="16"/>
              </w:rPr>
              <w:t>CA</w:t>
            </w:r>
          </w:p>
        </w:tc>
      </w:tr>
      <w:tr w:rsidR="001A582E" w:rsidRPr="001D74C5" w14:paraId="073BFAFB" w14:textId="77777777" w:rsidTr="00BB47F6">
        <w:tc>
          <w:tcPr>
            <w:tcW w:w="1649" w:type="dxa"/>
            <w:shd w:val="clear" w:color="auto" w:fill="auto"/>
            <w:vAlign w:val="center"/>
          </w:tcPr>
          <w:p w14:paraId="10626A0C" w14:textId="77777777" w:rsidR="001A582E" w:rsidRPr="001D74C5" w:rsidRDefault="001A582E" w:rsidP="001D74C5">
            <w:pPr>
              <w:spacing w:before="40" w:after="40"/>
              <w:rPr>
                <w:rFonts w:cs="Arial"/>
                <w:i/>
                <w:sz w:val="16"/>
                <w:szCs w:val="16"/>
              </w:rPr>
            </w:pPr>
            <w:r w:rsidRPr="001D74C5">
              <w:rPr>
                <w:rFonts w:cs="Arial"/>
                <w:i/>
                <w:sz w:val="16"/>
                <w:szCs w:val="16"/>
              </w:rPr>
              <w:t>Berardius arnuxii</w:t>
            </w:r>
          </w:p>
        </w:tc>
        <w:tc>
          <w:tcPr>
            <w:tcW w:w="1179" w:type="dxa"/>
            <w:shd w:val="clear" w:color="auto" w:fill="auto"/>
            <w:vAlign w:val="center"/>
          </w:tcPr>
          <w:p w14:paraId="2A8B0B5A" w14:textId="77777777" w:rsidR="001A582E" w:rsidRPr="001D74C5" w:rsidRDefault="001A582E" w:rsidP="001D74C5">
            <w:pPr>
              <w:spacing w:before="40" w:after="40"/>
              <w:rPr>
                <w:rFonts w:cs="Arial"/>
                <w:sz w:val="16"/>
                <w:szCs w:val="16"/>
              </w:rPr>
            </w:pPr>
            <w:r w:rsidRPr="001D74C5">
              <w:rPr>
                <w:rFonts w:cs="Arial"/>
                <w:sz w:val="16"/>
                <w:szCs w:val="16"/>
              </w:rPr>
              <w:t>Arnoux’s beaked whale</w:t>
            </w:r>
          </w:p>
        </w:tc>
        <w:tc>
          <w:tcPr>
            <w:tcW w:w="1191" w:type="dxa"/>
            <w:shd w:val="clear" w:color="auto" w:fill="auto"/>
            <w:vAlign w:val="center"/>
          </w:tcPr>
          <w:p w14:paraId="333F4FFE"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004" w:type="dxa"/>
            <w:shd w:val="clear" w:color="auto" w:fill="auto"/>
            <w:vAlign w:val="center"/>
          </w:tcPr>
          <w:p w14:paraId="1EEC8404" w14:textId="32128739"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849" w:type="dxa"/>
            <w:shd w:val="clear" w:color="auto" w:fill="auto"/>
            <w:vAlign w:val="center"/>
          </w:tcPr>
          <w:p w14:paraId="72913E87" w14:textId="1C609077"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auto"/>
            <w:vAlign w:val="center"/>
          </w:tcPr>
          <w:p w14:paraId="4918C045" w14:textId="5E1BD847" w:rsidR="001A582E" w:rsidRPr="001D74C5" w:rsidRDefault="001A582E" w:rsidP="001D74C5">
            <w:pPr>
              <w:spacing w:before="40" w:after="40"/>
              <w:jc w:val="center"/>
              <w:rPr>
                <w:rFonts w:cs="Arial"/>
                <w:sz w:val="16"/>
                <w:szCs w:val="16"/>
              </w:rPr>
            </w:pPr>
            <w:r w:rsidRPr="001D74C5">
              <w:rPr>
                <w:rFonts w:cs="Arial"/>
                <w:sz w:val="16"/>
                <w:szCs w:val="16"/>
              </w:rPr>
              <w:t>-</w:t>
            </w:r>
          </w:p>
        </w:tc>
        <w:tc>
          <w:tcPr>
            <w:tcW w:w="1120" w:type="dxa"/>
            <w:shd w:val="clear" w:color="auto" w:fill="auto"/>
            <w:vAlign w:val="center"/>
          </w:tcPr>
          <w:p w14:paraId="55950163" w14:textId="0BC34300" w:rsidR="001A582E" w:rsidRPr="001D74C5" w:rsidRDefault="001A582E" w:rsidP="001D74C5">
            <w:pPr>
              <w:spacing w:before="40" w:after="40"/>
              <w:jc w:val="center"/>
              <w:rPr>
                <w:rFonts w:cs="Arial"/>
                <w:sz w:val="16"/>
                <w:szCs w:val="16"/>
              </w:rPr>
            </w:pPr>
            <w:r w:rsidRPr="001D74C5">
              <w:rPr>
                <w:rFonts w:cs="Arial"/>
                <w:sz w:val="16"/>
                <w:szCs w:val="16"/>
              </w:rPr>
              <w:t>-</w:t>
            </w:r>
          </w:p>
        </w:tc>
        <w:tc>
          <w:tcPr>
            <w:tcW w:w="1071" w:type="dxa"/>
            <w:shd w:val="clear" w:color="auto" w:fill="auto"/>
            <w:vAlign w:val="center"/>
          </w:tcPr>
          <w:p w14:paraId="50632980" w14:textId="5A4FE3F2" w:rsidR="001A582E" w:rsidRPr="001D74C5" w:rsidRDefault="001A582E" w:rsidP="001D74C5">
            <w:pPr>
              <w:spacing w:before="40" w:after="40"/>
              <w:jc w:val="center"/>
              <w:rPr>
                <w:rFonts w:cs="Arial"/>
                <w:sz w:val="16"/>
                <w:szCs w:val="16"/>
              </w:rPr>
            </w:pPr>
            <w:r w:rsidRPr="001D74C5">
              <w:rPr>
                <w:rFonts w:cs="Arial"/>
                <w:sz w:val="16"/>
                <w:szCs w:val="16"/>
              </w:rPr>
              <w:t>-</w:t>
            </w:r>
          </w:p>
        </w:tc>
      </w:tr>
      <w:tr w:rsidR="001A582E" w:rsidRPr="001D74C5" w14:paraId="5BA02E62" w14:textId="77777777" w:rsidTr="00BB47F6">
        <w:tc>
          <w:tcPr>
            <w:tcW w:w="1649" w:type="dxa"/>
            <w:shd w:val="clear" w:color="auto" w:fill="F2F2F2"/>
            <w:vAlign w:val="center"/>
          </w:tcPr>
          <w:p w14:paraId="23181CBE" w14:textId="77777777" w:rsidR="001A582E" w:rsidRPr="001D74C5" w:rsidRDefault="001A582E" w:rsidP="001D74C5">
            <w:pPr>
              <w:spacing w:before="40" w:after="40"/>
              <w:rPr>
                <w:rFonts w:cs="Arial"/>
                <w:i/>
                <w:sz w:val="16"/>
                <w:szCs w:val="16"/>
              </w:rPr>
            </w:pPr>
            <w:r w:rsidRPr="001D74C5">
              <w:rPr>
                <w:rFonts w:cs="Arial"/>
                <w:i/>
                <w:sz w:val="16"/>
                <w:szCs w:val="16"/>
              </w:rPr>
              <w:t>Caperea marginata</w:t>
            </w:r>
          </w:p>
        </w:tc>
        <w:tc>
          <w:tcPr>
            <w:tcW w:w="1179" w:type="dxa"/>
            <w:shd w:val="clear" w:color="auto" w:fill="F2F2F2"/>
            <w:vAlign w:val="center"/>
          </w:tcPr>
          <w:p w14:paraId="6F136948" w14:textId="77777777" w:rsidR="001A582E" w:rsidRPr="001D74C5" w:rsidRDefault="001A582E" w:rsidP="001D74C5">
            <w:pPr>
              <w:spacing w:before="40" w:after="40"/>
              <w:rPr>
                <w:rFonts w:cs="Arial"/>
                <w:sz w:val="16"/>
                <w:szCs w:val="16"/>
              </w:rPr>
            </w:pPr>
            <w:r w:rsidRPr="001D74C5">
              <w:rPr>
                <w:rFonts w:cs="Arial"/>
                <w:sz w:val="16"/>
                <w:szCs w:val="16"/>
              </w:rPr>
              <w:t>Pygmy right whale</w:t>
            </w:r>
          </w:p>
        </w:tc>
        <w:tc>
          <w:tcPr>
            <w:tcW w:w="1191" w:type="dxa"/>
            <w:shd w:val="clear" w:color="auto" w:fill="F2F2F2"/>
            <w:vAlign w:val="center"/>
          </w:tcPr>
          <w:p w14:paraId="56BADB34"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004" w:type="dxa"/>
            <w:shd w:val="clear" w:color="auto" w:fill="F2F2F2"/>
            <w:vAlign w:val="center"/>
          </w:tcPr>
          <w:p w14:paraId="59783108" w14:textId="52D7037C"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849" w:type="dxa"/>
            <w:shd w:val="clear" w:color="auto" w:fill="F2F2F2"/>
            <w:vAlign w:val="center"/>
          </w:tcPr>
          <w:p w14:paraId="72FDE342" w14:textId="0081DE91"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F2F2F2"/>
            <w:vAlign w:val="center"/>
          </w:tcPr>
          <w:p w14:paraId="110455A3" w14:textId="6D4501FE" w:rsidR="001A582E" w:rsidRPr="001D74C5" w:rsidRDefault="001A582E" w:rsidP="001D74C5">
            <w:pPr>
              <w:spacing w:before="40" w:after="40"/>
              <w:jc w:val="center"/>
              <w:rPr>
                <w:rFonts w:cs="Arial"/>
                <w:sz w:val="16"/>
                <w:szCs w:val="16"/>
              </w:rPr>
            </w:pPr>
            <w:r w:rsidRPr="001D74C5">
              <w:rPr>
                <w:rFonts w:cs="Arial"/>
                <w:sz w:val="16"/>
                <w:szCs w:val="16"/>
              </w:rPr>
              <w:t>-</w:t>
            </w:r>
          </w:p>
        </w:tc>
        <w:tc>
          <w:tcPr>
            <w:tcW w:w="1120" w:type="dxa"/>
            <w:shd w:val="clear" w:color="auto" w:fill="F2F2F2"/>
            <w:vAlign w:val="center"/>
          </w:tcPr>
          <w:p w14:paraId="6E560F06" w14:textId="5CEE103E" w:rsidR="001A582E" w:rsidRPr="001D74C5" w:rsidRDefault="001A582E" w:rsidP="001D74C5">
            <w:pPr>
              <w:spacing w:before="40" w:after="40"/>
              <w:jc w:val="center"/>
              <w:rPr>
                <w:rFonts w:cs="Arial"/>
                <w:sz w:val="16"/>
                <w:szCs w:val="16"/>
              </w:rPr>
            </w:pPr>
            <w:r w:rsidRPr="001D74C5">
              <w:rPr>
                <w:rFonts w:cs="Arial"/>
                <w:sz w:val="16"/>
                <w:szCs w:val="16"/>
              </w:rPr>
              <w:t>-</w:t>
            </w:r>
          </w:p>
        </w:tc>
        <w:tc>
          <w:tcPr>
            <w:tcW w:w="1071" w:type="dxa"/>
            <w:shd w:val="clear" w:color="auto" w:fill="F2F2F2"/>
            <w:vAlign w:val="center"/>
          </w:tcPr>
          <w:p w14:paraId="768B5DF3" w14:textId="45E8AB4E" w:rsidR="001A582E" w:rsidRPr="001D74C5" w:rsidRDefault="001A582E" w:rsidP="001D74C5">
            <w:pPr>
              <w:spacing w:before="40" w:after="40"/>
              <w:jc w:val="center"/>
              <w:rPr>
                <w:rFonts w:cs="Arial"/>
                <w:sz w:val="16"/>
                <w:szCs w:val="16"/>
              </w:rPr>
            </w:pPr>
            <w:r w:rsidRPr="001D74C5">
              <w:rPr>
                <w:rFonts w:cs="Arial"/>
                <w:sz w:val="16"/>
                <w:szCs w:val="16"/>
              </w:rPr>
              <w:t>-</w:t>
            </w:r>
          </w:p>
        </w:tc>
      </w:tr>
      <w:tr w:rsidR="001A582E" w:rsidRPr="001D74C5" w14:paraId="516C1534" w14:textId="77777777" w:rsidTr="00BB47F6">
        <w:tc>
          <w:tcPr>
            <w:tcW w:w="1649" w:type="dxa"/>
            <w:shd w:val="clear" w:color="auto" w:fill="auto"/>
            <w:vAlign w:val="center"/>
          </w:tcPr>
          <w:p w14:paraId="2B20503A" w14:textId="77777777" w:rsidR="001A582E" w:rsidRPr="001D74C5" w:rsidRDefault="001A582E" w:rsidP="001D74C5">
            <w:pPr>
              <w:spacing w:before="40" w:after="40"/>
              <w:rPr>
                <w:rFonts w:cs="Arial"/>
                <w:i/>
                <w:sz w:val="16"/>
                <w:szCs w:val="16"/>
              </w:rPr>
            </w:pPr>
            <w:r w:rsidRPr="001D74C5">
              <w:rPr>
                <w:rFonts w:cs="Arial"/>
                <w:i/>
                <w:sz w:val="16"/>
                <w:szCs w:val="16"/>
              </w:rPr>
              <w:t>Eubalaena australis</w:t>
            </w:r>
          </w:p>
        </w:tc>
        <w:tc>
          <w:tcPr>
            <w:tcW w:w="1179" w:type="dxa"/>
            <w:shd w:val="clear" w:color="auto" w:fill="auto"/>
            <w:vAlign w:val="center"/>
          </w:tcPr>
          <w:p w14:paraId="11B286C2" w14:textId="77777777" w:rsidR="001A582E" w:rsidRPr="001D74C5" w:rsidRDefault="001A582E" w:rsidP="001D74C5">
            <w:pPr>
              <w:spacing w:before="40" w:after="40"/>
              <w:rPr>
                <w:rFonts w:cs="Arial"/>
                <w:sz w:val="16"/>
                <w:szCs w:val="16"/>
              </w:rPr>
            </w:pPr>
            <w:r w:rsidRPr="001D74C5">
              <w:rPr>
                <w:rFonts w:cs="Arial"/>
                <w:sz w:val="16"/>
                <w:szCs w:val="16"/>
              </w:rPr>
              <w:t>Southern right whale</w:t>
            </w:r>
          </w:p>
        </w:tc>
        <w:tc>
          <w:tcPr>
            <w:tcW w:w="1191" w:type="dxa"/>
            <w:shd w:val="clear" w:color="auto" w:fill="auto"/>
            <w:vAlign w:val="center"/>
          </w:tcPr>
          <w:p w14:paraId="08E8711C" w14:textId="2227983B" w:rsidR="001A582E" w:rsidRPr="001D74C5" w:rsidRDefault="001A582E" w:rsidP="001D74C5">
            <w:pPr>
              <w:spacing w:before="40" w:after="40"/>
              <w:jc w:val="center"/>
              <w:rPr>
                <w:rFonts w:cs="Arial"/>
                <w:sz w:val="16"/>
                <w:szCs w:val="16"/>
              </w:rPr>
            </w:pPr>
            <w:r w:rsidRPr="001D74C5">
              <w:rPr>
                <w:rFonts w:cs="Arial"/>
                <w:sz w:val="16"/>
                <w:szCs w:val="16"/>
              </w:rPr>
              <w:t>E</w:t>
            </w:r>
          </w:p>
        </w:tc>
        <w:tc>
          <w:tcPr>
            <w:tcW w:w="1004" w:type="dxa"/>
            <w:shd w:val="clear" w:color="auto" w:fill="auto"/>
            <w:vAlign w:val="center"/>
          </w:tcPr>
          <w:p w14:paraId="5847EE3A" w14:textId="241BB0F8"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849" w:type="dxa"/>
            <w:shd w:val="clear" w:color="auto" w:fill="auto"/>
            <w:vAlign w:val="center"/>
          </w:tcPr>
          <w:p w14:paraId="5A8B039B" w14:textId="7B92302A"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auto"/>
            <w:vAlign w:val="center"/>
          </w:tcPr>
          <w:p w14:paraId="221637AA" w14:textId="7187A0F6" w:rsidR="001A582E" w:rsidRPr="001D74C5" w:rsidRDefault="00DD5ED8" w:rsidP="001D74C5">
            <w:pPr>
              <w:spacing w:before="40" w:after="40"/>
              <w:jc w:val="center"/>
              <w:rPr>
                <w:rFonts w:cs="Arial"/>
                <w:sz w:val="16"/>
                <w:szCs w:val="16"/>
              </w:rPr>
            </w:pPr>
            <w:r w:rsidRPr="001D74C5">
              <w:rPr>
                <w:rFonts w:cs="Arial"/>
                <w:sz w:val="16"/>
                <w:szCs w:val="16"/>
              </w:rPr>
              <w:t>T</w:t>
            </w:r>
          </w:p>
        </w:tc>
        <w:tc>
          <w:tcPr>
            <w:tcW w:w="1120" w:type="dxa"/>
            <w:shd w:val="clear" w:color="auto" w:fill="auto"/>
            <w:vAlign w:val="center"/>
          </w:tcPr>
          <w:p w14:paraId="49622CE1" w14:textId="266BD4A9" w:rsidR="001A582E" w:rsidRPr="001D74C5" w:rsidRDefault="00DD5ED8" w:rsidP="001D74C5">
            <w:pPr>
              <w:spacing w:before="40" w:after="40"/>
              <w:jc w:val="center"/>
              <w:rPr>
                <w:rFonts w:cs="Arial"/>
                <w:sz w:val="16"/>
                <w:szCs w:val="16"/>
              </w:rPr>
            </w:pPr>
            <w:r w:rsidRPr="001D74C5">
              <w:rPr>
                <w:rFonts w:cs="Arial"/>
                <w:sz w:val="16"/>
                <w:szCs w:val="16"/>
              </w:rPr>
              <w:t>A, M</w:t>
            </w:r>
          </w:p>
        </w:tc>
        <w:tc>
          <w:tcPr>
            <w:tcW w:w="1071" w:type="dxa"/>
            <w:shd w:val="clear" w:color="auto" w:fill="auto"/>
            <w:vAlign w:val="center"/>
          </w:tcPr>
          <w:p w14:paraId="56608F73" w14:textId="076D515C" w:rsidR="001A582E" w:rsidRPr="001D74C5" w:rsidRDefault="00A36EA8" w:rsidP="001D74C5">
            <w:pPr>
              <w:spacing w:before="40" w:after="40"/>
              <w:jc w:val="center"/>
              <w:rPr>
                <w:rFonts w:cs="Arial"/>
                <w:sz w:val="16"/>
                <w:szCs w:val="16"/>
              </w:rPr>
            </w:pPr>
            <w:r w:rsidRPr="001D74C5">
              <w:rPr>
                <w:rFonts w:cs="Arial"/>
                <w:sz w:val="16"/>
                <w:szCs w:val="16"/>
              </w:rPr>
              <w:t>CMP</w:t>
            </w:r>
          </w:p>
        </w:tc>
      </w:tr>
      <w:tr w:rsidR="001A582E" w:rsidRPr="001D74C5" w14:paraId="19C0B0A1" w14:textId="77777777" w:rsidTr="00BB47F6">
        <w:tc>
          <w:tcPr>
            <w:tcW w:w="1649" w:type="dxa"/>
            <w:shd w:val="clear" w:color="auto" w:fill="F2F2F2"/>
            <w:vAlign w:val="center"/>
          </w:tcPr>
          <w:p w14:paraId="3A765158" w14:textId="77777777" w:rsidR="001A582E" w:rsidRPr="001D74C5" w:rsidRDefault="001A582E" w:rsidP="001D74C5">
            <w:pPr>
              <w:spacing w:before="40" w:after="40"/>
              <w:rPr>
                <w:rFonts w:cs="Arial"/>
                <w:i/>
                <w:sz w:val="16"/>
                <w:szCs w:val="16"/>
              </w:rPr>
            </w:pPr>
            <w:r w:rsidRPr="001D74C5">
              <w:rPr>
                <w:rFonts w:cs="Arial"/>
                <w:i/>
                <w:sz w:val="16"/>
                <w:szCs w:val="16"/>
              </w:rPr>
              <w:t>Globicephala macrorhynchus</w:t>
            </w:r>
          </w:p>
        </w:tc>
        <w:tc>
          <w:tcPr>
            <w:tcW w:w="1179" w:type="dxa"/>
            <w:shd w:val="clear" w:color="auto" w:fill="F2F2F2"/>
            <w:vAlign w:val="center"/>
          </w:tcPr>
          <w:p w14:paraId="681B748F" w14:textId="77777777" w:rsidR="001A582E" w:rsidRPr="001D74C5" w:rsidRDefault="001A582E" w:rsidP="001D74C5">
            <w:pPr>
              <w:spacing w:before="40" w:after="40"/>
              <w:rPr>
                <w:rFonts w:cs="Arial"/>
                <w:sz w:val="16"/>
                <w:szCs w:val="16"/>
              </w:rPr>
            </w:pPr>
            <w:r w:rsidRPr="001D74C5">
              <w:rPr>
                <w:rFonts w:cs="Arial"/>
                <w:sz w:val="16"/>
                <w:szCs w:val="16"/>
              </w:rPr>
              <w:t>Short-finned pilot whale</w:t>
            </w:r>
          </w:p>
        </w:tc>
        <w:tc>
          <w:tcPr>
            <w:tcW w:w="1191" w:type="dxa"/>
            <w:shd w:val="clear" w:color="auto" w:fill="F2F2F2"/>
            <w:vAlign w:val="center"/>
          </w:tcPr>
          <w:p w14:paraId="005378C1"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004" w:type="dxa"/>
            <w:shd w:val="clear" w:color="auto" w:fill="F2F2F2"/>
            <w:vAlign w:val="center"/>
          </w:tcPr>
          <w:p w14:paraId="1D4C3FAF"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849" w:type="dxa"/>
            <w:shd w:val="clear" w:color="auto" w:fill="F2F2F2"/>
            <w:vAlign w:val="center"/>
          </w:tcPr>
          <w:p w14:paraId="1133DF91" w14:textId="12C0B0FA"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F2F2F2"/>
            <w:vAlign w:val="center"/>
          </w:tcPr>
          <w:p w14:paraId="0E146803" w14:textId="0B6A6430" w:rsidR="001A582E" w:rsidRPr="001D74C5" w:rsidRDefault="001A582E" w:rsidP="001D74C5">
            <w:pPr>
              <w:spacing w:before="40" w:after="40"/>
              <w:jc w:val="center"/>
              <w:rPr>
                <w:rFonts w:cs="Arial"/>
                <w:sz w:val="16"/>
                <w:szCs w:val="16"/>
              </w:rPr>
            </w:pPr>
            <w:r w:rsidRPr="001D74C5">
              <w:rPr>
                <w:rFonts w:cs="Arial"/>
                <w:sz w:val="16"/>
                <w:szCs w:val="16"/>
              </w:rPr>
              <w:t>-</w:t>
            </w:r>
          </w:p>
        </w:tc>
        <w:tc>
          <w:tcPr>
            <w:tcW w:w="1120" w:type="dxa"/>
            <w:shd w:val="clear" w:color="auto" w:fill="F2F2F2"/>
            <w:vAlign w:val="center"/>
          </w:tcPr>
          <w:p w14:paraId="3FE7069E" w14:textId="33F21209" w:rsidR="001A582E" w:rsidRPr="001D74C5" w:rsidRDefault="001A582E" w:rsidP="001D74C5">
            <w:pPr>
              <w:spacing w:before="40" w:after="40"/>
              <w:jc w:val="center"/>
              <w:rPr>
                <w:rFonts w:cs="Arial"/>
                <w:sz w:val="16"/>
                <w:szCs w:val="16"/>
              </w:rPr>
            </w:pPr>
            <w:r w:rsidRPr="001D74C5">
              <w:rPr>
                <w:rFonts w:cs="Arial"/>
                <w:sz w:val="16"/>
                <w:szCs w:val="16"/>
              </w:rPr>
              <w:t>-</w:t>
            </w:r>
          </w:p>
        </w:tc>
        <w:tc>
          <w:tcPr>
            <w:tcW w:w="1071" w:type="dxa"/>
            <w:shd w:val="clear" w:color="auto" w:fill="F2F2F2"/>
            <w:vAlign w:val="center"/>
          </w:tcPr>
          <w:p w14:paraId="1CF5B8D6" w14:textId="590D567F" w:rsidR="001A582E" w:rsidRPr="001D74C5" w:rsidRDefault="001A582E" w:rsidP="001D74C5">
            <w:pPr>
              <w:spacing w:before="40" w:after="40"/>
              <w:jc w:val="center"/>
              <w:rPr>
                <w:rFonts w:cs="Arial"/>
                <w:sz w:val="16"/>
                <w:szCs w:val="16"/>
              </w:rPr>
            </w:pPr>
            <w:r w:rsidRPr="001D74C5">
              <w:rPr>
                <w:rFonts w:cs="Arial"/>
                <w:sz w:val="16"/>
                <w:szCs w:val="16"/>
              </w:rPr>
              <w:t>-</w:t>
            </w:r>
          </w:p>
        </w:tc>
      </w:tr>
      <w:tr w:rsidR="001A582E" w:rsidRPr="001D74C5" w14:paraId="094C384E" w14:textId="77777777" w:rsidTr="00BB47F6">
        <w:tc>
          <w:tcPr>
            <w:tcW w:w="1649" w:type="dxa"/>
            <w:shd w:val="clear" w:color="auto" w:fill="auto"/>
            <w:vAlign w:val="center"/>
          </w:tcPr>
          <w:p w14:paraId="1044BD86" w14:textId="6DE7C3BF" w:rsidR="001A582E" w:rsidRPr="001D74C5" w:rsidRDefault="001A582E" w:rsidP="001D74C5">
            <w:pPr>
              <w:spacing w:before="40" w:after="40"/>
              <w:rPr>
                <w:rFonts w:cs="Arial"/>
                <w:i/>
                <w:sz w:val="16"/>
                <w:szCs w:val="16"/>
              </w:rPr>
            </w:pPr>
            <w:r w:rsidRPr="001D74C5">
              <w:rPr>
                <w:rFonts w:cs="Arial"/>
                <w:i/>
                <w:sz w:val="16"/>
                <w:szCs w:val="16"/>
              </w:rPr>
              <w:t>Globicephala melas</w:t>
            </w:r>
          </w:p>
        </w:tc>
        <w:tc>
          <w:tcPr>
            <w:tcW w:w="1179" w:type="dxa"/>
            <w:shd w:val="clear" w:color="auto" w:fill="auto"/>
            <w:vAlign w:val="center"/>
          </w:tcPr>
          <w:p w14:paraId="38277786" w14:textId="77777777" w:rsidR="001A582E" w:rsidRPr="001D74C5" w:rsidRDefault="001A582E" w:rsidP="001D74C5">
            <w:pPr>
              <w:spacing w:before="40" w:after="40"/>
              <w:rPr>
                <w:rFonts w:cs="Arial"/>
                <w:sz w:val="16"/>
                <w:szCs w:val="16"/>
              </w:rPr>
            </w:pPr>
            <w:r w:rsidRPr="001D74C5">
              <w:rPr>
                <w:rFonts w:cs="Arial"/>
                <w:sz w:val="16"/>
                <w:szCs w:val="16"/>
              </w:rPr>
              <w:t>Long-finned pilot whale</w:t>
            </w:r>
          </w:p>
        </w:tc>
        <w:tc>
          <w:tcPr>
            <w:tcW w:w="1191" w:type="dxa"/>
            <w:shd w:val="clear" w:color="auto" w:fill="auto"/>
            <w:vAlign w:val="center"/>
          </w:tcPr>
          <w:p w14:paraId="5D213235"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004" w:type="dxa"/>
            <w:shd w:val="clear" w:color="auto" w:fill="auto"/>
            <w:vAlign w:val="center"/>
          </w:tcPr>
          <w:p w14:paraId="5D9015FC"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849" w:type="dxa"/>
            <w:shd w:val="clear" w:color="auto" w:fill="auto"/>
            <w:vAlign w:val="center"/>
          </w:tcPr>
          <w:p w14:paraId="7BA8529D" w14:textId="3A2C42C1"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auto"/>
            <w:vAlign w:val="center"/>
          </w:tcPr>
          <w:p w14:paraId="03764AB9" w14:textId="174CCE30" w:rsidR="001A582E" w:rsidRPr="001D74C5" w:rsidRDefault="001A582E" w:rsidP="001D74C5">
            <w:pPr>
              <w:spacing w:before="40" w:after="40"/>
              <w:jc w:val="center"/>
              <w:rPr>
                <w:rFonts w:cs="Arial"/>
                <w:sz w:val="16"/>
                <w:szCs w:val="16"/>
              </w:rPr>
            </w:pPr>
            <w:r w:rsidRPr="001D74C5">
              <w:rPr>
                <w:rFonts w:cs="Arial"/>
                <w:sz w:val="16"/>
                <w:szCs w:val="16"/>
              </w:rPr>
              <w:t>-</w:t>
            </w:r>
          </w:p>
        </w:tc>
        <w:tc>
          <w:tcPr>
            <w:tcW w:w="1120" w:type="dxa"/>
            <w:shd w:val="clear" w:color="auto" w:fill="auto"/>
            <w:vAlign w:val="center"/>
          </w:tcPr>
          <w:p w14:paraId="6C1D4E15" w14:textId="68AAB23E" w:rsidR="001A582E" w:rsidRPr="001D74C5" w:rsidRDefault="001A582E" w:rsidP="001D74C5">
            <w:pPr>
              <w:spacing w:before="40" w:after="40"/>
              <w:jc w:val="center"/>
              <w:rPr>
                <w:rFonts w:cs="Arial"/>
                <w:sz w:val="16"/>
                <w:szCs w:val="16"/>
              </w:rPr>
            </w:pPr>
            <w:r w:rsidRPr="001D74C5">
              <w:rPr>
                <w:rFonts w:cs="Arial"/>
                <w:sz w:val="16"/>
                <w:szCs w:val="16"/>
              </w:rPr>
              <w:t>-</w:t>
            </w:r>
          </w:p>
        </w:tc>
        <w:tc>
          <w:tcPr>
            <w:tcW w:w="1071" w:type="dxa"/>
            <w:shd w:val="clear" w:color="auto" w:fill="auto"/>
            <w:vAlign w:val="center"/>
          </w:tcPr>
          <w:p w14:paraId="3B496248" w14:textId="6FBC3866" w:rsidR="001A582E" w:rsidRPr="001D74C5" w:rsidRDefault="001A582E" w:rsidP="001D74C5">
            <w:pPr>
              <w:spacing w:before="40" w:after="40"/>
              <w:jc w:val="center"/>
              <w:rPr>
                <w:rFonts w:cs="Arial"/>
                <w:sz w:val="16"/>
                <w:szCs w:val="16"/>
              </w:rPr>
            </w:pPr>
            <w:r w:rsidRPr="001D74C5">
              <w:rPr>
                <w:rFonts w:cs="Arial"/>
                <w:sz w:val="16"/>
                <w:szCs w:val="16"/>
              </w:rPr>
              <w:t>-</w:t>
            </w:r>
          </w:p>
        </w:tc>
      </w:tr>
      <w:tr w:rsidR="001A582E" w:rsidRPr="001D74C5" w14:paraId="481C4E0E" w14:textId="77777777" w:rsidTr="00BB47F6">
        <w:tc>
          <w:tcPr>
            <w:tcW w:w="1649" w:type="dxa"/>
            <w:shd w:val="clear" w:color="auto" w:fill="F2F2F2"/>
            <w:vAlign w:val="center"/>
          </w:tcPr>
          <w:p w14:paraId="4C18BB23" w14:textId="77777777" w:rsidR="001A582E" w:rsidRPr="001D74C5" w:rsidRDefault="001A582E" w:rsidP="001D74C5">
            <w:pPr>
              <w:spacing w:before="40" w:after="40"/>
              <w:rPr>
                <w:rFonts w:cs="Arial"/>
                <w:i/>
                <w:sz w:val="16"/>
                <w:szCs w:val="16"/>
              </w:rPr>
            </w:pPr>
            <w:r w:rsidRPr="001D74C5">
              <w:rPr>
                <w:rFonts w:cs="Arial"/>
                <w:i/>
                <w:sz w:val="16"/>
                <w:szCs w:val="16"/>
              </w:rPr>
              <w:t>Hyperoodon planifrons</w:t>
            </w:r>
          </w:p>
        </w:tc>
        <w:tc>
          <w:tcPr>
            <w:tcW w:w="1179" w:type="dxa"/>
            <w:shd w:val="clear" w:color="auto" w:fill="F2F2F2"/>
            <w:vAlign w:val="center"/>
          </w:tcPr>
          <w:p w14:paraId="6BD00D65" w14:textId="77777777" w:rsidR="001A582E" w:rsidRPr="001D74C5" w:rsidRDefault="001A582E" w:rsidP="001D74C5">
            <w:pPr>
              <w:spacing w:before="40" w:after="40"/>
              <w:rPr>
                <w:rFonts w:cs="Arial"/>
                <w:sz w:val="16"/>
                <w:szCs w:val="16"/>
              </w:rPr>
            </w:pPr>
            <w:r w:rsidRPr="001D74C5">
              <w:rPr>
                <w:rFonts w:cs="Arial"/>
                <w:sz w:val="16"/>
                <w:szCs w:val="16"/>
              </w:rPr>
              <w:t>Southern bottlenose whale</w:t>
            </w:r>
          </w:p>
        </w:tc>
        <w:tc>
          <w:tcPr>
            <w:tcW w:w="1191" w:type="dxa"/>
            <w:shd w:val="clear" w:color="auto" w:fill="F2F2F2"/>
            <w:vAlign w:val="center"/>
          </w:tcPr>
          <w:p w14:paraId="279EDA2C"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004" w:type="dxa"/>
            <w:shd w:val="clear" w:color="auto" w:fill="F2F2F2"/>
            <w:vAlign w:val="center"/>
          </w:tcPr>
          <w:p w14:paraId="142494D7"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849" w:type="dxa"/>
            <w:shd w:val="clear" w:color="auto" w:fill="F2F2F2"/>
            <w:vAlign w:val="center"/>
          </w:tcPr>
          <w:p w14:paraId="5A6EC130" w14:textId="4566162E"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F2F2F2"/>
            <w:vAlign w:val="center"/>
          </w:tcPr>
          <w:p w14:paraId="65F63A68" w14:textId="788ED728" w:rsidR="001A582E" w:rsidRPr="001D74C5" w:rsidRDefault="001A582E" w:rsidP="001D74C5">
            <w:pPr>
              <w:spacing w:before="40" w:after="40"/>
              <w:jc w:val="center"/>
              <w:rPr>
                <w:rFonts w:cs="Arial"/>
                <w:sz w:val="16"/>
                <w:szCs w:val="16"/>
              </w:rPr>
            </w:pPr>
            <w:r w:rsidRPr="001D74C5">
              <w:rPr>
                <w:rFonts w:cs="Arial"/>
                <w:sz w:val="16"/>
                <w:szCs w:val="16"/>
              </w:rPr>
              <w:t>-</w:t>
            </w:r>
          </w:p>
        </w:tc>
        <w:tc>
          <w:tcPr>
            <w:tcW w:w="1120" w:type="dxa"/>
            <w:shd w:val="clear" w:color="auto" w:fill="F2F2F2"/>
            <w:vAlign w:val="center"/>
          </w:tcPr>
          <w:p w14:paraId="322B9E2B" w14:textId="7784DF98" w:rsidR="001A582E" w:rsidRPr="001D74C5" w:rsidRDefault="001A582E" w:rsidP="001D74C5">
            <w:pPr>
              <w:spacing w:before="40" w:after="40"/>
              <w:jc w:val="center"/>
              <w:rPr>
                <w:rFonts w:cs="Arial"/>
                <w:sz w:val="16"/>
                <w:szCs w:val="16"/>
              </w:rPr>
            </w:pPr>
            <w:r w:rsidRPr="001D74C5">
              <w:rPr>
                <w:rFonts w:cs="Arial"/>
                <w:sz w:val="16"/>
                <w:szCs w:val="16"/>
              </w:rPr>
              <w:t>-</w:t>
            </w:r>
          </w:p>
        </w:tc>
        <w:tc>
          <w:tcPr>
            <w:tcW w:w="1071" w:type="dxa"/>
            <w:shd w:val="clear" w:color="auto" w:fill="F2F2F2"/>
            <w:vAlign w:val="center"/>
          </w:tcPr>
          <w:p w14:paraId="4E5FB129" w14:textId="22CCA156" w:rsidR="001A582E" w:rsidRPr="001D74C5" w:rsidRDefault="001A582E" w:rsidP="001D74C5">
            <w:pPr>
              <w:spacing w:before="40" w:after="40"/>
              <w:jc w:val="center"/>
              <w:rPr>
                <w:rFonts w:cs="Arial"/>
                <w:sz w:val="16"/>
                <w:szCs w:val="16"/>
              </w:rPr>
            </w:pPr>
            <w:r w:rsidRPr="001D74C5">
              <w:rPr>
                <w:rFonts w:cs="Arial"/>
                <w:sz w:val="16"/>
                <w:szCs w:val="16"/>
              </w:rPr>
              <w:t>-</w:t>
            </w:r>
          </w:p>
        </w:tc>
      </w:tr>
      <w:tr w:rsidR="001A582E" w:rsidRPr="001D74C5" w14:paraId="3E578644" w14:textId="77777777" w:rsidTr="00BB47F6">
        <w:tc>
          <w:tcPr>
            <w:tcW w:w="1649" w:type="dxa"/>
            <w:shd w:val="clear" w:color="auto" w:fill="auto"/>
            <w:vAlign w:val="center"/>
          </w:tcPr>
          <w:p w14:paraId="00EB58F7" w14:textId="77777777" w:rsidR="001A582E" w:rsidRPr="001D74C5" w:rsidRDefault="001A582E" w:rsidP="001D74C5">
            <w:pPr>
              <w:spacing w:before="40" w:after="40"/>
              <w:rPr>
                <w:rFonts w:cs="Arial"/>
                <w:i/>
                <w:sz w:val="16"/>
                <w:szCs w:val="16"/>
              </w:rPr>
            </w:pPr>
            <w:r w:rsidRPr="001D74C5">
              <w:rPr>
                <w:rFonts w:cs="Arial"/>
                <w:i/>
                <w:sz w:val="16"/>
                <w:szCs w:val="16"/>
              </w:rPr>
              <w:t>Kogia breviceps</w:t>
            </w:r>
          </w:p>
        </w:tc>
        <w:tc>
          <w:tcPr>
            <w:tcW w:w="1179" w:type="dxa"/>
            <w:shd w:val="clear" w:color="auto" w:fill="auto"/>
            <w:vAlign w:val="center"/>
          </w:tcPr>
          <w:p w14:paraId="5FC0A218" w14:textId="77777777" w:rsidR="001A582E" w:rsidRPr="001D74C5" w:rsidRDefault="001A582E" w:rsidP="001D74C5">
            <w:pPr>
              <w:spacing w:before="40" w:after="40"/>
              <w:rPr>
                <w:rFonts w:cs="Arial"/>
                <w:sz w:val="16"/>
                <w:szCs w:val="16"/>
              </w:rPr>
            </w:pPr>
            <w:r w:rsidRPr="001D74C5">
              <w:rPr>
                <w:rFonts w:cs="Arial"/>
                <w:sz w:val="16"/>
                <w:szCs w:val="16"/>
              </w:rPr>
              <w:t>Pygmy sperm whale</w:t>
            </w:r>
          </w:p>
        </w:tc>
        <w:tc>
          <w:tcPr>
            <w:tcW w:w="1191" w:type="dxa"/>
            <w:shd w:val="clear" w:color="auto" w:fill="auto"/>
            <w:vAlign w:val="center"/>
          </w:tcPr>
          <w:p w14:paraId="7C174C8E"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004" w:type="dxa"/>
            <w:shd w:val="clear" w:color="auto" w:fill="auto"/>
            <w:vAlign w:val="center"/>
          </w:tcPr>
          <w:p w14:paraId="24E0E716"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849" w:type="dxa"/>
            <w:shd w:val="clear" w:color="auto" w:fill="auto"/>
            <w:vAlign w:val="center"/>
          </w:tcPr>
          <w:p w14:paraId="630E0870" w14:textId="27514317"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auto"/>
            <w:vAlign w:val="center"/>
          </w:tcPr>
          <w:p w14:paraId="2C669B89" w14:textId="1AE123ED" w:rsidR="001A582E" w:rsidRPr="001D74C5" w:rsidRDefault="001A582E" w:rsidP="001D74C5">
            <w:pPr>
              <w:spacing w:before="40" w:after="40"/>
              <w:jc w:val="center"/>
              <w:rPr>
                <w:rFonts w:cs="Arial"/>
                <w:sz w:val="16"/>
                <w:szCs w:val="16"/>
              </w:rPr>
            </w:pPr>
            <w:r w:rsidRPr="001D74C5">
              <w:rPr>
                <w:rFonts w:cs="Arial"/>
                <w:sz w:val="16"/>
                <w:szCs w:val="16"/>
              </w:rPr>
              <w:t>-</w:t>
            </w:r>
          </w:p>
        </w:tc>
        <w:tc>
          <w:tcPr>
            <w:tcW w:w="1120" w:type="dxa"/>
            <w:shd w:val="clear" w:color="auto" w:fill="auto"/>
            <w:vAlign w:val="center"/>
          </w:tcPr>
          <w:p w14:paraId="7769B15B" w14:textId="3F82B9B6" w:rsidR="001A582E" w:rsidRPr="001D74C5" w:rsidRDefault="001A582E" w:rsidP="001D74C5">
            <w:pPr>
              <w:spacing w:before="40" w:after="40"/>
              <w:jc w:val="center"/>
              <w:rPr>
                <w:rFonts w:cs="Arial"/>
                <w:sz w:val="16"/>
                <w:szCs w:val="16"/>
              </w:rPr>
            </w:pPr>
            <w:r w:rsidRPr="001D74C5">
              <w:rPr>
                <w:rFonts w:cs="Arial"/>
                <w:sz w:val="16"/>
                <w:szCs w:val="16"/>
              </w:rPr>
              <w:t>-</w:t>
            </w:r>
          </w:p>
        </w:tc>
        <w:tc>
          <w:tcPr>
            <w:tcW w:w="1071" w:type="dxa"/>
            <w:shd w:val="clear" w:color="auto" w:fill="auto"/>
            <w:vAlign w:val="center"/>
          </w:tcPr>
          <w:p w14:paraId="2CC5E10D" w14:textId="1F561285" w:rsidR="001A582E" w:rsidRPr="001D74C5" w:rsidRDefault="001A582E" w:rsidP="001D74C5">
            <w:pPr>
              <w:spacing w:before="40" w:after="40"/>
              <w:jc w:val="center"/>
              <w:rPr>
                <w:rFonts w:cs="Arial"/>
                <w:sz w:val="16"/>
                <w:szCs w:val="16"/>
              </w:rPr>
            </w:pPr>
            <w:r w:rsidRPr="001D74C5">
              <w:rPr>
                <w:rFonts w:cs="Arial"/>
                <w:sz w:val="16"/>
                <w:szCs w:val="16"/>
              </w:rPr>
              <w:t>-</w:t>
            </w:r>
          </w:p>
        </w:tc>
      </w:tr>
      <w:tr w:rsidR="001A582E" w:rsidRPr="001D74C5" w14:paraId="0879E945" w14:textId="77777777" w:rsidTr="00BB47F6">
        <w:tc>
          <w:tcPr>
            <w:tcW w:w="1649" w:type="dxa"/>
            <w:shd w:val="clear" w:color="auto" w:fill="F2F2F2"/>
            <w:vAlign w:val="center"/>
          </w:tcPr>
          <w:p w14:paraId="3EC6B0AD" w14:textId="2A1C35E8" w:rsidR="001A582E" w:rsidRPr="001D74C5" w:rsidRDefault="001A582E" w:rsidP="001D74C5">
            <w:pPr>
              <w:spacing w:before="40" w:after="40"/>
              <w:rPr>
                <w:rFonts w:cs="Arial"/>
                <w:i/>
                <w:sz w:val="16"/>
                <w:szCs w:val="16"/>
              </w:rPr>
            </w:pPr>
            <w:r w:rsidRPr="001D74C5">
              <w:rPr>
                <w:rFonts w:cs="Arial"/>
                <w:i/>
                <w:sz w:val="16"/>
                <w:szCs w:val="16"/>
              </w:rPr>
              <w:t>Kogia simus</w:t>
            </w:r>
          </w:p>
        </w:tc>
        <w:tc>
          <w:tcPr>
            <w:tcW w:w="1179" w:type="dxa"/>
            <w:shd w:val="clear" w:color="auto" w:fill="F2F2F2"/>
            <w:vAlign w:val="center"/>
          </w:tcPr>
          <w:p w14:paraId="6774ABBF" w14:textId="77777777" w:rsidR="001A582E" w:rsidRPr="001D74C5" w:rsidRDefault="001A582E" w:rsidP="001D74C5">
            <w:pPr>
              <w:spacing w:before="40" w:after="40"/>
              <w:rPr>
                <w:rFonts w:cs="Arial"/>
                <w:sz w:val="16"/>
                <w:szCs w:val="16"/>
              </w:rPr>
            </w:pPr>
            <w:r w:rsidRPr="001D74C5">
              <w:rPr>
                <w:rFonts w:cs="Arial"/>
                <w:sz w:val="16"/>
                <w:szCs w:val="16"/>
              </w:rPr>
              <w:t>Dwarf sperm whale</w:t>
            </w:r>
          </w:p>
        </w:tc>
        <w:tc>
          <w:tcPr>
            <w:tcW w:w="1191" w:type="dxa"/>
            <w:shd w:val="clear" w:color="auto" w:fill="F2F2F2"/>
            <w:vAlign w:val="center"/>
          </w:tcPr>
          <w:p w14:paraId="01EDA27F"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004" w:type="dxa"/>
            <w:shd w:val="clear" w:color="auto" w:fill="F2F2F2"/>
            <w:vAlign w:val="center"/>
          </w:tcPr>
          <w:p w14:paraId="147F8907"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849" w:type="dxa"/>
            <w:shd w:val="clear" w:color="auto" w:fill="F2F2F2"/>
            <w:vAlign w:val="center"/>
          </w:tcPr>
          <w:p w14:paraId="7BB88F6F" w14:textId="477C59F1"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F2F2F2"/>
            <w:vAlign w:val="center"/>
          </w:tcPr>
          <w:p w14:paraId="72638783" w14:textId="4A2C0174" w:rsidR="001A582E" w:rsidRPr="001D74C5" w:rsidRDefault="001A582E" w:rsidP="001D74C5">
            <w:pPr>
              <w:spacing w:before="40" w:after="40"/>
              <w:jc w:val="center"/>
              <w:rPr>
                <w:rFonts w:cs="Arial"/>
                <w:sz w:val="16"/>
                <w:szCs w:val="16"/>
              </w:rPr>
            </w:pPr>
            <w:r w:rsidRPr="001D74C5">
              <w:rPr>
                <w:rFonts w:cs="Arial"/>
                <w:sz w:val="16"/>
                <w:szCs w:val="16"/>
              </w:rPr>
              <w:t>-</w:t>
            </w:r>
          </w:p>
        </w:tc>
        <w:tc>
          <w:tcPr>
            <w:tcW w:w="1120" w:type="dxa"/>
            <w:shd w:val="clear" w:color="auto" w:fill="F2F2F2"/>
            <w:vAlign w:val="center"/>
          </w:tcPr>
          <w:p w14:paraId="6F52A5E5" w14:textId="151B5FC0" w:rsidR="001A582E" w:rsidRPr="001D74C5" w:rsidRDefault="001A582E" w:rsidP="001D74C5">
            <w:pPr>
              <w:spacing w:before="40" w:after="40"/>
              <w:jc w:val="center"/>
              <w:rPr>
                <w:rFonts w:cs="Arial"/>
                <w:sz w:val="16"/>
                <w:szCs w:val="16"/>
              </w:rPr>
            </w:pPr>
            <w:r w:rsidRPr="001D74C5">
              <w:rPr>
                <w:rFonts w:cs="Arial"/>
                <w:sz w:val="16"/>
                <w:szCs w:val="16"/>
              </w:rPr>
              <w:t>-</w:t>
            </w:r>
          </w:p>
        </w:tc>
        <w:tc>
          <w:tcPr>
            <w:tcW w:w="1071" w:type="dxa"/>
            <w:shd w:val="clear" w:color="auto" w:fill="F2F2F2"/>
            <w:vAlign w:val="center"/>
          </w:tcPr>
          <w:p w14:paraId="50B34564" w14:textId="44114D96" w:rsidR="001A582E" w:rsidRPr="001D74C5" w:rsidRDefault="001A582E" w:rsidP="001D74C5">
            <w:pPr>
              <w:spacing w:before="40" w:after="40"/>
              <w:jc w:val="center"/>
              <w:rPr>
                <w:rFonts w:cs="Arial"/>
                <w:sz w:val="16"/>
                <w:szCs w:val="16"/>
              </w:rPr>
            </w:pPr>
            <w:r w:rsidRPr="001D74C5">
              <w:rPr>
                <w:rFonts w:cs="Arial"/>
                <w:sz w:val="16"/>
                <w:szCs w:val="16"/>
              </w:rPr>
              <w:t>-</w:t>
            </w:r>
          </w:p>
        </w:tc>
      </w:tr>
      <w:tr w:rsidR="001A582E" w:rsidRPr="001D74C5" w14:paraId="010919FD" w14:textId="77777777" w:rsidTr="00BB47F6">
        <w:tc>
          <w:tcPr>
            <w:tcW w:w="1649" w:type="dxa"/>
            <w:shd w:val="clear" w:color="auto" w:fill="auto"/>
            <w:vAlign w:val="center"/>
          </w:tcPr>
          <w:p w14:paraId="47F6AAAC" w14:textId="77777777" w:rsidR="001A582E" w:rsidRPr="001D74C5" w:rsidRDefault="001A582E" w:rsidP="001D74C5">
            <w:pPr>
              <w:spacing w:before="40" w:after="40"/>
              <w:rPr>
                <w:rFonts w:cs="Arial"/>
                <w:i/>
                <w:sz w:val="16"/>
                <w:szCs w:val="16"/>
              </w:rPr>
            </w:pPr>
            <w:r w:rsidRPr="001D74C5">
              <w:rPr>
                <w:rFonts w:cs="Arial"/>
                <w:i/>
                <w:sz w:val="16"/>
                <w:szCs w:val="16"/>
              </w:rPr>
              <w:t>Megaptera novaeangliae</w:t>
            </w:r>
          </w:p>
        </w:tc>
        <w:tc>
          <w:tcPr>
            <w:tcW w:w="1179" w:type="dxa"/>
            <w:shd w:val="clear" w:color="auto" w:fill="auto"/>
            <w:vAlign w:val="center"/>
          </w:tcPr>
          <w:p w14:paraId="5CFE6193" w14:textId="77777777" w:rsidR="001A582E" w:rsidRPr="001D74C5" w:rsidRDefault="001A582E" w:rsidP="001D74C5">
            <w:pPr>
              <w:spacing w:before="40" w:after="40"/>
              <w:rPr>
                <w:rFonts w:cs="Arial"/>
                <w:sz w:val="16"/>
                <w:szCs w:val="16"/>
              </w:rPr>
            </w:pPr>
            <w:r w:rsidRPr="001D74C5">
              <w:rPr>
                <w:rFonts w:cs="Arial"/>
                <w:sz w:val="16"/>
                <w:szCs w:val="16"/>
              </w:rPr>
              <w:t>Humpback whale</w:t>
            </w:r>
          </w:p>
        </w:tc>
        <w:tc>
          <w:tcPr>
            <w:tcW w:w="1191" w:type="dxa"/>
            <w:shd w:val="clear" w:color="auto" w:fill="auto"/>
            <w:vAlign w:val="center"/>
          </w:tcPr>
          <w:p w14:paraId="25F21D1F" w14:textId="6407DB7C" w:rsidR="001A582E" w:rsidRPr="001D74C5" w:rsidRDefault="001A582E" w:rsidP="001D74C5">
            <w:pPr>
              <w:spacing w:before="40" w:after="40"/>
              <w:jc w:val="center"/>
              <w:rPr>
                <w:rFonts w:cs="Arial"/>
                <w:sz w:val="16"/>
                <w:szCs w:val="16"/>
              </w:rPr>
            </w:pPr>
            <w:r w:rsidRPr="001D74C5">
              <w:rPr>
                <w:rFonts w:cs="Arial"/>
                <w:sz w:val="16"/>
                <w:szCs w:val="16"/>
              </w:rPr>
              <w:t>V</w:t>
            </w:r>
          </w:p>
        </w:tc>
        <w:tc>
          <w:tcPr>
            <w:tcW w:w="1004" w:type="dxa"/>
            <w:shd w:val="clear" w:color="auto" w:fill="auto"/>
            <w:vAlign w:val="center"/>
          </w:tcPr>
          <w:p w14:paraId="5453E422" w14:textId="0C51A13A"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849" w:type="dxa"/>
            <w:shd w:val="clear" w:color="auto" w:fill="auto"/>
            <w:vAlign w:val="center"/>
          </w:tcPr>
          <w:p w14:paraId="3163DD32" w14:textId="17451A3A"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auto"/>
            <w:vAlign w:val="center"/>
          </w:tcPr>
          <w:p w14:paraId="5F298FC5" w14:textId="04CD9CB1" w:rsidR="001A582E" w:rsidRPr="001D74C5" w:rsidRDefault="00DD5ED8" w:rsidP="001D74C5">
            <w:pPr>
              <w:spacing w:before="40" w:after="40"/>
              <w:jc w:val="center"/>
              <w:rPr>
                <w:rFonts w:cs="Arial"/>
                <w:sz w:val="16"/>
                <w:szCs w:val="16"/>
              </w:rPr>
            </w:pPr>
            <w:r w:rsidRPr="001D74C5">
              <w:rPr>
                <w:rFonts w:cs="Arial"/>
                <w:sz w:val="16"/>
                <w:szCs w:val="16"/>
              </w:rPr>
              <w:t>T</w:t>
            </w:r>
          </w:p>
        </w:tc>
        <w:tc>
          <w:tcPr>
            <w:tcW w:w="1120" w:type="dxa"/>
            <w:shd w:val="clear" w:color="auto" w:fill="auto"/>
            <w:vAlign w:val="center"/>
          </w:tcPr>
          <w:p w14:paraId="587D52C7" w14:textId="4D800229" w:rsidR="001A582E" w:rsidRPr="001D74C5" w:rsidRDefault="001A582E" w:rsidP="001D74C5">
            <w:pPr>
              <w:spacing w:before="40" w:after="40"/>
              <w:jc w:val="center"/>
              <w:rPr>
                <w:rFonts w:cs="Arial"/>
                <w:sz w:val="16"/>
                <w:szCs w:val="16"/>
              </w:rPr>
            </w:pPr>
            <w:r w:rsidRPr="001D74C5">
              <w:rPr>
                <w:rFonts w:cs="Arial"/>
                <w:sz w:val="16"/>
                <w:szCs w:val="16"/>
              </w:rPr>
              <w:t>-</w:t>
            </w:r>
          </w:p>
        </w:tc>
        <w:tc>
          <w:tcPr>
            <w:tcW w:w="1071" w:type="dxa"/>
            <w:shd w:val="clear" w:color="auto" w:fill="auto"/>
            <w:vAlign w:val="center"/>
          </w:tcPr>
          <w:p w14:paraId="5ADD90CE" w14:textId="0CDCB5C8" w:rsidR="001A582E" w:rsidRPr="001D74C5" w:rsidRDefault="00394CA4" w:rsidP="001D74C5">
            <w:pPr>
              <w:spacing w:before="40" w:after="40"/>
              <w:jc w:val="center"/>
              <w:rPr>
                <w:rFonts w:cs="Arial"/>
                <w:sz w:val="16"/>
                <w:szCs w:val="16"/>
              </w:rPr>
            </w:pPr>
            <w:r w:rsidRPr="001D74C5">
              <w:rPr>
                <w:rFonts w:cs="Arial"/>
                <w:sz w:val="16"/>
                <w:szCs w:val="16"/>
              </w:rPr>
              <w:t>CA</w:t>
            </w:r>
          </w:p>
        </w:tc>
      </w:tr>
      <w:tr w:rsidR="001A582E" w:rsidRPr="001D74C5" w14:paraId="5D99B99A" w14:textId="77777777" w:rsidTr="00BB47F6">
        <w:tc>
          <w:tcPr>
            <w:tcW w:w="1649" w:type="dxa"/>
            <w:shd w:val="clear" w:color="auto" w:fill="F2F2F2"/>
            <w:vAlign w:val="center"/>
          </w:tcPr>
          <w:p w14:paraId="5536A8A5" w14:textId="77777777" w:rsidR="001A582E" w:rsidRPr="001D74C5" w:rsidRDefault="001A582E" w:rsidP="001D74C5">
            <w:pPr>
              <w:spacing w:before="40" w:after="40"/>
              <w:rPr>
                <w:rFonts w:cs="Arial"/>
                <w:i/>
                <w:sz w:val="16"/>
                <w:szCs w:val="16"/>
              </w:rPr>
            </w:pPr>
            <w:r w:rsidRPr="001D74C5">
              <w:rPr>
                <w:rFonts w:cs="Arial"/>
                <w:i/>
                <w:sz w:val="16"/>
                <w:szCs w:val="16"/>
              </w:rPr>
              <w:t>Mesoplodon bowdoini</w:t>
            </w:r>
          </w:p>
        </w:tc>
        <w:tc>
          <w:tcPr>
            <w:tcW w:w="1179" w:type="dxa"/>
            <w:shd w:val="clear" w:color="auto" w:fill="F2F2F2"/>
            <w:vAlign w:val="center"/>
          </w:tcPr>
          <w:p w14:paraId="2CF0A274" w14:textId="77777777" w:rsidR="001A582E" w:rsidRPr="001D74C5" w:rsidRDefault="001A582E" w:rsidP="001D74C5">
            <w:pPr>
              <w:spacing w:before="40" w:after="40"/>
              <w:rPr>
                <w:rFonts w:cs="Arial"/>
                <w:sz w:val="16"/>
                <w:szCs w:val="16"/>
              </w:rPr>
            </w:pPr>
            <w:r w:rsidRPr="001D74C5">
              <w:rPr>
                <w:rFonts w:cs="Arial"/>
                <w:sz w:val="16"/>
                <w:szCs w:val="16"/>
              </w:rPr>
              <w:t>Andrew’s beaked whale</w:t>
            </w:r>
          </w:p>
        </w:tc>
        <w:tc>
          <w:tcPr>
            <w:tcW w:w="1191" w:type="dxa"/>
            <w:shd w:val="clear" w:color="auto" w:fill="F2F2F2"/>
            <w:vAlign w:val="center"/>
          </w:tcPr>
          <w:p w14:paraId="2694F949"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004" w:type="dxa"/>
            <w:shd w:val="clear" w:color="auto" w:fill="F2F2F2"/>
            <w:vAlign w:val="center"/>
          </w:tcPr>
          <w:p w14:paraId="3C2C2163"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849" w:type="dxa"/>
            <w:shd w:val="clear" w:color="auto" w:fill="F2F2F2"/>
            <w:vAlign w:val="center"/>
          </w:tcPr>
          <w:p w14:paraId="0409B1D4" w14:textId="4D86124A"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F2F2F2"/>
            <w:vAlign w:val="center"/>
          </w:tcPr>
          <w:p w14:paraId="02F7C3D9" w14:textId="1540AE7D" w:rsidR="001A582E" w:rsidRPr="001D74C5" w:rsidRDefault="001A582E" w:rsidP="001D74C5">
            <w:pPr>
              <w:spacing w:before="40" w:after="40"/>
              <w:jc w:val="center"/>
              <w:rPr>
                <w:rFonts w:cs="Arial"/>
                <w:sz w:val="16"/>
                <w:szCs w:val="16"/>
              </w:rPr>
            </w:pPr>
            <w:r w:rsidRPr="001D74C5">
              <w:rPr>
                <w:rFonts w:cs="Arial"/>
                <w:sz w:val="16"/>
                <w:szCs w:val="16"/>
              </w:rPr>
              <w:t>-</w:t>
            </w:r>
          </w:p>
        </w:tc>
        <w:tc>
          <w:tcPr>
            <w:tcW w:w="1120" w:type="dxa"/>
            <w:shd w:val="clear" w:color="auto" w:fill="F2F2F2"/>
            <w:vAlign w:val="center"/>
          </w:tcPr>
          <w:p w14:paraId="7621074A" w14:textId="5634FA0D" w:rsidR="001A582E" w:rsidRPr="001D74C5" w:rsidRDefault="001A582E" w:rsidP="001D74C5">
            <w:pPr>
              <w:spacing w:before="40" w:after="40"/>
              <w:jc w:val="center"/>
              <w:rPr>
                <w:rFonts w:cs="Arial"/>
                <w:sz w:val="16"/>
                <w:szCs w:val="16"/>
              </w:rPr>
            </w:pPr>
            <w:r w:rsidRPr="001D74C5">
              <w:rPr>
                <w:rFonts w:cs="Arial"/>
                <w:sz w:val="16"/>
                <w:szCs w:val="16"/>
              </w:rPr>
              <w:t>-</w:t>
            </w:r>
          </w:p>
        </w:tc>
        <w:tc>
          <w:tcPr>
            <w:tcW w:w="1071" w:type="dxa"/>
            <w:shd w:val="clear" w:color="auto" w:fill="F2F2F2"/>
            <w:vAlign w:val="center"/>
          </w:tcPr>
          <w:p w14:paraId="6C218935" w14:textId="5E265AF3" w:rsidR="001A582E" w:rsidRPr="001D74C5" w:rsidRDefault="001A582E" w:rsidP="001D74C5">
            <w:pPr>
              <w:spacing w:before="40" w:after="40"/>
              <w:jc w:val="center"/>
              <w:rPr>
                <w:rFonts w:cs="Arial"/>
                <w:sz w:val="16"/>
                <w:szCs w:val="16"/>
              </w:rPr>
            </w:pPr>
            <w:r w:rsidRPr="001D74C5">
              <w:rPr>
                <w:rFonts w:cs="Arial"/>
                <w:sz w:val="16"/>
                <w:szCs w:val="16"/>
              </w:rPr>
              <w:t>-</w:t>
            </w:r>
          </w:p>
        </w:tc>
      </w:tr>
      <w:tr w:rsidR="001A582E" w:rsidRPr="001D74C5" w14:paraId="6001A5C5" w14:textId="77777777" w:rsidTr="00BB47F6">
        <w:tc>
          <w:tcPr>
            <w:tcW w:w="1649" w:type="dxa"/>
            <w:shd w:val="clear" w:color="auto" w:fill="auto"/>
            <w:vAlign w:val="center"/>
          </w:tcPr>
          <w:p w14:paraId="6D7232D1" w14:textId="5E850BED" w:rsidR="001A582E" w:rsidRPr="001D74C5" w:rsidRDefault="001A582E" w:rsidP="001D74C5">
            <w:pPr>
              <w:spacing w:before="40" w:after="40"/>
              <w:rPr>
                <w:rFonts w:cs="Arial"/>
                <w:i/>
                <w:sz w:val="16"/>
                <w:szCs w:val="16"/>
              </w:rPr>
            </w:pPr>
            <w:r w:rsidRPr="001D74C5">
              <w:rPr>
                <w:rFonts w:cs="Arial"/>
                <w:i/>
                <w:sz w:val="16"/>
                <w:szCs w:val="16"/>
              </w:rPr>
              <w:t>Mesoplodon hectori</w:t>
            </w:r>
          </w:p>
        </w:tc>
        <w:tc>
          <w:tcPr>
            <w:tcW w:w="1179" w:type="dxa"/>
            <w:shd w:val="clear" w:color="auto" w:fill="auto"/>
            <w:vAlign w:val="center"/>
          </w:tcPr>
          <w:p w14:paraId="51146F04" w14:textId="77777777" w:rsidR="001A582E" w:rsidRPr="001D74C5" w:rsidRDefault="001A582E" w:rsidP="001D74C5">
            <w:pPr>
              <w:spacing w:before="40" w:after="40"/>
              <w:rPr>
                <w:rFonts w:cs="Arial"/>
                <w:sz w:val="16"/>
                <w:szCs w:val="16"/>
              </w:rPr>
            </w:pPr>
            <w:r w:rsidRPr="001D74C5">
              <w:rPr>
                <w:rFonts w:cs="Arial"/>
                <w:sz w:val="16"/>
                <w:szCs w:val="16"/>
              </w:rPr>
              <w:t>Hector’s beaked whale</w:t>
            </w:r>
          </w:p>
        </w:tc>
        <w:tc>
          <w:tcPr>
            <w:tcW w:w="1191" w:type="dxa"/>
            <w:shd w:val="clear" w:color="auto" w:fill="auto"/>
            <w:vAlign w:val="center"/>
          </w:tcPr>
          <w:p w14:paraId="17F3C64B"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004" w:type="dxa"/>
            <w:shd w:val="clear" w:color="auto" w:fill="auto"/>
            <w:vAlign w:val="center"/>
          </w:tcPr>
          <w:p w14:paraId="7E0AFCEA"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849" w:type="dxa"/>
            <w:shd w:val="clear" w:color="auto" w:fill="auto"/>
            <w:vAlign w:val="center"/>
          </w:tcPr>
          <w:p w14:paraId="06959CC4" w14:textId="4A87002B"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auto"/>
            <w:vAlign w:val="center"/>
          </w:tcPr>
          <w:p w14:paraId="34ABB324" w14:textId="6D72A1BD" w:rsidR="001A582E" w:rsidRPr="001D74C5" w:rsidRDefault="001A582E" w:rsidP="001D74C5">
            <w:pPr>
              <w:spacing w:before="40" w:after="40"/>
              <w:jc w:val="center"/>
              <w:rPr>
                <w:rFonts w:cs="Arial"/>
                <w:sz w:val="16"/>
                <w:szCs w:val="16"/>
              </w:rPr>
            </w:pPr>
            <w:r w:rsidRPr="001D74C5">
              <w:rPr>
                <w:rFonts w:cs="Arial"/>
                <w:sz w:val="16"/>
                <w:szCs w:val="16"/>
              </w:rPr>
              <w:t>-</w:t>
            </w:r>
          </w:p>
        </w:tc>
        <w:tc>
          <w:tcPr>
            <w:tcW w:w="1120" w:type="dxa"/>
            <w:shd w:val="clear" w:color="auto" w:fill="auto"/>
            <w:vAlign w:val="center"/>
          </w:tcPr>
          <w:p w14:paraId="3A043ECD" w14:textId="4969B27E" w:rsidR="001A582E" w:rsidRPr="001D74C5" w:rsidRDefault="001A582E" w:rsidP="001D74C5">
            <w:pPr>
              <w:spacing w:before="40" w:after="40"/>
              <w:jc w:val="center"/>
              <w:rPr>
                <w:rFonts w:cs="Arial"/>
                <w:sz w:val="16"/>
                <w:szCs w:val="16"/>
              </w:rPr>
            </w:pPr>
            <w:r w:rsidRPr="001D74C5">
              <w:rPr>
                <w:rFonts w:cs="Arial"/>
                <w:sz w:val="16"/>
                <w:szCs w:val="16"/>
              </w:rPr>
              <w:t>-</w:t>
            </w:r>
          </w:p>
        </w:tc>
        <w:tc>
          <w:tcPr>
            <w:tcW w:w="1071" w:type="dxa"/>
            <w:shd w:val="clear" w:color="auto" w:fill="auto"/>
            <w:vAlign w:val="center"/>
          </w:tcPr>
          <w:p w14:paraId="4FEA0654" w14:textId="007BFA04" w:rsidR="001A582E" w:rsidRPr="001D74C5" w:rsidRDefault="001A582E" w:rsidP="001D74C5">
            <w:pPr>
              <w:spacing w:before="40" w:after="40"/>
              <w:jc w:val="center"/>
              <w:rPr>
                <w:rFonts w:cs="Arial"/>
                <w:sz w:val="16"/>
                <w:szCs w:val="16"/>
              </w:rPr>
            </w:pPr>
            <w:r w:rsidRPr="001D74C5">
              <w:rPr>
                <w:rFonts w:cs="Arial"/>
                <w:sz w:val="16"/>
                <w:szCs w:val="16"/>
              </w:rPr>
              <w:t>-</w:t>
            </w:r>
          </w:p>
        </w:tc>
      </w:tr>
      <w:tr w:rsidR="001A582E" w:rsidRPr="001D74C5" w14:paraId="007E0516" w14:textId="77777777" w:rsidTr="00BB47F6">
        <w:tc>
          <w:tcPr>
            <w:tcW w:w="1649" w:type="dxa"/>
            <w:shd w:val="clear" w:color="auto" w:fill="F2F2F2"/>
            <w:vAlign w:val="center"/>
          </w:tcPr>
          <w:p w14:paraId="3A416DEE" w14:textId="4EF14BAD" w:rsidR="001A582E" w:rsidRPr="001D74C5" w:rsidRDefault="001A582E" w:rsidP="001D74C5">
            <w:pPr>
              <w:spacing w:before="40" w:after="40"/>
              <w:rPr>
                <w:rFonts w:cs="Arial"/>
                <w:i/>
                <w:sz w:val="16"/>
                <w:szCs w:val="16"/>
              </w:rPr>
            </w:pPr>
            <w:r w:rsidRPr="001D74C5">
              <w:rPr>
                <w:rFonts w:cs="Arial"/>
                <w:i/>
                <w:sz w:val="16"/>
                <w:szCs w:val="16"/>
              </w:rPr>
              <w:t>Mesoplodon layardii</w:t>
            </w:r>
          </w:p>
        </w:tc>
        <w:tc>
          <w:tcPr>
            <w:tcW w:w="1179" w:type="dxa"/>
            <w:shd w:val="clear" w:color="auto" w:fill="F2F2F2"/>
            <w:vAlign w:val="center"/>
          </w:tcPr>
          <w:p w14:paraId="7B23047F" w14:textId="77777777" w:rsidR="001A582E" w:rsidRPr="001D74C5" w:rsidRDefault="001A582E" w:rsidP="001D74C5">
            <w:pPr>
              <w:spacing w:before="40" w:after="40"/>
              <w:rPr>
                <w:rFonts w:cs="Arial"/>
                <w:sz w:val="16"/>
                <w:szCs w:val="16"/>
              </w:rPr>
            </w:pPr>
            <w:r w:rsidRPr="001D74C5">
              <w:rPr>
                <w:rFonts w:cs="Arial"/>
                <w:sz w:val="16"/>
                <w:szCs w:val="16"/>
              </w:rPr>
              <w:t>Strap-toothed whale</w:t>
            </w:r>
          </w:p>
        </w:tc>
        <w:tc>
          <w:tcPr>
            <w:tcW w:w="1191" w:type="dxa"/>
            <w:shd w:val="clear" w:color="auto" w:fill="F2F2F2"/>
            <w:vAlign w:val="center"/>
          </w:tcPr>
          <w:p w14:paraId="09706F74"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004" w:type="dxa"/>
            <w:shd w:val="clear" w:color="auto" w:fill="F2F2F2"/>
            <w:vAlign w:val="center"/>
          </w:tcPr>
          <w:p w14:paraId="39707D99"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849" w:type="dxa"/>
            <w:shd w:val="clear" w:color="auto" w:fill="F2F2F2"/>
            <w:vAlign w:val="center"/>
          </w:tcPr>
          <w:p w14:paraId="2B8F22DC" w14:textId="7E10B639"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F2F2F2"/>
            <w:vAlign w:val="center"/>
          </w:tcPr>
          <w:p w14:paraId="2D392851" w14:textId="61B3AF91" w:rsidR="001A582E" w:rsidRPr="001D74C5" w:rsidRDefault="001A582E" w:rsidP="001D74C5">
            <w:pPr>
              <w:spacing w:before="40" w:after="40"/>
              <w:jc w:val="center"/>
              <w:rPr>
                <w:rFonts w:cs="Arial"/>
                <w:sz w:val="16"/>
                <w:szCs w:val="16"/>
              </w:rPr>
            </w:pPr>
            <w:r w:rsidRPr="001D74C5">
              <w:rPr>
                <w:rFonts w:cs="Arial"/>
                <w:sz w:val="16"/>
                <w:szCs w:val="16"/>
              </w:rPr>
              <w:t>-</w:t>
            </w:r>
          </w:p>
        </w:tc>
        <w:tc>
          <w:tcPr>
            <w:tcW w:w="1120" w:type="dxa"/>
            <w:shd w:val="clear" w:color="auto" w:fill="F2F2F2"/>
            <w:vAlign w:val="center"/>
          </w:tcPr>
          <w:p w14:paraId="04CC6F77" w14:textId="76F16995" w:rsidR="001A582E" w:rsidRPr="001D74C5" w:rsidRDefault="001A582E" w:rsidP="001D74C5">
            <w:pPr>
              <w:spacing w:before="40" w:after="40"/>
              <w:jc w:val="center"/>
              <w:rPr>
                <w:rFonts w:cs="Arial"/>
                <w:sz w:val="16"/>
                <w:szCs w:val="16"/>
              </w:rPr>
            </w:pPr>
            <w:r w:rsidRPr="001D74C5">
              <w:rPr>
                <w:rFonts w:cs="Arial"/>
                <w:sz w:val="16"/>
                <w:szCs w:val="16"/>
              </w:rPr>
              <w:t>-</w:t>
            </w:r>
          </w:p>
        </w:tc>
        <w:tc>
          <w:tcPr>
            <w:tcW w:w="1071" w:type="dxa"/>
            <w:shd w:val="clear" w:color="auto" w:fill="F2F2F2"/>
            <w:vAlign w:val="center"/>
          </w:tcPr>
          <w:p w14:paraId="31DCD903" w14:textId="2F3327D9" w:rsidR="001A582E" w:rsidRPr="001D74C5" w:rsidRDefault="001A582E" w:rsidP="001D74C5">
            <w:pPr>
              <w:spacing w:before="40" w:after="40"/>
              <w:jc w:val="center"/>
              <w:rPr>
                <w:rFonts w:cs="Arial"/>
                <w:sz w:val="16"/>
                <w:szCs w:val="16"/>
              </w:rPr>
            </w:pPr>
            <w:r w:rsidRPr="001D74C5">
              <w:rPr>
                <w:rFonts w:cs="Arial"/>
                <w:sz w:val="16"/>
                <w:szCs w:val="16"/>
              </w:rPr>
              <w:t>-</w:t>
            </w:r>
          </w:p>
        </w:tc>
      </w:tr>
      <w:tr w:rsidR="001A582E" w:rsidRPr="001D74C5" w14:paraId="1AE78D8D" w14:textId="77777777" w:rsidTr="00BB47F6">
        <w:tc>
          <w:tcPr>
            <w:tcW w:w="1649" w:type="dxa"/>
            <w:shd w:val="clear" w:color="auto" w:fill="auto"/>
            <w:vAlign w:val="center"/>
          </w:tcPr>
          <w:p w14:paraId="7D95CAEB" w14:textId="5087CAAF" w:rsidR="001A582E" w:rsidRPr="001D74C5" w:rsidRDefault="001A582E" w:rsidP="001D74C5">
            <w:pPr>
              <w:spacing w:before="40" w:after="40"/>
              <w:rPr>
                <w:rFonts w:cs="Arial"/>
                <w:i/>
                <w:sz w:val="16"/>
                <w:szCs w:val="16"/>
              </w:rPr>
            </w:pPr>
            <w:r w:rsidRPr="001D74C5">
              <w:rPr>
                <w:rFonts w:cs="Arial"/>
                <w:i/>
                <w:sz w:val="16"/>
                <w:szCs w:val="16"/>
              </w:rPr>
              <w:t>Mesoplodon mirus</w:t>
            </w:r>
          </w:p>
        </w:tc>
        <w:tc>
          <w:tcPr>
            <w:tcW w:w="1179" w:type="dxa"/>
            <w:shd w:val="clear" w:color="auto" w:fill="auto"/>
            <w:vAlign w:val="center"/>
          </w:tcPr>
          <w:p w14:paraId="7696A6D5" w14:textId="77777777" w:rsidR="001A582E" w:rsidRPr="001D74C5" w:rsidRDefault="001A582E" w:rsidP="001D74C5">
            <w:pPr>
              <w:spacing w:before="40" w:after="40"/>
              <w:rPr>
                <w:rFonts w:cs="Arial"/>
                <w:sz w:val="16"/>
                <w:szCs w:val="16"/>
              </w:rPr>
            </w:pPr>
            <w:r w:rsidRPr="001D74C5">
              <w:rPr>
                <w:rFonts w:cs="Arial"/>
                <w:sz w:val="16"/>
                <w:szCs w:val="16"/>
              </w:rPr>
              <w:t>True’s beaked whale</w:t>
            </w:r>
          </w:p>
        </w:tc>
        <w:tc>
          <w:tcPr>
            <w:tcW w:w="1191" w:type="dxa"/>
            <w:shd w:val="clear" w:color="auto" w:fill="auto"/>
            <w:vAlign w:val="center"/>
          </w:tcPr>
          <w:p w14:paraId="0C8B42BA"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004" w:type="dxa"/>
            <w:shd w:val="clear" w:color="auto" w:fill="auto"/>
            <w:vAlign w:val="center"/>
          </w:tcPr>
          <w:p w14:paraId="558B8B19"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849" w:type="dxa"/>
            <w:shd w:val="clear" w:color="auto" w:fill="auto"/>
            <w:vAlign w:val="center"/>
          </w:tcPr>
          <w:p w14:paraId="65641A64" w14:textId="41717394"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auto"/>
            <w:vAlign w:val="center"/>
          </w:tcPr>
          <w:p w14:paraId="4C556623" w14:textId="45633AB2" w:rsidR="001A582E" w:rsidRPr="001D74C5" w:rsidRDefault="001A582E" w:rsidP="001D74C5">
            <w:pPr>
              <w:spacing w:before="40" w:after="40"/>
              <w:jc w:val="center"/>
              <w:rPr>
                <w:rFonts w:cs="Arial"/>
                <w:sz w:val="16"/>
                <w:szCs w:val="16"/>
              </w:rPr>
            </w:pPr>
            <w:r w:rsidRPr="001D74C5">
              <w:rPr>
                <w:rFonts w:cs="Arial"/>
                <w:sz w:val="16"/>
                <w:szCs w:val="16"/>
              </w:rPr>
              <w:t>-</w:t>
            </w:r>
          </w:p>
        </w:tc>
        <w:tc>
          <w:tcPr>
            <w:tcW w:w="1120" w:type="dxa"/>
            <w:shd w:val="clear" w:color="auto" w:fill="auto"/>
            <w:vAlign w:val="center"/>
          </w:tcPr>
          <w:p w14:paraId="033C3791" w14:textId="266C62DB" w:rsidR="001A582E" w:rsidRPr="001D74C5" w:rsidRDefault="001A582E" w:rsidP="001D74C5">
            <w:pPr>
              <w:spacing w:before="40" w:after="40"/>
              <w:jc w:val="center"/>
              <w:rPr>
                <w:rFonts w:cs="Arial"/>
                <w:sz w:val="16"/>
                <w:szCs w:val="16"/>
              </w:rPr>
            </w:pPr>
            <w:r w:rsidRPr="001D74C5">
              <w:rPr>
                <w:rFonts w:cs="Arial"/>
                <w:sz w:val="16"/>
                <w:szCs w:val="16"/>
              </w:rPr>
              <w:t>-</w:t>
            </w:r>
          </w:p>
        </w:tc>
        <w:tc>
          <w:tcPr>
            <w:tcW w:w="1071" w:type="dxa"/>
            <w:shd w:val="clear" w:color="auto" w:fill="auto"/>
            <w:vAlign w:val="center"/>
          </w:tcPr>
          <w:p w14:paraId="382C69E7" w14:textId="588C72BE" w:rsidR="001A582E" w:rsidRPr="001D74C5" w:rsidRDefault="001A582E" w:rsidP="001D74C5">
            <w:pPr>
              <w:spacing w:before="40" w:after="40"/>
              <w:jc w:val="center"/>
              <w:rPr>
                <w:rFonts w:cs="Arial"/>
                <w:sz w:val="16"/>
                <w:szCs w:val="16"/>
              </w:rPr>
            </w:pPr>
            <w:r w:rsidRPr="001D74C5">
              <w:rPr>
                <w:rFonts w:cs="Arial"/>
                <w:sz w:val="16"/>
                <w:szCs w:val="16"/>
              </w:rPr>
              <w:t>-</w:t>
            </w:r>
          </w:p>
        </w:tc>
      </w:tr>
      <w:tr w:rsidR="001A582E" w:rsidRPr="001D74C5" w14:paraId="6A2BFEC6" w14:textId="77777777" w:rsidTr="00BB47F6">
        <w:tc>
          <w:tcPr>
            <w:tcW w:w="1649" w:type="dxa"/>
            <w:shd w:val="clear" w:color="auto" w:fill="auto"/>
            <w:vAlign w:val="center"/>
          </w:tcPr>
          <w:p w14:paraId="6B7D5E42" w14:textId="77777777" w:rsidR="001A582E" w:rsidRPr="001D74C5" w:rsidRDefault="001A582E" w:rsidP="001D74C5">
            <w:pPr>
              <w:spacing w:before="40" w:after="40"/>
              <w:rPr>
                <w:rFonts w:cs="Arial"/>
                <w:i/>
                <w:sz w:val="16"/>
                <w:szCs w:val="16"/>
              </w:rPr>
            </w:pPr>
            <w:r w:rsidRPr="001D74C5">
              <w:rPr>
                <w:rFonts w:cs="Arial"/>
                <w:i/>
                <w:sz w:val="16"/>
                <w:szCs w:val="16"/>
              </w:rPr>
              <w:t>Physeter macrocephalus</w:t>
            </w:r>
          </w:p>
        </w:tc>
        <w:tc>
          <w:tcPr>
            <w:tcW w:w="1179" w:type="dxa"/>
            <w:shd w:val="clear" w:color="auto" w:fill="auto"/>
            <w:vAlign w:val="center"/>
          </w:tcPr>
          <w:p w14:paraId="4396029C" w14:textId="77777777" w:rsidR="001A582E" w:rsidRPr="001D74C5" w:rsidRDefault="001A582E" w:rsidP="001D74C5">
            <w:pPr>
              <w:spacing w:before="40" w:after="40"/>
              <w:rPr>
                <w:rFonts w:cs="Arial"/>
                <w:sz w:val="16"/>
                <w:szCs w:val="16"/>
              </w:rPr>
            </w:pPr>
            <w:r w:rsidRPr="001D74C5">
              <w:rPr>
                <w:rFonts w:cs="Arial"/>
                <w:sz w:val="16"/>
                <w:szCs w:val="16"/>
              </w:rPr>
              <w:t>Sperm whale</w:t>
            </w:r>
          </w:p>
        </w:tc>
        <w:tc>
          <w:tcPr>
            <w:tcW w:w="1191" w:type="dxa"/>
            <w:shd w:val="clear" w:color="auto" w:fill="auto"/>
            <w:vAlign w:val="center"/>
          </w:tcPr>
          <w:p w14:paraId="6CEF0598"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004" w:type="dxa"/>
            <w:shd w:val="clear" w:color="auto" w:fill="auto"/>
            <w:vAlign w:val="center"/>
          </w:tcPr>
          <w:p w14:paraId="28B679C7" w14:textId="650D5932"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849" w:type="dxa"/>
            <w:shd w:val="clear" w:color="auto" w:fill="auto"/>
            <w:vAlign w:val="center"/>
          </w:tcPr>
          <w:p w14:paraId="7B6A8DF2" w14:textId="1CA60653"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auto"/>
            <w:vAlign w:val="center"/>
          </w:tcPr>
          <w:p w14:paraId="41D48822" w14:textId="7689CD8C" w:rsidR="001A582E" w:rsidRPr="001D74C5" w:rsidRDefault="001A582E" w:rsidP="001D74C5">
            <w:pPr>
              <w:spacing w:before="40" w:after="40"/>
              <w:jc w:val="center"/>
              <w:rPr>
                <w:rFonts w:cs="Arial"/>
                <w:sz w:val="16"/>
                <w:szCs w:val="16"/>
              </w:rPr>
            </w:pPr>
            <w:r w:rsidRPr="001D74C5">
              <w:rPr>
                <w:rFonts w:cs="Arial"/>
                <w:sz w:val="16"/>
                <w:szCs w:val="16"/>
              </w:rPr>
              <w:t>-</w:t>
            </w:r>
          </w:p>
        </w:tc>
        <w:tc>
          <w:tcPr>
            <w:tcW w:w="1120" w:type="dxa"/>
            <w:shd w:val="clear" w:color="auto" w:fill="auto"/>
            <w:vAlign w:val="center"/>
          </w:tcPr>
          <w:p w14:paraId="117746B6" w14:textId="1233255F" w:rsidR="001A582E" w:rsidRPr="001D74C5" w:rsidRDefault="001A582E" w:rsidP="001D74C5">
            <w:pPr>
              <w:spacing w:before="40" w:after="40"/>
              <w:jc w:val="center"/>
              <w:rPr>
                <w:rFonts w:cs="Arial"/>
                <w:sz w:val="16"/>
                <w:szCs w:val="16"/>
              </w:rPr>
            </w:pPr>
            <w:r w:rsidRPr="001D74C5">
              <w:rPr>
                <w:rFonts w:cs="Arial"/>
                <w:sz w:val="16"/>
                <w:szCs w:val="16"/>
              </w:rPr>
              <w:t>-</w:t>
            </w:r>
          </w:p>
        </w:tc>
        <w:tc>
          <w:tcPr>
            <w:tcW w:w="1071" w:type="dxa"/>
            <w:shd w:val="clear" w:color="auto" w:fill="auto"/>
            <w:vAlign w:val="center"/>
          </w:tcPr>
          <w:p w14:paraId="27E07D19" w14:textId="62B34A7D" w:rsidR="001A582E" w:rsidRPr="001D74C5" w:rsidRDefault="001A582E" w:rsidP="001D74C5">
            <w:pPr>
              <w:spacing w:before="40" w:after="40"/>
              <w:jc w:val="center"/>
              <w:rPr>
                <w:rFonts w:cs="Arial"/>
                <w:sz w:val="16"/>
                <w:szCs w:val="16"/>
              </w:rPr>
            </w:pPr>
            <w:r w:rsidRPr="001D74C5">
              <w:rPr>
                <w:rFonts w:cs="Arial"/>
                <w:sz w:val="16"/>
                <w:szCs w:val="16"/>
              </w:rPr>
              <w:t>-</w:t>
            </w:r>
          </w:p>
        </w:tc>
      </w:tr>
      <w:tr w:rsidR="001A582E" w:rsidRPr="001D74C5" w14:paraId="56D3D8F1" w14:textId="77777777" w:rsidTr="00BB47F6">
        <w:tc>
          <w:tcPr>
            <w:tcW w:w="1649" w:type="dxa"/>
            <w:shd w:val="clear" w:color="auto" w:fill="F2F2F2"/>
            <w:vAlign w:val="center"/>
          </w:tcPr>
          <w:p w14:paraId="34D9D1D7" w14:textId="77777777" w:rsidR="001A582E" w:rsidRPr="001D74C5" w:rsidRDefault="001A582E" w:rsidP="001D74C5">
            <w:pPr>
              <w:spacing w:before="40" w:after="40"/>
              <w:rPr>
                <w:rFonts w:cs="Arial"/>
                <w:i/>
                <w:sz w:val="16"/>
                <w:szCs w:val="16"/>
              </w:rPr>
            </w:pPr>
            <w:r w:rsidRPr="001D74C5">
              <w:rPr>
                <w:rFonts w:cs="Arial"/>
                <w:i/>
                <w:sz w:val="16"/>
                <w:szCs w:val="16"/>
              </w:rPr>
              <w:t>Pseudorca crassidens</w:t>
            </w:r>
          </w:p>
        </w:tc>
        <w:tc>
          <w:tcPr>
            <w:tcW w:w="1179" w:type="dxa"/>
            <w:shd w:val="clear" w:color="auto" w:fill="F2F2F2"/>
            <w:vAlign w:val="center"/>
          </w:tcPr>
          <w:p w14:paraId="2353EBC4" w14:textId="77777777" w:rsidR="001A582E" w:rsidRPr="001D74C5" w:rsidRDefault="001A582E" w:rsidP="001D74C5">
            <w:pPr>
              <w:spacing w:before="40" w:after="40"/>
              <w:rPr>
                <w:rFonts w:cs="Arial"/>
                <w:sz w:val="16"/>
                <w:szCs w:val="16"/>
              </w:rPr>
            </w:pPr>
            <w:r w:rsidRPr="001D74C5">
              <w:rPr>
                <w:rFonts w:cs="Arial"/>
                <w:sz w:val="16"/>
                <w:szCs w:val="16"/>
              </w:rPr>
              <w:t>False killer whale</w:t>
            </w:r>
          </w:p>
        </w:tc>
        <w:tc>
          <w:tcPr>
            <w:tcW w:w="1191" w:type="dxa"/>
            <w:shd w:val="clear" w:color="auto" w:fill="F2F2F2"/>
            <w:vAlign w:val="center"/>
          </w:tcPr>
          <w:p w14:paraId="65887CB1"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004" w:type="dxa"/>
            <w:shd w:val="clear" w:color="auto" w:fill="F2F2F2"/>
            <w:vAlign w:val="center"/>
          </w:tcPr>
          <w:p w14:paraId="40247EDF"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849" w:type="dxa"/>
            <w:shd w:val="clear" w:color="auto" w:fill="F2F2F2"/>
            <w:vAlign w:val="center"/>
          </w:tcPr>
          <w:p w14:paraId="5324126B" w14:textId="3C4F3BFC"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F2F2F2"/>
            <w:vAlign w:val="center"/>
          </w:tcPr>
          <w:p w14:paraId="29E371CF" w14:textId="1F9F66A7" w:rsidR="001A582E" w:rsidRPr="001D74C5" w:rsidRDefault="001A582E" w:rsidP="001D74C5">
            <w:pPr>
              <w:spacing w:before="40" w:after="40"/>
              <w:jc w:val="center"/>
              <w:rPr>
                <w:rFonts w:cs="Arial"/>
                <w:sz w:val="16"/>
                <w:szCs w:val="16"/>
              </w:rPr>
            </w:pPr>
            <w:r w:rsidRPr="001D74C5">
              <w:rPr>
                <w:rFonts w:cs="Arial"/>
                <w:sz w:val="16"/>
                <w:szCs w:val="16"/>
              </w:rPr>
              <w:t>-</w:t>
            </w:r>
          </w:p>
        </w:tc>
        <w:tc>
          <w:tcPr>
            <w:tcW w:w="1120" w:type="dxa"/>
            <w:shd w:val="clear" w:color="auto" w:fill="F2F2F2"/>
            <w:vAlign w:val="center"/>
          </w:tcPr>
          <w:p w14:paraId="1591CAFF" w14:textId="0B7D5A4A" w:rsidR="001A582E" w:rsidRPr="001D74C5" w:rsidRDefault="001A582E" w:rsidP="001D74C5">
            <w:pPr>
              <w:spacing w:before="40" w:after="40"/>
              <w:jc w:val="center"/>
              <w:rPr>
                <w:rFonts w:cs="Arial"/>
                <w:sz w:val="16"/>
                <w:szCs w:val="16"/>
              </w:rPr>
            </w:pPr>
            <w:r w:rsidRPr="001D74C5">
              <w:rPr>
                <w:rFonts w:cs="Arial"/>
                <w:sz w:val="16"/>
                <w:szCs w:val="16"/>
              </w:rPr>
              <w:t>-</w:t>
            </w:r>
          </w:p>
        </w:tc>
        <w:tc>
          <w:tcPr>
            <w:tcW w:w="1071" w:type="dxa"/>
            <w:shd w:val="clear" w:color="auto" w:fill="F2F2F2"/>
            <w:vAlign w:val="center"/>
          </w:tcPr>
          <w:p w14:paraId="15256657" w14:textId="133D7C33" w:rsidR="001A582E" w:rsidRPr="001D74C5" w:rsidRDefault="001A582E" w:rsidP="001D74C5">
            <w:pPr>
              <w:spacing w:before="40" w:after="40"/>
              <w:jc w:val="center"/>
              <w:rPr>
                <w:rFonts w:cs="Arial"/>
                <w:sz w:val="16"/>
                <w:szCs w:val="16"/>
              </w:rPr>
            </w:pPr>
            <w:r w:rsidRPr="001D74C5">
              <w:rPr>
                <w:rFonts w:cs="Arial"/>
                <w:sz w:val="16"/>
                <w:szCs w:val="16"/>
              </w:rPr>
              <w:t>-</w:t>
            </w:r>
          </w:p>
        </w:tc>
      </w:tr>
      <w:tr w:rsidR="001A582E" w:rsidRPr="001D74C5" w14:paraId="2B4766D4" w14:textId="77777777" w:rsidTr="00BB47F6">
        <w:tc>
          <w:tcPr>
            <w:tcW w:w="1649" w:type="dxa"/>
            <w:shd w:val="clear" w:color="auto" w:fill="auto"/>
          </w:tcPr>
          <w:p w14:paraId="18367E61" w14:textId="77777777" w:rsidR="001A582E" w:rsidRPr="001D74C5" w:rsidRDefault="001A582E" w:rsidP="001D74C5">
            <w:pPr>
              <w:spacing w:before="40" w:after="40"/>
              <w:rPr>
                <w:rFonts w:cs="Arial"/>
                <w:i/>
                <w:sz w:val="16"/>
                <w:szCs w:val="16"/>
              </w:rPr>
            </w:pPr>
            <w:r w:rsidRPr="001D74C5">
              <w:rPr>
                <w:rFonts w:cs="Arial"/>
                <w:i/>
                <w:sz w:val="16"/>
                <w:szCs w:val="16"/>
              </w:rPr>
              <w:t>Tasmacetus shepherdi</w:t>
            </w:r>
          </w:p>
        </w:tc>
        <w:tc>
          <w:tcPr>
            <w:tcW w:w="1179" w:type="dxa"/>
            <w:shd w:val="clear" w:color="auto" w:fill="auto"/>
          </w:tcPr>
          <w:p w14:paraId="7D9B0722" w14:textId="77777777" w:rsidR="001A582E" w:rsidRPr="001D74C5" w:rsidRDefault="001A582E" w:rsidP="001D74C5">
            <w:pPr>
              <w:spacing w:before="40" w:after="40"/>
              <w:rPr>
                <w:rFonts w:cs="Arial"/>
                <w:sz w:val="16"/>
                <w:szCs w:val="16"/>
              </w:rPr>
            </w:pPr>
            <w:r w:rsidRPr="001D74C5">
              <w:rPr>
                <w:rFonts w:cs="Arial"/>
                <w:sz w:val="16"/>
                <w:szCs w:val="16"/>
              </w:rPr>
              <w:t>Shepherd’s beaked whale</w:t>
            </w:r>
          </w:p>
        </w:tc>
        <w:tc>
          <w:tcPr>
            <w:tcW w:w="1191" w:type="dxa"/>
            <w:shd w:val="clear" w:color="auto" w:fill="auto"/>
            <w:vAlign w:val="center"/>
          </w:tcPr>
          <w:p w14:paraId="3F6D9086"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004" w:type="dxa"/>
            <w:shd w:val="clear" w:color="auto" w:fill="auto"/>
            <w:vAlign w:val="center"/>
          </w:tcPr>
          <w:p w14:paraId="694E312E"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849" w:type="dxa"/>
            <w:shd w:val="clear" w:color="auto" w:fill="auto"/>
            <w:vAlign w:val="center"/>
          </w:tcPr>
          <w:p w14:paraId="77C19D01" w14:textId="5C3DD2E5"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auto"/>
            <w:vAlign w:val="center"/>
          </w:tcPr>
          <w:p w14:paraId="59B133C3" w14:textId="4131D2A2" w:rsidR="001A582E" w:rsidRPr="001D74C5" w:rsidRDefault="001A582E" w:rsidP="001D74C5">
            <w:pPr>
              <w:spacing w:before="40" w:after="40"/>
              <w:jc w:val="center"/>
              <w:rPr>
                <w:rFonts w:cs="Arial"/>
                <w:sz w:val="16"/>
                <w:szCs w:val="16"/>
              </w:rPr>
            </w:pPr>
            <w:r w:rsidRPr="001D74C5">
              <w:rPr>
                <w:rFonts w:cs="Arial"/>
                <w:sz w:val="16"/>
                <w:szCs w:val="16"/>
              </w:rPr>
              <w:t>-</w:t>
            </w:r>
          </w:p>
        </w:tc>
        <w:tc>
          <w:tcPr>
            <w:tcW w:w="1120" w:type="dxa"/>
            <w:shd w:val="clear" w:color="auto" w:fill="auto"/>
            <w:vAlign w:val="center"/>
          </w:tcPr>
          <w:p w14:paraId="7E1B982D" w14:textId="62FD6F52" w:rsidR="001A582E" w:rsidRPr="001D74C5" w:rsidRDefault="001A582E" w:rsidP="001D74C5">
            <w:pPr>
              <w:spacing w:before="40" w:after="40"/>
              <w:jc w:val="center"/>
              <w:rPr>
                <w:rFonts w:cs="Arial"/>
                <w:sz w:val="16"/>
                <w:szCs w:val="16"/>
              </w:rPr>
            </w:pPr>
            <w:r w:rsidRPr="001D74C5">
              <w:rPr>
                <w:rFonts w:cs="Arial"/>
                <w:sz w:val="16"/>
                <w:szCs w:val="16"/>
              </w:rPr>
              <w:t>-</w:t>
            </w:r>
          </w:p>
        </w:tc>
        <w:tc>
          <w:tcPr>
            <w:tcW w:w="1071" w:type="dxa"/>
            <w:shd w:val="clear" w:color="auto" w:fill="auto"/>
            <w:vAlign w:val="center"/>
          </w:tcPr>
          <w:p w14:paraId="03A9FC79" w14:textId="38D25B63" w:rsidR="001A582E" w:rsidRPr="001D74C5" w:rsidRDefault="001A582E" w:rsidP="001D74C5">
            <w:pPr>
              <w:spacing w:before="40" w:after="40"/>
              <w:jc w:val="center"/>
              <w:rPr>
                <w:rFonts w:cs="Arial"/>
                <w:sz w:val="16"/>
                <w:szCs w:val="16"/>
              </w:rPr>
            </w:pPr>
            <w:r w:rsidRPr="001D74C5">
              <w:rPr>
                <w:rFonts w:cs="Arial"/>
                <w:sz w:val="16"/>
                <w:szCs w:val="16"/>
              </w:rPr>
              <w:t>-</w:t>
            </w:r>
          </w:p>
        </w:tc>
      </w:tr>
      <w:tr w:rsidR="001A582E" w:rsidRPr="001D74C5" w14:paraId="3CBE1242" w14:textId="77777777" w:rsidTr="00BB47F6">
        <w:tc>
          <w:tcPr>
            <w:tcW w:w="1649" w:type="dxa"/>
            <w:shd w:val="clear" w:color="auto" w:fill="F2F2F2"/>
          </w:tcPr>
          <w:p w14:paraId="6D40A7AF" w14:textId="77777777" w:rsidR="001A582E" w:rsidRPr="001D74C5" w:rsidRDefault="001A582E" w:rsidP="001D74C5">
            <w:pPr>
              <w:spacing w:before="40" w:after="40"/>
              <w:rPr>
                <w:rFonts w:cs="Arial"/>
                <w:i/>
                <w:sz w:val="16"/>
                <w:szCs w:val="16"/>
              </w:rPr>
            </w:pPr>
            <w:r w:rsidRPr="001D74C5">
              <w:rPr>
                <w:rFonts w:cs="Arial"/>
                <w:i/>
                <w:sz w:val="16"/>
                <w:szCs w:val="16"/>
              </w:rPr>
              <w:t>Ziphius cavirostris</w:t>
            </w:r>
          </w:p>
        </w:tc>
        <w:tc>
          <w:tcPr>
            <w:tcW w:w="1179" w:type="dxa"/>
            <w:shd w:val="clear" w:color="auto" w:fill="F2F2F2"/>
          </w:tcPr>
          <w:p w14:paraId="646DC827" w14:textId="77777777" w:rsidR="001A582E" w:rsidRPr="001D74C5" w:rsidRDefault="001A582E" w:rsidP="001D74C5">
            <w:pPr>
              <w:spacing w:before="40" w:after="40"/>
              <w:rPr>
                <w:rFonts w:cs="Arial"/>
                <w:sz w:val="16"/>
                <w:szCs w:val="16"/>
              </w:rPr>
            </w:pPr>
            <w:r w:rsidRPr="001D74C5">
              <w:rPr>
                <w:rFonts w:cs="Arial"/>
                <w:sz w:val="16"/>
                <w:szCs w:val="16"/>
              </w:rPr>
              <w:t>Cuvier’s beaked whale</w:t>
            </w:r>
          </w:p>
        </w:tc>
        <w:tc>
          <w:tcPr>
            <w:tcW w:w="1191" w:type="dxa"/>
            <w:shd w:val="clear" w:color="auto" w:fill="F2F2F2"/>
            <w:vAlign w:val="center"/>
          </w:tcPr>
          <w:p w14:paraId="62A46971"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004" w:type="dxa"/>
            <w:shd w:val="clear" w:color="auto" w:fill="F2F2F2"/>
            <w:vAlign w:val="center"/>
          </w:tcPr>
          <w:p w14:paraId="586DF5C2"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849" w:type="dxa"/>
            <w:shd w:val="clear" w:color="auto" w:fill="F2F2F2"/>
            <w:vAlign w:val="center"/>
          </w:tcPr>
          <w:p w14:paraId="0D79E7ED" w14:textId="3DF7D99C"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F2F2F2"/>
            <w:vAlign w:val="center"/>
          </w:tcPr>
          <w:p w14:paraId="18C31769" w14:textId="2F6A7302" w:rsidR="001A582E" w:rsidRPr="001D74C5" w:rsidRDefault="001A582E" w:rsidP="001D74C5">
            <w:pPr>
              <w:spacing w:before="40" w:after="40"/>
              <w:jc w:val="center"/>
              <w:rPr>
                <w:rFonts w:cs="Arial"/>
                <w:sz w:val="16"/>
                <w:szCs w:val="16"/>
              </w:rPr>
            </w:pPr>
            <w:r w:rsidRPr="001D74C5">
              <w:rPr>
                <w:rFonts w:cs="Arial"/>
                <w:sz w:val="16"/>
                <w:szCs w:val="16"/>
              </w:rPr>
              <w:t>-</w:t>
            </w:r>
          </w:p>
        </w:tc>
        <w:tc>
          <w:tcPr>
            <w:tcW w:w="1120" w:type="dxa"/>
            <w:shd w:val="clear" w:color="auto" w:fill="F2F2F2"/>
            <w:vAlign w:val="center"/>
          </w:tcPr>
          <w:p w14:paraId="0F65E659" w14:textId="2FA47D99" w:rsidR="001A582E" w:rsidRPr="001D74C5" w:rsidRDefault="001A582E" w:rsidP="001D74C5">
            <w:pPr>
              <w:spacing w:before="40" w:after="40"/>
              <w:jc w:val="center"/>
              <w:rPr>
                <w:rFonts w:cs="Arial"/>
                <w:sz w:val="16"/>
                <w:szCs w:val="16"/>
              </w:rPr>
            </w:pPr>
            <w:r w:rsidRPr="001D74C5">
              <w:rPr>
                <w:rFonts w:cs="Arial"/>
                <w:sz w:val="16"/>
                <w:szCs w:val="16"/>
              </w:rPr>
              <w:t>-</w:t>
            </w:r>
          </w:p>
        </w:tc>
        <w:tc>
          <w:tcPr>
            <w:tcW w:w="1071" w:type="dxa"/>
            <w:shd w:val="clear" w:color="auto" w:fill="F2F2F2"/>
            <w:vAlign w:val="center"/>
          </w:tcPr>
          <w:p w14:paraId="53429795" w14:textId="7908BAE8" w:rsidR="001A582E" w:rsidRPr="001D74C5" w:rsidRDefault="001A582E" w:rsidP="001D74C5">
            <w:pPr>
              <w:spacing w:before="40" w:after="40"/>
              <w:jc w:val="center"/>
              <w:rPr>
                <w:rFonts w:cs="Arial"/>
                <w:sz w:val="16"/>
                <w:szCs w:val="16"/>
              </w:rPr>
            </w:pPr>
            <w:r w:rsidRPr="001D74C5">
              <w:rPr>
                <w:rFonts w:cs="Arial"/>
                <w:sz w:val="16"/>
                <w:szCs w:val="16"/>
              </w:rPr>
              <w:t>-</w:t>
            </w:r>
          </w:p>
        </w:tc>
      </w:tr>
      <w:tr w:rsidR="00A74208" w:rsidRPr="001D74C5" w14:paraId="5F5B00B8" w14:textId="77777777" w:rsidTr="00A74208">
        <w:tc>
          <w:tcPr>
            <w:tcW w:w="9112" w:type="dxa"/>
            <w:gridSpan w:val="8"/>
            <w:shd w:val="clear" w:color="auto" w:fill="auto"/>
            <w:vAlign w:val="center"/>
          </w:tcPr>
          <w:p w14:paraId="6C56F752" w14:textId="2F04A66E" w:rsidR="00A74208" w:rsidRPr="001D74C5" w:rsidRDefault="00A74208" w:rsidP="001D74C5">
            <w:pPr>
              <w:spacing w:before="40" w:after="40"/>
              <w:rPr>
                <w:rFonts w:cs="Arial"/>
                <w:sz w:val="16"/>
                <w:szCs w:val="16"/>
              </w:rPr>
            </w:pPr>
            <w:r w:rsidRPr="001D74C5">
              <w:rPr>
                <w:rFonts w:cs="Arial"/>
                <w:b/>
                <w:sz w:val="16"/>
                <w:szCs w:val="16"/>
              </w:rPr>
              <w:t>Dolphins</w:t>
            </w:r>
          </w:p>
        </w:tc>
      </w:tr>
      <w:tr w:rsidR="001A582E" w:rsidRPr="001D74C5" w14:paraId="00B9D933" w14:textId="77777777" w:rsidTr="00BB47F6">
        <w:tc>
          <w:tcPr>
            <w:tcW w:w="1649" w:type="dxa"/>
            <w:shd w:val="clear" w:color="auto" w:fill="F2F2F2"/>
            <w:vAlign w:val="center"/>
          </w:tcPr>
          <w:p w14:paraId="41377D78" w14:textId="77777777" w:rsidR="001A582E" w:rsidRPr="001D74C5" w:rsidRDefault="001A582E" w:rsidP="001D74C5">
            <w:pPr>
              <w:spacing w:before="40" w:after="40"/>
              <w:rPr>
                <w:rFonts w:cs="Arial"/>
                <w:i/>
                <w:sz w:val="16"/>
                <w:szCs w:val="16"/>
              </w:rPr>
            </w:pPr>
            <w:r w:rsidRPr="001D74C5">
              <w:rPr>
                <w:rFonts w:cs="Arial"/>
                <w:i/>
                <w:sz w:val="16"/>
                <w:szCs w:val="16"/>
              </w:rPr>
              <w:t>Delphinus delphis</w:t>
            </w:r>
          </w:p>
        </w:tc>
        <w:tc>
          <w:tcPr>
            <w:tcW w:w="1179" w:type="dxa"/>
            <w:shd w:val="clear" w:color="auto" w:fill="F2F2F2"/>
            <w:vAlign w:val="center"/>
          </w:tcPr>
          <w:p w14:paraId="08D52A48" w14:textId="77777777" w:rsidR="001A582E" w:rsidRPr="001D74C5" w:rsidRDefault="001A582E" w:rsidP="001D74C5">
            <w:pPr>
              <w:spacing w:before="40" w:after="40"/>
              <w:rPr>
                <w:rFonts w:cs="Arial"/>
                <w:sz w:val="16"/>
                <w:szCs w:val="16"/>
              </w:rPr>
            </w:pPr>
            <w:r w:rsidRPr="001D74C5">
              <w:rPr>
                <w:rFonts w:cs="Arial"/>
                <w:sz w:val="16"/>
                <w:szCs w:val="16"/>
              </w:rPr>
              <w:t>Common dolphin</w:t>
            </w:r>
          </w:p>
        </w:tc>
        <w:tc>
          <w:tcPr>
            <w:tcW w:w="1191" w:type="dxa"/>
            <w:shd w:val="clear" w:color="auto" w:fill="F2F2F2"/>
            <w:vAlign w:val="center"/>
          </w:tcPr>
          <w:p w14:paraId="74C3BCC8"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004" w:type="dxa"/>
            <w:shd w:val="clear" w:color="auto" w:fill="F2F2F2"/>
            <w:vAlign w:val="center"/>
          </w:tcPr>
          <w:p w14:paraId="142E4071"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849" w:type="dxa"/>
            <w:shd w:val="clear" w:color="auto" w:fill="F2F2F2"/>
            <w:vAlign w:val="center"/>
          </w:tcPr>
          <w:p w14:paraId="4D6AE539" w14:textId="2080BC87"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F2F2F2"/>
            <w:vAlign w:val="center"/>
          </w:tcPr>
          <w:p w14:paraId="18E8A210"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120" w:type="dxa"/>
            <w:shd w:val="clear" w:color="auto" w:fill="F2F2F2"/>
            <w:vAlign w:val="center"/>
          </w:tcPr>
          <w:p w14:paraId="2F9DF7EF" w14:textId="54732422" w:rsidR="001A582E" w:rsidRPr="001D74C5" w:rsidRDefault="001A582E" w:rsidP="001D74C5">
            <w:pPr>
              <w:spacing w:before="40" w:after="40"/>
              <w:jc w:val="center"/>
              <w:rPr>
                <w:rFonts w:cs="Arial"/>
                <w:sz w:val="16"/>
                <w:szCs w:val="16"/>
              </w:rPr>
            </w:pPr>
            <w:r w:rsidRPr="001D74C5">
              <w:rPr>
                <w:rFonts w:cs="Arial"/>
                <w:sz w:val="16"/>
                <w:szCs w:val="16"/>
              </w:rPr>
              <w:t>-</w:t>
            </w:r>
          </w:p>
        </w:tc>
        <w:tc>
          <w:tcPr>
            <w:tcW w:w="1071" w:type="dxa"/>
            <w:shd w:val="clear" w:color="auto" w:fill="F2F2F2"/>
            <w:vAlign w:val="center"/>
          </w:tcPr>
          <w:p w14:paraId="5A3D6789" w14:textId="5EF73D3B" w:rsidR="001A582E" w:rsidRPr="001D74C5" w:rsidRDefault="001A582E" w:rsidP="001D74C5">
            <w:pPr>
              <w:spacing w:before="40" w:after="40"/>
              <w:jc w:val="center"/>
              <w:rPr>
                <w:rFonts w:cs="Arial"/>
                <w:sz w:val="16"/>
                <w:szCs w:val="16"/>
              </w:rPr>
            </w:pPr>
            <w:r w:rsidRPr="001D74C5">
              <w:rPr>
                <w:rFonts w:cs="Arial"/>
                <w:sz w:val="16"/>
                <w:szCs w:val="16"/>
              </w:rPr>
              <w:t>-</w:t>
            </w:r>
          </w:p>
        </w:tc>
      </w:tr>
      <w:tr w:rsidR="001A582E" w:rsidRPr="001D74C5" w14:paraId="63D664A8" w14:textId="77777777" w:rsidTr="00BB47F6">
        <w:tc>
          <w:tcPr>
            <w:tcW w:w="1649" w:type="dxa"/>
            <w:shd w:val="clear" w:color="auto" w:fill="auto"/>
            <w:vAlign w:val="center"/>
          </w:tcPr>
          <w:p w14:paraId="74CE389D" w14:textId="77777777" w:rsidR="001A582E" w:rsidRPr="001D74C5" w:rsidRDefault="001A582E" w:rsidP="001D74C5">
            <w:pPr>
              <w:spacing w:before="40" w:after="40"/>
              <w:rPr>
                <w:rFonts w:cs="Arial"/>
                <w:i/>
                <w:sz w:val="16"/>
                <w:szCs w:val="16"/>
              </w:rPr>
            </w:pPr>
            <w:r w:rsidRPr="001D74C5">
              <w:rPr>
                <w:rFonts w:cs="Arial"/>
                <w:i/>
                <w:sz w:val="16"/>
                <w:szCs w:val="16"/>
              </w:rPr>
              <w:lastRenderedPageBreak/>
              <w:t>Grampus griseus</w:t>
            </w:r>
          </w:p>
        </w:tc>
        <w:tc>
          <w:tcPr>
            <w:tcW w:w="1179" w:type="dxa"/>
            <w:shd w:val="clear" w:color="auto" w:fill="auto"/>
            <w:vAlign w:val="center"/>
          </w:tcPr>
          <w:p w14:paraId="265EDCFE" w14:textId="77777777" w:rsidR="001A582E" w:rsidRPr="001D74C5" w:rsidRDefault="001A582E" w:rsidP="001D74C5">
            <w:pPr>
              <w:spacing w:before="40" w:after="40"/>
              <w:rPr>
                <w:rFonts w:cs="Arial"/>
                <w:sz w:val="16"/>
                <w:szCs w:val="16"/>
              </w:rPr>
            </w:pPr>
            <w:r w:rsidRPr="001D74C5">
              <w:rPr>
                <w:rFonts w:cs="Arial"/>
                <w:sz w:val="16"/>
                <w:szCs w:val="16"/>
              </w:rPr>
              <w:t>Risso’s dolphin</w:t>
            </w:r>
          </w:p>
        </w:tc>
        <w:tc>
          <w:tcPr>
            <w:tcW w:w="1191" w:type="dxa"/>
            <w:shd w:val="clear" w:color="auto" w:fill="auto"/>
            <w:vAlign w:val="center"/>
          </w:tcPr>
          <w:p w14:paraId="2050C854"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004" w:type="dxa"/>
            <w:shd w:val="clear" w:color="auto" w:fill="auto"/>
            <w:vAlign w:val="center"/>
          </w:tcPr>
          <w:p w14:paraId="56220000"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849" w:type="dxa"/>
            <w:shd w:val="clear" w:color="auto" w:fill="auto"/>
            <w:vAlign w:val="center"/>
          </w:tcPr>
          <w:p w14:paraId="7166F6C2" w14:textId="314FE3B1"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auto"/>
            <w:vAlign w:val="center"/>
          </w:tcPr>
          <w:p w14:paraId="16156CDC"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120" w:type="dxa"/>
            <w:shd w:val="clear" w:color="auto" w:fill="auto"/>
            <w:vAlign w:val="center"/>
          </w:tcPr>
          <w:p w14:paraId="4EFDFB7A" w14:textId="603E061D" w:rsidR="001A582E" w:rsidRPr="001D74C5" w:rsidRDefault="001A582E" w:rsidP="001D74C5">
            <w:pPr>
              <w:spacing w:before="40" w:after="40"/>
              <w:jc w:val="center"/>
              <w:rPr>
                <w:rFonts w:cs="Arial"/>
                <w:sz w:val="16"/>
                <w:szCs w:val="16"/>
              </w:rPr>
            </w:pPr>
            <w:r w:rsidRPr="001D74C5">
              <w:rPr>
                <w:rFonts w:cs="Arial"/>
                <w:sz w:val="16"/>
                <w:szCs w:val="16"/>
              </w:rPr>
              <w:t>-</w:t>
            </w:r>
          </w:p>
        </w:tc>
        <w:tc>
          <w:tcPr>
            <w:tcW w:w="1071" w:type="dxa"/>
            <w:shd w:val="clear" w:color="auto" w:fill="auto"/>
            <w:vAlign w:val="center"/>
          </w:tcPr>
          <w:p w14:paraId="00A56312" w14:textId="4DF4F073" w:rsidR="001A582E" w:rsidRPr="001D74C5" w:rsidRDefault="001A582E" w:rsidP="001D74C5">
            <w:pPr>
              <w:spacing w:before="40" w:after="40"/>
              <w:jc w:val="center"/>
              <w:rPr>
                <w:rFonts w:cs="Arial"/>
                <w:sz w:val="16"/>
                <w:szCs w:val="16"/>
              </w:rPr>
            </w:pPr>
            <w:r w:rsidRPr="001D74C5">
              <w:rPr>
                <w:rFonts w:cs="Arial"/>
                <w:sz w:val="16"/>
                <w:szCs w:val="16"/>
              </w:rPr>
              <w:t>-</w:t>
            </w:r>
          </w:p>
        </w:tc>
      </w:tr>
      <w:tr w:rsidR="001A582E" w:rsidRPr="001D74C5" w14:paraId="11AFF04D" w14:textId="77777777" w:rsidTr="00BB47F6">
        <w:tc>
          <w:tcPr>
            <w:tcW w:w="1649" w:type="dxa"/>
            <w:shd w:val="clear" w:color="auto" w:fill="F2F2F2"/>
            <w:vAlign w:val="center"/>
          </w:tcPr>
          <w:p w14:paraId="32E066F0" w14:textId="77777777" w:rsidR="001A582E" w:rsidRPr="001D74C5" w:rsidRDefault="001A582E" w:rsidP="001D74C5">
            <w:pPr>
              <w:spacing w:before="40" w:after="40"/>
              <w:rPr>
                <w:rFonts w:cs="Arial"/>
                <w:i/>
                <w:sz w:val="16"/>
                <w:szCs w:val="16"/>
              </w:rPr>
            </w:pPr>
            <w:r w:rsidRPr="001D74C5">
              <w:rPr>
                <w:rFonts w:cs="Arial"/>
                <w:i/>
                <w:sz w:val="16"/>
                <w:szCs w:val="16"/>
              </w:rPr>
              <w:t>Globicephala melas</w:t>
            </w:r>
          </w:p>
        </w:tc>
        <w:tc>
          <w:tcPr>
            <w:tcW w:w="1179" w:type="dxa"/>
            <w:shd w:val="clear" w:color="auto" w:fill="F2F2F2"/>
            <w:vAlign w:val="center"/>
          </w:tcPr>
          <w:p w14:paraId="65D9C553" w14:textId="77777777" w:rsidR="001A582E" w:rsidRPr="001D74C5" w:rsidRDefault="001A582E" w:rsidP="001D74C5">
            <w:pPr>
              <w:spacing w:before="40" w:after="40"/>
              <w:rPr>
                <w:rFonts w:cs="Arial"/>
                <w:sz w:val="16"/>
                <w:szCs w:val="16"/>
              </w:rPr>
            </w:pPr>
            <w:r w:rsidRPr="001D74C5">
              <w:rPr>
                <w:rFonts w:cs="Arial"/>
                <w:sz w:val="16"/>
                <w:szCs w:val="16"/>
              </w:rPr>
              <w:t>Long-finned pilot</w:t>
            </w:r>
          </w:p>
        </w:tc>
        <w:tc>
          <w:tcPr>
            <w:tcW w:w="1191" w:type="dxa"/>
            <w:shd w:val="clear" w:color="auto" w:fill="F2F2F2"/>
            <w:vAlign w:val="center"/>
          </w:tcPr>
          <w:p w14:paraId="6E73ED92"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004" w:type="dxa"/>
            <w:shd w:val="clear" w:color="auto" w:fill="F2F2F2"/>
            <w:vAlign w:val="center"/>
          </w:tcPr>
          <w:p w14:paraId="706DF3DF"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849" w:type="dxa"/>
            <w:shd w:val="clear" w:color="auto" w:fill="F2F2F2"/>
            <w:vAlign w:val="center"/>
          </w:tcPr>
          <w:p w14:paraId="45319956" w14:textId="5D3E70C9"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F2F2F2"/>
            <w:vAlign w:val="center"/>
          </w:tcPr>
          <w:p w14:paraId="1AD464AB"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120" w:type="dxa"/>
            <w:shd w:val="clear" w:color="auto" w:fill="F2F2F2"/>
            <w:vAlign w:val="center"/>
          </w:tcPr>
          <w:p w14:paraId="6126A13A" w14:textId="467D779A" w:rsidR="001A582E" w:rsidRPr="001D74C5" w:rsidRDefault="001A582E" w:rsidP="001D74C5">
            <w:pPr>
              <w:spacing w:before="40" w:after="40"/>
              <w:jc w:val="center"/>
              <w:rPr>
                <w:rFonts w:cs="Arial"/>
                <w:sz w:val="16"/>
                <w:szCs w:val="16"/>
              </w:rPr>
            </w:pPr>
            <w:r w:rsidRPr="001D74C5">
              <w:rPr>
                <w:rFonts w:cs="Arial"/>
                <w:sz w:val="16"/>
                <w:szCs w:val="16"/>
              </w:rPr>
              <w:t>-</w:t>
            </w:r>
          </w:p>
        </w:tc>
        <w:tc>
          <w:tcPr>
            <w:tcW w:w="1071" w:type="dxa"/>
            <w:shd w:val="clear" w:color="auto" w:fill="F2F2F2"/>
            <w:vAlign w:val="center"/>
          </w:tcPr>
          <w:p w14:paraId="22041540" w14:textId="48B95AD2" w:rsidR="001A582E" w:rsidRPr="001D74C5" w:rsidRDefault="001A582E" w:rsidP="001D74C5">
            <w:pPr>
              <w:spacing w:before="40" w:after="40"/>
              <w:jc w:val="center"/>
              <w:rPr>
                <w:rFonts w:cs="Arial"/>
                <w:sz w:val="16"/>
                <w:szCs w:val="16"/>
              </w:rPr>
            </w:pPr>
            <w:r w:rsidRPr="001D74C5">
              <w:rPr>
                <w:rFonts w:cs="Arial"/>
                <w:sz w:val="16"/>
                <w:szCs w:val="16"/>
              </w:rPr>
              <w:t>-</w:t>
            </w:r>
          </w:p>
        </w:tc>
      </w:tr>
      <w:tr w:rsidR="001A582E" w:rsidRPr="001D74C5" w14:paraId="26D8977F" w14:textId="77777777" w:rsidTr="00BB47F6">
        <w:tc>
          <w:tcPr>
            <w:tcW w:w="1649" w:type="dxa"/>
            <w:shd w:val="clear" w:color="auto" w:fill="auto"/>
            <w:vAlign w:val="center"/>
          </w:tcPr>
          <w:p w14:paraId="25A2685B" w14:textId="77777777" w:rsidR="001A582E" w:rsidRPr="001D74C5" w:rsidRDefault="001A582E" w:rsidP="001D74C5">
            <w:pPr>
              <w:spacing w:before="40" w:after="40"/>
              <w:rPr>
                <w:rFonts w:cs="Arial"/>
                <w:i/>
                <w:sz w:val="16"/>
                <w:szCs w:val="16"/>
              </w:rPr>
            </w:pPr>
            <w:r w:rsidRPr="001D74C5">
              <w:rPr>
                <w:rFonts w:cs="Arial"/>
                <w:i/>
                <w:sz w:val="16"/>
                <w:szCs w:val="16"/>
              </w:rPr>
              <w:t>Lagenorhynchus obscures</w:t>
            </w:r>
          </w:p>
        </w:tc>
        <w:tc>
          <w:tcPr>
            <w:tcW w:w="1179" w:type="dxa"/>
            <w:shd w:val="clear" w:color="auto" w:fill="auto"/>
            <w:vAlign w:val="center"/>
          </w:tcPr>
          <w:p w14:paraId="628A2F3E" w14:textId="77777777" w:rsidR="001A582E" w:rsidRPr="001D74C5" w:rsidRDefault="001A582E" w:rsidP="001D74C5">
            <w:pPr>
              <w:spacing w:before="40" w:after="40"/>
              <w:rPr>
                <w:rFonts w:cs="Arial"/>
                <w:sz w:val="16"/>
                <w:szCs w:val="16"/>
              </w:rPr>
            </w:pPr>
            <w:r w:rsidRPr="001D74C5">
              <w:rPr>
                <w:rFonts w:cs="Arial"/>
                <w:sz w:val="16"/>
                <w:szCs w:val="16"/>
              </w:rPr>
              <w:t>Dusky dolphin</w:t>
            </w:r>
          </w:p>
        </w:tc>
        <w:tc>
          <w:tcPr>
            <w:tcW w:w="1191" w:type="dxa"/>
            <w:shd w:val="clear" w:color="auto" w:fill="auto"/>
            <w:vAlign w:val="center"/>
          </w:tcPr>
          <w:p w14:paraId="6A434299"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004" w:type="dxa"/>
            <w:shd w:val="clear" w:color="auto" w:fill="auto"/>
            <w:vAlign w:val="center"/>
          </w:tcPr>
          <w:p w14:paraId="315EE90F" w14:textId="10F8824C"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849" w:type="dxa"/>
            <w:shd w:val="clear" w:color="auto" w:fill="auto"/>
            <w:vAlign w:val="center"/>
          </w:tcPr>
          <w:p w14:paraId="211FB97F" w14:textId="3DBC5EA4"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auto"/>
            <w:vAlign w:val="center"/>
          </w:tcPr>
          <w:p w14:paraId="591BF6D5"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120" w:type="dxa"/>
            <w:shd w:val="clear" w:color="auto" w:fill="auto"/>
            <w:vAlign w:val="center"/>
          </w:tcPr>
          <w:p w14:paraId="20D91DFA" w14:textId="56622C74" w:rsidR="001A582E" w:rsidRPr="001D74C5" w:rsidRDefault="001A582E" w:rsidP="001D74C5">
            <w:pPr>
              <w:spacing w:before="40" w:after="40"/>
              <w:jc w:val="center"/>
              <w:rPr>
                <w:rFonts w:cs="Arial"/>
                <w:sz w:val="16"/>
                <w:szCs w:val="16"/>
              </w:rPr>
            </w:pPr>
            <w:r w:rsidRPr="001D74C5">
              <w:rPr>
                <w:rFonts w:cs="Arial"/>
                <w:sz w:val="16"/>
                <w:szCs w:val="16"/>
              </w:rPr>
              <w:t>-</w:t>
            </w:r>
          </w:p>
        </w:tc>
        <w:tc>
          <w:tcPr>
            <w:tcW w:w="1071" w:type="dxa"/>
            <w:shd w:val="clear" w:color="auto" w:fill="auto"/>
            <w:vAlign w:val="center"/>
          </w:tcPr>
          <w:p w14:paraId="445FB612" w14:textId="09DE0B7A" w:rsidR="001A582E" w:rsidRPr="001D74C5" w:rsidRDefault="001A582E" w:rsidP="001D74C5">
            <w:pPr>
              <w:spacing w:before="40" w:after="40"/>
              <w:jc w:val="center"/>
              <w:rPr>
                <w:rFonts w:cs="Arial"/>
                <w:sz w:val="16"/>
                <w:szCs w:val="16"/>
              </w:rPr>
            </w:pPr>
            <w:r w:rsidRPr="001D74C5">
              <w:rPr>
                <w:rFonts w:cs="Arial"/>
                <w:sz w:val="16"/>
                <w:szCs w:val="16"/>
              </w:rPr>
              <w:t>-</w:t>
            </w:r>
          </w:p>
        </w:tc>
      </w:tr>
      <w:tr w:rsidR="001A582E" w:rsidRPr="001D74C5" w14:paraId="32A0D63D" w14:textId="77777777" w:rsidTr="00BB47F6">
        <w:tc>
          <w:tcPr>
            <w:tcW w:w="1649" w:type="dxa"/>
            <w:shd w:val="clear" w:color="auto" w:fill="F2F2F2"/>
            <w:vAlign w:val="center"/>
          </w:tcPr>
          <w:p w14:paraId="5E38BD80" w14:textId="77777777" w:rsidR="001A582E" w:rsidRPr="001D74C5" w:rsidRDefault="001A582E" w:rsidP="001D74C5">
            <w:pPr>
              <w:spacing w:before="40" w:after="40"/>
              <w:rPr>
                <w:rFonts w:cs="Arial"/>
                <w:i/>
                <w:sz w:val="16"/>
                <w:szCs w:val="16"/>
              </w:rPr>
            </w:pPr>
            <w:r w:rsidRPr="001D74C5">
              <w:rPr>
                <w:rFonts w:cs="Arial"/>
                <w:i/>
                <w:sz w:val="16"/>
                <w:szCs w:val="16"/>
              </w:rPr>
              <w:t>Lissodelphis peronii</w:t>
            </w:r>
          </w:p>
        </w:tc>
        <w:tc>
          <w:tcPr>
            <w:tcW w:w="1179" w:type="dxa"/>
            <w:shd w:val="clear" w:color="auto" w:fill="F2F2F2"/>
            <w:vAlign w:val="center"/>
          </w:tcPr>
          <w:p w14:paraId="41CAB396" w14:textId="77777777" w:rsidR="001A582E" w:rsidRPr="001D74C5" w:rsidRDefault="001A582E" w:rsidP="001D74C5">
            <w:pPr>
              <w:spacing w:before="40" w:after="40"/>
              <w:rPr>
                <w:rFonts w:cs="Arial"/>
                <w:sz w:val="16"/>
                <w:szCs w:val="16"/>
              </w:rPr>
            </w:pPr>
            <w:r w:rsidRPr="001D74C5">
              <w:rPr>
                <w:rFonts w:cs="Arial"/>
                <w:sz w:val="16"/>
                <w:szCs w:val="16"/>
              </w:rPr>
              <w:t>Southern right whale dolphin</w:t>
            </w:r>
          </w:p>
        </w:tc>
        <w:tc>
          <w:tcPr>
            <w:tcW w:w="1191" w:type="dxa"/>
            <w:shd w:val="clear" w:color="auto" w:fill="F2F2F2"/>
            <w:vAlign w:val="center"/>
          </w:tcPr>
          <w:p w14:paraId="18586466"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004" w:type="dxa"/>
            <w:shd w:val="clear" w:color="auto" w:fill="F2F2F2"/>
            <w:vAlign w:val="center"/>
          </w:tcPr>
          <w:p w14:paraId="12106DE8"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849" w:type="dxa"/>
            <w:shd w:val="clear" w:color="auto" w:fill="F2F2F2"/>
            <w:vAlign w:val="center"/>
          </w:tcPr>
          <w:p w14:paraId="1B551063" w14:textId="3040D7CA" w:rsidR="001A582E" w:rsidRPr="001D74C5" w:rsidRDefault="001A582E" w:rsidP="001D74C5">
            <w:pPr>
              <w:spacing w:before="40" w:after="40"/>
              <w:jc w:val="center"/>
              <w:rPr>
                <w:rFonts w:cs="Arial"/>
                <w:sz w:val="16"/>
                <w:szCs w:val="16"/>
              </w:rPr>
            </w:pPr>
            <w:r w:rsidRPr="001D74C5">
              <w:rPr>
                <w:rFonts w:cs="Arial"/>
                <w:sz w:val="16"/>
                <w:szCs w:val="16"/>
              </w:rPr>
              <w:t>Yes</w:t>
            </w:r>
          </w:p>
        </w:tc>
        <w:tc>
          <w:tcPr>
            <w:tcW w:w="1049" w:type="dxa"/>
            <w:shd w:val="clear" w:color="auto" w:fill="F2F2F2"/>
            <w:vAlign w:val="center"/>
          </w:tcPr>
          <w:p w14:paraId="296254CC" w14:textId="77777777" w:rsidR="001A582E" w:rsidRPr="001D74C5" w:rsidRDefault="001A582E" w:rsidP="001D74C5">
            <w:pPr>
              <w:spacing w:before="40" w:after="40"/>
              <w:jc w:val="center"/>
              <w:rPr>
                <w:rFonts w:cs="Arial"/>
                <w:sz w:val="16"/>
                <w:szCs w:val="16"/>
              </w:rPr>
            </w:pPr>
            <w:r w:rsidRPr="001D74C5">
              <w:rPr>
                <w:rFonts w:cs="Arial"/>
                <w:sz w:val="16"/>
                <w:szCs w:val="16"/>
              </w:rPr>
              <w:t>-</w:t>
            </w:r>
          </w:p>
        </w:tc>
        <w:tc>
          <w:tcPr>
            <w:tcW w:w="1120" w:type="dxa"/>
            <w:shd w:val="clear" w:color="auto" w:fill="F2F2F2"/>
            <w:vAlign w:val="center"/>
          </w:tcPr>
          <w:p w14:paraId="3C5BDDBE" w14:textId="0F50525C" w:rsidR="001A582E" w:rsidRPr="001D74C5" w:rsidRDefault="001A582E" w:rsidP="001D74C5">
            <w:pPr>
              <w:spacing w:before="40" w:after="40"/>
              <w:jc w:val="center"/>
              <w:rPr>
                <w:rFonts w:cs="Arial"/>
                <w:sz w:val="16"/>
                <w:szCs w:val="16"/>
              </w:rPr>
            </w:pPr>
            <w:r w:rsidRPr="001D74C5">
              <w:rPr>
                <w:rFonts w:cs="Arial"/>
                <w:sz w:val="16"/>
                <w:szCs w:val="16"/>
              </w:rPr>
              <w:t>-</w:t>
            </w:r>
          </w:p>
        </w:tc>
        <w:tc>
          <w:tcPr>
            <w:tcW w:w="1071" w:type="dxa"/>
            <w:shd w:val="clear" w:color="auto" w:fill="F2F2F2"/>
            <w:vAlign w:val="center"/>
          </w:tcPr>
          <w:p w14:paraId="2B568E61" w14:textId="266AEAFD" w:rsidR="001A582E" w:rsidRPr="001D74C5" w:rsidRDefault="001A582E" w:rsidP="001D74C5">
            <w:pPr>
              <w:spacing w:before="40" w:after="40"/>
              <w:jc w:val="center"/>
              <w:rPr>
                <w:rFonts w:cs="Arial"/>
                <w:sz w:val="16"/>
                <w:szCs w:val="16"/>
              </w:rPr>
            </w:pPr>
            <w:r w:rsidRPr="001D74C5">
              <w:rPr>
                <w:rFonts w:cs="Arial"/>
                <w:sz w:val="16"/>
                <w:szCs w:val="16"/>
              </w:rPr>
              <w:t>-</w:t>
            </w:r>
          </w:p>
        </w:tc>
      </w:tr>
      <w:tr w:rsidR="00BB47F6" w:rsidRPr="001D74C5" w14:paraId="33F90ABB" w14:textId="77777777" w:rsidTr="00BB47F6">
        <w:tc>
          <w:tcPr>
            <w:tcW w:w="1649" w:type="dxa"/>
            <w:shd w:val="clear" w:color="auto" w:fill="auto"/>
            <w:vAlign w:val="center"/>
          </w:tcPr>
          <w:p w14:paraId="402F1CC9" w14:textId="29E4E184" w:rsidR="00BB47F6" w:rsidRPr="001D74C5" w:rsidRDefault="00BB47F6" w:rsidP="001D74C5">
            <w:pPr>
              <w:spacing w:before="40" w:after="40"/>
              <w:rPr>
                <w:rFonts w:cs="Arial"/>
                <w:i/>
                <w:sz w:val="16"/>
                <w:szCs w:val="16"/>
              </w:rPr>
            </w:pPr>
            <w:r w:rsidRPr="001D74C5">
              <w:rPr>
                <w:rFonts w:cs="Arial"/>
                <w:i/>
                <w:sz w:val="16"/>
                <w:szCs w:val="16"/>
              </w:rPr>
              <w:t>Orcinus orca</w:t>
            </w:r>
          </w:p>
        </w:tc>
        <w:tc>
          <w:tcPr>
            <w:tcW w:w="1179" w:type="dxa"/>
            <w:shd w:val="clear" w:color="auto" w:fill="auto"/>
            <w:vAlign w:val="center"/>
          </w:tcPr>
          <w:p w14:paraId="6A701EF0" w14:textId="4CAC5E7E" w:rsidR="00BB47F6" w:rsidRPr="001D74C5" w:rsidRDefault="00BB47F6" w:rsidP="001D74C5">
            <w:pPr>
              <w:spacing w:before="40" w:after="40"/>
              <w:rPr>
                <w:rFonts w:cs="Arial"/>
                <w:sz w:val="16"/>
                <w:szCs w:val="16"/>
              </w:rPr>
            </w:pPr>
            <w:r w:rsidRPr="001D74C5">
              <w:rPr>
                <w:rFonts w:cs="Arial"/>
                <w:sz w:val="16"/>
                <w:szCs w:val="16"/>
              </w:rPr>
              <w:t>Killer whale</w:t>
            </w:r>
          </w:p>
        </w:tc>
        <w:tc>
          <w:tcPr>
            <w:tcW w:w="1191" w:type="dxa"/>
            <w:shd w:val="clear" w:color="auto" w:fill="auto"/>
            <w:vAlign w:val="center"/>
          </w:tcPr>
          <w:p w14:paraId="6A5FC7CF" w14:textId="0BB1E3F0" w:rsidR="00BB47F6" w:rsidRPr="001D74C5" w:rsidRDefault="00BB47F6" w:rsidP="001D74C5">
            <w:pPr>
              <w:spacing w:before="40" w:after="40"/>
              <w:jc w:val="center"/>
              <w:rPr>
                <w:rFonts w:cs="Arial"/>
                <w:sz w:val="16"/>
                <w:szCs w:val="16"/>
              </w:rPr>
            </w:pPr>
            <w:r w:rsidRPr="001D74C5">
              <w:rPr>
                <w:rFonts w:cs="Arial"/>
                <w:sz w:val="16"/>
                <w:szCs w:val="16"/>
              </w:rPr>
              <w:t>-</w:t>
            </w:r>
          </w:p>
        </w:tc>
        <w:tc>
          <w:tcPr>
            <w:tcW w:w="1004" w:type="dxa"/>
            <w:shd w:val="clear" w:color="auto" w:fill="auto"/>
            <w:vAlign w:val="center"/>
          </w:tcPr>
          <w:p w14:paraId="77813C3E" w14:textId="428231B3" w:rsidR="00BB47F6" w:rsidRPr="001D74C5" w:rsidRDefault="00BB47F6" w:rsidP="001D74C5">
            <w:pPr>
              <w:spacing w:before="40" w:after="40"/>
              <w:jc w:val="center"/>
              <w:rPr>
                <w:rFonts w:cs="Arial"/>
                <w:sz w:val="16"/>
                <w:szCs w:val="16"/>
              </w:rPr>
            </w:pPr>
            <w:r w:rsidRPr="001D74C5">
              <w:rPr>
                <w:rFonts w:cs="Arial"/>
                <w:sz w:val="16"/>
                <w:szCs w:val="16"/>
              </w:rPr>
              <w:t>Yes</w:t>
            </w:r>
          </w:p>
        </w:tc>
        <w:tc>
          <w:tcPr>
            <w:tcW w:w="849" w:type="dxa"/>
            <w:shd w:val="clear" w:color="auto" w:fill="auto"/>
            <w:vAlign w:val="center"/>
          </w:tcPr>
          <w:p w14:paraId="33F113E1" w14:textId="17B96CC2" w:rsidR="00BB47F6" w:rsidRPr="001D74C5" w:rsidRDefault="00BB47F6" w:rsidP="001D74C5">
            <w:pPr>
              <w:spacing w:before="40" w:after="40"/>
              <w:jc w:val="center"/>
              <w:rPr>
                <w:rFonts w:cs="Arial"/>
                <w:sz w:val="16"/>
                <w:szCs w:val="16"/>
              </w:rPr>
            </w:pPr>
            <w:r w:rsidRPr="001D74C5">
              <w:rPr>
                <w:rFonts w:cs="Arial"/>
                <w:sz w:val="16"/>
                <w:szCs w:val="16"/>
              </w:rPr>
              <w:t>-</w:t>
            </w:r>
          </w:p>
        </w:tc>
        <w:tc>
          <w:tcPr>
            <w:tcW w:w="1049" w:type="dxa"/>
            <w:shd w:val="clear" w:color="auto" w:fill="auto"/>
            <w:vAlign w:val="center"/>
          </w:tcPr>
          <w:p w14:paraId="4294743B" w14:textId="3F8E01F4" w:rsidR="00BB47F6" w:rsidRPr="001D74C5" w:rsidRDefault="00BB47F6" w:rsidP="001D74C5">
            <w:pPr>
              <w:spacing w:before="40" w:after="40"/>
              <w:jc w:val="center"/>
              <w:rPr>
                <w:rFonts w:cs="Arial"/>
                <w:sz w:val="16"/>
                <w:szCs w:val="16"/>
              </w:rPr>
            </w:pPr>
            <w:r w:rsidRPr="001D74C5">
              <w:rPr>
                <w:rFonts w:cs="Arial"/>
                <w:sz w:val="16"/>
                <w:szCs w:val="16"/>
              </w:rPr>
              <w:t>-</w:t>
            </w:r>
          </w:p>
        </w:tc>
        <w:tc>
          <w:tcPr>
            <w:tcW w:w="1120" w:type="dxa"/>
            <w:shd w:val="clear" w:color="auto" w:fill="auto"/>
            <w:vAlign w:val="center"/>
          </w:tcPr>
          <w:p w14:paraId="543BDEF0" w14:textId="45EDBF50" w:rsidR="00BB47F6" w:rsidRPr="001D74C5" w:rsidRDefault="00BB47F6" w:rsidP="001D74C5">
            <w:pPr>
              <w:spacing w:before="40" w:after="40"/>
              <w:jc w:val="center"/>
              <w:rPr>
                <w:rFonts w:cs="Arial"/>
                <w:sz w:val="16"/>
                <w:szCs w:val="16"/>
              </w:rPr>
            </w:pPr>
            <w:r w:rsidRPr="001D74C5">
              <w:rPr>
                <w:rFonts w:cs="Arial"/>
                <w:sz w:val="16"/>
                <w:szCs w:val="16"/>
              </w:rPr>
              <w:t>-</w:t>
            </w:r>
          </w:p>
        </w:tc>
        <w:tc>
          <w:tcPr>
            <w:tcW w:w="1071" w:type="dxa"/>
            <w:shd w:val="clear" w:color="auto" w:fill="auto"/>
            <w:vAlign w:val="center"/>
          </w:tcPr>
          <w:p w14:paraId="17E47F6C" w14:textId="4CD13974" w:rsidR="00BB47F6" w:rsidRPr="001D74C5" w:rsidRDefault="00BB47F6" w:rsidP="001D74C5">
            <w:pPr>
              <w:spacing w:before="40" w:after="40"/>
              <w:jc w:val="center"/>
              <w:rPr>
                <w:rFonts w:cs="Arial"/>
                <w:sz w:val="16"/>
                <w:szCs w:val="16"/>
              </w:rPr>
            </w:pPr>
            <w:r w:rsidRPr="001D74C5">
              <w:rPr>
                <w:rFonts w:cs="Arial"/>
                <w:sz w:val="16"/>
                <w:szCs w:val="16"/>
              </w:rPr>
              <w:t>-</w:t>
            </w:r>
          </w:p>
        </w:tc>
      </w:tr>
      <w:tr w:rsidR="00BB47F6" w:rsidRPr="001D74C5" w14:paraId="4F396A60" w14:textId="77777777" w:rsidTr="00BB47F6">
        <w:tc>
          <w:tcPr>
            <w:tcW w:w="1649" w:type="dxa"/>
            <w:shd w:val="clear" w:color="auto" w:fill="auto"/>
            <w:vAlign w:val="center"/>
          </w:tcPr>
          <w:p w14:paraId="5F47A213" w14:textId="77777777" w:rsidR="00BB47F6" w:rsidRPr="001D74C5" w:rsidRDefault="00BB47F6" w:rsidP="001D74C5">
            <w:pPr>
              <w:spacing w:before="40" w:after="40"/>
              <w:rPr>
                <w:rFonts w:cs="Arial"/>
                <w:i/>
                <w:sz w:val="16"/>
                <w:szCs w:val="16"/>
              </w:rPr>
            </w:pPr>
            <w:r w:rsidRPr="001D74C5">
              <w:rPr>
                <w:rFonts w:cs="Arial"/>
                <w:i/>
                <w:sz w:val="16"/>
                <w:szCs w:val="16"/>
              </w:rPr>
              <w:t>Tursiops aduncus</w:t>
            </w:r>
          </w:p>
        </w:tc>
        <w:tc>
          <w:tcPr>
            <w:tcW w:w="1179" w:type="dxa"/>
            <w:shd w:val="clear" w:color="auto" w:fill="auto"/>
          </w:tcPr>
          <w:p w14:paraId="5A218A6B" w14:textId="77777777" w:rsidR="00BB47F6" w:rsidRPr="001D74C5" w:rsidRDefault="00BB47F6" w:rsidP="001D74C5">
            <w:pPr>
              <w:spacing w:before="40" w:after="40"/>
              <w:rPr>
                <w:rFonts w:cs="Arial"/>
                <w:sz w:val="16"/>
                <w:szCs w:val="16"/>
              </w:rPr>
            </w:pPr>
            <w:r w:rsidRPr="001D74C5">
              <w:rPr>
                <w:rFonts w:cs="Arial"/>
                <w:sz w:val="16"/>
                <w:szCs w:val="16"/>
              </w:rPr>
              <w:t>Indian Ocean bottlenose dolphin</w:t>
            </w:r>
          </w:p>
        </w:tc>
        <w:tc>
          <w:tcPr>
            <w:tcW w:w="1191" w:type="dxa"/>
            <w:shd w:val="clear" w:color="auto" w:fill="auto"/>
            <w:vAlign w:val="center"/>
          </w:tcPr>
          <w:p w14:paraId="53C80AB4" w14:textId="77777777" w:rsidR="00BB47F6" w:rsidRPr="001D74C5" w:rsidRDefault="00BB47F6" w:rsidP="001D74C5">
            <w:pPr>
              <w:spacing w:before="40" w:after="40"/>
              <w:jc w:val="center"/>
              <w:rPr>
                <w:rFonts w:cs="Arial"/>
                <w:sz w:val="16"/>
                <w:szCs w:val="16"/>
              </w:rPr>
            </w:pPr>
            <w:r w:rsidRPr="001D74C5">
              <w:rPr>
                <w:rFonts w:cs="Arial"/>
                <w:sz w:val="16"/>
                <w:szCs w:val="16"/>
              </w:rPr>
              <w:t>-</w:t>
            </w:r>
          </w:p>
        </w:tc>
        <w:tc>
          <w:tcPr>
            <w:tcW w:w="1004" w:type="dxa"/>
            <w:shd w:val="clear" w:color="auto" w:fill="auto"/>
            <w:vAlign w:val="center"/>
          </w:tcPr>
          <w:p w14:paraId="3C4F8172" w14:textId="77777777" w:rsidR="00BB47F6" w:rsidRPr="001D74C5" w:rsidRDefault="00BB47F6" w:rsidP="001D74C5">
            <w:pPr>
              <w:spacing w:before="40" w:after="40"/>
              <w:jc w:val="center"/>
              <w:rPr>
                <w:rFonts w:cs="Arial"/>
                <w:sz w:val="16"/>
                <w:szCs w:val="16"/>
              </w:rPr>
            </w:pPr>
            <w:r w:rsidRPr="001D74C5">
              <w:rPr>
                <w:rFonts w:cs="Arial"/>
                <w:sz w:val="16"/>
                <w:szCs w:val="16"/>
              </w:rPr>
              <w:t>-</w:t>
            </w:r>
          </w:p>
        </w:tc>
        <w:tc>
          <w:tcPr>
            <w:tcW w:w="849" w:type="dxa"/>
            <w:shd w:val="clear" w:color="auto" w:fill="auto"/>
            <w:vAlign w:val="center"/>
          </w:tcPr>
          <w:p w14:paraId="5125B506" w14:textId="07EF918F" w:rsidR="00BB47F6" w:rsidRPr="001D74C5" w:rsidRDefault="00BB47F6" w:rsidP="001D74C5">
            <w:pPr>
              <w:spacing w:before="40" w:after="40"/>
              <w:jc w:val="center"/>
              <w:rPr>
                <w:rFonts w:cs="Arial"/>
                <w:sz w:val="16"/>
                <w:szCs w:val="16"/>
              </w:rPr>
            </w:pPr>
            <w:r w:rsidRPr="001D74C5">
              <w:rPr>
                <w:rFonts w:cs="Arial"/>
                <w:sz w:val="16"/>
                <w:szCs w:val="16"/>
              </w:rPr>
              <w:t>Yes</w:t>
            </w:r>
          </w:p>
        </w:tc>
        <w:tc>
          <w:tcPr>
            <w:tcW w:w="1049" w:type="dxa"/>
            <w:shd w:val="clear" w:color="auto" w:fill="auto"/>
            <w:vAlign w:val="center"/>
          </w:tcPr>
          <w:p w14:paraId="2E9E9361" w14:textId="77777777" w:rsidR="00BB47F6" w:rsidRPr="001D74C5" w:rsidRDefault="00BB47F6" w:rsidP="001D74C5">
            <w:pPr>
              <w:spacing w:before="40" w:after="40"/>
              <w:jc w:val="center"/>
              <w:rPr>
                <w:rFonts w:cs="Arial"/>
                <w:sz w:val="16"/>
                <w:szCs w:val="16"/>
              </w:rPr>
            </w:pPr>
            <w:r w:rsidRPr="001D74C5">
              <w:rPr>
                <w:rFonts w:cs="Arial"/>
                <w:sz w:val="16"/>
                <w:szCs w:val="16"/>
              </w:rPr>
              <w:t>-</w:t>
            </w:r>
          </w:p>
        </w:tc>
        <w:tc>
          <w:tcPr>
            <w:tcW w:w="1120" w:type="dxa"/>
            <w:shd w:val="clear" w:color="auto" w:fill="auto"/>
            <w:vAlign w:val="center"/>
          </w:tcPr>
          <w:p w14:paraId="1488AECE" w14:textId="17743C56" w:rsidR="00BB47F6" w:rsidRPr="001D74C5" w:rsidRDefault="00BB47F6" w:rsidP="001D74C5">
            <w:pPr>
              <w:spacing w:before="40" w:after="40"/>
              <w:jc w:val="center"/>
              <w:rPr>
                <w:rFonts w:cs="Arial"/>
                <w:sz w:val="16"/>
                <w:szCs w:val="16"/>
              </w:rPr>
            </w:pPr>
            <w:r w:rsidRPr="001D74C5">
              <w:rPr>
                <w:rFonts w:cs="Arial"/>
                <w:sz w:val="16"/>
                <w:szCs w:val="16"/>
              </w:rPr>
              <w:t>-</w:t>
            </w:r>
          </w:p>
        </w:tc>
        <w:tc>
          <w:tcPr>
            <w:tcW w:w="1071" w:type="dxa"/>
            <w:shd w:val="clear" w:color="auto" w:fill="auto"/>
            <w:vAlign w:val="center"/>
          </w:tcPr>
          <w:p w14:paraId="5AA6E203" w14:textId="0A366904" w:rsidR="00BB47F6" w:rsidRPr="001D74C5" w:rsidRDefault="00BB47F6" w:rsidP="001D74C5">
            <w:pPr>
              <w:spacing w:before="40" w:after="40"/>
              <w:jc w:val="center"/>
              <w:rPr>
                <w:rFonts w:cs="Arial"/>
                <w:sz w:val="16"/>
                <w:szCs w:val="16"/>
              </w:rPr>
            </w:pPr>
            <w:r w:rsidRPr="001D74C5">
              <w:rPr>
                <w:rFonts w:cs="Arial"/>
                <w:sz w:val="16"/>
                <w:szCs w:val="16"/>
              </w:rPr>
              <w:t>-</w:t>
            </w:r>
          </w:p>
        </w:tc>
      </w:tr>
      <w:tr w:rsidR="00BB47F6" w:rsidRPr="001D74C5" w14:paraId="007BA4C3" w14:textId="77777777" w:rsidTr="00BB47F6">
        <w:tc>
          <w:tcPr>
            <w:tcW w:w="1649" w:type="dxa"/>
            <w:shd w:val="clear" w:color="auto" w:fill="F2F2F2"/>
          </w:tcPr>
          <w:p w14:paraId="68B2C42E" w14:textId="77777777" w:rsidR="00BB47F6" w:rsidRPr="001D74C5" w:rsidRDefault="00BB47F6" w:rsidP="001D74C5">
            <w:pPr>
              <w:spacing w:before="40" w:after="40"/>
              <w:rPr>
                <w:rFonts w:cs="Arial"/>
                <w:i/>
                <w:sz w:val="16"/>
                <w:szCs w:val="16"/>
              </w:rPr>
            </w:pPr>
            <w:r w:rsidRPr="001D74C5">
              <w:rPr>
                <w:rFonts w:cs="Arial"/>
                <w:i/>
                <w:sz w:val="16"/>
                <w:szCs w:val="16"/>
              </w:rPr>
              <w:t>Tursiops truncates</w:t>
            </w:r>
          </w:p>
        </w:tc>
        <w:tc>
          <w:tcPr>
            <w:tcW w:w="1179" w:type="dxa"/>
            <w:shd w:val="clear" w:color="auto" w:fill="F2F2F2"/>
          </w:tcPr>
          <w:p w14:paraId="2D1D1AB7" w14:textId="77777777" w:rsidR="00BB47F6" w:rsidRPr="001D74C5" w:rsidRDefault="00BB47F6" w:rsidP="001D74C5">
            <w:pPr>
              <w:spacing w:before="40" w:after="40"/>
              <w:rPr>
                <w:rFonts w:cs="Arial"/>
                <w:sz w:val="16"/>
                <w:szCs w:val="16"/>
              </w:rPr>
            </w:pPr>
            <w:r w:rsidRPr="001D74C5">
              <w:rPr>
                <w:rFonts w:cs="Arial"/>
                <w:sz w:val="16"/>
                <w:szCs w:val="16"/>
              </w:rPr>
              <w:t>Bottlenose dolphin</w:t>
            </w:r>
          </w:p>
        </w:tc>
        <w:tc>
          <w:tcPr>
            <w:tcW w:w="1191" w:type="dxa"/>
            <w:shd w:val="clear" w:color="auto" w:fill="F2F2F2"/>
            <w:vAlign w:val="center"/>
          </w:tcPr>
          <w:p w14:paraId="50969793" w14:textId="77777777" w:rsidR="00BB47F6" w:rsidRPr="001D74C5" w:rsidRDefault="00BB47F6" w:rsidP="001D74C5">
            <w:pPr>
              <w:spacing w:before="40" w:after="40"/>
              <w:jc w:val="center"/>
              <w:rPr>
                <w:rFonts w:cs="Arial"/>
                <w:sz w:val="16"/>
                <w:szCs w:val="16"/>
              </w:rPr>
            </w:pPr>
            <w:r w:rsidRPr="001D74C5">
              <w:rPr>
                <w:rFonts w:cs="Arial"/>
                <w:sz w:val="16"/>
                <w:szCs w:val="16"/>
              </w:rPr>
              <w:t>-</w:t>
            </w:r>
          </w:p>
        </w:tc>
        <w:tc>
          <w:tcPr>
            <w:tcW w:w="1004" w:type="dxa"/>
            <w:shd w:val="clear" w:color="auto" w:fill="F2F2F2"/>
            <w:vAlign w:val="center"/>
          </w:tcPr>
          <w:p w14:paraId="3C41CBFA" w14:textId="77777777" w:rsidR="00BB47F6" w:rsidRPr="001D74C5" w:rsidRDefault="00BB47F6" w:rsidP="001D74C5">
            <w:pPr>
              <w:spacing w:before="40" w:after="40"/>
              <w:jc w:val="center"/>
              <w:rPr>
                <w:rFonts w:cs="Arial"/>
                <w:sz w:val="16"/>
                <w:szCs w:val="16"/>
              </w:rPr>
            </w:pPr>
            <w:r w:rsidRPr="001D74C5">
              <w:rPr>
                <w:rFonts w:cs="Arial"/>
                <w:sz w:val="16"/>
                <w:szCs w:val="16"/>
              </w:rPr>
              <w:t>-</w:t>
            </w:r>
          </w:p>
        </w:tc>
        <w:tc>
          <w:tcPr>
            <w:tcW w:w="849" w:type="dxa"/>
            <w:shd w:val="clear" w:color="auto" w:fill="F2F2F2"/>
            <w:vAlign w:val="center"/>
          </w:tcPr>
          <w:p w14:paraId="433B0D09" w14:textId="50BFAF8F" w:rsidR="00BB47F6" w:rsidRPr="001D74C5" w:rsidRDefault="00BB47F6" w:rsidP="001D74C5">
            <w:pPr>
              <w:spacing w:before="40" w:after="40"/>
              <w:jc w:val="center"/>
              <w:rPr>
                <w:rFonts w:cs="Arial"/>
                <w:sz w:val="16"/>
                <w:szCs w:val="16"/>
              </w:rPr>
            </w:pPr>
            <w:r w:rsidRPr="001D74C5">
              <w:rPr>
                <w:rFonts w:cs="Arial"/>
                <w:sz w:val="16"/>
                <w:szCs w:val="16"/>
              </w:rPr>
              <w:t>Yes</w:t>
            </w:r>
          </w:p>
        </w:tc>
        <w:tc>
          <w:tcPr>
            <w:tcW w:w="1049" w:type="dxa"/>
            <w:shd w:val="clear" w:color="auto" w:fill="F2F2F2"/>
            <w:vAlign w:val="center"/>
          </w:tcPr>
          <w:p w14:paraId="4B6FFC98" w14:textId="77777777" w:rsidR="00BB47F6" w:rsidRPr="001D74C5" w:rsidRDefault="00BB47F6" w:rsidP="001D74C5">
            <w:pPr>
              <w:spacing w:before="40" w:after="40"/>
              <w:jc w:val="center"/>
              <w:rPr>
                <w:rFonts w:cs="Arial"/>
                <w:sz w:val="16"/>
                <w:szCs w:val="16"/>
              </w:rPr>
            </w:pPr>
            <w:r w:rsidRPr="001D74C5">
              <w:rPr>
                <w:rFonts w:cs="Arial"/>
                <w:sz w:val="16"/>
                <w:szCs w:val="16"/>
              </w:rPr>
              <w:t>-</w:t>
            </w:r>
          </w:p>
        </w:tc>
        <w:tc>
          <w:tcPr>
            <w:tcW w:w="1120" w:type="dxa"/>
            <w:shd w:val="clear" w:color="auto" w:fill="F2F2F2"/>
            <w:vAlign w:val="center"/>
          </w:tcPr>
          <w:p w14:paraId="223A2365" w14:textId="6E5F9695" w:rsidR="00BB47F6" w:rsidRPr="001D74C5" w:rsidRDefault="00BB47F6" w:rsidP="001D74C5">
            <w:pPr>
              <w:spacing w:before="40" w:after="40"/>
              <w:jc w:val="center"/>
              <w:rPr>
                <w:rFonts w:cs="Arial"/>
                <w:sz w:val="16"/>
                <w:szCs w:val="16"/>
              </w:rPr>
            </w:pPr>
            <w:r w:rsidRPr="001D74C5">
              <w:rPr>
                <w:rFonts w:cs="Arial"/>
                <w:sz w:val="16"/>
                <w:szCs w:val="16"/>
              </w:rPr>
              <w:t>-</w:t>
            </w:r>
          </w:p>
        </w:tc>
        <w:tc>
          <w:tcPr>
            <w:tcW w:w="1071" w:type="dxa"/>
            <w:shd w:val="clear" w:color="auto" w:fill="F2F2F2"/>
            <w:vAlign w:val="center"/>
          </w:tcPr>
          <w:p w14:paraId="2B6C9ACE" w14:textId="64676A22" w:rsidR="00BB47F6" w:rsidRPr="001D74C5" w:rsidRDefault="00BB47F6" w:rsidP="001D74C5">
            <w:pPr>
              <w:spacing w:before="40" w:after="40"/>
              <w:jc w:val="center"/>
              <w:rPr>
                <w:rFonts w:cs="Arial"/>
                <w:sz w:val="16"/>
                <w:szCs w:val="16"/>
              </w:rPr>
            </w:pPr>
            <w:r w:rsidRPr="001D74C5">
              <w:rPr>
                <w:rFonts w:cs="Arial"/>
                <w:sz w:val="16"/>
                <w:szCs w:val="16"/>
              </w:rPr>
              <w:t>-</w:t>
            </w:r>
          </w:p>
        </w:tc>
      </w:tr>
    </w:tbl>
    <w:p w14:paraId="226C6ABD" w14:textId="2BA1230A" w:rsidR="007A17DF" w:rsidRPr="000A2B4A" w:rsidRDefault="000A2B4A" w:rsidP="00BA0611">
      <w:pPr>
        <w:pStyle w:val="BodyText"/>
        <w:keepNext/>
        <w:rPr>
          <w:i/>
          <w:sz w:val="18"/>
          <w:szCs w:val="18"/>
        </w:rPr>
      </w:pPr>
      <w:r w:rsidRPr="000A2B4A">
        <w:rPr>
          <w:i/>
          <w:sz w:val="18"/>
          <w:szCs w:val="18"/>
        </w:rPr>
        <w:t>Definitions and key to acronyms as per Table 5.1</w:t>
      </w:r>
    </w:p>
    <w:p w14:paraId="626E4EEC" w14:textId="77777777" w:rsidR="00011CA4" w:rsidRDefault="00011CA4" w:rsidP="00C52844">
      <w:pPr>
        <w:pStyle w:val="Heading3"/>
      </w:pPr>
      <w:bookmarkStart w:id="89" w:name="_Toc346898896"/>
      <w:bookmarkStart w:id="90" w:name="_Ref473518556"/>
      <w:r>
        <w:t>Pinnipeds</w:t>
      </w:r>
      <w:bookmarkEnd w:id="89"/>
      <w:bookmarkEnd w:id="90"/>
    </w:p>
    <w:p w14:paraId="3CD69943" w14:textId="4DD2A399" w:rsidR="00011CA4" w:rsidRDefault="004C268E" w:rsidP="004C268E">
      <w:pPr>
        <w:pStyle w:val="BodyText"/>
        <w:keepNext/>
        <w:ind w:left="720"/>
      </w:pPr>
      <w:r w:rsidRPr="004C268E">
        <w:rPr>
          <w:color w:val="FF0000"/>
          <w:szCs w:val="20"/>
        </w:rPr>
        <w:fldChar w:fldCharType="begin"/>
      </w:r>
      <w:r w:rsidRPr="004C268E">
        <w:rPr>
          <w:szCs w:val="20"/>
        </w:rPr>
        <w:instrText xml:space="preserve"> REF _Ref473350889 \h </w:instrText>
      </w:r>
      <w:r>
        <w:rPr>
          <w:color w:val="FF0000"/>
          <w:szCs w:val="20"/>
        </w:rPr>
        <w:instrText xml:space="preserve"> \* MERGEFORMAT </w:instrText>
      </w:r>
      <w:r w:rsidRPr="004C268E">
        <w:rPr>
          <w:color w:val="FF0000"/>
          <w:szCs w:val="20"/>
        </w:rPr>
      </w:r>
      <w:r w:rsidRPr="004C268E">
        <w:rPr>
          <w:color w:val="FF0000"/>
          <w:szCs w:val="20"/>
        </w:rPr>
        <w:fldChar w:fldCharType="separate"/>
      </w:r>
      <w:r w:rsidR="00CC4C35" w:rsidRPr="00CC4C35">
        <w:rPr>
          <w:b/>
          <w:szCs w:val="20"/>
        </w:rPr>
        <w:t xml:space="preserve">Table </w:t>
      </w:r>
      <w:r w:rsidR="00CC4C35" w:rsidRPr="00CC4C35">
        <w:rPr>
          <w:b/>
          <w:noProof/>
          <w:szCs w:val="20"/>
        </w:rPr>
        <w:t>3</w:t>
      </w:r>
      <w:r w:rsidR="00CC4C35" w:rsidRPr="00CC4C35">
        <w:rPr>
          <w:b/>
          <w:noProof/>
          <w:szCs w:val="20"/>
        </w:rPr>
        <w:noBreakHyphen/>
        <w:t>3</w:t>
      </w:r>
      <w:r w:rsidRPr="004C268E">
        <w:rPr>
          <w:color w:val="FF0000"/>
          <w:szCs w:val="20"/>
        </w:rPr>
        <w:fldChar w:fldCharType="end"/>
      </w:r>
      <w:r w:rsidRPr="004C268E">
        <w:rPr>
          <w:color w:val="FF0000"/>
          <w:szCs w:val="20"/>
        </w:rPr>
        <w:t xml:space="preserve"> </w:t>
      </w:r>
      <w:r w:rsidR="00FD1EFF" w:rsidRPr="004C268E">
        <w:rPr>
          <w:szCs w:val="20"/>
        </w:rPr>
        <w:t>lists the two pinniped species that may occur within the EMBA</w:t>
      </w:r>
      <w:r w:rsidR="00FD1EFF">
        <w:t xml:space="preserve">. </w:t>
      </w:r>
    </w:p>
    <w:p w14:paraId="0FC27DE7" w14:textId="3C58400C" w:rsidR="00352748" w:rsidRPr="004C268E" w:rsidRDefault="004C268E" w:rsidP="00213285">
      <w:pPr>
        <w:pStyle w:val="Caption"/>
        <w:outlineLvl w:val="9"/>
        <w:rPr>
          <w:rFonts w:cs="Arial"/>
          <w:sz w:val="20"/>
          <w:szCs w:val="20"/>
        </w:rPr>
      </w:pPr>
      <w:bookmarkStart w:id="91" w:name="_Ref473350889"/>
      <w:bookmarkStart w:id="92" w:name="_Toc511032582"/>
      <w:r w:rsidRPr="004C268E">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3</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3</w:t>
      </w:r>
      <w:r w:rsidR="00103328">
        <w:rPr>
          <w:sz w:val="20"/>
          <w:szCs w:val="20"/>
        </w:rPr>
        <w:fldChar w:fldCharType="end"/>
      </w:r>
      <w:bookmarkEnd w:id="91"/>
      <w:r w:rsidRPr="004C268E">
        <w:rPr>
          <w:sz w:val="20"/>
          <w:szCs w:val="20"/>
        </w:rPr>
        <w:t xml:space="preserve">: </w:t>
      </w:r>
      <w:r w:rsidR="00352748" w:rsidRPr="004C268E">
        <w:rPr>
          <w:rFonts w:cs="Arial"/>
          <w:sz w:val="20"/>
          <w:szCs w:val="20"/>
        </w:rPr>
        <w:t xml:space="preserve">EPBC Act-listed </w:t>
      </w:r>
      <w:r w:rsidR="00FD1EFF" w:rsidRPr="004C268E">
        <w:rPr>
          <w:rFonts w:cs="Arial"/>
          <w:sz w:val="20"/>
          <w:szCs w:val="20"/>
        </w:rPr>
        <w:t>pinniped</w:t>
      </w:r>
      <w:r w:rsidR="00352748" w:rsidRPr="004C268E">
        <w:rPr>
          <w:rFonts w:cs="Arial"/>
          <w:sz w:val="20"/>
          <w:szCs w:val="20"/>
        </w:rPr>
        <w:t xml:space="preserve"> species that may occur in the EMBA</w:t>
      </w:r>
      <w:bookmarkEnd w:id="92"/>
    </w:p>
    <w:tbl>
      <w:tblPr>
        <w:tblW w:w="0" w:type="auto"/>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1476"/>
        <w:gridCol w:w="1338"/>
        <w:gridCol w:w="1133"/>
        <w:gridCol w:w="1028"/>
        <w:gridCol w:w="921"/>
        <w:gridCol w:w="1049"/>
        <w:gridCol w:w="924"/>
        <w:gridCol w:w="1056"/>
      </w:tblGrid>
      <w:tr w:rsidR="00FD5486" w:rsidRPr="00323A97" w14:paraId="72B491FC" w14:textId="77777777" w:rsidTr="000A2B4A">
        <w:trPr>
          <w:trHeight w:val="166"/>
          <w:tblHeader/>
        </w:trPr>
        <w:tc>
          <w:tcPr>
            <w:tcW w:w="1501" w:type="dxa"/>
            <w:vMerge w:val="restart"/>
            <w:tcBorders>
              <w:right w:val="single" w:sz="6" w:space="0" w:color="F2F2F2"/>
            </w:tcBorders>
            <w:shd w:val="clear" w:color="auto" w:fill="A6A6A6"/>
            <w:tcMar>
              <w:top w:w="142" w:type="dxa"/>
            </w:tcMar>
          </w:tcPr>
          <w:p w14:paraId="3364C33D" w14:textId="77777777" w:rsidR="00352748" w:rsidRPr="004705DB" w:rsidRDefault="00352748" w:rsidP="00136A5A">
            <w:pPr>
              <w:jc w:val="center"/>
              <w:rPr>
                <w:rFonts w:cs="Arial"/>
                <w:b/>
                <w:sz w:val="16"/>
                <w:szCs w:val="16"/>
              </w:rPr>
            </w:pPr>
            <w:r w:rsidRPr="004705DB">
              <w:rPr>
                <w:rFonts w:cs="Arial"/>
                <w:b/>
                <w:sz w:val="16"/>
                <w:szCs w:val="16"/>
              </w:rPr>
              <w:t>Scientific name</w:t>
            </w:r>
          </w:p>
        </w:tc>
        <w:tc>
          <w:tcPr>
            <w:tcW w:w="1378" w:type="dxa"/>
            <w:vMerge w:val="restart"/>
            <w:tcBorders>
              <w:left w:val="single" w:sz="6" w:space="0" w:color="F2F2F2"/>
              <w:right w:val="single" w:sz="6" w:space="0" w:color="F2F2F2"/>
            </w:tcBorders>
            <w:shd w:val="clear" w:color="auto" w:fill="A6A6A6"/>
            <w:tcMar>
              <w:top w:w="142" w:type="dxa"/>
            </w:tcMar>
          </w:tcPr>
          <w:p w14:paraId="3BA2B71A" w14:textId="77777777" w:rsidR="00352748" w:rsidRPr="004705DB" w:rsidRDefault="00352748" w:rsidP="00136A5A">
            <w:pPr>
              <w:jc w:val="center"/>
              <w:rPr>
                <w:rFonts w:cs="Arial"/>
                <w:b/>
                <w:sz w:val="16"/>
                <w:szCs w:val="16"/>
              </w:rPr>
            </w:pPr>
            <w:r w:rsidRPr="004705DB">
              <w:rPr>
                <w:rFonts w:cs="Arial"/>
                <w:b/>
                <w:sz w:val="16"/>
                <w:szCs w:val="16"/>
              </w:rPr>
              <w:t>Common name</w:t>
            </w:r>
          </w:p>
        </w:tc>
        <w:tc>
          <w:tcPr>
            <w:tcW w:w="3136" w:type="dxa"/>
            <w:gridSpan w:val="3"/>
            <w:tcBorders>
              <w:left w:val="single" w:sz="6" w:space="0" w:color="F2F2F2"/>
              <w:right w:val="single" w:sz="6" w:space="0" w:color="F2F2F2"/>
            </w:tcBorders>
            <w:shd w:val="clear" w:color="auto" w:fill="A6A6A6"/>
            <w:tcMar>
              <w:top w:w="142" w:type="dxa"/>
            </w:tcMar>
          </w:tcPr>
          <w:p w14:paraId="6C574645" w14:textId="77777777" w:rsidR="00352748" w:rsidRPr="004705DB" w:rsidRDefault="00352748" w:rsidP="00136A5A">
            <w:pPr>
              <w:jc w:val="center"/>
              <w:rPr>
                <w:rFonts w:cs="Arial"/>
                <w:b/>
                <w:sz w:val="16"/>
                <w:szCs w:val="16"/>
              </w:rPr>
            </w:pPr>
            <w:r w:rsidRPr="004705DB">
              <w:rPr>
                <w:rFonts w:cs="Arial"/>
                <w:b/>
                <w:sz w:val="16"/>
                <w:szCs w:val="16"/>
              </w:rPr>
              <w:t>EPBC Act status</w:t>
            </w:r>
          </w:p>
        </w:tc>
        <w:tc>
          <w:tcPr>
            <w:tcW w:w="1085" w:type="dxa"/>
            <w:vMerge w:val="restart"/>
            <w:tcBorders>
              <w:left w:val="single" w:sz="6" w:space="0" w:color="F2F2F2"/>
              <w:right w:val="single" w:sz="6" w:space="0" w:color="F2F2F2"/>
            </w:tcBorders>
            <w:shd w:val="clear" w:color="auto" w:fill="A6A6A6"/>
            <w:tcMar>
              <w:top w:w="142" w:type="dxa"/>
            </w:tcMar>
          </w:tcPr>
          <w:p w14:paraId="6B2FBF7F" w14:textId="77777777" w:rsidR="00352748" w:rsidRPr="004705DB" w:rsidRDefault="00352748" w:rsidP="00136A5A">
            <w:pPr>
              <w:jc w:val="center"/>
              <w:rPr>
                <w:rFonts w:cs="Arial"/>
                <w:b/>
                <w:sz w:val="16"/>
                <w:szCs w:val="16"/>
              </w:rPr>
            </w:pPr>
            <w:r w:rsidRPr="004705DB">
              <w:rPr>
                <w:rFonts w:cs="Arial"/>
                <w:b/>
                <w:sz w:val="16"/>
                <w:szCs w:val="16"/>
              </w:rPr>
              <w:t>FFG Act status</w:t>
            </w:r>
          </w:p>
        </w:tc>
        <w:tc>
          <w:tcPr>
            <w:tcW w:w="941" w:type="dxa"/>
            <w:vMerge w:val="restart"/>
            <w:tcBorders>
              <w:left w:val="single" w:sz="6" w:space="0" w:color="F2F2F2"/>
              <w:right w:val="single" w:sz="6" w:space="0" w:color="F2F2F2"/>
            </w:tcBorders>
            <w:shd w:val="clear" w:color="auto" w:fill="A6A6A6"/>
            <w:tcMar>
              <w:top w:w="142" w:type="dxa"/>
            </w:tcMar>
          </w:tcPr>
          <w:p w14:paraId="21D263D9" w14:textId="77777777" w:rsidR="00352748" w:rsidRPr="004705DB" w:rsidRDefault="00352748" w:rsidP="00136A5A">
            <w:pPr>
              <w:jc w:val="center"/>
              <w:rPr>
                <w:rFonts w:cs="Arial"/>
                <w:b/>
                <w:sz w:val="16"/>
                <w:szCs w:val="16"/>
              </w:rPr>
            </w:pPr>
            <w:r w:rsidRPr="004705DB">
              <w:rPr>
                <w:rFonts w:cs="Arial"/>
                <w:b/>
                <w:sz w:val="16"/>
                <w:szCs w:val="16"/>
              </w:rPr>
              <w:t>BIA within the EMBA?</w:t>
            </w:r>
          </w:p>
        </w:tc>
        <w:tc>
          <w:tcPr>
            <w:tcW w:w="1071" w:type="dxa"/>
            <w:vMerge w:val="restart"/>
            <w:tcBorders>
              <w:left w:val="single" w:sz="6" w:space="0" w:color="F2F2F2"/>
            </w:tcBorders>
            <w:shd w:val="clear" w:color="auto" w:fill="A6A6A6"/>
            <w:tcMar>
              <w:top w:w="142" w:type="dxa"/>
            </w:tcMar>
          </w:tcPr>
          <w:p w14:paraId="1F4D474A" w14:textId="30ED33AC" w:rsidR="00352748" w:rsidRPr="004705DB" w:rsidRDefault="00352748" w:rsidP="001D1B43">
            <w:pPr>
              <w:jc w:val="center"/>
              <w:rPr>
                <w:rFonts w:cs="Arial"/>
                <w:b/>
                <w:sz w:val="16"/>
                <w:szCs w:val="16"/>
              </w:rPr>
            </w:pPr>
            <w:r w:rsidRPr="004705DB">
              <w:rPr>
                <w:rFonts w:cs="Arial"/>
                <w:b/>
                <w:sz w:val="16"/>
                <w:szCs w:val="16"/>
              </w:rPr>
              <w:t>Recovery plan etc</w:t>
            </w:r>
            <w:r w:rsidR="001D1B43" w:rsidRPr="004705DB">
              <w:rPr>
                <w:rFonts w:cs="Arial"/>
                <w:b/>
                <w:sz w:val="16"/>
                <w:szCs w:val="16"/>
              </w:rPr>
              <w:t xml:space="preserve"> in place?</w:t>
            </w:r>
          </w:p>
        </w:tc>
      </w:tr>
      <w:tr w:rsidR="00FD5486" w:rsidRPr="00323A97" w14:paraId="58FB757F" w14:textId="77777777" w:rsidTr="000A2B4A">
        <w:trPr>
          <w:trHeight w:val="165"/>
        </w:trPr>
        <w:tc>
          <w:tcPr>
            <w:tcW w:w="1501" w:type="dxa"/>
            <w:vMerge/>
            <w:shd w:val="clear" w:color="auto" w:fill="auto"/>
          </w:tcPr>
          <w:p w14:paraId="145161EB" w14:textId="77777777" w:rsidR="00352748" w:rsidRPr="004705DB" w:rsidRDefault="00352748" w:rsidP="00136A5A">
            <w:pPr>
              <w:jc w:val="center"/>
              <w:rPr>
                <w:rFonts w:cs="Arial"/>
                <w:b/>
                <w:sz w:val="16"/>
                <w:szCs w:val="16"/>
              </w:rPr>
            </w:pPr>
          </w:p>
        </w:tc>
        <w:tc>
          <w:tcPr>
            <w:tcW w:w="1378" w:type="dxa"/>
            <w:vMerge/>
            <w:shd w:val="clear" w:color="auto" w:fill="auto"/>
          </w:tcPr>
          <w:p w14:paraId="1126211B" w14:textId="77777777" w:rsidR="00352748" w:rsidRPr="004705DB" w:rsidRDefault="00352748" w:rsidP="00136A5A">
            <w:pPr>
              <w:jc w:val="center"/>
              <w:rPr>
                <w:rFonts w:cs="Arial"/>
                <w:b/>
                <w:sz w:val="16"/>
                <w:szCs w:val="16"/>
              </w:rPr>
            </w:pPr>
          </w:p>
        </w:tc>
        <w:tc>
          <w:tcPr>
            <w:tcW w:w="1151" w:type="dxa"/>
            <w:shd w:val="clear" w:color="auto" w:fill="A6A6A6"/>
          </w:tcPr>
          <w:p w14:paraId="7ED0CD24" w14:textId="77777777" w:rsidR="00352748" w:rsidRPr="004705DB" w:rsidRDefault="00352748" w:rsidP="00136A5A">
            <w:pPr>
              <w:jc w:val="center"/>
              <w:rPr>
                <w:rFonts w:cs="Arial"/>
                <w:sz w:val="16"/>
                <w:szCs w:val="16"/>
              </w:rPr>
            </w:pPr>
            <w:r w:rsidRPr="004705DB">
              <w:rPr>
                <w:rFonts w:cs="Arial"/>
                <w:sz w:val="16"/>
                <w:szCs w:val="16"/>
              </w:rPr>
              <w:t>Listed threatened species</w:t>
            </w:r>
          </w:p>
        </w:tc>
        <w:tc>
          <w:tcPr>
            <w:tcW w:w="1045" w:type="dxa"/>
            <w:shd w:val="clear" w:color="auto" w:fill="A6A6A6"/>
          </w:tcPr>
          <w:p w14:paraId="2B5AD118" w14:textId="77777777" w:rsidR="00352748" w:rsidRPr="004705DB" w:rsidRDefault="00352748" w:rsidP="00136A5A">
            <w:pPr>
              <w:jc w:val="center"/>
              <w:rPr>
                <w:rFonts w:cs="Arial"/>
                <w:sz w:val="16"/>
                <w:szCs w:val="16"/>
              </w:rPr>
            </w:pPr>
            <w:r w:rsidRPr="004705DB">
              <w:rPr>
                <w:rFonts w:cs="Arial"/>
                <w:sz w:val="16"/>
                <w:szCs w:val="16"/>
              </w:rPr>
              <w:t>Listed migratory species</w:t>
            </w:r>
          </w:p>
        </w:tc>
        <w:tc>
          <w:tcPr>
            <w:tcW w:w="940" w:type="dxa"/>
            <w:shd w:val="clear" w:color="auto" w:fill="A6A6A6"/>
          </w:tcPr>
          <w:p w14:paraId="561458AA" w14:textId="77777777" w:rsidR="00352748" w:rsidRPr="004705DB" w:rsidRDefault="00352748" w:rsidP="00136A5A">
            <w:pPr>
              <w:jc w:val="center"/>
              <w:rPr>
                <w:rFonts w:cs="Arial"/>
                <w:sz w:val="16"/>
                <w:szCs w:val="16"/>
              </w:rPr>
            </w:pPr>
            <w:r w:rsidRPr="004705DB">
              <w:rPr>
                <w:rFonts w:cs="Arial"/>
                <w:sz w:val="16"/>
                <w:szCs w:val="16"/>
              </w:rPr>
              <w:t>Listed marine species</w:t>
            </w:r>
          </w:p>
        </w:tc>
        <w:tc>
          <w:tcPr>
            <w:tcW w:w="1085" w:type="dxa"/>
            <w:vMerge/>
            <w:shd w:val="clear" w:color="auto" w:fill="auto"/>
          </w:tcPr>
          <w:p w14:paraId="659A4E84" w14:textId="77777777" w:rsidR="00352748" w:rsidRPr="004705DB" w:rsidRDefault="00352748" w:rsidP="00136A5A">
            <w:pPr>
              <w:jc w:val="center"/>
              <w:rPr>
                <w:rFonts w:cs="Arial"/>
                <w:b/>
                <w:sz w:val="16"/>
                <w:szCs w:val="16"/>
              </w:rPr>
            </w:pPr>
          </w:p>
        </w:tc>
        <w:tc>
          <w:tcPr>
            <w:tcW w:w="941" w:type="dxa"/>
            <w:vMerge/>
            <w:shd w:val="clear" w:color="auto" w:fill="auto"/>
          </w:tcPr>
          <w:p w14:paraId="6BC31935" w14:textId="77777777" w:rsidR="00352748" w:rsidRPr="004705DB" w:rsidRDefault="00352748" w:rsidP="00136A5A">
            <w:pPr>
              <w:jc w:val="center"/>
              <w:rPr>
                <w:rFonts w:cs="Arial"/>
                <w:b/>
                <w:sz w:val="16"/>
                <w:szCs w:val="16"/>
              </w:rPr>
            </w:pPr>
          </w:p>
        </w:tc>
        <w:tc>
          <w:tcPr>
            <w:tcW w:w="1071" w:type="dxa"/>
            <w:vMerge/>
            <w:shd w:val="clear" w:color="auto" w:fill="auto"/>
          </w:tcPr>
          <w:p w14:paraId="36AAFEBD" w14:textId="77777777" w:rsidR="00352748" w:rsidRPr="004705DB" w:rsidRDefault="00352748" w:rsidP="00136A5A">
            <w:pPr>
              <w:jc w:val="center"/>
              <w:rPr>
                <w:rFonts w:cs="Arial"/>
                <w:b/>
                <w:sz w:val="16"/>
                <w:szCs w:val="16"/>
              </w:rPr>
            </w:pPr>
          </w:p>
        </w:tc>
      </w:tr>
      <w:tr w:rsidR="00FD5486" w:rsidRPr="00323A97" w14:paraId="52B93031" w14:textId="77777777" w:rsidTr="000A2B4A">
        <w:tc>
          <w:tcPr>
            <w:tcW w:w="1501" w:type="dxa"/>
            <w:shd w:val="clear" w:color="auto" w:fill="F2F2F2"/>
            <w:vAlign w:val="center"/>
          </w:tcPr>
          <w:p w14:paraId="41D76500" w14:textId="77777777" w:rsidR="00352748" w:rsidRPr="004705DB" w:rsidRDefault="00352748" w:rsidP="00352748">
            <w:pPr>
              <w:rPr>
                <w:rFonts w:cs="Arial"/>
                <w:b/>
                <w:sz w:val="16"/>
                <w:szCs w:val="16"/>
              </w:rPr>
            </w:pPr>
            <w:r w:rsidRPr="004705DB">
              <w:rPr>
                <w:rFonts w:cs="Arial"/>
                <w:i/>
                <w:sz w:val="16"/>
                <w:szCs w:val="16"/>
              </w:rPr>
              <w:t>Arctocephalus forsteri</w:t>
            </w:r>
          </w:p>
        </w:tc>
        <w:tc>
          <w:tcPr>
            <w:tcW w:w="1378" w:type="dxa"/>
            <w:shd w:val="clear" w:color="auto" w:fill="F2F2F2"/>
            <w:vAlign w:val="center"/>
          </w:tcPr>
          <w:p w14:paraId="7F4A7EFF" w14:textId="77777777" w:rsidR="00352748" w:rsidRPr="004705DB" w:rsidRDefault="00352748" w:rsidP="00352748">
            <w:pPr>
              <w:rPr>
                <w:rFonts w:cs="Arial"/>
                <w:b/>
                <w:sz w:val="16"/>
                <w:szCs w:val="16"/>
              </w:rPr>
            </w:pPr>
            <w:r w:rsidRPr="004705DB">
              <w:rPr>
                <w:rFonts w:cs="Arial"/>
                <w:sz w:val="16"/>
                <w:szCs w:val="16"/>
              </w:rPr>
              <w:t>New Zealand fur seal</w:t>
            </w:r>
          </w:p>
        </w:tc>
        <w:tc>
          <w:tcPr>
            <w:tcW w:w="1151" w:type="dxa"/>
            <w:shd w:val="clear" w:color="auto" w:fill="F2F2F2"/>
            <w:vAlign w:val="center"/>
          </w:tcPr>
          <w:p w14:paraId="67F70035" w14:textId="77777777" w:rsidR="00352748" w:rsidRPr="004705DB" w:rsidRDefault="00352748" w:rsidP="00136A5A">
            <w:pPr>
              <w:jc w:val="center"/>
              <w:rPr>
                <w:rFonts w:cs="Arial"/>
                <w:b/>
                <w:sz w:val="16"/>
                <w:szCs w:val="16"/>
              </w:rPr>
            </w:pPr>
            <w:r w:rsidRPr="004705DB">
              <w:rPr>
                <w:rFonts w:cs="Arial"/>
                <w:sz w:val="16"/>
                <w:szCs w:val="16"/>
              </w:rPr>
              <w:t>-</w:t>
            </w:r>
          </w:p>
        </w:tc>
        <w:tc>
          <w:tcPr>
            <w:tcW w:w="1045" w:type="dxa"/>
            <w:shd w:val="clear" w:color="auto" w:fill="F2F2F2"/>
            <w:vAlign w:val="center"/>
          </w:tcPr>
          <w:p w14:paraId="09CFEFF6" w14:textId="5ED83033" w:rsidR="00352748" w:rsidRPr="004705DB" w:rsidRDefault="001A582E" w:rsidP="001A582E">
            <w:pPr>
              <w:jc w:val="center"/>
              <w:rPr>
                <w:rFonts w:cs="Arial"/>
                <w:sz w:val="16"/>
                <w:szCs w:val="16"/>
              </w:rPr>
            </w:pPr>
            <w:r w:rsidRPr="004705DB">
              <w:rPr>
                <w:rFonts w:cs="Arial"/>
                <w:sz w:val="16"/>
                <w:szCs w:val="16"/>
              </w:rPr>
              <w:t xml:space="preserve">Yes </w:t>
            </w:r>
          </w:p>
        </w:tc>
        <w:tc>
          <w:tcPr>
            <w:tcW w:w="940" w:type="dxa"/>
            <w:shd w:val="clear" w:color="auto" w:fill="F2F2F2"/>
            <w:vAlign w:val="center"/>
          </w:tcPr>
          <w:p w14:paraId="093569C4" w14:textId="3F37A3A2" w:rsidR="00352748" w:rsidRPr="004705DB" w:rsidRDefault="001A582E" w:rsidP="001A582E">
            <w:pPr>
              <w:jc w:val="center"/>
              <w:rPr>
                <w:rFonts w:cs="Arial"/>
                <w:sz w:val="16"/>
                <w:szCs w:val="16"/>
              </w:rPr>
            </w:pPr>
            <w:r w:rsidRPr="004705DB">
              <w:rPr>
                <w:rFonts w:cs="Arial"/>
                <w:sz w:val="16"/>
                <w:szCs w:val="16"/>
              </w:rPr>
              <w:t xml:space="preserve">Yes </w:t>
            </w:r>
          </w:p>
        </w:tc>
        <w:tc>
          <w:tcPr>
            <w:tcW w:w="1085" w:type="dxa"/>
            <w:shd w:val="clear" w:color="auto" w:fill="F2F2F2"/>
            <w:vAlign w:val="center"/>
          </w:tcPr>
          <w:p w14:paraId="61273CEC" w14:textId="0F11926A" w:rsidR="00352748" w:rsidRPr="004705DB" w:rsidRDefault="0036093F" w:rsidP="00136A5A">
            <w:pPr>
              <w:jc w:val="center"/>
              <w:rPr>
                <w:rFonts w:cs="Arial"/>
                <w:sz w:val="16"/>
                <w:szCs w:val="16"/>
              </w:rPr>
            </w:pPr>
            <w:r w:rsidRPr="004705DB">
              <w:rPr>
                <w:rFonts w:cs="Arial"/>
                <w:sz w:val="16"/>
                <w:szCs w:val="16"/>
              </w:rPr>
              <w:t>-</w:t>
            </w:r>
          </w:p>
        </w:tc>
        <w:tc>
          <w:tcPr>
            <w:tcW w:w="941" w:type="dxa"/>
            <w:shd w:val="clear" w:color="auto" w:fill="F2F2F2"/>
            <w:vAlign w:val="center"/>
          </w:tcPr>
          <w:p w14:paraId="395916D5" w14:textId="302A9B30" w:rsidR="00352748" w:rsidRPr="004705DB" w:rsidRDefault="0036093F" w:rsidP="00136A5A">
            <w:pPr>
              <w:jc w:val="center"/>
              <w:rPr>
                <w:rFonts w:cs="Arial"/>
                <w:sz w:val="16"/>
                <w:szCs w:val="16"/>
              </w:rPr>
            </w:pPr>
            <w:r w:rsidRPr="004705DB">
              <w:rPr>
                <w:rFonts w:cs="Arial"/>
                <w:sz w:val="16"/>
                <w:szCs w:val="16"/>
              </w:rPr>
              <w:t>-</w:t>
            </w:r>
          </w:p>
        </w:tc>
        <w:tc>
          <w:tcPr>
            <w:tcW w:w="1071" w:type="dxa"/>
            <w:shd w:val="clear" w:color="auto" w:fill="F2F2F2"/>
            <w:vAlign w:val="center"/>
          </w:tcPr>
          <w:p w14:paraId="29CDAED7" w14:textId="56D2BCBB" w:rsidR="00352748" w:rsidRPr="004705DB" w:rsidRDefault="0036093F" w:rsidP="00136A5A">
            <w:pPr>
              <w:jc w:val="center"/>
              <w:rPr>
                <w:rFonts w:cs="Arial"/>
                <w:sz w:val="16"/>
                <w:szCs w:val="16"/>
              </w:rPr>
            </w:pPr>
            <w:r w:rsidRPr="004705DB">
              <w:rPr>
                <w:rFonts w:cs="Arial"/>
                <w:sz w:val="16"/>
                <w:szCs w:val="16"/>
              </w:rPr>
              <w:t>-</w:t>
            </w:r>
          </w:p>
        </w:tc>
      </w:tr>
      <w:tr w:rsidR="00FD5486" w:rsidRPr="00323A97" w14:paraId="656E360A" w14:textId="77777777" w:rsidTr="000A2B4A">
        <w:tc>
          <w:tcPr>
            <w:tcW w:w="1501" w:type="dxa"/>
            <w:shd w:val="clear" w:color="auto" w:fill="auto"/>
            <w:vAlign w:val="center"/>
          </w:tcPr>
          <w:p w14:paraId="257AA996" w14:textId="77777777" w:rsidR="00352748" w:rsidRPr="004705DB" w:rsidRDefault="00352748" w:rsidP="00352748">
            <w:pPr>
              <w:rPr>
                <w:rFonts w:cs="Arial"/>
                <w:i/>
                <w:sz w:val="16"/>
                <w:szCs w:val="16"/>
              </w:rPr>
            </w:pPr>
            <w:r w:rsidRPr="004705DB">
              <w:rPr>
                <w:rFonts w:cs="Arial"/>
                <w:i/>
                <w:sz w:val="16"/>
                <w:szCs w:val="16"/>
              </w:rPr>
              <w:t>Arctocephalus pusillus</w:t>
            </w:r>
          </w:p>
        </w:tc>
        <w:tc>
          <w:tcPr>
            <w:tcW w:w="1378" w:type="dxa"/>
            <w:shd w:val="clear" w:color="auto" w:fill="auto"/>
            <w:vAlign w:val="center"/>
          </w:tcPr>
          <w:p w14:paraId="6DC8948A" w14:textId="77777777" w:rsidR="00352748" w:rsidRPr="004705DB" w:rsidRDefault="00352748" w:rsidP="00352748">
            <w:pPr>
              <w:rPr>
                <w:rFonts w:cs="Arial"/>
                <w:sz w:val="16"/>
                <w:szCs w:val="16"/>
              </w:rPr>
            </w:pPr>
            <w:r w:rsidRPr="004705DB">
              <w:rPr>
                <w:rFonts w:cs="Arial"/>
                <w:sz w:val="16"/>
                <w:szCs w:val="16"/>
              </w:rPr>
              <w:t>Australian fur seal</w:t>
            </w:r>
          </w:p>
        </w:tc>
        <w:tc>
          <w:tcPr>
            <w:tcW w:w="1151" w:type="dxa"/>
            <w:shd w:val="clear" w:color="auto" w:fill="auto"/>
            <w:vAlign w:val="center"/>
          </w:tcPr>
          <w:p w14:paraId="42F7630D" w14:textId="77777777" w:rsidR="00352748" w:rsidRPr="004705DB" w:rsidRDefault="00352748" w:rsidP="00136A5A">
            <w:pPr>
              <w:jc w:val="center"/>
              <w:rPr>
                <w:rFonts w:cs="Arial"/>
                <w:sz w:val="16"/>
                <w:szCs w:val="16"/>
              </w:rPr>
            </w:pPr>
            <w:r w:rsidRPr="004705DB">
              <w:rPr>
                <w:rFonts w:cs="Arial"/>
                <w:sz w:val="16"/>
                <w:szCs w:val="16"/>
              </w:rPr>
              <w:t>-</w:t>
            </w:r>
          </w:p>
        </w:tc>
        <w:tc>
          <w:tcPr>
            <w:tcW w:w="1045" w:type="dxa"/>
            <w:shd w:val="clear" w:color="auto" w:fill="auto"/>
            <w:vAlign w:val="center"/>
          </w:tcPr>
          <w:p w14:paraId="279FB960" w14:textId="100846D9" w:rsidR="00352748" w:rsidRPr="004705DB" w:rsidRDefault="001A582E" w:rsidP="001A582E">
            <w:pPr>
              <w:jc w:val="center"/>
              <w:rPr>
                <w:rFonts w:cs="Arial"/>
                <w:sz w:val="16"/>
                <w:szCs w:val="16"/>
              </w:rPr>
            </w:pPr>
            <w:r w:rsidRPr="004705DB">
              <w:rPr>
                <w:rFonts w:cs="Arial"/>
                <w:sz w:val="16"/>
                <w:szCs w:val="16"/>
              </w:rPr>
              <w:t xml:space="preserve">Yes </w:t>
            </w:r>
          </w:p>
        </w:tc>
        <w:tc>
          <w:tcPr>
            <w:tcW w:w="940" w:type="dxa"/>
            <w:shd w:val="clear" w:color="auto" w:fill="auto"/>
            <w:vAlign w:val="center"/>
          </w:tcPr>
          <w:p w14:paraId="35974E93" w14:textId="0C66AD79" w:rsidR="00352748" w:rsidRPr="004705DB" w:rsidRDefault="001A582E" w:rsidP="001A582E">
            <w:pPr>
              <w:jc w:val="center"/>
              <w:rPr>
                <w:rFonts w:cs="Arial"/>
                <w:sz w:val="16"/>
                <w:szCs w:val="16"/>
              </w:rPr>
            </w:pPr>
            <w:r w:rsidRPr="004705DB">
              <w:rPr>
                <w:rFonts w:cs="Arial"/>
                <w:sz w:val="16"/>
                <w:szCs w:val="16"/>
              </w:rPr>
              <w:t xml:space="preserve">Yes </w:t>
            </w:r>
          </w:p>
        </w:tc>
        <w:tc>
          <w:tcPr>
            <w:tcW w:w="1085" w:type="dxa"/>
            <w:shd w:val="clear" w:color="auto" w:fill="auto"/>
            <w:vAlign w:val="center"/>
          </w:tcPr>
          <w:p w14:paraId="08AE27CF" w14:textId="77777777" w:rsidR="00352748" w:rsidRPr="004705DB" w:rsidRDefault="00352748" w:rsidP="00136A5A">
            <w:pPr>
              <w:jc w:val="center"/>
              <w:rPr>
                <w:rFonts w:cs="Arial"/>
                <w:sz w:val="16"/>
                <w:szCs w:val="16"/>
              </w:rPr>
            </w:pPr>
            <w:r w:rsidRPr="004705DB">
              <w:rPr>
                <w:rFonts w:cs="Arial"/>
                <w:sz w:val="16"/>
                <w:szCs w:val="16"/>
              </w:rPr>
              <w:t>-</w:t>
            </w:r>
          </w:p>
        </w:tc>
        <w:tc>
          <w:tcPr>
            <w:tcW w:w="941" w:type="dxa"/>
            <w:shd w:val="clear" w:color="auto" w:fill="auto"/>
            <w:vAlign w:val="center"/>
          </w:tcPr>
          <w:p w14:paraId="1C39F1D7" w14:textId="6D90607E" w:rsidR="00352748" w:rsidRPr="004705DB" w:rsidRDefault="0036093F" w:rsidP="00136A5A">
            <w:pPr>
              <w:jc w:val="center"/>
              <w:rPr>
                <w:rFonts w:cs="Arial"/>
                <w:sz w:val="16"/>
                <w:szCs w:val="16"/>
              </w:rPr>
            </w:pPr>
            <w:r w:rsidRPr="004705DB">
              <w:rPr>
                <w:rFonts w:cs="Arial"/>
                <w:sz w:val="16"/>
                <w:szCs w:val="16"/>
              </w:rPr>
              <w:t>-</w:t>
            </w:r>
          </w:p>
        </w:tc>
        <w:tc>
          <w:tcPr>
            <w:tcW w:w="1071" w:type="dxa"/>
            <w:shd w:val="clear" w:color="auto" w:fill="auto"/>
            <w:vAlign w:val="center"/>
          </w:tcPr>
          <w:p w14:paraId="75FF7D13" w14:textId="6D9F2E9E" w:rsidR="00352748" w:rsidRPr="004705DB" w:rsidRDefault="0036093F" w:rsidP="00136A5A">
            <w:pPr>
              <w:jc w:val="center"/>
              <w:rPr>
                <w:rFonts w:cs="Arial"/>
                <w:sz w:val="16"/>
                <w:szCs w:val="16"/>
              </w:rPr>
            </w:pPr>
            <w:r w:rsidRPr="004705DB">
              <w:rPr>
                <w:rFonts w:cs="Arial"/>
                <w:sz w:val="16"/>
                <w:szCs w:val="16"/>
              </w:rPr>
              <w:t>-</w:t>
            </w:r>
          </w:p>
        </w:tc>
      </w:tr>
    </w:tbl>
    <w:p w14:paraId="322E89F9" w14:textId="5917E22B" w:rsidR="000A2B4A" w:rsidRDefault="000A2B4A" w:rsidP="004C268E">
      <w:pPr>
        <w:pStyle w:val="BodyText"/>
        <w:keepNext/>
        <w:rPr>
          <w:rFonts w:cs="Arial"/>
          <w:szCs w:val="20"/>
        </w:rPr>
      </w:pPr>
      <w:r w:rsidRPr="000A2B4A">
        <w:rPr>
          <w:i/>
          <w:sz w:val="18"/>
          <w:szCs w:val="18"/>
        </w:rPr>
        <w:t>Definitions and key to acronyms as per Table 5.1</w:t>
      </w:r>
      <w:r w:rsidRPr="009D2199">
        <w:rPr>
          <w:rFonts w:cs="Arial"/>
          <w:i/>
          <w:szCs w:val="20"/>
        </w:rPr>
        <w:tab/>
      </w:r>
      <w:r w:rsidRPr="009D2199">
        <w:rPr>
          <w:rFonts w:cs="Arial"/>
          <w:szCs w:val="20"/>
        </w:rPr>
        <w:tab/>
      </w:r>
    </w:p>
    <w:p w14:paraId="57E2A794" w14:textId="2D7CDB39" w:rsidR="004C268E" w:rsidRDefault="004C268E" w:rsidP="009D7E16">
      <w:pPr>
        <w:pStyle w:val="BodyText"/>
        <w:ind w:left="709"/>
      </w:pPr>
      <w:r w:rsidRPr="004C268E">
        <w:t>OSRA mapping for the region indicates the presence of seal colonies and haul-out sites a</w:t>
      </w:r>
      <w:r w:rsidR="00E80C0C">
        <w:t>long the coast within the EMBA</w:t>
      </w:r>
      <w:r w:rsidRPr="004C268E">
        <w:t xml:space="preserve">. These species prefer resting/haul out sites that are rocky and isolated, </w:t>
      </w:r>
      <w:r w:rsidR="00AF36BA">
        <w:t>common along t</w:t>
      </w:r>
      <w:r w:rsidRPr="004C268E">
        <w:t>he southwest coastline</w:t>
      </w:r>
      <w:r>
        <w:t>.</w:t>
      </w:r>
    </w:p>
    <w:p w14:paraId="348EF57B" w14:textId="77777777" w:rsidR="00DA5768" w:rsidRPr="00DA5768" w:rsidRDefault="00DA5768" w:rsidP="00DA5768">
      <w:pPr>
        <w:pStyle w:val="BodyText"/>
      </w:pPr>
    </w:p>
    <w:p w14:paraId="3EE157F8" w14:textId="77777777" w:rsidR="000D1089" w:rsidRDefault="000D1089" w:rsidP="00C52844">
      <w:pPr>
        <w:pStyle w:val="Heading3"/>
      </w:pPr>
      <w:bookmarkStart w:id="93" w:name="_Toc346898897"/>
      <w:bookmarkStart w:id="94" w:name="_Ref473518570"/>
      <w:r>
        <w:t>Reptiles</w:t>
      </w:r>
      <w:bookmarkEnd w:id="93"/>
      <w:bookmarkEnd w:id="94"/>
    </w:p>
    <w:p w14:paraId="65F88DB3" w14:textId="79A2CBE3" w:rsidR="00831C3B" w:rsidRPr="007D5824" w:rsidRDefault="000C7FFC" w:rsidP="007D5824">
      <w:pPr>
        <w:pStyle w:val="BodyText"/>
        <w:keepNext/>
        <w:ind w:left="720"/>
        <w:rPr>
          <w:szCs w:val="20"/>
        </w:rPr>
      </w:pPr>
      <w:r w:rsidRPr="007D5824">
        <w:rPr>
          <w:szCs w:val="20"/>
        </w:rPr>
        <w:t>Three</w:t>
      </w:r>
      <w:r w:rsidR="00831C3B" w:rsidRPr="007D5824">
        <w:rPr>
          <w:szCs w:val="20"/>
        </w:rPr>
        <w:t xml:space="preserve"> species of marine turtle listed as endangered under the EPBC Act may occur </w:t>
      </w:r>
      <w:r w:rsidR="00292281" w:rsidRPr="007D5824">
        <w:rPr>
          <w:szCs w:val="20"/>
        </w:rPr>
        <w:t>within the EMBA</w:t>
      </w:r>
      <w:r w:rsidR="00831C3B" w:rsidRPr="007D5824">
        <w:rPr>
          <w:szCs w:val="20"/>
        </w:rPr>
        <w:t xml:space="preserve"> (</w:t>
      </w:r>
      <w:r w:rsidR="007D5824" w:rsidRPr="007D5824">
        <w:rPr>
          <w:color w:val="FF0000"/>
          <w:szCs w:val="20"/>
        </w:rPr>
        <w:fldChar w:fldCharType="begin"/>
      </w:r>
      <w:r w:rsidR="007D5824" w:rsidRPr="007D5824">
        <w:rPr>
          <w:szCs w:val="20"/>
        </w:rPr>
        <w:instrText xml:space="preserve"> REF _Ref473351578 \h </w:instrText>
      </w:r>
      <w:r w:rsidR="007D5824">
        <w:rPr>
          <w:color w:val="FF0000"/>
          <w:szCs w:val="20"/>
        </w:rPr>
        <w:instrText xml:space="preserve"> \* MERGEFORMAT </w:instrText>
      </w:r>
      <w:r w:rsidR="007D5824" w:rsidRPr="007D5824">
        <w:rPr>
          <w:color w:val="FF0000"/>
          <w:szCs w:val="20"/>
        </w:rPr>
      </w:r>
      <w:r w:rsidR="007D5824" w:rsidRPr="007D5824">
        <w:rPr>
          <w:color w:val="FF0000"/>
          <w:szCs w:val="20"/>
        </w:rPr>
        <w:fldChar w:fldCharType="separate"/>
      </w:r>
      <w:r w:rsidR="00CC4C35" w:rsidRPr="004705DB">
        <w:rPr>
          <w:szCs w:val="20"/>
        </w:rPr>
        <w:t xml:space="preserve">Table </w:t>
      </w:r>
      <w:r w:rsidR="00CC4C35">
        <w:rPr>
          <w:noProof/>
          <w:szCs w:val="20"/>
        </w:rPr>
        <w:t>3</w:t>
      </w:r>
      <w:r w:rsidR="00CC4C35">
        <w:rPr>
          <w:noProof/>
          <w:szCs w:val="20"/>
        </w:rPr>
        <w:noBreakHyphen/>
        <w:t>4</w:t>
      </w:r>
      <w:r w:rsidR="007D5824" w:rsidRPr="007D5824">
        <w:rPr>
          <w:color w:val="FF0000"/>
          <w:szCs w:val="20"/>
        </w:rPr>
        <w:fldChar w:fldCharType="end"/>
      </w:r>
      <w:r w:rsidR="00831C3B" w:rsidRPr="007D5824">
        <w:rPr>
          <w:szCs w:val="20"/>
        </w:rPr>
        <w:t xml:space="preserve">). </w:t>
      </w:r>
    </w:p>
    <w:p w14:paraId="0B60E63F" w14:textId="41EFC718" w:rsidR="00A07596" w:rsidRPr="004705DB" w:rsidRDefault="007D5824" w:rsidP="0094303F">
      <w:pPr>
        <w:pStyle w:val="Caption"/>
        <w:ind w:left="1134"/>
        <w:jc w:val="left"/>
        <w:outlineLvl w:val="9"/>
        <w:rPr>
          <w:rFonts w:cs="Arial"/>
          <w:b w:val="0"/>
          <w:sz w:val="20"/>
          <w:szCs w:val="20"/>
        </w:rPr>
      </w:pPr>
      <w:bookmarkStart w:id="95" w:name="_Ref473351578"/>
      <w:bookmarkStart w:id="96" w:name="_Toc511032583"/>
      <w:r w:rsidRPr="004705DB">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3</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4</w:t>
      </w:r>
      <w:r w:rsidR="00103328">
        <w:rPr>
          <w:sz w:val="20"/>
          <w:szCs w:val="20"/>
        </w:rPr>
        <w:fldChar w:fldCharType="end"/>
      </w:r>
      <w:bookmarkEnd w:id="95"/>
      <w:r w:rsidRPr="004705DB">
        <w:rPr>
          <w:sz w:val="20"/>
          <w:szCs w:val="20"/>
        </w:rPr>
        <w:t>: EPBC Act listed reptile species that may occur in the EMBA</w:t>
      </w:r>
      <w:bookmarkEnd w:id="96"/>
    </w:p>
    <w:tbl>
      <w:tblPr>
        <w:tblW w:w="0" w:type="auto"/>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1163"/>
        <w:gridCol w:w="1224"/>
        <w:gridCol w:w="1262"/>
        <w:gridCol w:w="1156"/>
        <w:gridCol w:w="955"/>
        <w:gridCol w:w="1102"/>
        <w:gridCol w:w="930"/>
        <w:gridCol w:w="1133"/>
      </w:tblGrid>
      <w:tr w:rsidR="00FD5486" w:rsidRPr="007D5824" w14:paraId="2421023D" w14:textId="77777777" w:rsidTr="001D1B43">
        <w:trPr>
          <w:trHeight w:val="166"/>
          <w:tblHeader/>
        </w:trPr>
        <w:tc>
          <w:tcPr>
            <w:tcW w:w="1175" w:type="dxa"/>
            <w:vMerge w:val="restart"/>
            <w:tcBorders>
              <w:right w:val="single" w:sz="6" w:space="0" w:color="F2F2F2"/>
            </w:tcBorders>
            <w:shd w:val="clear" w:color="auto" w:fill="A6A6A6"/>
            <w:tcMar>
              <w:top w:w="142" w:type="dxa"/>
            </w:tcMar>
          </w:tcPr>
          <w:p w14:paraId="1F6DA6AD" w14:textId="77777777" w:rsidR="00A07596" w:rsidRPr="007D5824" w:rsidRDefault="00A07596" w:rsidP="00136A5A">
            <w:pPr>
              <w:jc w:val="center"/>
              <w:rPr>
                <w:rFonts w:cs="Arial"/>
                <w:b/>
                <w:sz w:val="16"/>
                <w:szCs w:val="16"/>
              </w:rPr>
            </w:pPr>
            <w:r w:rsidRPr="007D5824">
              <w:rPr>
                <w:rFonts w:cs="Arial"/>
                <w:b/>
                <w:sz w:val="16"/>
                <w:szCs w:val="16"/>
              </w:rPr>
              <w:t>Scientific name</w:t>
            </w:r>
          </w:p>
        </w:tc>
        <w:tc>
          <w:tcPr>
            <w:tcW w:w="1237" w:type="dxa"/>
            <w:vMerge w:val="restart"/>
            <w:tcBorders>
              <w:left w:val="single" w:sz="6" w:space="0" w:color="F2F2F2"/>
              <w:right w:val="single" w:sz="6" w:space="0" w:color="F2F2F2"/>
            </w:tcBorders>
            <w:shd w:val="clear" w:color="auto" w:fill="A6A6A6"/>
            <w:tcMar>
              <w:top w:w="142" w:type="dxa"/>
            </w:tcMar>
          </w:tcPr>
          <w:p w14:paraId="4C9FFFA2" w14:textId="77777777" w:rsidR="00A07596" w:rsidRPr="007D5824" w:rsidRDefault="00A07596" w:rsidP="00136A5A">
            <w:pPr>
              <w:jc w:val="center"/>
              <w:rPr>
                <w:rFonts w:cs="Arial"/>
                <w:b/>
                <w:sz w:val="16"/>
                <w:szCs w:val="16"/>
              </w:rPr>
            </w:pPr>
            <w:r w:rsidRPr="007D5824">
              <w:rPr>
                <w:rFonts w:cs="Arial"/>
                <w:b/>
                <w:sz w:val="16"/>
                <w:szCs w:val="16"/>
              </w:rPr>
              <w:t>Common name</w:t>
            </w:r>
          </w:p>
        </w:tc>
        <w:tc>
          <w:tcPr>
            <w:tcW w:w="3447" w:type="dxa"/>
            <w:gridSpan w:val="3"/>
            <w:tcBorders>
              <w:left w:val="single" w:sz="6" w:space="0" w:color="F2F2F2"/>
              <w:right w:val="single" w:sz="6" w:space="0" w:color="F2F2F2"/>
            </w:tcBorders>
            <w:shd w:val="clear" w:color="auto" w:fill="A6A6A6"/>
            <w:tcMar>
              <w:top w:w="142" w:type="dxa"/>
            </w:tcMar>
          </w:tcPr>
          <w:p w14:paraId="311EB9F3" w14:textId="77777777" w:rsidR="00A07596" w:rsidRPr="007D5824" w:rsidRDefault="00A07596" w:rsidP="00136A5A">
            <w:pPr>
              <w:jc w:val="center"/>
              <w:rPr>
                <w:rFonts w:cs="Arial"/>
                <w:b/>
                <w:sz w:val="16"/>
                <w:szCs w:val="16"/>
              </w:rPr>
            </w:pPr>
            <w:r w:rsidRPr="007D5824">
              <w:rPr>
                <w:rFonts w:cs="Arial"/>
                <w:b/>
                <w:sz w:val="16"/>
                <w:szCs w:val="16"/>
              </w:rPr>
              <w:t>EPBC Act status</w:t>
            </w:r>
          </w:p>
        </w:tc>
        <w:tc>
          <w:tcPr>
            <w:tcW w:w="1145" w:type="dxa"/>
            <w:vMerge w:val="restart"/>
            <w:tcBorders>
              <w:left w:val="single" w:sz="6" w:space="0" w:color="F2F2F2"/>
              <w:right w:val="single" w:sz="6" w:space="0" w:color="F2F2F2"/>
            </w:tcBorders>
            <w:shd w:val="clear" w:color="auto" w:fill="A6A6A6"/>
            <w:tcMar>
              <w:top w:w="142" w:type="dxa"/>
            </w:tcMar>
          </w:tcPr>
          <w:p w14:paraId="02D07FCA" w14:textId="77777777" w:rsidR="00A07596" w:rsidRPr="007D5824" w:rsidRDefault="00292281" w:rsidP="00136A5A">
            <w:pPr>
              <w:jc w:val="center"/>
              <w:rPr>
                <w:rFonts w:cs="Arial"/>
                <w:b/>
                <w:sz w:val="16"/>
                <w:szCs w:val="16"/>
              </w:rPr>
            </w:pPr>
            <w:r w:rsidRPr="007D5824">
              <w:rPr>
                <w:rFonts w:cs="Arial"/>
                <w:b/>
                <w:sz w:val="16"/>
                <w:szCs w:val="16"/>
              </w:rPr>
              <w:t xml:space="preserve">FFG Act listed? </w:t>
            </w:r>
          </w:p>
        </w:tc>
        <w:tc>
          <w:tcPr>
            <w:tcW w:w="950" w:type="dxa"/>
            <w:vMerge w:val="restart"/>
            <w:tcBorders>
              <w:left w:val="single" w:sz="6" w:space="0" w:color="F2F2F2"/>
              <w:right w:val="single" w:sz="6" w:space="0" w:color="F2F2F2"/>
            </w:tcBorders>
            <w:shd w:val="clear" w:color="auto" w:fill="A6A6A6"/>
            <w:tcMar>
              <w:top w:w="142" w:type="dxa"/>
            </w:tcMar>
          </w:tcPr>
          <w:p w14:paraId="13C31A10" w14:textId="77777777" w:rsidR="00A07596" w:rsidRPr="007D5824" w:rsidRDefault="00A07596" w:rsidP="00136A5A">
            <w:pPr>
              <w:jc w:val="center"/>
              <w:rPr>
                <w:rFonts w:cs="Arial"/>
                <w:b/>
                <w:sz w:val="16"/>
                <w:szCs w:val="16"/>
              </w:rPr>
            </w:pPr>
            <w:r w:rsidRPr="007D5824">
              <w:rPr>
                <w:rFonts w:cs="Arial"/>
                <w:b/>
                <w:sz w:val="16"/>
                <w:szCs w:val="16"/>
              </w:rPr>
              <w:t>BIA within the EMBA?</w:t>
            </w:r>
          </w:p>
        </w:tc>
        <w:tc>
          <w:tcPr>
            <w:tcW w:w="1158" w:type="dxa"/>
            <w:vMerge w:val="restart"/>
            <w:tcBorders>
              <w:left w:val="single" w:sz="6" w:space="0" w:color="F2F2F2"/>
            </w:tcBorders>
            <w:shd w:val="clear" w:color="auto" w:fill="A6A6A6"/>
            <w:tcMar>
              <w:top w:w="142" w:type="dxa"/>
            </w:tcMar>
          </w:tcPr>
          <w:p w14:paraId="3ECB9BB3" w14:textId="77777777" w:rsidR="00A07596" w:rsidRPr="007D5824" w:rsidRDefault="00A07596" w:rsidP="00136A5A">
            <w:pPr>
              <w:jc w:val="center"/>
              <w:rPr>
                <w:rFonts w:cs="Arial"/>
                <w:b/>
                <w:sz w:val="16"/>
                <w:szCs w:val="16"/>
              </w:rPr>
            </w:pPr>
            <w:r w:rsidRPr="007D5824">
              <w:rPr>
                <w:rFonts w:cs="Arial"/>
                <w:b/>
                <w:sz w:val="16"/>
                <w:szCs w:val="16"/>
              </w:rPr>
              <w:t>Recovery plan etc in place?</w:t>
            </w:r>
          </w:p>
        </w:tc>
      </w:tr>
      <w:tr w:rsidR="00FD5486" w:rsidRPr="007D5824" w14:paraId="3F304777" w14:textId="77777777" w:rsidTr="001D1B43">
        <w:trPr>
          <w:trHeight w:val="165"/>
        </w:trPr>
        <w:tc>
          <w:tcPr>
            <w:tcW w:w="1175" w:type="dxa"/>
            <w:vMerge/>
            <w:shd w:val="clear" w:color="auto" w:fill="auto"/>
          </w:tcPr>
          <w:p w14:paraId="215F9A54" w14:textId="77777777" w:rsidR="00A07596" w:rsidRPr="007D5824" w:rsidRDefault="00A07596" w:rsidP="00136A5A">
            <w:pPr>
              <w:jc w:val="center"/>
              <w:rPr>
                <w:rFonts w:cs="Arial"/>
                <w:b/>
                <w:sz w:val="16"/>
                <w:szCs w:val="16"/>
              </w:rPr>
            </w:pPr>
          </w:p>
        </w:tc>
        <w:tc>
          <w:tcPr>
            <w:tcW w:w="1237" w:type="dxa"/>
            <w:vMerge/>
            <w:shd w:val="clear" w:color="auto" w:fill="auto"/>
          </w:tcPr>
          <w:p w14:paraId="6BB05CE2" w14:textId="77777777" w:rsidR="00A07596" w:rsidRPr="007D5824" w:rsidRDefault="00A07596" w:rsidP="00136A5A">
            <w:pPr>
              <w:jc w:val="center"/>
              <w:rPr>
                <w:rFonts w:cs="Arial"/>
                <w:b/>
                <w:sz w:val="16"/>
                <w:szCs w:val="16"/>
              </w:rPr>
            </w:pPr>
          </w:p>
        </w:tc>
        <w:tc>
          <w:tcPr>
            <w:tcW w:w="1290" w:type="dxa"/>
            <w:shd w:val="clear" w:color="auto" w:fill="A6A6A6"/>
          </w:tcPr>
          <w:p w14:paraId="67E8382B" w14:textId="77777777" w:rsidR="00A07596" w:rsidRPr="007D5824" w:rsidRDefault="00A07596" w:rsidP="00136A5A">
            <w:pPr>
              <w:jc w:val="center"/>
              <w:rPr>
                <w:rFonts w:cs="Arial"/>
                <w:b/>
                <w:sz w:val="16"/>
                <w:szCs w:val="16"/>
              </w:rPr>
            </w:pPr>
            <w:r w:rsidRPr="007D5824">
              <w:rPr>
                <w:rFonts w:cs="Arial"/>
                <w:b/>
                <w:sz w:val="16"/>
                <w:szCs w:val="16"/>
              </w:rPr>
              <w:t>Listed threatened species</w:t>
            </w:r>
          </w:p>
        </w:tc>
        <w:tc>
          <w:tcPr>
            <w:tcW w:w="1182" w:type="dxa"/>
            <w:shd w:val="clear" w:color="auto" w:fill="A6A6A6"/>
          </w:tcPr>
          <w:p w14:paraId="52BFC361" w14:textId="77777777" w:rsidR="00A07596" w:rsidRPr="007D5824" w:rsidRDefault="00A07596" w:rsidP="00136A5A">
            <w:pPr>
              <w:jc w:val="center"/>
              <w:rPr>
                <w:rFonts w:cs="Arial"/>
                <w:b/>
                <w:sz w:val="16"/>
                <w:szCs w:val="16"/>
              </w:rPr>
            </w:pPr>
            <w:r w:rsidRPr="007D5824">
              <w:rPr>
                <w:rFonts w:cs="Arial"/>
                <w:b/>
                <w:sz w:val="16"/>
                <w:szCs w:val="16"/>
              </w:rPr>
              <w:t>Listed migratory species</w:t>
            </w:r>
          </w:p>
        </w:tc>
        <w:tc>
          <w:tcPr>
            <w:tcW w:w="975" w:type="dxa"/>
            <w:shd w:val="clear" w:color="auto" w:fill="A6A6A6"/>
          </w:tcPr>
          <w:p w14:paraId="21B74073" w14:textId="77777777" w:rsidR="00A07596" w:rsidRPr="007D5824" w:rsidRDefault="00A07596" w:rsidP="00136A5A">
            <w:pPr>
              <w:jc w:val="center"/>
              <w:rPr>
                <w:rFonts w:cs="Arial"/>
                <w:b/>
                <w:sz w:val="16"/>
                <w:szCs w:val="16"/>
              </w:rPr>
            </w:pPr>
            <w:r w:rsidRPr="007D5824">
              <w:rPr>
                <w:rFonts w:cs="Arial"/>
                <w:b/>
                <w:sz w:val="16"/>
                <w:szCs w:val="16"/>
              </w:rPr>
              <w:t>Listed marine species</w:t>
            </w:r>
          </w:p>
        </w:tc>
        <w:tc>
          <w:tcPr>
            <w:tcW w:w="1145" w:type="dxa"/>
            <w:vMerge/>
            <w:shd w:val="clear" w:color="auto" w:fill="auto"/>
          </w:tcPr>
          <w:p w14:paraId="0E3037F3" w14:textId="77777777" w:rsidR="00A07596" w:rsidRPr="007D5824" w:rsidRDefault="00A07596" w:rsidP="00136A5A">
            <w:pPr>
              <w:jc w:val="center"/>
              <w:rPr>
                <w:rFonts w:cs="Arial"/>
                <w:b/>
                <w:sz w:val="16"/>
                <w:szCs w:val="16"/>
              </w:rPr>
            </w:pPr>
          </w:p>
        </w:tc>
        <w:tc>
          <w:tcPr>
            <w:tcW w:w="950" w:type="dxa"/>
            <w:vMerge/>
            <w:shd w:val="clear" w:color="auto" w:fill="auto"/>
          </w:tcPr>
          <w:p w14:paraId="6ADF1348" w14:textId="77777777" w:rsidR="00A07596" w:rsidRPr="007D5824" w:rsidRDefault="00A07596" w:rsidP="00136A5A">
            <w:pPr>
              <w:jc w:val="center"/>
              <w:rPr>
                <w:rFonts w:cs="Arial"/>
                <w:b/>
                <w:sz w:val="16"/>
                <w:szCs w:val="16"/>
              </w:rPr>
            </w:pPr>
          </w:p>
        </w:tc>
        <w:tc>
          <w:tcPr>
            <w:tcW w:w="1158" w:type="dxa"/>
            <w:vMerge/>
            <w:shd w:val="clear" w:color="auto" w:fill="auto"/>
          </w:tcPr>
          <w:p w14:paraId="0AF39F3B" w14:textId="77777777" w:rsidR="00A07596" w:rsidRPr="007D5824" w:rsidRDefault="00A07596" w:rsidP="00136A5A">
            <w:pPr>
              <w:jc w:val="center"/>
              <w:rPr>
                <w:rFonts w:cs="Arial"/>
                <w:b/>
                <w:sz w:val="16"/>
                <w:szCs w:val="16"/>
              </w:rPr>
            </w:pPr>
          </w:p>
        </w:tc>
      </w:tr>
      <w:tr w:rsidR="0036093F" w:rsidRPr="007D5824" w14:paraId="53E306A2" w14:textId="77777777" w:rsidTr="001D1B43">
        <w:tc>
          <w:tcPr>
            <w:tcW w:w="1175" w:type="dxa"/>
            <w:shd w:val="clear" w:color="auto" w:fill="F2F2F2"/>
          </w:tcPr>
          <w:p w14:paraId="3A328070" w14:textId="77777777" w:rsidR="0036093F" w:rsidRPr="007D5824" w:rsidRDefault="0036093F" w:rsidP="00A07596">
            <w:pPr>
              <w:rPr>
                <w:rFonts w:cs="Arial"/>
                <w:b/>
                <w:sz w:val="16"/>
                <w:szCs w:val="16"/>
              </w:rPr>
            </w:pPr>
            <w:r w:rsidRPr="007D5824">
              <w:rPr>
                <w:rFonts w:cs="Arial"/>
                <w:sz w:val="16"/>
                <w:szCs w:val="16"/>
              </w:rPr>
              <w:t>Loggerhead turtle</w:t>
            </w:r>
          </w:p>
        </w:tc>
        <w:tc>
          <w:tcPr>
            <w:tcW w:w="1237" w:type="dxa"/>
            <w:shd w:val="clear" w:color="auto" w:fill="F2F2F2"/>
          </w:tcPr>
          <w:p w14:paraId="3E762B38" w14:textId="77777777" w:rsidR="0036093F" w:rsidRPr="007D5824" w:rsidRDefault="0036093F" w:rsidP="00A07596">
            <w:pPr>
              <w:rPr>
                <w:rFonts w:cs="Arial"/>
                <w:b/>
                <w:sz w:val="16"/>
                <w:szCs w:val="16"/>
              </w:rPr>
            </w:pPr>
            <w:r w:rsidRPr="007D5824">
              <w:rPr>
                <w:rFonts w:cs="Arial"/>
                <w:i/>
                <w:sz w:val="16"/>
                <w:szCs w:val="16"/>
              </w:rPr>
              <w:t>Caretta caretta</w:t>
            </w:r>
          </w:p>
        </w:tc>
        <w:tc>
          <w:tcPr>
            <w:tcW w:w="1290" w:type="dxa"/>
            <w:shd w:val="clear" w:color="auto" w:fill="F2F2F2"/>
            <w:vAlign w:val="center"/>
          </w:tcPr>
          <w:p w14:paraId="5664D7B6" w14:textId="09BC79E3" w:rsidR="0036093F" w:rsidRPr="007D5824" w:rsidRDefault="001D1B43" w:rsidP="00136A5A">
            <w:pPr>
              <w:jc w:val="center"/>
              <w:rPr>
                <w:rFonts w:cs="Arial"/>
                <w:b/>
                <w:sz w:val="16"/>
                <w:szCs w:val="16"/>
              </w:rPr>
            </w:pPr>
            <w:r w:rsidRPr="007D5824">
              <w:rPr>
                <w:rFonts w:cs="Arial"/>
                <w:sz w:val="16"/>
                <w:szCs w:val="16"/>
              </w:rPr>
              <w:t>E</w:t>
            </w:r>
          </w:p>
        </w:tc>
        <w:tc>
          <w:tcPr>
            <w:tcW w:w="1182" w:type="dxa"/>
            <w:shd w:val="clear" w:color="auto" w:fill="F2F2F2"/>
            <w:vAlign w:val="center"/>
          </w:tcPr>
          <w:p w14:paraId="75B44F2F" w14:textId="7045FD28" w:rsidR="0036093F" w:rsidRPr="007D5824" w:rsidRDefault="001A582E" w:rsidP="001A582E">
            <w:pPr>
              <w:jc w:val="center"/>
              <w:rPr>
                <w:rFonts w:cs="Arial"/>
                <w:b/>
                <w:sz w:val="16"/>
                <w:szCs w:val="16"/>
              </w:rPr>
            </w:pPr>
            <w:r w:rsidRPr="007D5824">
              <w:rPr>
                <w:rFonts w:cs="Arial"/>
                <w:sz w:val="16"/>
                <w:szCs w:val="16"/>
              </w:rPr>
              <w:t>Yes</w:t>
            </w:r>
          </w:p>
        </w:tc>
        <w:tc>
          <w:tcPr>
            <w:tcW w:w="975" w:type="dxa"/>
            <w:shd w:val="clear" w:color="auto" w:fill="F2F2F2"/>
            <w:vAlign w:val="center"/>
          </w:tcPr>
          <w:p w14:paraId="214EB7C3" w14:textId="7BF1B243" w:rsidR="0036093F" w:rsidRPr="007D5824" w:rsidRDefault="001A582E" w:rsidP="00136A5A">
            <w:pPr>
              <w:jc w:val="center"/>
              <w:rPr>
                <w:rFonts w:cs="Arial"/>
                <w:b/>
                <w:sz w:val="16"/>
                <w:szCs w:val="16"/>
              </w:rPr>
            </w:pPr>
            <w:r w:rsidRPr="007D5824">
              <w:rPr>
                <w:rFonts w:cs="Arial"/>
                <w:sz w:val="16"/>
                <w:szCs w:val="16"/>
              </w:rPr>
              <w:t>Yes</w:t>
            </w:r>
          </w:p>
        </w:tc>
        <w:tc>
          <w:tcPr>
            <w:tcW w:w="1145" w:type="dxa"/>
            <w:shd w:val="clear" w:color="auto" w:fill="F2F2F2"/>
            <w:vAlign w:val="center"/>
          </w:tcPr>
          <w:p w14:paraId="63EC66B7" w14:textId="2E4743A7" w:rsidR="0036093F" w:rsidRPr="007D5824" w:rsidRDefault="0036093F" w:rsidP="00136A5A">
            <w:pPr>
              <w:jc w:val="center"/>
              <w:rPr>
                <w:rFonts w:cs="Arial"/>
                <w:b/>
                <w:sz w:val="16"/>
                <w:szCs w:val="16"/>
              </w:rPr>
            </w:pPr>
            <w:r w:rsidRPr="007D5824">
              <w:rPr>
                <w:rFonts w:cs="Arial"/>
                <w:b/>
                <w:sz w:val="16"/>
                <w:szCs w:val="16"/>
              </w:rPr>
              <w:t>-</w:t>
            </w:r>
          </w:p>
        </w:tc>
        <w:tc>
          <w:tcPr>
            <w:tcW w:w="950" w:type="dxa"/>
            <w:shd w:val="clear" w:color="auto" w:fill="F2F2F2"/>
            <w:vAlign w:val="center"/>
          </w:tcPr>
          <w:p w14:paraId="7F2D6121" w14:textId="567B52E1" w:rsidR="0036093F" w:rsidRPr="007D5824" w:rsidRDefault="0036093F" w:rsidP="0036093F">
            <w:pPr>
              <w:jc w:val="center"/>
              <w:rPr>
                <w:rFonts w:cs="Arial"/>
                <w:sz w:val="16"/>
                <w:szCs w:val="16"/>
              </w:rPr>
            </w:pPr>
            <w:r w:rsidRPr="007D5824">
              <w:rPr>
                <w:rFonts w:cs="Arial"/>
                <w:sz w:val="16"/>
                <w:szCs w:val="16"/>
              </w:rPr>
              <w:t>-</w:t>
            </w:r>
          </w:p>
        </w:tc>
        <w:tc>
          <w:tcPr>
            <w:tcW w:w="1158" w:type="dxa"/>
            <w:vMerge w:val="restart"/>
            <w:shd w:val="clear" w:color="auto" w:fill="F2F2F2"/>
            <w:vAlign w:val="center"/>
          </w:tcPr>
          <w:p w14:paraId="0AF4295A" w14:textId="1989DA49" w:rsidR="0036093F" w:rsidRPr="007D5824" w:rsidRDefault="0036093F" w:rsidP="0036093F">
            <w:pPr>
              <w:jc w:val="center"/>
              <w:rPr>
                <w:rFonts w:cs="Arial"/>
                <w:sz w:val="16"/>
                <w:szCs w:val="16"/>
              </w:rPr>
            </w:pPr>
            <w:r w:rsidRPr="007D5824">
              <w:rPr>
                <w:rFonts w:cs="Arial"/>
                <w:sz w:val="16"/>
                <w:szCs w:val="16"/>
              </w:rPr>
              <w:t>Yes – combined for all turtle species</w:t>
            </w:r>
          </w:p>
        </w:tc>
      </w:tr>
      <w:tr w:rsidR="0036093F" w:rsidRPr="007D5824" w14:paraId="60F7C6A2" w14:textId="77777777" w:rsidTr="001D1B43">
        <w:tc>
          <w:tcPr>
            <w:tcW w:w="1175" w:type="dxa"/>
            <w:shd w:val="clear" w:color="auto" w:fill="auto"/>
          </w:tcPr>
          <w:p w14:paraId="478263BF" w14:textId="77777777" w:rsidR="0036093F" w:rsidRPr="007D5824" w:rsidRDefault="0036093F" w:rsidP="00A07596">
            <w:pPr>
              <w:rPr>
                <w:rFonts w:cs="Arial"/>
                <w:sz w:val="16"/>
                <w:szCs w:val="16"/>
              </w:rPr>
            </w:pPr>
            <w:r w:rsidRPr="007D5824">
              <w:rPr>
                <w:rFonts w:cs="Arial"/>
                <w:sz w:val="16"/>
                <w:szCs w:val="16"/>
              </w:rPr>
              <w:t>Green turtle</w:t>
            </w:r>
          </w:p>
        </w:tc>
        <w:tc>
          <w:tcPr>
            <w:tcW w:w="1237" w:type="dxa"/>
            <w:shd w:val="clear" w:color="auto" w:fill="auto"/>
          </w:tcPr>
          <w:p w14:paraId="703969A1" w14:textId="77777777" w:rsidR="0036093F" w:rsidRPr="007D5824" w:rsidRDefault="0036093F" w:rsidP="00A07596">
            <w:pPr>
              <w:rPr>
                <w:rFonts w:cs="Arial"/>
                <w:i/>
                <w:sz w:val="16"/>
                <w:szCs w:val="16"/>
              </w:rPr>
            </w:pPr>
            <w:r w:rsidRPr="007D5824">
              <w:rPr>
                <w:rFonts w:cs="Arial"/>
                <w:i/>
                <w:sz w:val="16"/>
                <w:szCs w:val="16"/>
              </w:rPr>
              <w:t>Chelonia mydas</w:t>
            </w:r>
          </w:p>
        </w:tc>
        <w:tc>
          <w:tcPr>
            <w:tcW w:w="1290" w:type="dxa"/>
            <w:shd w:val="clear" w:color="auto" w:fill="auto"/>
            <w:vAlign w:val="center"/>
          </w:tcPr>
          <w:p w14:paraId="65963E1F" w14:textId="7E104F49" w:rsidR="0036093F" w:rsidRPr="007D5824" w:rsidRDefault="001D1B43" w:rsidP="00136A5A">
            <w:pPr>
              <w:jc w:val="center"/>
              <w:rPr>
                <w:rFonts w:cs="Arial"/>
                <w:sz w:val="16"/>
                <w:szCs w:val="16"/>
              </w:rPr>
            </w:pPr>
            <w:r w:rsidRPr="007D5824">
              <w:rPr>
                <w:rFonts w:cs="Arial"/>
                <w:sz w:val="16"/>
                <w:szCs w:val="16"/>
              </w:rPr>
              <w:t>V</w:t>
            </w:r>
          </w:p>
        </w:tc>
        <w:tc>
          <w:tcPr>
            <w:tcW w:w="1182" w:type="dxa"/>
            <w:shd w:val="clear" w:color="auto" w:fill="auto"/>
            <w:vAlign w:val="center"/>
          </w:tcPr>
          <w:p w14:paraId="4FDA162F" w14:textId="08D77B5E" w:rsidR="0036093F" w:rsidRPr="007D5824" w:rsidRDefault="001A582E" w:rsidP="001A582E">
            <w:pPr>
              <w:jc w:val="center"/>
              <w:rPr>
                <w:rFonts w:cs="Arial"/>
                <w:sz w:val="16"/>
                <w:szCs w:val="16"/>
              </w:rPr>
            </w:pPr>
            <w:r w:rsidRPr="007D5824">
              <w:rPr>
                <w:rFonts w:cs="Arial"/>
                <w:sz w:val="16"/>
                <w:szCs w:val="16"/>
              </w:rPr>
              <w:t xml:space="preserve">Yes </w:t>
            </w:r>
          </w:p>
        </w:tc>
        <w:tc>
          <w:tcPr>
            <w:tcW w:w="975" w:type="dxa"/>
            <w:shd w:val="clear" w:color="auto" w:fill="auto"/>
            <w:vAlign w:val="center"/>
          </w:tcPr>
          <w:p w14:paraId="7C91EAA1" w14:textId="7A3F2C58" w:rsidR="0036093F" w:rsidRPr="007D5824" w:rsidRDefault="001A582E" w:rsidP="001A582E">
            <w:pPr>
              <w:jc w:val="center"/>
              <w:rPr>
                <w:rFonts w:cs="Arial"/>
                <w:sz w:val="16"/>
                <w:szCs w:val="16"/>
              </w:rPr>
            </w:pPr>
            <w:r w:rsidRPr="007D5824">
              <w:rPr>
                <w:rFonts w:cs="Arial"/>
                <w:sz w:val="16"/>
                <w:szCs w:val="16"/>
              </w:rPr>
              <w:t xml:space="preserve">Yes </w:t>
            </w:r>
          </w:p>
        </w:tc>
        <w:tc>
          <w:tcPr>
            <w:tcW w:w="1145" w:type="dxa"/>
            <w:shd w:val="clear" w:color="auto" w:fill="auto"/>
            <w:vAlign w:val="center"/>
          </w:tcPr>
          <w:p w14:paraId="04E30F5D" w14:textId="7EFB1A35" w:rsidR="0036093F" w:rsidRPr="007D5824" w:rsidRDefault="0036093F" w:rsidP="00136A5A">
            <w:pPr>
              <w:jc w:val="center"/>
              <w:rPr>
                <w:rFonts w:cs="Arial"/>
                <w:b/>
                <w:sz w:val="16"/>
                <w:szCs w:val="16"/>
              </w:rPr>
            </w:pPr>
            <w:r w:rsidRPr="007D5824">
              <w:rPr>
                <w:rFonts w:cs="Arial"/>
                <w:b/>
                <w:sz w:val="16"/>
                <w:szCs w:val="16"/>
              </w:rPr>
              <w:t>-</w:t>
            </w:r>
          </w:p>
        </w:tc>
        <w:tc>
          <w:tcPr>
            <w:tcW w:w="950" w:type="dxa"/>
            <w:shd w:val="clear" w:color="auto" w:fill="auto"/>
            <w:vAlign w:val="center"/>
          </w:tcPr>
          <w:p w14:paraId="15D1136B" w14:textId="54276F0F" w:rsidR="0036093F" w:rsidRPr="007D5824" w:rsidRDefault="0036093F" w:rsidP="00136A5A">
            <w:pPr>
              <w:jc w:val="center"/>
              <w:rPr>
                <w:rFonts w:cs="Arial"/>
                <w:sz w:val="16"/>
                <w:szCs w:val="16"/>
              </w:rPr>
            </w:pPr>
            <w:r w:rsidRPr="007D5824">
              <w:rPr>
                <w:rFonts w:cs="Arial"/>
                <w:sz w:val="16"/>
                <w:szCs w:val="16"/>
              </w:rPr>
              <w:t>-</w:t>
            </w:r>
          </w:p>
        </w:tc>
        <w:tc>
          <w:tcPr>
            <w:tcW w:w="1158" w:type="dxa"/>
            <w:vMerge/>
            <w:shd w:val="clear" w:color="auto" w:fill="auto"/>
            <w:vAlign w:val="center"/>
          </w:tcPr>
          <w:p w14:paraId="10E29EEE" w14:textId="77777777" w:rsidR="0036093F" w:rsidRPr="007D5824" w:rsidRDefault="0036093F" w:rsidP="00136A5A">
            <w:pPr>
              <w:jc w:val="center"/>
              <w:rPr>
                <w:rFonts w:cs="Arial"/>
                <w:b/>
                <w:sz w:val="16"/>
                <w:szCs w:val="16"/>
              </w:rPr>
            </w:pPr>
          </w:p>
        </w:tc>
      </w:tr>
      <w:tr w:rsidR="0036093F" w:rsidRPr="007D5824" w14:paraId="76443100" w14:textId="77777777" w:rsidTr="001D1B43">
        <w:tc>
          <w:tcPr>
            <w:tcW w:w="1175" w:type="dxa"/>
            <w:shd w:val="clear" w:color="auto" w:fill="F2F2F2"/>
          </w:tcPr>
          <w:p w14:paraId="1C8C1B35" w14:textId="77777777" w:rsidR="0036093F" w:rsidRPr="007D5824" w:rsidRDefault="0036093F" w:rsidP="00A07596">
            <w:pPr>
              <w:rPr>
                <w:rFonts w:cs="Arial"/>
                <w:b/>
                <w:sz w:val="16"/>
                <w:szCs w:val="16"/>
              </w:rPr>
            </w:pPr>
            <w:r w:rsidRPr="007D5824">
              <w:rPr>
                <w:rFonts w:cs="Arial"/>
                <w:sz w:val="16"/>
                <w:szCs w:val="16"/>
              </w:rPr>
              <w:lastRenderedPageBreak/>
              <w:t>Leatherback turtle</w:t>
            </w:r>
          </w:p>
        </w:tc>
        <w:tc>
          <w:tcPr>
            <w:tcW w:w="1237" w:type="dxa"/>
            <w:shd w:val="clear" w:color="auto" w:fill="F2F2F2"/>
          </w:tcPr>
          <w:p w14:paraId="45FC7860" w14:textId="77777777" w:rsidR="0036093F" w:rsidRPr="007D5824" w:rsidRDefault="0036093F" w:rsidP="00A07596">
            <w:pPr>
              <w:rPr>
                <w:rFonts w:cs="Arial"/>
                <w:b/>
                <w:sz w:val="16"/>
                <w:szCs w:val="16"/>
              </w:rPr>
            </w:pPr>
            <w:r w:rsidRPr="007D5824">
              <w:rPr>
                <w:rFonts w:cs="Arial"/>
                <w:i/>
                <w:sz w:val="16"/>
                <w:szCs w:val="16"/>
              </w:rPr>
              <w:t>Dermochelys coriacea</w:t>
            </w:r>
          </w:p>
        </w:tc>
        <w:tc>
          <w:tcPr>
            <w:tcW w:w="1290" w:type="dxa"/>
            <w:shd w:val="clear" w:color="auto" w:fill="F2F2F2"/>
            <w:vAlign w:val="center"/>
          </w:tcPr>
          <w:p w14:paraId="01A2D697" w14:textId="755F902D" w:rsidR="0036093F" w:rsidRPr="007D5824" w:rsidRDefault="001D1B43" w:rsidP="00136A5A">
            <w:pPr>
              <w:jc w:val="center"/>
              <w:rPr>
                <w:rFonts w:cs="Arial"/>
                <w:b/>
                <w:sz w:val="16"/>
                <w:szCs w:val="16"/>
              </w:rPr>
            </w:pPr>
            <w:r w:rsidRPr="007D5824">
              <w:rPr>
                <w:rFonts w:cs="Arial"/>
                <w:sz w:val="16"/>
                <w:szCs w:val="16"/>
              </w:rPr>
              <w:t>E</w:t>
            </w:r>
          </w:p>
        </w:tc>
        <w:tc>
          <w:tcPr>
            <w:tcW w:w="1182" w:type="dxa"/>
            <w:shd w:val="clear" w:color="auto" w:fill="F2F2F2"/>
            <w:vAlign w:val="center"/>
          </w:tcPr>
          <w:p w14:paraId="5F0F1EEB" w14:textId="397526A5" w:rsidR="0036093F" w:rsidRPr="007D5824" w:rsidRDefault="001A582E" w:rsidP="00136A5A">
            <w:pPr>
              <w:jc w:val="center"/>
              <w:rPr>
                <w:rFonts w:cs="Arial"/>
                <w:b/>
                <w:sz w:val="16"/>
                <w:szCs w:val="16"/>
              </w:rPr>
            </w:pPr>
            <w:r w:rsidRPr="007D5824">
              <w:rPr>
                <w:rFonts w:cs="Arial"/>
                <w:sz w:val="16"/>
                <w:szCs w:val="16"/>
              </w:rPr>
              <w:t>Yes</w:t>
            </w:r>
          </w:p>
        </w:tc>
        <w:tc>
          <w:tcPr>
            <w:tcW w:w="975" w:type="dxa"/>
            <w:shd w:val="clear" w:color="auto" w:fill="F2F2F2"/>
            <w:vAlign w:val="center"/>
          </w:tcPr>
          <w:p w14:paraId="622202D3" w14:textId="22AC2994" w:rsidR="0036093F" w:rsidRPr="007D5824" w:rsidRDefault="001A582E" w:rsidP="001A582E">
            <w:pPr>
              <w:jc w:val="center"/>
              <w:rPr>
                <w:rFonts w:cs="Arial"/>
                <w:b/>
                <w:sz w:val="16"/>
                <w:szCs w:val="16"/>
              </w:rPr>
            </w:pPr>
            <w:r w:rsidRPr="007D5824">
              <w:rPr>
                <w:rFonts w:cs="Arial"/>
                <w:sz w:val="16"/>
                <w:szCs w:val="16"/>
              </w:rPr>
              <w:t>Yes</w:t>
            </w:r>
          </w:p>
        </w:tc>
        <w:tc>
          <w:tcPr>
            <w:tcW w:w="1145" w:type="dxa"/>
            <w:shd w:val="clear" w:color="auto" w:fill="F2F2F2"/>
            <w:vAlign w:val="center"/>
          </w:tcPr>
          <w:p w14:paraId="4DD33BB5" w14:textId="4F96E04B" w:rsidR="0036093F" w:rsidRPr="007D5824" w:rsidRDefault="001D1B43" w:rsidP="00136A5A">
            <w:pPr>
              <w:jc w:val="center"/>
              <w:rPr>
                <w:rFonts w:cs="Arial"/>
                <w:sz w:val="16"/>
                <w:szCs w:val="16"/>
              </w:rPr>
            </w:pPr>
            <w:r w:rsidRPr="007D5824">
              <w:rPr>
                <w:rFonts w:cs="Arial"/>
                <w:sz w:val="16"/>
                <w:szCs w:val="16"/>
              </w:rPr>
              <w:t>CE</w:t>
            </w:r>
          </w:p>
        </w:tc>
        <w:tc>
          <w:tcPr>
            <w:tcW w:w="950" w:type="dxa"/>
            <w:shd w:val="clear" w:color="auto" w:fill="F2F2F2"/>
            <w:vAlign w:val="center"/>
          </w:tcPr>
          <w:p w14:paraId="3BA66D8A" w14:textId="07DC6CD1" w:rsidR="0036093F" w:rsidRPr="007D5824" w:rsidRDefault="0036093F" w:rsidP="00136A5A">
            <w:pPr>
              <w:jc w:val="center"/>
              <w:rPr>
                <w:rFonts w:cs="Arial"/>
                <w:sz w:val="16"/>
                <w:szCs w:val="16"/>
              </w:rPr>
            </w:pPr>
            <w:r w:rsidRPr="007D5824">
              <w:rPr>
                <w:rFonts w:cs="Arial"/>
                <w:sz w:val="16"/>
                <w:szCs w:val="16"/>
              </w:rPr>
              <w:t>-</w:t>
            </w:r>
          </w:p>
        </w:tc>
        <w:tc>
          <w:tcPr>
            <w:tcW w:w="1158" w:type="dxa"/>
            <w:vMerge/>
            <w:shd w:val="clear" w:color="auto" w:fill="F2F2F2"/>
            <w:vAlign w:val="center"/>
          </w:tcPr>
          <w:p w14:paraId="7AC5185A" w14:textId="77777777" w:rsidR="0036093F" w:rsidRPr="007D5824" w:rsidRDefault="0036093F" w:rsidP="00136A5A">
            <w:pPr>
              <w:jc w:val="center"/>
              <w:rPr>
                <w:rFonts w:cs="Arial"/>
                <w:b/>
                <w:sz w:val="16"/>
                <w:szCs w:val="16"/>
              </w:rPr>
            </w:pPr>
          </w:p>
        </w:tc>
      </w:tr>
    </w:tbl>
    <w:p w14:paraId="48723C16" w14:textId="77777777" w:rsidR="001D1B43" w:rsidRPr="000A2B4A" w:rsidRDefault="001D1B43" w:rsidP="001D1B43">
      <w:pPr>
        <w:pStyle w:val="BodyText"/>
        <w:keepNext/>
        <w:rPr>
          <w:i/>
          <w:sz w:val="18"/>
          <w:szCs w:val="18"/>
        </w:rPr>
      </w:pPr>
      <w:r w:rsidRPr="000A2B4A">
        <w:rPr>
          <w:i/>
          <w:sz w:val="18"/>
          <w:szCs w:val="18"/>
        </w:rPr>
        <w:t>Definitions and key to acronyms as per Table 5.1</w:t>
      </w:r>
    </w:p>
    <w:p w14:paraId="7A8885A3" w14:textId="77777777" w:rsidR="00E64BC1" w:rsidRPr="00083759" w:rsidRDefault="00E64BC1" w:rsidP="00083759">
      <w:pPr>
        <w:pStyle w:val="BodyText"/>
        <w:rPr>
          <w:i/>
          <w:sz w:val="16"/>
          <w:szCs w:val="16"/>
        </w:rPr>
      </w:pPr>
      <w:bookmarkStart w:id="97" w:name="_Toc346898898"/>
      <w:bookmarkStart w:id="98" w:name="_Ref473518583"/>
    </w:p>
    <w:p w14:paraId="08D1562D" w14:textId="77777777" w:rsidR="00747C10" w:rsidRDefault="004C0FD4" w:rsidP="00C52844">
      <w:pPr>
        <w:pStyle w:val="Heading3"/>
      </w:pPr>
      <w:bookmarkStart w:id="99" w:name="_Ref483756623"/>
      <w:r>
        <w:t>Avifauna</w:t>
      </w:r>
      <w:bookmarkEnd w:id="97"/>
      <w:bookmarkEnd w:id="98"/>
      <w:bookmarkEnd w:id="99"/>
    </w:p>
    <w:p w14:paraId="61E3BF68" w14:textId="77777777" w:rsidR="001A3CB4" w:rsidRPr="00951C6E" w:rsidRDefault="001A3CB4" w:rsidP="00951C6E">
      <w:pPr>
        <w:pStyle w:val="BodyText"/>
        <w:ind w:left="720"/>
        <w:rPr>
          <w:szCs w:val="20"/>
        </w:rPr>
      </w:pPr>
      <w:r w:rsidRPr="00951C6E">
        <w:rPr>
          <w:szCs w:val="20"/>
        </w:rPr>
        <w:t xml:space="preserve">A diverse array of seabirds and terrestrial birds utilise the Otway region and may potentially forage within or fly over the </w:t>
      </w:r>
      <w:r w:rsidR="0057085E" w:rsidRPr="00951C6E">
        <w:rPr>
          <w:szCs w:val="20"/>
        </w:rPr>
        <w:t>EMBA</w:t>
      </w:r>
      <w:r w:rsidRPr="00951C6E">
        <w:rPr>
          <w:szCs w:val="20"/>
        </w:rPr>
        <w:t>, resting on islands during their migration. Infrequently and often associated with storm events, birds that do not normally cross the ocean are sometimes observed over the Otway shelf, suggesting the birds have been blown off their normal course or are migrating.</w:t>
      </w:r>
    </w:p>
    <w:p w14:paraId="0FD609E3" w14:textId="21344F60" w:rsidR="00E64BC1" w:rsidRDefault="001A3CB4" w:rsidP="00951C6E">
      <w:pPr>
        <w:pStyle w:val="BodyText"/>
        <w:ind w:left="720"/>
        <w:rPr>
          <w:szCs w:val="20"/>
        </w:rPr>
      </w:pPr>
      <w:r w:rsidRPr="00951C6E">
        <w:rPr>
          <w:szCs w:val="20"/>
        </w:rPr>
        <w:t>Bird species listed by the EPBC Act PMST</w:t>
      </w:r>
      <w:r w:rsidR="007A58B0" w:rsidRPr="00951C6E">
        <w:rPr>
          <w:szCs w:val="20"/>
        </w:rPr>
        <w:t xml:space="preserve"> </w:t>
      </w:r>
      <w:r w:rsidRPr="00951C6E">
        <w:rPr>
          <w:szCs w:val="20"/>
        </w:rPr>
        <w:t xml:space="preserve">as occurring in </w:t>
      </w:r>
      <w:r w:rsidR="007A58B0" w:rsidRPr="00951C6E">
        <w:rPr>
          <w:szCs w:val="20"/>
        </w:rPr>
        <w:t xml:space="preserve">the EMBA </w:t>
      </w:r>
      <w:r w:rsidR="00A10FC4" w:rsidRPr="00951C6E">
        <w:rPr>
          <w:szCs w:val="20"/>
        </w:rPr>
        <w:t>(</w:t>
      </w:r>
      <w:r w:rsidR="00951C6E">
        <w:rPr>
          <w:color w:val="FF0000"/>
          <w:szCs w:val="20"/>
        </w:rPr>
        <w:fldChar w:fldCharType="begin"/>
      </w:r>
      <w:r w:rsidR="00951C6E">
        <w:rPr>
          <w:szCs w:val="20"/>
        </w:rPr>
        <w:instrText xml:space="preserve"> REF _Ref473352411 \h </w:instrText>
      </w:r>
      <w:r w:rsidR="00951C6E">
        <w:rPr>
          <w:color w:val="FF0000"/>
          <w:szCs w:val="20"/>
        </w:rPr>
      </w:r>
      <w:r w:rsidR="00951C6E">
        <w:rPr>
          <w:color w:val="FF0000"/>
          <w:szCs w:val="20"/>
        </w:rPr>
        <w:fldChar w:fldCharType="separate"/>
      </w:r>
      <w:r w:rsidR="00CC4C35" w:rsidRPr="00951C6E">
        <w:rPr>
          <w:szCs w:val="20"/>
        </w:rPr>
        <w:t xml:space="preserve">Table </w:t>
      </w:r>
      <w:r w:rsidR="00CC4C35">
        <w:rPr>
          <w:noProof/>
          <w:szCs w:val="20"/>
        </w:rPr>
        <w:t>3</w:t>
      </w:r>
      <w:r w:rsidR="00CC4C35">
        <w:rPr>
          <w:szCs w:val="20"/>
        </w:rPr>
        <w:noBreakHyphen/>
      </w:r>
      <w:r w:rsidR="00CC4C35">
        <w:rPr>
          <w:noProof/>
          <w:szCs w:val="20"/>
        </w:rPr>
        <w:t>5</w:t>
      </w:r>
      <w:r w:rsidR="00951C6E">
        <w:rPr>
          <w:color w:val="FF0000"/>
          <w:szCs w:val="20"/>
        </w:rPr>
        <w:fldChar w:fldCharType="end"/>
      </w:r>
      <w:r w:rsidR="00A10FC4" w:rsidRPr="00951C6E">
        <w:rPr>
          <w:szCs w:val="20"/>
        </w:rPr>
        <w:t xml:space="preserve">) </w:t>
      </w:r>
      <w:r w:rsidR="007A58B0" w:rsidRPr="00951C6E">
        <w:rPr>
          <w:szCs w:val="20"/>
        </w:rPr>
        <w:t>are</w:t>
      </w:r>
      <w:r w:rsidRPr="00951C6E">
        <w:rPr>
          <w:szCs w:val="20"/>
        </w:rPr>
        <w:t xml:space="preserve"> described in this section. </w:t>
      </w:r>
      <w:r w:rsidR="008A77FE" w:rsidRPr="00951C6E">
        <w:rPr>
          <w:szCs w:val="20"/>
        </w:rPr>
        <w:t>Species listed in the</w:t>
      </w:r>
      <w:r w:rsidR="00683F83" w:rsidRPr="00951C6E">
        <w:rPr>
          <w:szCs w:val="20"/>
        </w:rPr>
        <w:t xml:space="preserve"> PMST </w:t>
      </w:r>
      <w:r w:rsidR="008A77FE" w:rsidRPr="00951C6E">
        <w:rPr>
          <w:szCs w:val="20"/>
        </w:rPr>
        <w:t>that are exclusively terrestrial or wetland species (and not seabirds or s</w:t>
      </w:r>
      <w:r w:rsidR="00F80479" w:rsidRPr="00951C6E">
        <w:rPr>
          <w:szCs w:val="20"/>
        </w:rPr>
        <w:t>horebirds)</w:t>
      </w:r>
      <w:r w:rsidR="009D7E16">
        <w:rPr>
          <w:szCs w:val="20"/>
        </w:rPr>
        <w:t xml:space="preserve"> </w:t>
      </w:r>
      <w:r w:rsidR="00382C1A">
        <w:rPr>
          <w:szCs w:val="20"/>
        </w:rPr>
        <w:t xml:space="preserve">or are migratory and </w:t>
      </w:r>
      <w:r w:rsidR="00DA5768">
        <w:rPr>
          <w:szCs w:val="20"/>
        </w:rPr>
        <w:t xml:space="preserve">only </w:t>
      </w:r>
      <w:r w:rsidR="00382C1A">
        <w:rPr>
          <w:szCs w:val="20"/>
        </w:rPr>
        <w:t xml:space="preserve">overfly coastal waters </w:t>
      </w:r>
      <w:r w:rsidR="00DA5768">
        <w:rPr>
          <w:szCs w:val="20"/>
        </w:rPr>
        <w:t xml:space="preserve">(i.e. </w:t>
      </w:r>
      <w:r w:rsidR="00DA5768" w:rsidRPr="004A7232">
        <w:rPr>
          <w:szCs w:val="20"/>
        </w:rPr>
        <w:t>no suitable re</w:t>
      </w:r>
      <w:r w:rsidR="00DA5768">
        <w:rPr>
          <w:szCs w:val="20"/>
        </w:rPr>
        <w:t xml:space="preserve">sting, nesting or feeding sites) </w:t>
      </w:r>
      <w:r w:rsidR="009D7E16">
        <w:rPr>
          <w:szCs w:val="20"/>
        </w:rPr>
        <w:t xml:space="preserve">are not listed </w:t>
      </w:r>
      <w:r w:rsidR="00E64BC1">
        <w:rPr>
          <w:szCs w:val="20"/>
        </w:rPr>
        <w:t xml:space="preserve">in </w:t>
      </w:r>
      <w:r w:rsidR="00E64BC1">
        <w:rPr>
          <w:szCs w:val="20"/>
        </w:rPr>
        <w:fldChar w:fldCharType="begin"/>
      </w:r>
      <w:r w:rsidR="00E64BC1">
        <w:rPr>
          <w:szCs w:val="20"/>
        </w:rPr>
        <w:instrText xml:space="preserve"> REF _Ref473352411 \h </w:instrText>
      </w:r>
      <w:r w:rsidR="00E64BC1">
        <w:rPr>
          <w:szCs w:val="20"/>
        </w:rPr>
      </w:r>
      <w:r w:rsidR="00E64BC1">
        <w:rPr>
          <w:szCs w:val="20"/>
        </w:rPr>
        <w:fldChar w:fldCharType="separate"/>
      </w:r>
      <w:r w:rsidR="00CC4C35" w:rsidRPr="00951C6E">
        <w:rPr>
          <w:szCs w:val="20"/>
        </w:rPr>
        <w:t xml:space="preserve">Table </w:t>
      </w:r>
      <w:r w:rsidR="00CC4C35">
        <w:rPr>
          <w:noProof/>
          <w:szCs w:val="20"/>
        </w:rPr>
        <w:t>3</w:t>
      </w:r>
      <w:r w:rsidR="00CC4C35">
        <w:rPr>
          <w:szCs w:val="20"/>
        </w:rPr>
        <w:noBreakHyphen/>
      </w:r>
      <w:r w:rsidR="00CC4C35">
        <w:rPr>
          <w:noProof/>
          <w:szCs w:val="20"/>
        </w:rPr>
        <w:t>5</w:t>
      </w:r>
      <w:r w:rsidR="00E64BC1">
        <w:rPr>
          <w:szCs w:val="20"/>
        </w:rPr>
        <w:fldChar w:fldCharType="end"/>
      </w:r>
      <w:r w:rsidR="00E64BC1">
        <w:rPr>
          <w:szCs w:val="20"/>
        </w:rPr>
        <w:t xml:space="preserve"> </w:t>
      </w:r>
      <w:r w:rsidR="009D7E16">
        <w:rPr>
          <w:szCs w:val="20"/>
        </w:rPr>
        <w:t xml:space="preserve">or described in this section as the EMBA only extends to the high water mark on the shoreline. </w:t>
      </w:r>
    </w:p>
    <w:p w14:paraId="1C4ABEDB" w14:textId="77777777" w:rsidR="00E64BC1" w:rsidRDefault="00E64BC1" w:rsidP="00951C6E">
      <w:pPr>
        <w:pStyle w:val="BodyText"/>
        <w:ind w:left="720"/>
        <w:rPr>
          <w:rFonts w:cs="Arial"/>
          <w:szCs w:val="20"/>
        </w:rPr>
      </w:pPr>
    </w:p>
    <w:p w14:paraId="3D024C32" w14:textId="188A1F57" w:rsidR="00951C6E" w:rsidRPr="00951C6E" w:rsidRDefault="00951C6E" w:rsidP="00213285">
      <w:pPr>
        <w:pStyle w:val="Caption"/>
        <w:jc w:val="left"/>
        <w:outlineLvl w:val="9"/>
        <w:rPr>
          <w:sz w:val="20"/>
          <w:szCs w:val="20"/>
        </w:rPr>
      </w:pPr>
      <w:bookmarkStart w:id="100" w:name="_Ref473352411"/>
      <w:bookmarkStart w:id="101" w:name="_Toc511032584"/>
      <w:r w:rsidRPr="00951C6E">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3</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5</w:t>
      </w:r>
      <w:r w:rsidR="00103328">
        <w:rPr>
          <w:sz w:val="20"/>
          <w:szCs w:val="20"/>
        </w:rPr>
        <w:fldChar w:fldCharType="end"/>
      </w:r>
      <w:bookmarkEnd w:id="100"/>
      <w:r w:rsidRPr="00951C6E">
        <w:rPr>
          <w:sz w:val="20"/>
          <w:szCs w:val="20"/>
        </w:rPr>
        <w:t>: EPBC Act Listed avifauna that may occur in the EMBA</w:t>
      </w:r>
      <w:bookmarkEnd w:id="101"/>
    </w:p>
    <w:tbl>
      <w:tblPr>
        <w:tblW w:w="0" w:type="auto"/>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1596"/>
        <w:gridCol w:w="1248"/>
        <w:gridCol w:w="1171"/>
        <w:gridCol w:w="1073"/>
        <w:gridCol w:w="888"/>
        <w:gridCol w:w="1030"/>
        <w:gridCol w:w="867"/>
        <w:gridCol w:w="1052"/>
      </w:tblGrid>
      <w:tr w:rsidR="00FD5486" w:rsidRPr="00951C6E" w14:paraId="2FAC59BF" w14:textId="77777777" w:rsidTr="002D1ACD">
        <w:trPr>
          <w:cantSplit/>
          <w:trHeight w:val="166"/>
          <w:tblHeader/>
        </w:trPr>
        <w:tc>
          <w:tcPr>
            <w:tcW w:w="1627" w:type="dxa"/>
            <w:vMerge w:val="restart"/>
            <w:tcBorders>
              <w:right w:val="single" w:sz="6" w:space="0" w:color="F2F2F2"/>
            </w:tcBorders>
            <w:shd w:val="clear" w:color="auto" w:fill="A6A6A6"/>
            <w:tcMar>
              <w:top w:w="142" w:type="dxa"/>
            </w:tcMar>
          </w:tcPr>
          <w:p w14:paraId="1DE6ACF9" w14:textId="77777777" w:rsidR="00A10FC4" w:rsidRPr="00951C6E" w:rsidRDefault="00A10FC4" w:rsidP="00951C6E">
            <w:pPr>
              <w:spacing w:before="40" w:after="40"/>
              <w:jc w:val="center"/>
              <w:rPr>
                <w:rFonts w:cs="Arial"/>
                <w:b/>
                <w:sz w:val="16"/>
                <w:szCs w:val="16"/>
              </w:rPr>
            </w:pPr>
            <w:r w:rsidRPr="00951C6E">
              <w:rPr>
                <w:rFonts w:cs="Arial"/>
                <w:b/>
                <w:sz w:val="16"/>
                <w:szCs w:val="16"/>
              </w:rPr>
              <w:t>Scientific name</w:t>
            </w:r>
          </w:p>
        </w:tc>
        <w:tc>
          <w:tcPr>
            <w:tcW w:w="1271" w:type="dxa"/>
            <w:vMerge w:val="restart"/>
            <w:tcBorders>
              <w:left w:val="single" w:sz="6" w:space="0" w:color="F2F2F2"/>
              <w:right w:val="single" w:sz="6" w:space="0" w:color="F2F2F2"/>
            </w:tcBorders>
            <w:shd w:val="clear" w:color="auto" w:fill="A6A6A6"/>
            <w:tcMar>
              <w:top w:w="142" w:type="dxa"/>
            </w:tcMar>
          </w:tcPr>
          <w:p w14:paraId="35869B95" w14:textId="77777777" w:rsidR="00A10FC4" w:rsidRPr="00951C6E" w:rsidRDefault="00A10FC4" w:rsidP="00951C6E">
            <w:pPr>
              <w:spacing w:before="40" w:after="40"/>
              <w:jc w:val="center"/>
              <w:rPr>
                <w:rFonts w:cs="Arial"/>
                <w:b/>
                <w:sz w:val="16"/>
                <w:szCs w:val="16"/>
              </w:rPr>
            </w:pPr>
            <w:r w:rsidRPr="00951C6E">
              <w:rPr>
                <w:rFonts w:cs="Arial"/>
                <w:b/>
                <w:sz w:val="16"/>
                <w:szCs w:val="16"/>
              </w:rPr>
              <w:t>Common name</w:t>
            </w:r>
          </w:p>
        </w:tc>
        <w:tc>
          <w:tcPr>
            <w:tcW w:w="3190" w:type="dxa"/>
            <w:gridSpan w:val="3"/>
            <w:tcBorders>
              <w:left w:val="single" w:sz="6" w:space="0" w:color="F2F2F2"/>
              <w:right w:val="single" w:sz="6" w:space="0" w:color="F2F2F2"/>
            </w:tcBorders>
            <w:shd w:val="clear" w:color="auto" w:fill="A6A6A6"/>
            <w:tcMar>
              <w:top w:w="142" w:type="dxa"/>
            </w:tcMar>
          </w:tcPr>
          <w:p w14:paraId="080B75C7" w14:textId="77777777" w:rsidR="00A10FC4" w:rsidRPr="00951C6E" w:rsidRDefault="00A10FC4" w:rsidP="00951C6E">
            <w:pPr>
              <w:spacing w:before="40" w:after="40"/>
              <w:jc w:val="center"/>
              <w:rPr>
                <w:rFonts w:cs="Arial"/>
                <w:b/>
                <w:sz w:val="16"/>
                <w:szCs w:val="16"/>
              </w:rPr>
            </w:pPr>
            <w:r w:rsidRPr="00951C6E">
              <w:rPr>
                <w:rFonts w:cs="Arial"/>
                <w:b/>
                <w:sz w:val="16"/>
                <w:szCs w:val="16"/>
              </w:rPr>
              <w:t>EPBC Act status</w:t>
            </w:r>
          </w:p>
        </w:tc>
        <w:tc>
          <w:tcPr>
            <w:tcW w:w="1071" w:type="dxa"/>
            <w:vMerge w:val="restart"/>
            <w:tcBorders>
              <w:left w:val="single" w:sz="6" w:space="0" w:color="F2F2F2"/>
              <w:right w:val="single" w:sz="6" w:space="0" w:color="F2F2F2"/>
            </w:tcBorders>
            <w:shd w:val="clear" w:color="auto" w:fill="A6A6A6"/>
            <w:tcMar>
              <w:top w:w="142" w:type="dxa"/>
            </w:tcMar>
          </w:tcPr>
          <w:p w14:paraId="3AB2142E" w14:textId="77777777" w:rsidR="00A10FC4" w:rsidRPr="00951C6E" w:rsidRDefault="00A10FC4" w:rsidP="00951C6E">
            <w:pPr>
              <w:spacing w:before="40" w:after="40"/>
              <w:jc w:val="center"/>
              <w:rPr>
                <w:rFonts w:cs="Arial"/>
                <w:b/>
                <w:sz w:val="16"/>
                <w:szCs w:val="16"/>
              </w:rPr>
            </w:pPr>
            <w:r w:rsidRPr="00951C6E">
              <w:rPr>
                <w:rFonts w:cs="Arial"/>
                <w:b/>
                <w:sz w:val="16"/>
                <w:szCs w:val="16"/>
              </w:rPr>
              <w:t xml:space="preserve">FFG Act listed? </w:t>
            </w:r>
          </w:p>
        </w:tc>
        <w:tc>
          <w:tcPr>
            <w:tcW w:w="882" w:type="dxa"/>
            <w:vMerge w:val="restart"/>
            <w:tcBorders>
              <w:left w:val="single" w:sz="6" w:space="0" w:color="F2F2F2"/>
              <w:right w:val="single" w:sz="6" w:space="0" w:color="F2F2F2"/>
            </w:tcBorders>
            <w:shd w:val="clear" w:color="auto" w:fill="A6A6A6"/>
            <w:tcMar>
              <w:top w:w="142" w:type="dxa"/>
            </w:tcMar>
          </w:tcPr>
          <w:p w14:paraId="5CBD0E16" w14:textId="77777777" w:rsidR="00A10FC4" w:rsidRPr="00951C6E" w:rsidRDefault="00A10FC4" w:rsidP="00951C6E">
            <w:pPr>
              <w:spacing w:before="40" w:after="40"/>
              <w:jc w:val="center"/>
              <w:rPr>
                <w:rFonts w:cs="Arial"/>
                <w:b/>
                <w:sz w:val="16"/>
                <w:szCs w:val="16"/>
              </w:rPr>
            </w:pPr>
            <w:r w:rsidRPr="00951C6E">
              <w:rPr>
                <w:rFonts w:cs="Arial"/>
                <w:b/>
                <w:sz w:val="16"/>
                <w:szCs w:val="16"/>
              </w:rPr>
              <w:t>BIA within the EMBA?</w:t>
            </w:r>
          </w:p>
        </w:tc>
        <w:tc>
          <w:tcPr>
            <w:tcW w:w="1071" w:type="dxa"/>
            <w:vMerge w:val="restart"/>
            <w:tcBorders>
              <w:left w:val="single" w:sz="6" w:space="0" w:color="F2F2F2"/>
            </w:tcBorders>
            <w:shd w:val="clear" w:color="auto" w:fill="A6A6A6"/>
            <w:tcMar>
              <w:top w:w="142" w:type="dxa"/>
            </w:tcMar>
          </w:tcPr>
          <w:p w14:paraId="5BD258FA" w14:textId="0A9856B1" w:rsidR="00A10FC4" w:rsidRPr="00951C6E" w:rsidRDefault="00A10FC4" w:rsidP="00951C6E">
            <w:pPr>
              <w:spacing w:before="40" w:after="40"/>
              <w:jc w:val="center"/>
              <w:rPr>
                <w:rFonts w:cs="Arial"/>
                <w:b/>
                <w:sz w:val="16"/>
                <w:szCs w:val="16"/>
              </w:rPr>
            </w:pPr>
            <w:r w:rsidRPr="00951C6E">
              <w:rPr>
                <w:rFonts w:cs="Arial"/>
                <w:b/>
                <w:sz w:val="16"/>
                <w:szCs w:val="16"/>
              </w:rPr>
              <w:t xml:space="preserve">Recovery plan </w:t>
            </w:r>
            <w:r w:rsidR="00B13A6B" w:rsidRPr="00951C6E">
              <w:rPr>
                <w:rFonts w:cs="Arial"/>
                <w:b/>
                <w:sz w:val="16"/>
                <w:szCs w:val="16"/>
              </w:rPr>
              <w:t>etc</w:t>
            </w:r>
            <w:r w:rsidR="00951C6E">
              <w:rPr>
                <w:rFonts w:cs="Arial"/>
                <w:b/>
                <w:sz w:val="16"/>
                <w:szCs w:val="16"/>
              </w:rPr>
              <w:t>.</w:t>
            </w:r>
            <w:r w:rsidR="00B13A6B" w:rsidRPr="00951C6E">
              <w:rPr>
                <w:rFonts w:cs="Arial"/>
                <w:b/>
                <w:sz w:val="16"/>
                <w:szCs w:val="16"/>
              </w:rPr>
              <w:t xml:space="preserve"> </w:t>
            </w:r>
            <w:r w:rsidRPr="00951C6E">
              <w:rPr>
                <w:rFonts w:cs="Arial"/>
                <w:b/>
                <w:sz w:val="16"/>
                <w:szCs w:val="16"/>
              </w:rPr>
              <w:t>in place?</w:t>
            </w:r>
          </w:p>
        </w:tc>
      </w:tr>
      <w:tr w:rsidR="00FD5486" w:rsidRPr="00951C6E" w14:paraId="41C97FDE" w14:textId="77777777" w:rsidTr="002D1ACD">
        <w:trPr>
          <w:cantSplit/>
          <w:trHeight w:val="165"/>
          <w:tblHeader/>
        </w:trPr>
        <w:tc>
          <w:tcPr>
            <w:tcW w:w="1627" w:type="dxa"/>
            <w:vMerge/>
            <w:shd w:val="clear" w:color="auto" w:fill="auto"/>
          </w:tcPr>
          <w:p w14:paraId="01FBAF96" w14:textId="77777777" w:rsidR="00A10FC4" w:rsidRPr="00951C6E" w:rsidRDefault="00A10FC4" w:rsidP="00951C6E">
            <w:pPr>
              <w:spacing w:before="40" w:after="40"/>
              <w:jc w:val="center"/>
              <w:rPr>
                <w:rFonts w:cs="Arial"/>
                <w:b/>
                <w:sz w:val="16"/>
                <w:szCs w:val="16"/>
              </w:rPr>
            </w:pPr>
          </w:p>
        </w:tc>
        <w:tc>
          <w:tcPr>
            <w:tcW w:w="1271" w:type="dxa"/>
            <w:vMerge/>
            <w:shd w:val="clear" w:color="auto" w:fill="auto"/>
          </w:tcPr>
          <w:p w14:paraId="2F8BADA3" w14:textId="77777777" w:rsidR="00A10FC4" w:rsidRPr="00951C6E" w:rsidRDefault="00A10FC4" w:rsidP="00951C6E">
            <w:pPr>
              <w:spacing w:before="40" w:after="40"/>
              <w:jc w:val="center"/>
              <w:rPr>
                <w:rFonts w:cs="Arial"/>
                <w:b/>
                <w:sz w:val="16"/>
                <w:szCs w:val="16"/>
              </w:rPr>
            </w:pPr>
          </w:p>
        </w:tc>
        <w:tc>
          <w:tcPr>
            <w:tcW w:w="1193" w:type="dxa"/>
            <w:shd w:val="clear" w:color="auto" w:fill="A6A6A6"/>
          </w:tcPr>
          <w:p w14:paraId="1C911D23" w14:textId="77777777" w:rsidR="00A10FC4" w:rsidRPr="00951C6E" w:rsidRDefault="00A10FC4" w:rsidP="00951C6E">
            <w:pPr>
              <w:spacing w:before="40" w:after="40"/>
              <w:jc w:val="center"/>
              <w:rPr>
                <w:rFonts w:cs="Arial"/>
                <w:b/>
                <w:sz w:val="16"/>
                <w:szCs w:val="16"/>
              </w:rPr>
            </w:pPr>
            <w:r w:rsidRPr="00951C6E">
              <w:rPr>
                <w:rFonts w:cs="Arial"/>
                <w:b/>
                <w:sz w:val="16"/>
                <w:szCs w:val="16"/>
              </w:rPr>
              <w:t>Listed threatened species</w:t>
            </w:r>
          </w:p>
        </w:tc>
        <w:tc>
          <w:tcPr>
            <w:tcW w:w="1093" w:type="dxa"/>
            <w:shd w:val="clear" w:color="auto" w:fill="A6A6A6"/>
          </w:tcPr>
          <w:p w14:paraId="061786CF" w14:textId="77777777" w:rsidR="00A10FC4" w:rsidRPr="00951C6E" w:rsidRDefault="00A10FC4" w:rsidP="00951C6E">
            <w:pPr>
              <w:spacing w:before="40" w:after="40"/>
              <w:jc w:val="center"/>
              <w:rPr>
                <w:rFonts w:cs="Arial"/>
                <w:b/>
                <w:sz w:val="16"/>
                <w:szCs w:val="16"/>
              </w:rPr>
            </w:pPr>
            <w:r w:rsidRPr="00951C6E">
              <w:rPr>
                <w:rFonts w:cs="Arial"/>
                <w:b/>
                <w:sz w:val="16"/>
                <w:szCs w:val="16"/>
              </w:rPr>
              <w:t>Listed migratory species</w:t>
            </w:r>
          </w:p>
        </w:tc>
        <w:tc>
          <w:tcPr>
            <w:tcW w:w="904" w:type="dxa"/>
            <w:shd w:val="clear" w:color="auto" w:fill="A6A6A6"/>
          </w:tcPr>
          <w:p w14:paraId="4F9B646D" w14:textId="77777777" w:rsidR="00A10FC4" w:rsidRPr="00951C6E" w:rsidRDefault="00A10FC4" w:rsidP="00951C6E">
            <w:pPr>
              <w:spacing w:before="40" w:after="40"/>
              <w:jc w:val="center"/>
              <w:rPr>
                <w:rFonts w:cs="Arial"/>
                <w:b/>
                <w:sz w:val="16"/>
                <w:szCs w:val="16"/>
              </w:rPr>
            </w:pPr>
            <w:r w:rsidRPr="00951C6E">
              <w:rPr>
                <w:rFonts w:cs="Arial"/>
                <w:b/>
                <w:sz w:val="16"/>
                <w:szCs w:val="16"/>
              </w:rPr>
              <w:t>Listed marine species</w:t>
            </w:r>
          </w:p>
        </w:tc>
        <w:tc>
          <w:tcPr>
            <w:tcW w:w="1071" w:type="dxa"/>
            <w:vMerge/>
            <w:shd w:val="clear" w:color="auto" w:fill="auto"/>
          </w:tcPr>
          <w:p w14:paraId="17689067" w14:textId="77777777" w:rsidR="00A10FC4" w:rsidRPr="00951C6E" w:rsidRDefault="00A10FC4" w:rsidP="00951C6E">
            <w:pPr>
              <w:spacing w:before="40" w:after="40"/>
              <w:jc w:val="center"/>
              <w:rPr>
                <w:rFonts w:cs="Arial"/>
                <w:b/>
                <w:sz w:val="16"/>
                <w:szCs w:val="16"/>
              </w:rPr>
            </w:pPr>
          </w:p>
        </w:tc>
        <w:tc>
          <w:tcPr>
            <w:tcW w:w="882" w:type="dxa"/>
            <w:vMerge/>
            <w:shd w:val="clear" w:color="auto" w:fill="auto"/>
          </w:tcPr>
          <w:p w14:paraId="21787AFD" w14:textId="77777777" w:rsidR="00A10FC4" w:rsidRPr="00951C6E" w:rsidRDefault="00A10FC4" w:rsidP="00951C6E">
            <w:pPr>
              <w:spacing w:before="40" w:after="40"/>
              <w:jc w:val="center"/>
              <w:rPr>
                <w:rFonts w:cs="Arial"/>
                <w:b/>
                <w:sz w:val="16"/>
                <w:szCs w:val="16"/>
              </w:rPr>
            </w:pPr>
          </w:p>
        </w:tc>
        <w:tc>
          <w:tcPr>
            <w:tcW w:w="1071" w:type="dxa"/>
            <w:vMerge/>
            <w:shd w:val="clear" w:color="auto" w:fill="auto"/>
          </w:tcPr>
          <w:p w14:paraId="2612FEE6" w14:textId="77777777" w:rsidR="00A10FC4" w:rsidRPr="00951C6E" w:rsidRDefault="00A10FC4" w:rsidP="00951C6E">
            <w:pPr>
              <w:spacing w:before="40" w:after="40"/>
              <w:jc w:val="center"/>
              <w:rPr>
                <w:rFonts w:cs="Arial"/>
                <w:b/>
                <w:sz w:val="16"/>
                <w:szCs w:val="16"/>
              </w:rPr>
            </w:pPr>
          </w:p>
        </w:tc>
      </w:tr>
      <w:tr w:rsidR="00877030" w:rsidRPr="00951C6E" w14:paraId="6DFD0529" w14:textId="77777777" w:rsidTr="00951C6E">
        <w:trPr>
          <w:cantSplit/>
        </w:trPr>
        <w:tc>
          <w:tcPr>
            <w:tcW w:w="9112" w:type="dxa"/>
            <w:gridSpan w:val="8"/>
            <w:shd w:val="clear" w:color="auto" w:fill="auto"/>
            <w:vAlign w:val="center"/>
          </w:tcPr>
          <w:p w14:paraId="4A104A3E" w14:textId="42A6CC1D" w:rsidR="00877030" w:rsidRPr="00951C6E" w:rsidRDefault="00877030" w:rsidP="00951C6E">
            <w:pPr>
              <w:spacing w:before="40" w:after="40"/>
              <w:rPr>
                <w:rFonts w:cs="Arial"/>
                <w:b/>
                <w:sz w:val="16"/>
                <w:szCs w:val="16"/>
              </w:rPr>
            </w:pPr>
            <w:r w:rsidRPr="00951C6E">
              <w:rPr>
                <w:rFonts w:cs="Arial"/>
                <w:b/>
                <w:sz w:val="16"/>
                <w:szCs w:val="16"/>
              </w:rPr>
              <w:t>Seabirds (exclusively)</w:t>
            </w:r>
          </w:p>
        </w:tc>
      </w:tr>
      <w:tr w:rsidR="001D1B43" w:rsidRPr="00951C6E" w14:paraId="71E42255" w14:textId="77777777" w:rsidTr="00951C6E">
        <w:trPr>
          <w:cantSplit/>
        </w:trPr>
        <w:tc>
          <w:tcPr>
            <w:tcW w:w="1627" w:type="dxa"/>
            <w:shd w:val="clear" w:color="auto" w:fill="F2F2F2"/>
            <w:vAlign w:val="center"/>
          </w:tcPr>
          <w:p w14:paraId="297DB9AF" w14:textId="77777777" w:rsidR="001D1B43" w:rsidRPr="00951C6E" w:rsidRDefault="001D1B43" w:rsidP="00951C6E">
            <w:pPr>
              <w:spacing w:before="40" w:after="40"/>
              <w:rPr>
                <w:rFonts w:cs="Arial"/>
                <w:i/>
                <w:sz w:val="16"/>
                <w:szCs w:val="16"/>
              </w:rPr>
            </w:pPr>
            <w:r w:rsidRPr="00951C6E">
              <w:rPr>
                <w:rFonts w:cs="Arial"/>
                <w:i/>
                <w:sz w:val="16"/>
                <w:szCs w:val="16"/>
              </w:rPr>
              <w:t>Diomedea antipodensis</w:t>
            </w:r>
          </w:p>
        </w:tc>
        <w:tc>
          <w:tcPr>
            <w:tcW w:w="1271" w:type="dxa"/>
            <w:shd w:val="clear" w:color="auto" w:fill="F2F2F2"/>
          </w:tcPr>
          <w:p w14:paraId="57493C89" w14:textId="77777777" w:rsidR="001D1B43" w:rsidRPr="002D1ACD" w:rsidRDefault="001D1B43" w:rsidP="00951C6E">
            <w:pPr>
              <w:spacing w:before="40" w:after="40"/>
              <w:rPr>
                <w:rFonts w:cs="Arial"/>
                <w:sz w:val="16"/>
                <w:szCs w:val="16"/>
              </w:rPr>
            </w:pPr>
            <w:r w:rsidRPr="002D1ACD">
              <w:rPr>
                <w:rFonts w:cs="Arial"/>
                <w:sz w:val="16"/>
                <w:szCs w:val="16"/>
              </w:rPr>
              <w:t>Antipodean albatross</w:t>
            </w:r>
          </w:p>
        </w:tc>
        <w:tc>
          <w:tcPr>
            <w:tcW w:w="1193" w:type="dxa"/>
            <w:shd w:val="clear" w:color="auto" w:fill="F2F2F2"/>
            <w:vAlign w:val="center"/>
          </w:tcPr>
          <w:p w14:paraId="2FA440AE" w14:textId="2321C033" w:rsidR="001D1B43" w:rsidRPr="00951C6E" w:rsidRDefault="001D1B43" w:rsidP="00951C6E">
            <w:pPr>
              <w:spacing w:before="40" w:after="40"/>
              <w:jc w:val="center"/>
              <w:rPr>
                <w:rFonts w:cs="Arial"/>
                <w:sz w:val="16"/>
                <w:szCs w:val="16"/>
              </w:rPr>
            </w:pPr>
            <w:r w:rsidRPr="00951C6E">
              <w:rPr>
                <w:rFonts w:cs="Arial"/>
                <w:sz w:val="16"/>
                <w:szCs w:val="16"/>
              </w:rPr>
              <w:t>V</w:t>
            </w:r>
          </w:p>
        </w:tc>
        <w:tc>
          <w:tcPr>
            <w:tcW w:w="1093" w:type="dxa"/>
            <w:shd w:val="clear" w:color="auto" w:fill="F2F2F2"/>
            <w:vAlign w:val="center"/>
          </w:tcPr>
          <w:p w14:paraId="4B521A64" w14:textId="532EEDC0"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904" w:type="dxa"/>
            <w:shd w:val="clear" w:color="auto" w:fill="F2F2F2"/>
            <w:vAlign w:val="center"/>
          </w:tcPr>
          <w:p w14:paraId="27CB5D99" w14:textId="19214491"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1071" w:type="dxa"/>
            <w:shd w:val="clear" w:color="auto" w:fill="F2F2F2"/>
            <w:vAlign w:val="center"/>
          </w:tcPr>
          <w:p w14:paraId="3FD2864E" w14:textId="46426A60" w:rsidR="001D1B43" w:rsidRPr="00951C6E" w:rsidRDefault="001D1B43" w:rsidP="00951C6E">
            <w:pPr>
              <w:spacing w:before="40" w:after="40"/>
              <w:jc w:val="center"/>
              <w:rPr>
                <w:rFonts w:cs="Arial"/>
                <w:sz w:val="16"/>
                <w:szCs w:val="16"/>
              </w:rPr>
            </w:pPr>
            <w:r w:rsidRPr="00951C6E">
              <w:rPr>
                <w:rFonts w:cs="Arial"/>
                <w:sz w:val="16"/>
                <w:szCs w:val="16"/>
              </w:rPr>
              <w:t>-</w:t>
            </w:r>
          </w:p>
        </w:tc>
        <w:tc>
          <w:tcPr>
            <w:tcW w:w="882" w:type="dxa"/>
            <w:shd w:val="clear" w:color="auto" w:fill="F2F2F2"/>
            <w:vAlign w:val="center"/>
          </w:tcPr>
          <w:p w14:paraId="0A77425E" w14:textId="47D468BC" w:rsidR="001D1B43" w:rsidRPr="00951C6E" w:rsidRDefault="001D1B43" w:rsidP="00951C6E">
            <w:pPr>
              <w:spacing w:before="40" w:after="40"/>
              <w:jc w:val="center"/>
              <w:rPr>
                <w:rFonts w:cs="Arial"/>
                <w:sz w:val="16"/>
                <w:szCs w:val="16"/>
              </w:rPr>
            </w:pPr>
            <w:r w:rsidRPr="00951C6E">
              <w:rPr>
                <w:rFonts w:cs="Arial"/>
                <w:sz w:val="16"/>
                <w:szCs w:val="16"/>
              </w:rPr>
              <w:t>F</w:t>
            </w:r>
          </w:p>
        </w:tc>
        <w:tc>
          <w:tcPr>
            <w:tcW w:w="1071" w:type="dxa"/>
            <w:shd w:val="clear" w:color="auto" w:fill="F2F2F2"/>
            <w:vAlign w:val="center"/>
          </w:tcPr>
          <w:p w14:paraId="1C39D66F" w14:textId="6B817D86" w:rsidR="001D1B43" w:rsidRPr="00951C6E" w:rsidRDefault="001D1B43" w:rsidP="00951C6E">
            <w:pPr>
              <w:spacing w:before="40" w:after="40"/>
              <w:jc w:val="center"/>
              <w:rPr>
                <w:rFonts w:cs="Arial"/>
                <w:sz w:val="16"/>
                <w:szCs w:val="16"/>
              </w:rPr>
            </w:pPr>
            <w:r w:rsidRPr="00951C6E">
              <w:rPr>
                <w:rFonts w:cs="Arial"/>
                <w:sz w:val="16"/>
                <w:szCs w:val="16"/>
              </w:rPr>
              <w:t>RP</w:t>
            </w:r>
          </w:p>
        </w:tc>
      </w:tr>
      <w:tr w:rsidR="001D1B43" w:rsidRPr="00951C6E" w14:paraId="52C2D238" w14:textId="77777777" w:rsidTr="00951C6E">
        <w:trPr>
          <w:cantSplit/>
        </w:trPr>
        <w:tc>
          <w:tcPr>
            <w:tcW w:w="1627" w:type="dxa"/>
            <w:shd w:val="clear" w:color="auto" w:fill="auto"/>
            <w:vAlign w:val="center"/>
          </w:tcPr>
          <w:p w14:paraId="5806180E" w14:textId="77777777" w:rsidR="001D1B43" w:rsidRPr="00951C6E" w:rsidRDefault="001D1B43" w:rsidP="00951C6E">
            <w:pPr>
              <w:spacing w:before="40" w:after="40"/>
              <w:rPr>
                <w:rFonts w:cs="Arial"/>
                <w:sz w:val="16"/>
                <w:szCs w:val="16"/>
              </w:rPr>
            </w:pPr>
            <w:r w:rsidRPr="00951C6E">
              <w:rPr>
                <w:rFonts w:cs="Arial"/>
                <w:i/>
                <w:sz w:val="16"/>
                <w:szCs w:val="16"/>
              </w:rPr>
              <w:t xml:space="preserve">Diomedea epomophora </w:t>
            </w:r>
          </w:p>
        </w:tc>
        <w:tc>
          <w:tcPr>
            <w:tcW w:w="1271" w:type="dxa"/>
            <w:shd w:val="clear" w:color="auto" w:fill="auto"/>
          </w:tcPr>
          <w:p w14:paraId="7CD5B09E" w14:textId="77777777" w:rsidR="001D1B43" w:rsidRPr="002D1ACD" w:rsidRDefault="001D1B43" w:rsidP="00951C6E">
            <w:pPr>
              <w:spacing w:before="40" w:after="40"/>
              <w:rPr>
                <w:rFonts w:cs="Arial"/>
                <w:i/>
                <w:sz w:val="16"/>
                <w:szCs w:val="16"/>
              </w:rPr>
            </w:pPr>
            <w:r w:rsidRPr="002D1ACD">
              <w:rPr>
                <w:rFonts w:cs="Arial"/>
                <w:sz w:val="16"/>
                <w:szCs w:val="16"/>
              </w:rPr>
              <w:t>Southern royal albatross</w:t>
            </w:r>
          </w:p>
        </w:tc>
        <w:tc>
          <w:tcPr>
            <w:tcW w:w="1193" w:type="dxa"/>
            <w:shd w:val="clear" w:color="auto" w:fill="auto"/>
            <w:vAlign w:val="center"/>
          </w:tcPr>
          <w:p w14:paraId="2CE58DF1" w14:textId="60D72484" w:rsidR="001D1B43" w:rsidRPr="00951C6E" w:rsidRDefault="001D1B43" w:rsidP="00951C6E">
            <w:pPr>
              <w:spacing w:before="40" w:after="40"/>
              <w:jc w:val="center"/>
              <w:rPr>
                <w:rFonts w:cs="Arial"/>
                <w:sz w:val="16"/>
                <w:szCs w:val="16"/>
              </w:rPr>
            </w:pPr>
            <w:r w:rsidRPr="00951C6E">
              <w:rPr>
                <w:rFonts w:cs="Arial"/>
                <w:sz w:val="16"/>
                <w:szCs w:val="16"/>
              </w:rPr>
              <w:t>V</w:t>
            </w:r>
          </w:p>
        </w:tc>
        <w:tc>
          <w:tcPr>
            <w:tcW w:w="1093" w:type="dxa"/>
            <w:shd w:val="clear" w:color="auto" w:fill="auto"/>
            <w:vAlign w:val="center"/>
          </w:tcPr>
          <w:p w14:paraId="7D8329CB" w14:textId="4C3490A3"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904" w:type="dxa"/>
            <w:shd w:val="clear" w:color="auto" w:fill="auto"/>
            <w:vAlign w:val="center"/>
          </w:tcPr>
          <w:p w14:paraId="2BE74962" w14:textId="1C2C21F5"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1071" w:type="dxa"/>
            <w:shd w:val="clear" w:color="auto" w:fill="auto"/>
            <w:vAlign w:val="center"/>
          </w:tcPr>
          <w:p w14:paraId="62F6F929" w14:textId="3AC2C479" w:rsidR="001D1B43" w:rsidRPr="00951C6E" w:rsidRDefault="001D1B43" w:rsidP="00951C6E">
            <w:pPr>
              <w:spacing w:before="40" w:after="40"/>
              <w:jc w:val="center"/>
              <w:rPr>
                <w:rFonts w:cs="Arial"/>
                <w:sz w:val="16"/>
                <w:szCs w:val="16"/>
              </w:rPr>
            </w:pPr>
            <w:r w:rsidRPr="00951C6E">
              <w:rPr>
                <w:rFonts w:cs="Arial"/>
                <w:sz w:val="16"/>
                <w:szCs w:val="16"/>
              </w:rPr>
              <w:t>T</w:t>
            </w:r>
          </w:p>
        </w:tc>
        <w:tc>
          <w:tcPr>
            <w:tcW w:w="882" w:type="dxa"/>
            <w:shd w:val="clear" w:color="auto" w:fill="auto"/>
            <w:vAlign w:val="center"/>
          </w:tcPr>
          <w:p w14:paraId="37C17B74" w14:textId="3CBAE15B" w:rsidR="001D1B43" w:rsidRPr="00951C6E" w:rsidRDefault="001D1B43" w:rsidP="00951C6E">
            <w:pPr>
              <w:spacing w:before="40" w:after="40"/>
              <w:jc w:val="center"/>
              <w:rPr>
                <w:rFonts w:cs="Arial"/>
                <w:sz w:val="16"/>
                <w:szCs w:val="16"/>
              </w:rPr>
            </w:pPr>
            <w:r w:rsidRPr="00951C6E">
              <w:rPr>
                <w:rFonts w:cs="Arial"/>
                <w:sz w:val="16"/>
                <w:szCs w:val="16"/>
              </w:rPr>
              <w:t>-</w:t>
            </w:r>
          </w:p>
        </w:tc>
        <w:tc>
          <w:tcPr>
            <w:tcW w:w="1071" w:type="dxa"/>
            <w:shd w:val="clear" w:color="auto" w:fill="auto"/>
            <w:vAlign w:val="center"/>
          </w:tcPr>
          <w:p w14:paraId="14A9D7A7" w14:textId="23502229" w:rsidR="001D1B43" w:rsidRPr="00951C6E" w:rsidRDefault="001D1B43" w:rsidP="00951C6E">
            <w:pPr>
              <w:spacing w:before="40" w:after="40"/>
              <w:jc w:val="center"/>
              <w:rPr>
                <w:rFonts w:cs="Arial"/>
                <w:sz w:val="16"/>
                <w:szCs w:val="16"/>
              </w:rPr>
            </w:pPr>
            <w:r w:rsidRPr="00951C6E">
              <w:rPr>
                <w:rFonts w:cs="Arial"/>
                <w:sz w:val="16"/>
                <w:szCs w:val="16"/>
              </w:rPr>
              <w:t>RP</w:t>
            </w:r>
          </w:p>
        </w:tc>
      </w:tr>
      <w:tr w:rsidR="001D1B43" w:rsidRPr="00951C6E" w14:paraId="10A93934" w14:textId="77777777" w:rsidTr="00951C6E">
        <w:trPr>
          <w:cantSplit/>
        </w:trPr>
        <w:tc>
          <w:tcPr>
            <w:tcW w:w="1627" w:type="dxa"/>
            <w:shd w:val="clear" w:color="auto" w:fill="F2F2F2"/>
            <w:vAlign w:val="center"/>
          </w:tcPr>
          <w:p w14:paraId="1707A329" w14:textId="77777777" w:rsidR="001D1B43" w:rsidRPr="00951C6E" w:rsidRDefault="001D1B43" w:rsidP="00951C6E">
            <w:pPr>
              <w:spacing w:before="40" w:after="40"/>
              <w:rPr>
                <w:rFonts w:cs="Arial"/>
                <w:i/>
                <w:sz w:val="16"/>
                <w:szCs w:val="16"/>
              </w:rPr>
            </w:pPr>
            <w:r w:rsidRPr="00951C6E">
              <w:rPr>
                <w:rFonts w:cs="Arial"/>
                <w:i/>
                <w:sz w:val="16"/>
                <w:szCs w:val="16"/>
              </w:rPr>
              <w:t>Diomedea exulans</w:t>
            </w:r>
          </w:p>
        </w:tc>
        <w:tc>
          <w:tcPr>
            <w:tcW w:w="1271" w:type="dxa"/>
            <w:shd w:val="clear" w:color="auto" w:fill="F2F2F2"/>
          </w:tcPr>
          <w:p w14:paraId="1B0B1631" w14:textId="77777777" w:rsidR="001D1B43" w:rsidRPr="002D1ACD" w:rsidRDefault="001D1B43" w:rsidP="00951C6E">
            <w:pPr>
              <w:spacing w:before="40" w:after="40"/>
              <w:rPr>
                <w:rFonts w:cs="Arial"/>
                <w:sz w:val="16"/>
                <w:szCs w:val="16"/>
              </w:rPr>
            </w:pPr>
            <w:r w:rsidRPr="002D1ACD">
              <w:rPr>
                <w:rFonts w:cs="Arial"/>
                <w:sz w:val="16"/>
                <w:szCs w:val="16"/>
              </w:rPr>
              <w:t>Wandering albatross</w:t>
            </w:r>
          </w:p>
        </w:tc>
        <w:tc>
          <w:tcPr>
            <w:tcW w:w="1193" w:type="dxa"/>
            <w:shd w:val="clear" w:color="auto" w:fill="F2F2F2"/>
            <w:vAlign w:val="center"/>
          </w:tcPr>
          <w:p w14:paraId="135F156B" w14:textId="38A0BA70" w:rsidR="001D1B43" w:rsidRPr="00951C6E" w:rsidRDefault="001D1B43" w:rsidP="00951C6E">
            <w:pPr>
              <w:spacing w:before="40" w:after="40"/>
              <w:jc w:val="center"/>
              <w:rPr>
                <w:rFonts w:cs="Arial"/>
                <w:sz w:val="16"/>
                <w:szCs w:val="16"/>
              </w:rPr>
            </w:pPr>
            <w:r w:rsidRPr="00951C6E">
              <w:rPr>
                <w:rFonts w:cs="Arial"/>
                <w:sz w:val="16"/>
                <w:szCs w:val="16"/>
              </w:rPr>
              <w:t>V</w:t>
            </w:r>
          </w:p>
        </w:tc>
        <w:tc>
          <w:tcPr>
            <w:tcW w:w="1093" w:type="dxa"/>
            <w:shd w:val="clear" w:color="auto" w:fill="F2F2F2"/>
            <w:vAlign w:val="center"/>
          </w:tcPr>
          <w:p w14:paraId="41C56584" w14:textId="15EC2C6A"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904" w:type="dxa"/>
            <w:shd w:val="clear" w:color="auto" w:fill="F2F2F2"/>
            <w:vAlign w:val="center"/>
          </w:tcPr>
          <w:p w14:paraId="4CD442E8" w14:textId="28AB737D"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1071" w:type="dxa"/>
            <w:shd w:val="clear" w:color="auto" w:fill="F2F2F2"/>
            <w:vAlign w:val="center"/>
          </w:tcPr>
          <w:p w14:paraId="0617A2D7" w14:textId="5CF81711" w:rsidR="001D1B43" w:rsidRPr="00951C6E" w:rsidRDefault="001D1B43" w:rsidP="00951C6E">
            <w:pPr>
              <w:spacing w:before="40" w:after="40"/>
              <w:jc w:val="center"/>
              <w:rPr>
                <w:rFonts w:cs="Arial"/>
                <w:sz w:val="16"/>
                <w:szCs w:val="16"/>
              </w:rPr>
            </w:pPr>
            <w:r w:rsidRPr="00951C6E">
              <w:rPr>
                <w:rFonts w:cs="Arial"/>
                <w:sz w:val="16"/>
                <w:szCs w:val="16"/>
              </w:rPr>
              <w:t>T</w:t>
            </w:r>
          </w:p>
        </w:tc>
        <w:tc>
          <w:tcPr>
            <w:tcW w:w="882" w:type="dxa"/>
            <w:shd w:val="clear" w:color="auto" w:fill="F2F2F2"/>
            <w:vAlign w:val="center"/>
          </w:tcPr>
          <w:p w14:paraId="53CEBC70" w14:textId="230E891E" w:rsidR="001D1B43" w:rsidRPr="00951C6E" w:rsidRDefault="001D1B43" w:rsidP="00951C6E">
            <w:pPr>
              <w:spacing w:before="40" w:after="40"/>
              <w:jc w:val="center"/>
              <w:rPr>
                <w:rFonts w:cs="Arial"/>
                <w:sz w:val="16"/>
                <w:szCs w:val="16"/>
              </w:rPr>
            </w:pPr>
            <w:r w:rsidRPr="00951C6E">
              <w:rPr>
                <w:rFonts w:cs="Arial"/>
                <w:sz w:val="16"/>
                <w:szCs w:val="16"/>
              </w:rPr>
              <w:t>-</w:t>
            </w:r>
          </w:p>
        </w:tc>
        <w:tc>
          <w:tcPr>
            <w:tcW w:w="1071" w:type="dxa"/>
            <w:shd w:val="clear" w:color="auto" w:fill="F2F2F2"/>
            <w:vAlign w:val="center"/>
          </w:tcPr>
          <w:p w14:paraId="3D200694" w14:textId="033B1C4F" w:rsidR="001D1B43" w:rsidRPr="00951C6E" w:rsidRDefault="001D1B43" w:rsidP="00951C6E">
            <w:pPr>
              <w:spacing w:before="40" w:after="40"/>
              <w:jc w:val="center"/>
              <w:rPr>
                <w:rFonts w:cs="Arial"/>
                <w:sz w:val="16"/>
                <w:szCs w:val="16"/>
              </w:rPr>
            </w:pPr>
            <w:r w:rsidRPr="00951C6E">
              <w:rPr>
                <w:rFonts w:cs="Arial"/>
                <w:sz w:val="16"/>
                <w:szCs w:val="16"/>
              </w:rPr>
              <w:t>RP</w:t>
            </w:r>
          </w:p>
        </w:tc>
      </w:tr>
      <w:tr w:rsidR="001D1B43" w:rsidRPr="00951C6E" w14:paraId="69DE8B54" w14:textId="77777777" w:rsidTr="00951C6E">
        <w:trPr>
          <w:cantSplit/>
        </w:trPr>
        <w:tc>
          <w:tcPr>
            <w:tcW w:w="1627" w:type="dxa"/>
            <w:shd w:val="clear" w:color="auto" w:fill="auto"/>
            <w:vAlign w:val="center"/>
          </w:tcPr>
          <w:p w14:paraId="470446C6" w14:textId="77777777" w:rsidR="001D1B43" w:rsidRPr="00951C6E" w:rsidRDefault="001D1B43" w:rsidP="00951C6E">
            <w:pPr>
              <w:spacing w:before="40" w:after="40"/>
              <w:rPr>
                <w:rFonts w:cs="Arial"/>
                <w:sz w:val="16"/>
                <w:szCs w:val="16"/>
              </w:rPr>
            </w:pPr>
            <w:r w:rsidRPr="00951C6E">
              <w:rPr>
                <w:rFonts w:cs="Arial"/>
                <w:i/>
                <w:sz w:val="16"/>
                <w:szCs w:val="16"/>
              </w:rPr>
              <w:t>Diomedea sanfordi</w:t>
            </w:r>
          </w:p>
        </w:tc>
        <w:tc>
          <w:tcPr>
            <w:tcW w:w="1271" w:type="dxa"/>
            <w:shd w:val="clear" w:color="auto" w:fill="auto"/>
          </w:tcPr>
          <w:p w14:paraId="0A1BED54" w14:textId="77777777" w:rsidR="001D1B43" w:rsidRPr="002D1ACD" w:rsidRDefault="001D1B43" w:rsidP="00951C6E">
            <w:pPr>
              <w:spacing w:before="40" w:after="40"/>
              <w:rPr>
                <w:rFonts w:cs="Arial"/>
                <w:i/>
                <w:sz w:val="16"/>
                <w:szCs w:val="16"/>
              </w:rPr>
            </w:pPr>
            <w:r w:rsidRPr="002D1ACD">
              <w:rPr>
                <w:rFonts w:cs="Arial"/>
                <w:sz w:val="16"/>
                <w:szCs w:val="16"/>
              </w:rPr>
              <w:t>Northern royal albatross</w:t>
            </w:r>
          </w:p>
        </w:tc>
        <w:tc>
          <w:tcPr>
            <w:tcW w:w="1193" w:type="dxa"/>
            <w:shd w:val="clear" w:color="auto" w:fill="auto"/>
            <w:vAlign w:val="center"/>
          </w:tcPr>
          <w:p w14:paraId="6C6C695C" w14:textId="091D3667" w:rsidR="001D1B43" w:rsidRPr="00951C6E" w:rsidRDefault="001D1B43" w:rsidP="00951C6E">
            <w:pPr>
              <w:spacing w:before="40" w:after="40"/>
              <w:jc w:val="center"/>
              <w:rPr>
                <w:rFonts w:cs="Arial"/>
                <w:sz w:val="16"/>
                <w:szCs w:val="16"/>
              </w:rPr>
            </w:pPr>
            <w:r w:rsidRPr="00951C6E">
              <w:rPr>
                <w:rFonts w:cs="Arial"/>
                <w:sz w:val="16"/>
                <w:szCs w:val="16"/>
              </w:rPr>
              <w:t>E</w:t>
            </w:r>
          </w:p>
        </w:tc>
        <w:tc>
          <w:tcPr>
            <w:tcW w:w="1093" w:type="dxa"/>
            <w:shd w:val="clear" w:color="auto" w:fill="auto"/>
            <w:vAlign w:val="center"/>
          </w:tcPr>
          <w:p w14:paraId="1612D0F5" w14:textId="193B869E"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904" w:type="dxa"/>
            <w:shd w:val="clear" w:color="auto" w:fill="auto"/>
            <w:vAlign w:val="center"/>
          </w:tcPr>
          <w:p w14:paraId="6AE6F515" w14:textId="72CAB098"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1071" w:type="dxa"/>
            <w:shd w:val="clear" w:color="auto" w:fill="auto"/>
            <w:vAlign w:val="center"/>
          </w:tcPr>
          <w:p w14:paraId="39551BAB" w14:textId="64FF813F" w:rsidR="001D1B43" w:rsidRPr="00951C6E" w:rsidRDefault="001D1B43" w:rsidP="00951C6E">
            <w:pPr>
              <w:spacing w:before="40" w:after="40"/>
              <w:jc w:val="center"/>
              <w:rPr>
                <w:rFonts w:cs="Arial"/>
                <w:color w:val="0000FF"/>
                <w:sz w:val="16"/>
                <w:szCs w:val="16"/>
              </w:rPr>
            </w:pPr>
            <w:r w:rsidRPr="00951C6E">
              <w:rPr>
                <w:rFonts w:cs="Arial"/>
                <w:color w:val="0000FF"/>
                <w:sz w:val="16"/>
                <w:szCs w:val="16"/>
              </w:rPr>
              <w:t>-</w:t>
            </w:r>
          </w:p>
        </w:tc>
        <w:tc>
          <w:tcPr>
            <w:tcW w:w="882" w:type="dxa"/>
            <w:shd w:val="clear" w:color="auto" w:fill="auto"/>
            <w:vAlign w:val="center"/>
          </w:tcPr>
          <w:p w14:paraId="11133E79" w14:textId="68642F68" w:rsidR="001D1B43" w:rsidRPr="00951C6E" w:rsidRDefault="001D1B43" w:rsidP="00951C6E">
            <w:pPr>
              <w:spacing w:before="40" w:after="40"/>
              <w:jc w:val="center"/>
              <w:rPr>
                <w:rFonts w:cs="Arial"/>
                <w:sz w:val="16"/>
                <w:szCs w:val="16"/>
              </w:rPr>
            </w:pPr>
            <w:r w:rsidRPr="00951C6E">
              <w:rPr>
                <w:rFonts w:cs="Arial"/>
                <w:sz w:val="16"/>
                <w:szCs w:val="16"/>
              </w:rPr>
              <w:t>-</w:t>
            </w:r>
          </w:p>
        </w:tc>
        <w:tc>
          <w:tcPr>
            <w:tcW w:w="1071" w:type="dxa"/>
            <w:shd w:val="clear" w:color="auto" w:fill="auto"/>
            <w:vAlign w:val="center"/>
          </w:tcPr>
          <w:p w14:paraId="2A506925" w14:textId="2A017D57" w:rsidR="001D1B43" w:rsidRPr="00951C6E" w:rsidRDefault="001D1B43" w:rsidP="00951C6E">
            <w:pPr>
              <w:spacing w:before="40" w:after="40"/>
              <w:jc w:val="center"/>
              <w:rPr>
                <w:rFonts w:cs="Arial"/>
                <w:sz w:val="16"/>
                <w:szCs w:val="16"/>
              </w:rPr>
            </w:pPr>
            <w:r w:rsidRPr="00951C6E">
              <w:rPr>
                <w:rFonts w:cs="Arial"/>
                <w:sz w:val="16"/>
                <w:szCs w:val="16"/>
              </w:rPr>
              <w:t>RP</w:t>
            </w:r>
          </w:p>
        </w:tc>
      </w:tr>
      <w:tr w:rsidR="00F30214" w:rsidRPr="00951C6E" w14:paraId="196E76E5" w14:textId="77777777" w:rsidTr="00951C6E">
        <w:trPr>
          <w:cantSplit/>
        </w:trPr>
        <w:tc>
          <w:tcPr>
            <w:tcW w:w="1627" w:type="dxa"/>
            <w:shd w:val="clear" w:color="auto" w:fill="auto"/>
            <w:vAlign w:val="center"/>
          </w:tcPr>
          <w:p w14:paraId="3DBE1853" w14:textId="77777777" w:rsidR="00F30214" w:rsidRPr="00951C6E" w:rsidRDefault="00F30214" w:rsidP="00951C6E">
            <w:pPr>
              <w:spacing w:before="40" w:after="40"/>
              <w:rPr>
                <w:rFonts w:cs="Arial"/>
                <w:i/>
                <w:sz w:val="16"/>
                <w:szCs w:val="16"/>
              </w:rPr>
            </w:pPr>
            <w:r w:rsidRPr="00951C6E">
              <w:rPr>
                <w:rFonts w:cs="Arial"/>
                <w:i/>
                <w:sz w:val="16"/>
                <w:szCs w:val="16"/>
              </w:rPr>
              <w:t>Haliaeetus leucogaster</w:t>
            </w:r>
          </w:p>
        </w:tc>
        <w:tc>
          <w:tcPr>
            <w:tcW w:w="1271" w:type="dxa"/>
            <w:shd w:val="clear" w:color="auto" w:fill="auto"/>
          </w:tcPr>
          <w:p w14:paraId="40B80417" w14:textId="77777777" w:rsidR="00F30214" w:rsidRPr="002D1ACD" w:rsidRDefault="00F30214" w:rsidP="00951C6E">
            <w:pPr>
              <w:spacing w:before="40" w:after="40"/>
              <w:rPr>
                <w:rFonts w:cs="Arial"/>
                <w:sz w:val="16"/>
                <w:szCs w:val="16"/>
              </w:rPr>
            </w:pPr>
            <w:r w:rsidRPr="002D1ACD">
              <w:rPr>
                <w:rFonts w:cs="Arial"/>
                <w:sz w:val="16"/>
                <w:szCs w:val="16"/>
              </w:rPr>
              <w:t>White-bellied sea-eagle</w:t>
            </w:r>
          </w:p>
        </w:tc>
        <w:tc>
          <w:tcPr>
            <w:tcW w:w="1193" w:type="dxa"/>
            <w:shd w:val="clear" w:color="auto" w:fill="auto"/>
            <w:vAlign w:val="center"/>
          </w:tcPr>
          <w:p w14:paraId="6E81BB52" w14:textId="7C90F206" w:rsidR="00F30214" w:rsidRPr="00951C6E" w:rsidRDefault="00F30214" w:rsidP="00951C6E">
            <w:pPr>
              <w:spacing w:before="40" w:after="40"/>
              <w:jc w:val="center"/>
              <w:rPr>
                <w:rFonts w:cs="Arial"/>
                <w:sz w:val="16"/>
                <w:szCs w:val="16"/>
              </w:rPr>
            </w:pPr>
            <w:r w:rsidRPr="00951C6E">
              <w:rPr>
                <w:rFonts w:cs="Arial"/>
                <w:sz w:val="16"/>
                <w:szCs w:val="16"/>
              </w:rPr>
              <w:t>-</w:t>
            </w:r>
          </w:p>
        </w:tc>
        <w:tc>
          <w:tcPr>
            <w:tcW w:w="1093" w:type="dxa"/>
            <w:shd w:val="clear" w:color="auto" w:fill="auto"/>
            <w:vAlign w:val="center"/>
          </w:tcPr>
          <w:p w14:paraId="01FC383F" w14:textId="5FA1B7F4" w:rsidR="00F30214" w:rsidRPr="00951C6E" w:rsidRDefault="00F30214" w:rsidP="00951C6E">
            <w:pPr>
              <w:spacing w:before="40" w:after="40"/>
              <w:jc w:val="center"/>
              <w:rPr>
                <w:rFonts w:cs="Arial"/>
                <w:sz w:val="16"/>
                <w:szCs w:val="16"/>
              </w:rPr>
            </w:pPr>
            <w:r w:rsidRPr="00951C6E">
              <w:rPr>
                <w:rFonts w:cs="Arial"/>
                <w:sz w:val="16"/>
                <w:szCs w:val="16"/>
              </w:rPr>
              <w:t>-</w:t>
            </w:r>
          </w:p>
        </w:tc>
        <w:tc>
          <w:tcPr>
            <w:tcW w:w="904" w:type="dxa"/>
            <w:shd w:val="clear" w:color="auto" w:fill="auto"/>
            <w:vAlign w:val="center"/>
          </w:tcPr>
          <w:p w14:paraId="44067B50" w14:textId="5B97FD88"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1071" w:type="dxa"/>
            <w:shd w:val="clear" w:color="auto" w:fill="auto"/>
            <w:vAlign w:val="center"/>
          </w:tcPr>
          <w:p w14:paraId="47B58F45" w14:textId="3499E176" w:rsidR="00F30214" w:rsidRPr="00951C6E" w:rsidRDefault="00F30214" w:rsidP="00951C6E">
            <w:pPr>
              <w:spacing w:before="40" w:after="40"/>
              <w:jc w:val="center"/>
              <w:rPr>
                <w:rFonts w:cs="Arial"/>
                <w:sz w:val="16"/>
                <w:szCs w:val="16"/>
              </w:rPr>
            </w:pPr>
            <w:r w:rsidRPr="00951C6E">
              <w:rPr>
                <w:rFonts w:cs="Arial"/>
                <w:sz w:val="16"/>
                <w:szCs w:val="16"/>
              </w:rPr>
              <w:t>T</w:t>
            </w:r>
          </w:p>
        </w:tc>
        <w:tc>
          <w:tcPr>
            <w:tcW w:w="882" w:type="dxa"/>
            <w:shd w:val="clear" w:color="auto" w:fill="auto"/>
            <w:vAlign w:val="center"/>
          </w:tcPr>
          <w:p w14:paraId="1B46276E" w14:textId="667B9055" w:rsidR="00F30214" w:rsidRPr="00951C6E" w:rsidRDefault="00F30214" w:rsidP="00951C6E">
            <w:pPr>
              <w:spacing w:before="40" w:after="40"/>
              <w:jc w:val="center"/>
              <w:rPr>
                <w:rFonts w:cs="Arial"/>
                <w:sz w:val="16"/>
                <w:szCs w:val="16"/>
              </w:rPr>
            </w:pPr>
            <w:r w:rsidRPr="00951C6E">
              <w:rPr>
                <w:rFonts w:cs="Arial"/>
                <w:sz w:val="16"/>
                <w:szCs w:val="16"/>
              </w:rPr>
              <w:t>-</w:t>
            </w:r>
          </w:p>
        </w:tc>
        <w:tc>
          <w:tcPr>
            <w:tcW w:w="1071" w:type="dxa"/>
            <w:shd w:val="clear" w:color="auto" w:fill="auto"/>
            <w:vAlign w:val="center"/>
          </w:tcPr>
          <w:p w14:paraId="6D6366DF" w14:textId="72B734BA" w:rsidR="00F30214" w:rsidRPr="00951C6E" w:rsidRDefault="00F30214" w:rsidP="00951C6E">
            <w:pPr>
              <w:spacing w:before="40" w:after="40"/>
              <w:jc w:val="center"/>
              <w:rPr>
                <w:rFonts w:cs="Arial"/>
                <w:sz w:val="16"/>
                <w:szCs w:val="16"/>
              </w:rPr>
            </w:pPr>
            <w:r w:rsidRPr="00951C6E">
              <w:rPr>
                <w:rFonts w:cs="Arial"/>
                <w:sz w:val="16"/>
                <w:szCs w:val="16"/>
              </w:rPr>
              <w:t>-</w:t>
            </w:r>
          </w:p>
        </w:tc>
      </w:tr>
      <w:tr w:rsidR="00F30214" w:rsidRPr="00951C6E" w14:paraId="3A53B9FF" w14:textId="77777777" w:rsidTr="00951C6E">
        <w:trPr>
          <w:cantSplit/>
        </w:trPr>
        <w:tc>
          <w:tcPr>
            <w:tcW w:w="1627" w:type="dxa"/>
            <w:shd w:val="clear" w:color="auto" w:fill="F2F2F2"/>
            <w:vAlign w:val="center"/>
          </w:tcPr>
          <w:p w14:paraId="3DD3E8A9" w14:textId="77777777" w:rsidR="00F30214" w:rsidRPr="00951C6E" w:rsidRDefault="00F30214" w:rsidP="00951C6E">
            <w:pPr>
              <w:spacing w:before="40" w:after="40"/>
              <w:rPr>
                <w:rFonts w:cs="Arial"/>
                <w:i/>
                <w:sz w:val="16"/>
                <w:szCs w:val="16"/>
              </w:rPr>
            </w:pPr>
            <w:r w:rsidRPr="00951C6E">
              <w:rPr>
                <w:rFonts w:cs="Arial"/>
                <w:i/>
                <w:sz w:val="16"/>
                <w:szCs w:val="16"/>
              </w:rPr>
              <w:t>Halobaena caerulea</w:t>
            </w:r>
          </w:p>
        </w:tc>
        <w:tc>
          <w:tcPr>
            <w:tcW w:w="1271" w:type="dxa"/>
            <w:shd w:val="clear" w:color="auto" w:fill="F2F2F2"/>
          </w:tcPr>
          <w:p w14:paraId="05918173" w14:textId="77777777" w:rsidR="00F30214" w:rsidRPr="002D1ACD" w:rsidRDefault="00F30214" w:rsidP="00951C6E">
            <w:pPr>
              <w:spacing w:before="40" w:after="40"/>
              <w:rPr>
                <w:rFonts w:cs="Arial"/>
                <w:sz w:val="16"/>
                <w:szCs w:val="16"/>
              </w:rPr>
            </w:pPr>
            <w:r w:rsidRPr="002D1ACD">
              <w:rPr>
                <w:rFonts w:cs="Arial"/>
                <w:sz w:val="16"/>
                <w:szCs w:val="16"/>
              </w:rPr>
              <w:t>Blue petrel</w:t>
            </w:r>
          </w:p>
        </w:tc>
        <w:tc>
          <w:tcPr>
            <w:tcW w:w="1193" w:type="dxa"/>
            <w:shd w:val="clear" w:color="auto" w:fill="F2F2F2"/>
            <w:vAlign w:val="center"/>
          </w:tcPr>
          <w:p w14:paraId="3A1FDB64" w14:textId="40BCCD7B" w:rsidR="00F30214" w:rsidRPr="00951C6E" w:rsidRDefault="00F30214" w:rsidP="00951C6E">
            <w:pPr>
              <w:spacing w:before="40" w:after="40"/>
              <w:jc w:val="center"/>
              <w:rPr>
                <w:rFonts w:cs="Arial"/>
                <w:sz w:val="16"/>
                <w:szCs w:val="16"/>
              </w:rPr>
            </w:pPr>
            <w:r w:rsidRPr="00951C6E">
              <w:rPr>
                <w:rFonts w:cs="Arial"/>
                <w:sz w:val="16"/>
                <w:szCs w:val="16"/>
              </w:rPr>
              <w:t>V</w:t>
            </w:r>
          </w:p>
        </w:tc>
        <w:tc>
          <w:tcPr>
            <w:tcW w:w="1093" w:type="dxa"/>
            <w:shd w:val="clear" w:color="auto" w:fill="F2F2F2"/>
            <w:vAlign w:val="center"/>
          </w:tcPr>
          <w:p w14:paraId="73305129" w14:textId="77777777" w:rsidR="00F30214" w:rsidRPr="00951C6E" w:rsidRDefault="00F30214" w:rsidP="00951C6E">
            <w:pPr>
              <w:spacing w:before="40" w:after="40"/>
              <w:jc w:val="center"/>
              <w:rPr>
                <w:rFonts w:cs="Arial"/>
                <w:sz w:val="16"/>
                <w:szCs w:val="16"/>
              </w:rPr>
            </w:pPr>
            <w:r w:rsidRPr="00951C6E">
              <w:rPr>
                <w:rFonts w:cs="Arial"/>
                <w:sz w:val="16"/>
                <w:szCs w:val="16"/>
              </w:rPr>
              <w:t>-</w:t>
            </w:r>
          </w:p>
        </w:tc>
        <w:tc>
          <w:tcPr>
            <w:tcW w:w="904" w:type="dxa"/>
            <w:shd w:val="clear" w:color="auto" w:fill="F2F2F2"/>
            <w:vAlign w:val="center"/>
          </w:tcPr>
          <w:p w14:paraId="1FA676D3" w14:textId="4AACD82B"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1071" w:type="dxa"/>
            <w:shd w:val="clear" w:color="auto" w:fill="F2F2F2"/>
            <w:vAlign w:val="center"/>
          </w:tcPr>
          <w:p w14:paraId="502949E7" w14:textId="2D3CA3A1" w:rsidR="00F30214" w:rsidRPr="00951C6E" w:rsidRDefault="00F30214" w:rsidP="00951C6E">
            <w:pPr>
              <w:spacing w:before="40" w:after="40"/>
              <w:jc w:val="center"/>
              <w:rPr>
                <w:rFonts w:cs="Arial"/>
                <w:sz w:val="16"/>
                <w:szCs w:val="16"/>
              </w:rPr>
            </w:pPr>
            <w:r w:rsidRPr="00951C6E">
              <w:rPr>
                <w:rFonts w:cs="Arial"/>
                <w:sz w:val="16"/>
                <w:szCs w:val="16"/>
              </w:rPr>
              <w:t>-</w:t>
            </w:r>
          </w:p>
        </w:tc>
        <w:tc>
          <w:tcPr>
            <w:tcW w:w="882" w:type="dxa"/>
            <w:shd w:val="clear" w:color="auto" w:fill="F2F2F2"/>
            <w:vAlign w:val="center"/>
          </w:tcPr>
          <w:p w14:paraId="5B05072C" w14:textId="2D5CE7C5" w:rsidR="00F30214" w:rsidRPr="00951C6E" w:rsidRDefault="00F30214" w:rsidP="00951C6E">
            <w:pPr>
              <w:spacing w:before="40" w:after="40"/>
              <w:jc w:val="center"/>
              <w:rPr>
                <w:rFonts w:cs="Arial"/>
                <w:sz w:val="16"/>
                <w:szCs w:val="16"/>
              </w:rPr>
            </w:pPr>
            <w:r w:rsidRPr="00951C6E">
              <w:rPr>
                <w:rFonts w:cs="Arial"/>
                <w:sz w:val="16"/>
                <w:szCs w:val="16"/>
              </w:rPr>
              <w:t>-</w:t>
            </w:r>
          </w:p>
        </w:tc>
        <w:tc>
          <w:tcPr>
            <w:tcW w:w="1071" w:type="dxa"/>
            <w:shd w:val="clear" w:color="auto" w:fill="F2F2F2"/>
            <w:vAlign w:val="center"/>
          </w:tcPr>
          <w:p w14:paraId="6AF0FE2B" w14:textId="6A2C4DA7" w:rsidR="00F30214" w:rsidRPr="00951C6E" w:rsidRDefault="00DA2728" w:rsidP="00951C6E">
            <w:pPr>
              <w:spacing w:before="40" w:after="40"/>
              <w:jc w:val="center"/>
              <w:rPr>
                <w:rFonts w:cs="Arial"/>
                <w:sz w:val="16"/>
                <w:szCs w:val="16"/>
              </w:rPr>
            </w:pPr>
            <w:r w:rsidRPr="00951C6E">
              <w:rPr>
                <w:rFonts w:cs="Arial"/>
                <w:sz w:val="16"/>
                <w:szCs w:val="16"/>
              </w:rPr>
              <w:t>CA</w:t>
            </w:r>
          </w:p>
        </w:tc>
      </w:tr>
      <w:tr w:rsidR="00F30214" w:rsidRPr="00951C6E" w14:paraId="2D5E685D" w14:textId="77777777" w:rsidTr="00951C6E">
        <w:trPr>
          <w:cantSplit/>
        </w:trPr>
        <w:tc>
          <w:tcPr>
            <w:tcW w:w="1627" w:type="dxa"/>
            <w:shd w:val="clear" w:color="auto" w:fill="auto"/>
            <w:vAlign w:val="center"/>
          </w:tcPr>
          <w:p w14:paraId="39134793" w14:textId="77777777" w:rsidR="00F30214" w:rsidRPr="00951C6E" w:rsidRDefault="00F30214" w:rsidP="00951C6E">
            <w:pPr>
              <w:spacing w:before="40" w:after="40"/>
              <w:rPr>
                <w:rFonts w:cs="Arial"/>
                <w:i/>
                <w:sz w:val="16"/>
                <w:szCs w:val="16"/>
              </w:rPr>
            </w:pPr>
            <w:r w:rsidRPr="00951C6E">
              <w:rPr>
                <w:rFonts w:cs="Arial"/>
                <w:i/>
                <w:sz w:val="16"/>
                <w:szCs w:val="16"/>
              </w:rPr>
              <w:t>Larus novaehollandiae</w:t>
            </w:r>
          </w:p>
        </w:tc>
        <w:tc>
          <w:tcPr>
            <w:tcW w:w="1271" w:type="dxa"/>
            <w:shd w:val="clear" w:color="auto" w:fill="auto"/>
          </w:tcPr>
          <w:p w14:paraId="33ADA75F" w14:textId="77777777" w:rsidR="00F30214" w:rsidRPr="002D1ACD" w:rsidRDefault="00F30214" w:rsidP="00951C6E">
            <w:pPr>
              <w:spacing w:before="40" w:after="40"/>
              <w:rPr>
                <w:rFonts w:cs="Arial"/>
                <w:sz w:val="16"/>
                <w:szCs w:val="16"/>
              </w:rPr>
            </w:pPr>
            <w:r w:rsidRPr="002D1ACD">
              <w:rPr>
                <w:rFonts w:cs="Arial"/>
                <w:sz w:val="16"/>
                <w:szCs w:val="16"/>
              </w:rPr>
              <w:t>Silver gull</w:t>
            </w:r>
          </w:p>
        </w:tc>
        <w:tc>
          <w:tcPr>
            <w:tcW w:w="1193" w:type="dxa"/>
            <w:shd w:val="clear" w:color="auto" w:fill="auto"/>
            <w:vAlign w:val="center"/>
          </w:tcPr>
          <w:p w14:paraId="27FAC09A" w14:textId="77777777" w:rsidR="00F30214" w:rsidRPr="00951C6E" w:rsidRDefault="00F30214" w:rsidP="00951C6E">
            <w:pPr>
              <w:spacing w:before="40" w:after="40"/>
              <w:jc w:val="center"/>
              <w:rPr>
                <w:rFonts w:cs="Arial"/>
                <w:sz w:val="16"/>
                <w:szCs w:val="16"/>
              </w:rPr>
            </w:pPr>
            <w:r w:rsidRPr="00951C6E">
              <w:rPr>
                <w:rFonts w:cs="Arial"/>
                <w:sz w:val="16"/>
                <w:szCs w:val="16"/>
              </w:rPr>
              <w:t>-</w:t>
            </w:r>
          </w:p>
        </w:tc>
        <w:tc>
          <w:tcPr>
            <w:tcW w:w="1093" w:type="dxa"/>
            <w:shd w:val="clear" w:color="auto" w:fill="auto"/>
            <w:vAlign w:val="center"/>
          </w:tcPr>
          <w:p w14:paraId="59BBACA9" w14:textId="77777777" w:rsidR="00F30214" w:rsidRPr="00951C6E" w:rsidRDefault="00F30214" w:rsidP="00951C6E">
            <w:pPr>
              <w:spacing w:before="40" w:after="40"/>
              <w:jc w:val="center"/>
              <w:rPr>
                <w:rFonts w:cs="Arial"/>
                <w:sz w:val="16"/>
                <w:szCs w:val="16"/>
              </w:rPr>
            </w:pPr>
            <w:r w:rsidRPr="00951C6E">
              <w:rPr>
                <w:rFonts w:cs="Arial"/>
                <w:sz w:val="16"/>
                <w:szCs w:val="16"/>
              </w:rPr>
              <w:t>-</w:t>
            </w:r>
          </w:p>
        </w:tc>
        <w:tc>
          <w:tcPr>
            <w:tcW w:w="904" w:type="dxa"/>
            <w:shd w:val="clear" w:color="auto" w:fill="auto"/>
            <w:vAlign w:val="center"/>
          </w:tcPr>
          <w:p w14:paraId="0FDBABA2" w14:textId="31FAA85A"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1071" w:type="dxa"/>
            <w:shd w:val="clear" w:color="auto" w:fill="auto"/>
            <w:vAlign w:val="center"/>
          </w:tcPr>
          <w:p w14:paraId="79543054" w14:textId="0A5E1A8D" w:rsidR="00F30214" w:rsidRPr="00951C6E" w:rsidRDefault="00F30214" w:rsidP="00951C6E">
            <w:pPr>
              <w:spacing w:before="40" w:after="40"/>
              <w:jc w:val="center"/>
              <w:rPr>
                <w:rFonts w:cs="Arial"/>
                <w:sz w:val="16"/>
                <w:szCs w:val="16"/>
              </w:rPr>
            </w:pPr>
            <w:r w:rsidRPr="00951C6E">
              <w:rPr>
                <w:rFonts w:cs="Arial"/>
                <w:sz w:val="16"/>
                <w:szCs w:val="16"/>
              </w:rPr>
              <w:t>-</w:t>
            </w:r>
          </w:p>
        </w:tc>
        <w:tc>
          <w:tcPr>
            <w:tcW w:w="882" w:type="dxa"/>
            <w:shd w:val="clear" w:color="auto" w:fill="auto"/>
            <w:vAlign w:val="center"/>
          </w:tcPr>
          <w:p w14:paraId="2DCEF57C" w14:textId="603430B4" w:rsidR="00F30214" w:rsidRPr="00951C6E" w:rsidRDefault="00F30214" w:rsidP="00951C6E">
            <w:pPr>
              <w:spacing w:before="40" w:after="40"/>
              <w:jc w:val="center"/>
              <w:rPr>
                <w:rFonts w:cs="Arial"/>
                <w:sz w:val="16"/>
                <w:szCs w:val="16"/>
              </w:rPr>
            </w:pPr>
            <w:r w:rsidRPr="00951C6E">
              <w:rPr>
                <w:rFonts w:cs="Arial"/>
                <w:sz w:val="16"/>
                <w:szCs w:val="16"/>
              </w:rPr>
              <w:t>-</w:t>
            </w:r>
          </w:p>
        </w:tc>
        <w:tc>
          <w:tcPr>
            <w:tcW w:w="1071" w:type="dxa"/>
            <w:shd w:val="clear" w:color="auto" w:fill="auto"/>
            <w:vAlign w:val="center"/>
          </w:tcPr>
          <w:p w14:paraId="77AC7055" w14:textId="0B6E8250" w:rsidR="00F30214" w:rsidRPr="00951C6E" w:rsidRDefault="001D1B43" w:rsidP="00951C6E">
            <w:pPr>
              <w:spacing w:before="40" w:after="40"/>
              <w:jc w:val="center"/>
              <w:rPr>
                <w:rFonts w:cs="Arial"/>
                <w:sz w:val="16"/>
                <w:szCs w:val="16"/>
              </w:rPr>
            </w:pPr>
            <w:r w:rsidRPr="00951C6E">
              <w:rPr>
                <w:rFonts w:cs="Arial"/>
                <w:sz w:val="16"/>
                <w:szCs w:val="16"/>
              </w:rPr>
              <w:t>-</w:t>
            </w:r>
          </w:p>
        </w:tc>
      </w:tr>
      <w:tr w:rsidR="001D1B43" w:rsidRPr="00951C6E" w14:paraId="3F909DDA" w14:textId="77777777" w:rsidTr="00951C6E">
        <w:trPr>
          <w:cantSplit/>
        </w:trPr>
        <w:tc>
          <w:tcPr>
            <w:tcW w:w="1627" w:type="dxa"/>
            <w:shd w:val="clear" w:color="auto" w:fill="F2F2F2"/>
            <w:vAlign w:val="center"/>
          </w:tcPr>
          <w:p w14:paraId="19D67873" w14:textId="77777777" w:rsidR="001D1B43" w:rsidRPr="00951C6E" w:rsidRDefault="001D1B43" w:rsidP="00951C6E">
            <w:pPr>
              <w:spacing w:before="40" w:after="40"/>
              <w:rPr>
                <w:rFonts w:cs="Arial"/>
                <w:sz w:val="16"/>
                <w:szCs w:val="16"/>
              </w:rPr>
            </w:pPr>
            <w:r w:rsidRPr="00951C6E">
              <w:rPr>
                <w:rFonts w:cs="Arial"/>
                <w:i/>
                <w:sz w:val="16"/>
                <w:szCs w:val="16"/>
              </w:rPr>
              <w:t>Macronectes giganteus</w:t>
            </w:r>
          </w:p>
        </w:tc>
        <w:tc>
          <w:tcPr>
            <w:tcW w:w="1271" w:type="dxa"/>
            <w:shd w:val="clear" w:color="auto" w:fill="F2F2F2"/>
          </w:tcPr>
          <w:p w14:paraId="53D7A440" w14:textId="77777777" w:rsidR="001D1B43" w:rsidRPr="002D1ACD" w:rsidRDefault="001D1B43" w:rsidP="00951C6E">
            <w:pPr>
              <w:spacing w:before="40" w:after="40"/>
              <w:rPr>
                <w:rFonts w:cs="Arial"/>
                <w:i/>
                <w:sz w:val="16"/>
                <w:szCs w:val="16"/>
              </w:rPr>
            </w:pPr>
            <w:r w:rsidRPr="002D1ACD">
              <w:rPr>
                <w:rFonts w:cs="Arial"/>
                <w:sz w:val="16"/>
                <w:szCs w:val="16"/>
              </w:rPr>
              <w:t>Southern giant-petrel</w:t>
            </w:r>
          </w:p>
        </w:tc>
        <w:tc>
          <w:tcPr>
            <w:tcW w:w="1193" w:type="dxa"/>
            <w:shd w:val="clear" w:color="auto" w:fill="F2F2F2"/>
            <w:vAlign w:val="center"/>
          </w:tcPr>
          <w:p w14:paraId="12C5083D" w14:textId="2623CD23" w:rsidR="001D1B43" w:rsidRPr="00951C6E" w:rsidRDefault="001D1B43" w:rsidP="00951C6E">
            <w:pPr>
              <w:spacing w:before="40" w:after="40"/>
              <w:jc w:val="center"/>
              <w:rPr>
                <w:rFonts w:cs="Arial"/>
                <w:sz w:val="16"/>
                <w:szCs w:val="16"/>
              </w:rPr>
            </w:pPr>
            <w:r w:rsidRPr="00951C6E">
              <w:rPr>
                <w:rFonts w:cs="Arial"/>
                <w:sz w:val="16"/>
                <w:szCs w:val="16"/>
              </w:rPr>
              <w:t>E</w:t>
            </w:r>
          </w:p>
        </w:tc>
        <w:tc>
          <w:tcPr>
            <w:tcW w:w="1093" w:type="dxa"/>
            <w:shd w:val="clear" w:color="auto" w:fill="F2F2F2"/>
            <w:vAlign w:val="center"/>
          </w:tcPr>
          <w:p w14:paraId="2BD9CF99" w14:textId="09EF30A1"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904" w:type="dxa"/>
            <w:shd w:val="clear" w:color="auto" w:fill="F2F2F2"/>
            <w:vAlign w:val="center"/>
          </w:tcPr>
          <w:p w14:paraId="5DFDE657" w14:textId="0007828D"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1071" w:type="dxa"/>
            <w:shd w:val="clear" w:color="auto" w:fill="F2F2F2"/>
            <w:vAlign w:val="center"/>
          </w:tcPr>
          <w:p w14:paraId="707A7590" w14:textId="0E6B3021" w:rsidR="001D1B43" w:rsidRPr="00951C6E" w:rsidRDefault="001D1B43" w:rsidP="00951C6E">
            <w:pPr>
              <w:spacing w:before="40" w:after="40"/>
              <w:jc w:val="center"/>
              <w:rPr>
                <w:rFonts w:cs="Arial"/>
                <w:sz w:val="16"/>
                <w:szCs w:val="16"/>
              </w:rPr>
            </w:pPr>
            <w:r w:rsidRPr="00951C6E">
              <w:rPr>
                <w:rFonts w:cs="Arial"/>
                <w:sz w:val="16"/>
                <w:szCs w:val="16"/>
              </w:rPr>
              <w:t>T</w:t>
            </w:r>
          </w:p>
        </w:tc>
        <w:tc>
          <w:tcPr>
            <w:tcW w:w="882" w:type="dxa"/>
            <w:shd w:val="clear" w:color="auto" w:fill="F2F2F2"/>
            <w:vAlign w:val="center"/>
          </w:tcPr>
          <w:p w14:paraId="24FD0CFA" w14:textId="6A178321" w:rsidR="001D1B43" w:rsidRPr="00951C6E" w:rsidRDefault="001D1B43" w:rsidP="00951C6E">
            <w:pPr>
              <w:spacing w:before="40" w:after="40"/>
              <w:jc w:val="center"/>
              <w:rPr>
                <w:rFonts w:cs="Arial"/>
                <w:sz w:val="16"/>
                <w:szCs w:val="16"/>
              </w:rPr>
            </w:pPr>
            <w:r w:rsidRPr="00951C6E">
              <w:rPr>
                <w:rFonts w:cs="Arial"/>
                <w:sz w:val="16"/>
                <w:szCs w:val="16"/>
              </w:rPr>
              <w:t>-</w:t>
            </w:r>
          </w:p>
        </w:tc>
        <w:tc>
          <w:tcPr>
            <w:tcW w:w="1071" w:type="dxa"/>
            <w:shd w:val="clear" w:color="auto" w:fill="F2F2F2"/>
            <w:vAlign w:val="center"/>
          </w:tcPr>
          <w:p w14:paraId="1AE78972" w14:textId="63E8B345" w:rsidR="001D1B43" w:rsidRPr="00951C6E" w:rsidRDefault="001D1B43" w:rsidP="00951C6E">
            <w:pPr>
              <w:spacing w:before="40" w:after="40"/>
              <w:jc w:val="center"/>
              <w:rPr>
                <w:rFonts w:cs="Arial"/>
                <w:sz w:val="16"/>
                <w:szCs w:val="16"/>
              </w:rPr>
            </w:pPr>
            <w:r w:rsidRPr="00951C6E">
              <w:rPr>
                <w:rFonts w:cs="Arial"/>
                <w:sz w:val="16"/>
                <w:szCs w:val="16"/>
              </w:rPr>
              <w:t>RP</w:t>
            </w:r>
          </w:p>
        </w:tc>
      </w:tr>
      <w:tr w:rsidR="001D1B43" w:rsidRPr="00951C6E" w14:paraId="062CF20D" w14:textId="77777777" w:rsidTr="00951C6E">
        <w:trPr>
          <w:cantSplit/>
        </w:trPr>
        <w:tc>
          <w:tcPr>
            <w:tcW w:w="1627" w:type="dxa"/>
            <w:shd w:val="clear" w:color="auto" w:fill="auto"/>
            <w:vAlign w:val="center"/>
          </w:tcPr>
          <w:p w14:paraId="2A0479F5" w14:textId="77777777" w:rsidR="001D1B43" w:rsidRPr="00951C6E" w:rsidRDefault="001D1B43" w:rsidP="00951C6E">
            <w:pPr>
              <w:spacing w:before="40" w:after="40"/>
              <w:rPr>
                <w:rFonts w:cs="Arial"/>
                <w:sz w:val="16"/>
                <w:szCs w:val="16"/>
              </w:rPr>
            </w:pPr>
            <w:r w:rsidRPr="00951C6E">
              <w:rPr>
                <w:rFonts w:cs="Arial"/>
                <w:i/>
                <w:sz w:val="16"/>
                <w:szCs w:val="16"/>
              </w:rPr>
              <w:t>Macronectes halli</w:t>
            </w:r>
          </w:p>
        </w:tc>
        <w:tc>
          <w:tcPr>
            <w:tcW w:w="1271" w:type="dxa"/>
            <w:shd w:val="clear" w:color="auto" w:fill="auto"/>
          </w:tcPr>
          <w:p w14:paraId="08C7639B" w14:textId="77777777" w:rsidR="001D1B43" w:rsidRPr="002D1ACD" w:rsidRDefault="001D1B43" w:rsidP="00951C6E">
            <w:pPr>
              <w:spacing w:before="40" w:after="40"/>
              <w:rPr>
                <w:rFonts w:cs="Arial"/>
                <w:i/>
                <w:sz w:val="16"/>
                <w:szCs w:val="16"/>
              </w:rPr>
            </w:pPr>
            <w:r w:rsidRPr="002D1ACD">
              <w:rPr>
                <w:rFonts w:cs="Arial"/>
                <w:sz w:val="16"/>
                <w:szCs w:val="16"/>
              </w:rPr>
              <w:t>Northern giant-petrel</w:t>
            </w:r>
          </w:p>
        </w:tc>
        <w:tc>
          <w:tcPr>
            <w:tcW w:w="1193" w:type="dxa"/>
            <w:shd w:val="clear" w:color="auto" w:fill="auto"/>
            <w:vAlign w:val="center"/>
          </w:tcPr>
          <w:p w14:paraId="6444DC3E" w14:textId="46818F4E" w:rsidR="001D1B43" w:rsidRPr="00951C6E" w:rsidRDefault="001D1B43" w:rsidP="00951C6E">
            <w:pPr>
              <w:spacing w:before="40" w:after="40"/>
              <w:jc w:val="center"/>
              <w:rPr>
                <w:rFonts w:cs="Arial"/>
                <w:sz w:val="16"/>
                <w:szCs w:val="16"/>
              </w:rPr>
            </w:pPr>
            <w:r w:rsidRPr="00951C6E">
              <w:rPr>
                <w:rFonts w:cs="Arial"/>
                <w:sz w:val="16"/>
                <w:szCs w:val="16"/>
              </w:rPr>
              <w:t>V</w:t>
            </w:r>
          </w:p>
        </w:tc>
        <w:tc>
          <w:tcPr>
            <w:tcW w:w="1093" w:type="dxa"/>
            <w:shd w:val="clear" w:color="auto" w:fill="auto"/>
            <w:vAlign w:val="center"/>
          </w:tcPr>
          <w:p w14:paraId="40C2136F" w14:textId="2520A9E0"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904" w:type="dxa"/>
            <w:shd w:val="clear" w:color="auto" w:fill="auto"/>
            <w:vAlign w:val="center"/>
          </w:tcPr>
          <w:p w14:paraId="70706C27" w14:textId="08505728"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1071" w:type="dxa"/>
            <w:shd w:val="clear" w:color="auto" w:fill="auto"/>
            <w:vAlign w:val="center"/>
          </w:tcPr>
          <w:p w14:paraId="23F2046A" w14:textId="412227AC" w:rsidR="001D1B43" w:rsidRPr="00951C6E" w:rsidRDefault="001D1B43" w:rsidP="00951C6E">
            <w:pPr>
              <w:spacing w:before="40" w:after="40"/>
              <w:jc w:val="center"/>
              <w:rPr>
                <w:rFonts w:cs="Arial"/>
                <w:sz w:val="16"/>
                <w:szCs w:val="16"/>
              </w:rPr>
            </w:pPr>
            <w:r w:rsidRPr="00951C6E">
              <w:rPr>
                <w:rFonts w:cs="Arial"/>
                <w:sz w:val="16"/>
                <w:szCs w:val="16"/>
              </w:rPr>
              <w:t>T</w:t>
            </w:r>
          </w:p>
        </w:tc>
        <w:tc>
          <w:tcPr>
            <w:tcW w:w="882" w:type="dxa"/>
            <w:shd w:val="clear" w:color="auto" w:fill="auto"/>
            <w:vAlign w:val="center"/>
          </w:tcPr>
          <w:p w14:paraId="16A00DE2" w14:textId="6E38A095" w:rsidR="001D1B43" w:rsidRPr="00951C6E" w:rsidRDefault="001D1B43" w:rsidP="00951C6E">
            <w:pPr>
              <w:spacing w:before="40" w:after="40"/>
              <w:jc w:val="center"/>
              <w:rPr>
                <w:rFonts w:cs="Arial"/>
                <w:sz w:val="16"/>
                <w:szCs w:val="16"/>
              </w:rPr>
            </w:pPr>
            <w:r w:rsidRPr="00951C6E">
              <w:rPr>
                <w:rFonts w:cs="Arial"/>
                <w:sz w:val="16"/>
                <w:szCs w:val="16"/>
              </w:rPr>
              <w:t>-</w:t>
            </w:r>
          </w:p>
        </w:tc>
        <w:tc>
          <w:tcPr>
            <w:tcW w:w="1071" w:type="dxa"/>
            <w:shd w:val="clear" w:color="auto" w:fill="auto"/>
            <w:vAlign w:val="center"/>
          </w:tcPr>
          <w:p w14:paraId="1541537F" w14:textId="2F6687A5" w:rsidR="001D1B43" w:rsidRPr="00951C6E" w:rsidRDefault="001D1B43" w:rsidP="00951C6E">
            <w:pPr>
              <w:spacing w:before="40" w:after="40"/>
              <w:jc w:val="center"/>
              <w:rPr>
                <w:rFonts w:cs="Arial"/>
                <w:sz w:val="16"/>
                <w:szCs w:val="16"/>
              </w:rPr>
            </w:pPr>
            <w:r w:rsidRPr="00951C6E">
              <w:rPr>
                <w:rFonts w:cs="Arial"/>
                <w:sz w:val="16"/>
                <w:szCs w:val="16"/>
              </w:rPr>
              <w:t>RP</w:t>
            </w:r>
          </w:p>
        </w:tc>
      </w:tr>
      <w:tr w:rsidR="00F30214" w:rsidRPr="00951C6E" w14:paraId="5AF3BD45" w14:textId="77777777" w:rsidTr="00951C6E">
        <w:trPr>
          <w:cantSplit/>
        </w:trPr>
        <w:tc>
          <w:tcPr>
            <w:tcW w:w="1627" w:type="dxa"/>
            <w:shd w:val="clear" w:color="auto" w:fill="F2F2F2"/>
            <w:vAlign w:val="center"/>
          </w:tcPr>
          <w:p w14:paraId="054E9812" w14:textId="77777777" w:rsidR="00F30214" w:rsidRPr="00951C6E" w:rsidRDefault="00F30214" w:rsidP="00951C6E">
            <w:pPr>
              <w:spacing w:before="40" w:after="40"/>
              <w:rPr>
                <w:rFonts w:cs="Arial"/>
                <w:i/>
                <w:sz w:val="16"/>
                <w:szCs w:val="16"/>
              </w:rPr>
            </w:pPr>
            <w:r w:rsidRPr="00951C6E">
              <w:rPr>
                <w:rFonts w:cs="Arial"/>
                <w:i/>
                <w:sz w:val="16"/>
                <w:szCs w:val="16"/>
              </w:rPr>
              <w:t xml:space="preserve">Morus capensis </w:t>
            </w:r>
          </w:p>
        </w:tc>
        <w:tc>
          <w:tcPr>
            <w:tcW w:w="1271" w:type="dxa"/>
            <w:shd w:val="clear" w:color="auto" w:fill="F2F2F2"/>
          </w:tcPr>
          <w:p w14:paraId="332C989F" w14:textId="77777777" w:rsidR="00F30214" w:rsidRPr="002D1ACD" w:rsidRDefault="00F30214" w:rsidP="00951C6E">
            <w:pPr>
              <w:spacing w:before="40" w:after="40"/>
              <w:rPr>
                <w:rFonts w:cs="Arial"/>
                <w:sz w:val="16"/>
                <w:szCs w:val="16"/>
              </w:rPr>
            </w:pPr>
            <w:r w:rsidRPr="002D1ACD">
              <w:rPr>
                <w:rFonts w:cs="Arial"/>
                <w:sz w:val="16"/>
                <w:szCs w:val="16"/>
              </w:rPr>
              <w:t>Cape gannet</w:t>
            </w:r>
          </w:p>
        </w:tc>
        <w:tc>
          <w:tcPr>
            <w:tcW w:w="1193" w:type="dxa"/>
            <w:shd w:val="clear" w:color="auto" w:fill="F2F2F2"/>
            <w:vAlign w:val="center"/>
          </w:tcPr>
          <w:p w14:paraId="50E7DA70" w14:textId="77777777" w:rsidR="00F30214" w:rsidRPr="00951C6E" w:rsidRDefault="00F30214" w:rsidP="00951C6E">
            <w:pPr>
              <w:spacing w:before="40" w:after="40"/>
              <w:jc w:val="center"/>
              <w:rPr>
                <w:rFonts w:cs="Arial"/>
                <w:sz w:val="16"/>
                <w:szCs w:val="16"/>
              </w:rPr>
            </w:pPr>
            <w:r w:rsidRPr="00951C6E">
              <w:rPr>
                <w:rFonts w:cs="Arial"/>
                <w:sz w:val="16"/>
                <w:szCs w:val="16"/>
              </w:rPr>
              <w:t>-</w:t>
            </w:r>
          </w:p>
        </w:tc>
        <w:tc>
          <w:tcPr>
            <w:tcW w:w="1093" w:type="dxa"/>
            <w:shd w:val="clear" w:color="auto" w:fill="F2F2F2"/>
            <w:vAlign w:val="center"/>
          </w:tcPr>
          <w:p w14:paraId="69B3C9E2" w14:textId="77777777" w:rsidR="00F30214" w:rsidRPr="00951C6E" w:rsidRDefault="00F30214" w:rsidP="00951C6E">
            <w:pPr>
              <w:spacing w:before="40" w:after="40"/>
              <w:jc w:val="center"/>
              <w:rPr>
                <w:rFonts w:cs="Arial"/>
                <w:sz w:val="16"/>
                <w:szCs w:val="16"/>
              </w:rPr>
            </w:pPr>
            <w:r w:rsidRPr="00951C6E">
              <w:rPr>
                <w:rFonts w:cs="Arial"/>
                <w:sz w:val="16"/>
                <w:szCs w:val="16"/>
              </w:rPr>
              <w:t>-</w:t>
            </w:r>
          </w:p>
        </w:tc>
        <w:tc>
          <w:tcPr>
            <w:tcW w:w="904" w:type="dxa"/>
            <w:shd w:val="clear" w:color="auto" w:fill="F2F2F2"/>
            <w:vAlign w:val="center"/>
          </w:tcPr>
          <w:p w14:paraId="3154E315" w14:textId="777098F2"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1071" w:type="dxa"/>
            <w:shd w:val="clear" w:color="auto" w:fill="F2F2F2"/>
            <w:vAlign w:val="center"/>
          </w:tcPr>
          <w:p w14:paraId="20985966" w14:textId="3FE26ADD" w:rsidR="00F30214" w:rsidRPr="00951C6E" w:rsidRDefault="00F30214" w:rsidP="00951C6E">
            <w:pPr>
              <w:spacing w:before="40" w:after="40"/>
              <w:jc w:val="center"/>
              <w:rPr>
                <w:rFonts w:cs="Arial"/>
                <w:sz w:val="16"/>
                <w:szCs w:val="16"/>
              </w:rPr>
            </w:pPr>
            <w:r w:rsidRPr="00951C6E">
              <w:rPr>
                <w:rFonts w:cs="Arial"/>
                <w:sz w:val="16"/>
                <w:szCs w:val="16"/>
              </w:rPr>
              <w:t>-</w:t>
            </w:r>
          </w:p>
        </w:tc>
        <w:tc>
          <w:tcPr>
            <w:tcW w:w="882" w:type="dxa"/>
            <w:shd w:val="clear" w:color="auto" w:fill="F2F2F2"/>
            <w:vAlign w:val="center"/>
          </w:tcPr>
          <w:p w14:paraId="0FAA5D73" w14:textId="4D3D55D0" w:rsidR="00F30214" w:rsidRPr="00951C6E" w:rsidRDefault="00F30214" w:rsidP="00951C6E">
            <w:pPr>
              <w:spacing w:before="40" w:after="40"/>
              <w:jc w:val="center"/>
              <w:rPr>
                <w:rFonts w:cs="Arial"/>
                <w:sz w:val="16"/>
                <w:szCs w:val="16"/>
              </w:rPr>
            </w:pPr>
            <w:r w:rsidRPr="00951C6E">
              <w:rPr>
                <w:rFonts w:cs="Arial"/>
                <w:sz w:val="16"/>
                <w:szCs w:val="16"/>
              </w:rPr>
              <w:t>-</w:t>
            </w:r>
          </w:p>
        </w:tc>
        <w:tc>
          <w:tcPr>
            <w:tcW w:w="1071" w:type="dxa"/>
            <w:shd w:val="clear" w:color="auto" w:fill="F2F2F2"/>
            <w:vAlign w:val="center"/>
          </w:tcPr>
          <w:p w14:paraId="15CFAB85" w14:textId="20476925" w:rsidR="00F30214" w:rsidRPr="00951C6E" w:rsidRDefault="00F30214" w:rsidP="00951C6E">
            <w:pPr>
              <w:spacing w:before="40" w:after="40"/>
              <w:jc w:val="center"/>
              <w:rPr>
                <w:rFonts w:cs="Arial"/>
                <w:sz w:val="16"/>
                <w:szCs w:val="16"/>
              </w:rPr>
            </w:pPr>
            <w:r w:rsidRPr="00951C6E">
              <w:rPr>
                <w:rFonts w:cs="Arial"/>
                <w:sz w:val="16"/>
                <w:szCs w:val="16"/>
              </w:rPr>
              <w:t>-</w:t>
            </w:r>
          </w:p>
        </w:tc>
      </w:tr>
      <w:tr w:rsidR="00F30214" w:rsidRPr="00951C6E" w14:paraId="503D5553" w14:textId="77777777" w:rsidTr="00951C6E">
        <w:trPr>
          <w:cantSplit/>
        </w:trPr>
        <w:tc>
          <w:tcPr>
            <w:tcW w:w="1627" w:type="dxa"/>
            <w:shd w:val="clear" w:color="auto" w:fill="auto"/>
            <w:vAlign w:val="center"/>
          </w:tcPr>
          <w:p w14:paraId="53B0E37F" w14:textId="77777777" w:rsidR="00F30214" w:rsidRPr="00951C6E" w:rsidRDefault="00F30214" w:rsidP="00951C6E">
            <w:pPr>
              <w:spacing w:before="40" w:after="40"/>
              <w:rPr>
                <w:rFonts w:cs="Arial"/>
                <w:sz w:val="16"/>
                <w:szCs w:val="16"/>
              </w:rPr>
            </w:pPr>
            <w:r w:rsidRPr="00951C6E">
              <w:rPr>
                <w:rFonts w:cs="Arial"/>
                <w:i/>
                <w:sz w:val="16"/>
                <w:szCs w:val="16"/>
              </w:rPr>
              <w:t>Morus serrator</w:t>
            </w:r>
          </w:p>
        </w:tc>
        <w:tc>
          <w:tcPr>
            <w:tcW w:w="1271" w:type="dxa"/>
            <w:shd w:val="clear" w:color="auto" w:fill="auto"/>
          </w:tcPr>
          <w:p w14:paraId="44145A66" w14:textId="77777777" w:rsidR="00F30214" w:rsidRPr="002D1ACD" w:rsidRDefault="00F30214" w:rsidP="00951C6E">
            <w:pPr>
              <w:spacing w:before="40" w:after="40"/>
              <w:rPr>
                <w:rFonts w:cs="Arial"/>
                <w:i/>
                <w:sz w:val="16"/>
                <w:szCs w:val="16"/>
              </w:rPr>
            </w:pPr>
            <w:r w:rsidRPr="002D1ACD">
              <w:rPr>
                <w:rFonts w:cs="Arial"/>
                <w:sz w:val="16"/>
                <w:szCs w:val="16"/>
              </w:rPr>
              <w:t>Australasian gannet</w:t>
            </w:r>
          </w:p>
        </w:tc>
        <w:tc>
          <w:tcPr>
            <w:tcW w:w="1193" w:type="dxa"/>
            <w:shd w:val="clear" w:color="auto" w:fill="auto"/>
            <w:vAlign w:val="center"/>
          </w:tcPr>
          <w:p w14:paraId="5BDCDE09" w14:textId="77777777" w:rsidR="00F30214" w:rsidRPr="00951C6E" w:rsidRDefault="00F30214" w:rsidP="00951C6E">
            <w:pPr>
              <w:spacing w:before="40" w:after="40"/>
              <w:jc w:val="center"/>
              <w:rPr>
                <w:rFonts w:cs="Arial"/>
                <w:sz w:val="16"/>
                <w:szCs w:val="16"/>
              </w:rPr>
            </w:pPr>
            <w:r w:rsidRPr="00951C6E">
              <w:rPr>
                <w:rFonts w:cs="Arial"/>
                <w:sz w:val="16"/>
                <w:szCs w:val="16"/>
              </w:rPr>
              <w:t>-</w:t>
            </w:r>
          </w:p>
        </w:tc>
        <w:tc>
          <w:tcPr>
            <w:tcW w:w="1093" w:type="dxa"/>
            <w:shd w:val="clear" w:color="auto" w:fill="auto"/>
            <w:vAlign w:val="center"/>
          </w:tcPr>
          <w:p w14:paraId="433ED716" w14:textId="35412D90"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904" w:type="dxa"/>
            <w:shd w:val="clear" w:color="auto" w:fill="auto"/>
            <w:vAlign w:val="center"/>
          </w:tcPr>
          <w:p w14:paraId="5CCE3C56" w14:textId="1D468A49"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1071" w:type="dxa"/>
            <w:shd w:val="clear" w:color="auto" w:fill="auto"/>
            <w:vAlign w:val="center"/>
          </w:tcPr>
          <w:p w14:paraId="6EED84CF" w14:textId="6C2A78D9" w:rsidR="00F30214" w:rsidRPr="00951C6E" w:rsidRDefault="00F30214" w:rsidP="00951C6E">
            <w:pPr>
              <w:spacing w:before="40" w:after="40"/>
              <w:jc w:val="center"/>
              <w:rPr>
                <w:rFonts w:cs="Arial"/>
                <w:sz w:val="16"/>
                <w:szCs w:val="16"/>
              </w:rPr>
            </w:pPr>
            <w:r w:rsidRPr="00951C6E">
              <w:rPr>
                <w:rFonts w:cs="Arial"/>
                <w:sz w:val="16"/>
                <w:szCs w:val="16"/>
              </w:rPr>
              <w:t>-</w:t>
            </w:r>
          </w:p>
        </w:tc>
        <w:tc>
          <w:tcPr>
            <w:tcW w:w="882" w:type="dxa"/>
            <w:shd w:val="clear" w:color="auto" w:fill="auto"/>
            <w:vAlign w:val="center"/>
          </w:tcPr>
          <w:p w14:paraId="290CE3AD" w14:textId="6FE8280E" w:rsidR="00F30214" w:rsidRPr="00951C6E" w:rsidRDefault="002A2634" w:rsidP="00951C6E">
            <w:pPr>
              <w:spacing w:before="40" w:after="40"/>
              <w:jc w:val="center"/>
              <w:rPr>
                <w:rFonts w:cs="Arial"/>
                <w:sz w:val="16"/>
                <w:szCs w:val="16"/>
              </w:rPr>
            </w:pPr>
            <w:r w:rsidRPr="00951C6E">
              <w:rPr>
                <w:rFonts w:cs="Arial"/>
                <w:sz w:val="16"/>
                <w:szCs w:val="16"/>
              </w:rPr>
              <w:t>F</w:t>
            </w:r>
          </w:p>
        </w:tc>
        <w:tc>
          <w:tcPr>
            <w:tcW w:w="1071" w:type="dxa"/>
            <w:shd w:val="clear" w:color="auto" w:fill="auto"/>
            <w:vAlign w:val="center"/>
          </w:tcPr>
          <w:p w14:paraId="6E871BAB" w14:textId="6E9970F4" w:rsidR="00F30214" w:rsidRPr="00951C6E" w:rsidRDefault="00F30214" w:rsidP="00951C6E">
            <w:pPr>
              <w:spacing w:before="40" w:after="40"/>
              <w:jc w:val="center"/>
              <w:rPr>
                <w:rFonts w:cs="Arial"/>
                <w:sz w:val="16"/>
                <w:szCs w:val="16"/>
              </w:rPr>
            </w:pPr>
            <w:r w:rsidRPr="00951C6E">
              <w:rPr>
                <w:rFonts w:cs="Arial"/>
                <w:sz w:val="16"/>
                <w:szCs w:val="16"/>
              </w:rPr>
              <w:t>-</w:t>
            </w:r>
          </w:p>
        </w:tc>
      </w:tr>
      <w:tr w:rsidR="00F30214" w:rsidRPr="00951C6E" w14:paraId="7D19CF3B" w14:textId="77777777" w:rsidTr="00951C6E">
        <w:trPr>
          <w:cantSplit/>
        </w:trPr>
        <w:tc>
          <w:tcPr>
            <w:tcW w:w="1627" w:type="dxa"/>
            <w:shd w:val="clear" w:color="auto" w:fill="F2F2F2"/>
            <w:vAlign w:val="center"/>
          </w:tcPr>
          <w:p w14:paraId="5BFF21B3" w14:textId="77777777" w:rsidR="00F30214" w:rsidRPr="00951C6E" w:rsidRDefault="00F30214" w:rsidP="00951C6E">
            <w:pPr>
              <w:spacing w:before="40" w:after="40"/>
              <w:rPr>
                <w:rFonts w:cs="Arial"/>
                <w:i/>
                <w:sz w:val="16"/>
                <w:szCs w:val="16"/>
              </w:rPr>
            </w:pPr>
            <w:r w:rsidRPr="00951C6E">
              <w:rPr>
                <w:rFonts w:cs="Arial"/>
                <w:i/>
                <w:sz w:val="16"/>
                <w:szCs w:val="16"/>
              </w:rPr>
              <w:t>Pachyptila turtur subantarctica</w:t>
            </w:r>
          </w:p>
        </w:tc>
        <w:tc>
          <w:tcPr>
            <w:tcW w:w="1271" w:type="dxa"/>
            <w:shd w:val="clear" w:color="auto" w:fill="F2F2F2"/>
          </w:tcPr>
          <w:p w14:paraId="65BCB3FB" w14:textId="77777777" w:rsidR="00F30214" w:rsidRPr="002D1ACD" w:rsidRDefault="00F30214" w:rsidP="00951C6E">
            <w:pPr>
              <w:spacing w:before="40" w:after="40"/>
              <w:rPr>
                <w:rFonts w:cs="Arial"/>
                <w:sz w:val="16"/>
                <w:szCs w:val="16"/>
              </w:rPr>
            </w:pPr>
            <w:r w:rsidRPr="002D1ACD">
              <w:rPr>
                <w:rFonts w:cs="Arial"/>
                <w:sz w:val="16"/>
                <w:szCs w:val="16"/>
              </w:rPr>
              <w:t>Fairy prion (southern)</w:t>
            </w:r>
          </w:p>
        </w:tc>
        <w:tc>
          <w:tcPr>
            <w:tcW w:w="1193" w:type="dxa"/>
            <w:shd w:val="clear" w:color="auto" w:fill="F2F2F2"/>
            <w:vAlign w:val="center"/>
          </w:tcPr>
          <w:p w14:paraId="135189DD" w14:textId="77777777" w:rsidR="00F30214" w:rsidRPr="00951C6E" w:rsidRDefault="00F30214" w:rsidP="00951C6E">
            <w:pPr>
              <w:spacing w:before="40" w:after="40"/>
              <w:jc w:val="center"/>
              <w:rPr>
                <w:rFonts w:cs="Arial"/>
                <w:sz w:val="16"/>
                <w:szCs w:val="16"/>
              </w:rPr>
            </w:pPr>
            <w:r w:rsidRPr="00951C6E">
              <w:rPr>
                <w:rFonts w:cs="Arial"/>
                <w:sz w:val="16"/>
                <w:szCs w:val="16"/>
              </w:rPr>
              <w:t>-</w:t>
            </w:r>
          </w:p>
        </w:tc>
        <w:tc>
          <w:tcPr>
            <w:tcW w:w="1093" w:type="dxa"/>
            <w:shd w:val="clear" w:color="auto" w:fill="F2F2F2"/>
            <w:vAlign w:val="center"/>
          </w:tcPr>
          <w:p w14:paraId="3A22A96B" w14:textId="77777777" w:rsidR="00F30214" w:rsidRPr="00951C6E" w:rsidRDefault="00F30214" w:rsidP="00951C6E">
            <w:pPr>
              <w:spacing w:before="40" w:after="40"/>
              <w:jc w:val="center"/>
              <w:rPr>
                <w:rFonts w:cs="Arial"/>
                <w:sz w:val="16"/>
                <w:szCs w:val="16"/>
              </w:rPr>
            </w:pPr>
            <w:r w:rsidRPr="00951C6E">
              <w:rPr>
                <w:rFonts w:cs="Arial"/>
                <w:sz w:val="16"/>
                <w:szCs w:val="16"/>
              </w:rPr>
              <w:t>-</w:t>
            </w:r>
          </w:p>
        </w:tc>
        <w:tc>
          <w:tcPr>
            <w:tcW w:w="904" w:type="dxa"/>
            <w:shd w:val="clear" w:color="auto" w:fill="F2F2F2"/>
            <w:vAlign w:val="center"/>
          </w:tcPr>
          <w:p w14:paraId="5ECA484F" w14:textId="691AEEB1"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1071" w:type="dxa"/>
            <w:shd w:val="clear" w:color="auto" w:fill="F2F2F2"/>
            <w:vAlign w:val="center"/>
          </w:tcPr>
          <w:p w14:paraId="1144E1C2" w14:textId="0471F338" w:rsidR="00F30214" w:rsidRPr="00951C6E" w:rsidRDefault="00F30214" w:rsidP="00951C6E">
            <w:pPr>
              <w:spacing w:before="40" w:after="40"/>
              <w:jc w:val="center"/>
              <w:rPr>
                <w:rFonts w:cs="Arial"/>
                <w:sz w:val="16"/>
                <w:szCs w:val="16"/>
              </w:rPr>
            </w:pPr>
            <w:r w:rsidRPr="00951C6E">
              <w:rPr>
                <w:rFonts w:cs="Arial"/>
                <w:sz w:val="16"/>
                <w:szCs w:val="16"/>
              </w:rPr>
              <w:t>-</w:t>
            </w:r>
          </w:p>
        </w:tc>
        <w:tc>
          <w:tcPr>
            <w:tcW w:w="882" w:type="dxa"/>
            <w:shd w:val="clear" w:color="auto" w:fill="F2F2F2"/>
            <w:vAlign w:val="center"/>
          </w:tcPr>
          <w:p w14:paraId="1A9587E6" w14:textId="4511E008" w:rsidR="00F30214" w:rsidRPr="00951C6E" w:rsidRDefault="00F30214" w:rsidP="00951C6E">
            <w:pPr>
              <w:spacing w:before="40" w:after="40"/>
              <w:jc w:val="center"/>
              <w:rPr>
                <w:rFonts w:cs="Arial"/>
                <w:sz w:val="16"/>
                <w:szCs w:val="16"/>
              </w:rPr>
            </w:pPr>
            <w:r w:rsidRPr="00951C6E">
              <w:rPr>
                <w:rFonts w:cs="Arial"/>
                <w:sz w:val="16"/>
                <w:szCs w:val="16"/>
              </w:rPr>
              <w:t>-</w:t>
            </w:r>
          </w:p>
        </w:tc>
        <w:tc>
          <w:tcPr>
            <w:tcW w:w="1071" w:type="dxa"/>
            <w:shd w:val="clear" w:color="auto" w:fill="F2F2F2"/>
            <w:vAlign w:val="center"/>
          </w:tcPr>
          <w:p w14:paraId="758B53C6" w14:textId="5745C9BD" w:rsidR="00F30214" w:rsidRPr="00951C6E" w:rsidRDefault="00FD0EBC" w:rsidP="00951C6E">
            <w:pPr>
              <w:spacing w:before="40" w:after="40"/>
              <w:jc w:val="center"/>
              <w:rPr>
                <w:rFonts w:cs="Arial"/>
                <w:sz w:val="16"/>
                <w:szCs w:val="16"/>
              </w:rPr>
            </w:pPr>
            <w:r w:rsidRPr="00951C6E">
              <w:rPr>
                <w:rFonts w:cs="Arial"/>
                <w:sz w:val="16"/>
                <w:szCs w:val="16"/>
              </w:rPr>
              <w:t>CA</w:t>
            </w:r>
          </w:p>
        </w:tc>
      </w:tr>
      <w:tr w:rsidR="00F30214" w:rsidRPr="00951C6E" w14:paraId="31D96605" w14:textId="77777777" w:rsidTr="00951C6E">
        <w:trPr>
          <w:cantSplit/>
        </w:trPr>
        <w:tc>
          <w:tcPr>
            <w:tcW w:w="1627" w:type="dxa"/>
            <w:shd w:val="clear" w:color="auto" w:fill="auto"/>
            <w:vAlign w:val="center"/>
          </w:tcPr>
          <w:p w14:paraId="623017D2" w14:textId="77777777" w:rsidR="00F30214" w:rsidRPr="00951C6E" w:rsidRDefault="00F30214" w:rsidP="00951C6E">
            <w:pPr>
              <w:spacing w:before="40" w:after="40"/>
              <w:rPr>
                <w:rFonts w:cs="Arial"/>
                <w:i/>
                <w:sz w:val="16"/>
                <w:szCs w:val="16"/>
              </w:rPr>
            </w:pPr>
            <w:r w:rsidRPr="00951C6E">
              <w:rPr>
                <w:rFonts w:cs="Arial"/>
                <w:i/>
                <w:sz w:val="16"/>
                <w:szCs w:val="16"/>
              </w:rPr>
              <w:t>Pelecanoides urinatrix</w:t>
            </w:r>
          </w:p>
        </w:tc>
        <w:tc>
          <w:tcPr>
            <w:tcW w:w="1271" w:type="dxa"/>
            <w:shd w:val="clear" w:color="auto" w:fill="auto"/>
          </w:tcPr>
          <w:p w14:paraId="6A0ECA33" w14:textId="77777777" w:rsidR="00F30214" w:rsidRPr="002D1ACD" w:rsidRDefault="00F30214" w:rsidP="00951C6E">
            <w:pPr>
              <w:spacing w:before="40" w:after="40"/>
              <w:rPr>
                <w:rFonts w:cs="Arial"/>
                <w:sz w:val="16"/>
                <w:szCs w:val="16"/>
              </w:rPr>
            </w:pPr>
            <w:r w:rsidRPr="002D1ACD">
              <w:rPr>
                <w:rFonts w:cs="Arial"/>
                <w:sz w:val="16"/>
                <w:szCs w:val="16"/>
              </w:rPr>
              <w:t>Common diving-petrel</w:t>
            </w:r>
          </w:p>
        </w:tc>
        <w:tc>
          <w:tcPr>
            <w:tcW w:w="1193" w:type="dxa"/>
            <w:shd w:val="clear" w:color="auto" w:fill="auto"/>
            <w:vAlign w:val="center"/>
          </w:tcPr>
          <w:p w14:paraId="546FEA7B" w14:textId="77777777" w:rsidR="00F30214" w:rsidRPr="00951C6E" w:rsidRDefault="00F30214" w:rsidP="00951C6E">
            <w:pPr>
              <w:spacing w:before="40" w:after="40"/>
              <w:jc w:val="center"/>
              <w:rPr>
                <w:rFonts w:cs="Arial"/>
                <w:sz w:val="16"/>
                <w:szCs w:val="16"/>
              </w:rPr>
            </w:pPr>
            <w:r w:rsidRPr="00951C6E">
              <w:rPr>
                <w:rFonts w:cs="Arial"/>
                <w:sz w:val="16"/>
                <w:szCs w:val="16"/>
              </w:rPr>
              <w:t>-</w:t>
            </w:r>
          </w:p>
        </w:tc>
        <w:tc>
          <w:tcPr>
            <w:tcW w:w="1093" w:type="dxa"/>
            <w:shd w:val="clear" w:color="auto" w:fill="auto"/>
            <w:vAlign w:val="center"/>
          </w:tcPr>
          <w:p w14:paraId="6483565C" w14:textId="77777777" w:rsidR="00F30214" w:rsidRPr="00951C6E" w:rsidRDefault="00F30214" w:rsidP="00951C6E">
            <w:pPr>
              <w:spacing w:before="40" w:after="40"/>
              <w:jc w:val="center"/>
              <w:rPr>
                <w:rFonts w:cs="Arial"/>
                <w:sz w:val="16"/>
                <w:szCs w:val="16"/>
              </w:rPr>
            </w:pPr>
            <w:r w:rsidRPr="00951C6E">
              <w:rPr>
                <w:rFonts w:cs="Arial"/>
                <w:sz w:val="16"/>
                <w:szCs w:val="16"/>
              </w:rPr>
              <w:t>-</w:t>
            </w:r>
          </w:p>
        </w:tc>
        <w:tc>
          <w:tcPr>
            <w:tcW w:w="904" w:type="dxa"/>
            <w:shd w:val="clear" w:color="auto" w:fill="auto"/>
            <w:vAlign w:val="center"/>
          </w:tcPr>
          <w:p w14:paraId="1D94F3EC" w14:textId="4D43D4AD"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1071" w:type="dxa"/>
            <w:shd w:val="clear" w:color="auto" w:fill="auto"/>
            <w:vAlign w:val="center"/>
          </w:tcPr>
          <w:p w14:paraId="765E58CE" w14:textId="346B117F" w:rsidR="00F30214" w:rsidRPr="00951C6E" w:rsidRDefault="00F30214" w:rsidP="00951C6E">
            <w:pPr>
              <w:spacing w:before="40" w:after="40"/>
              <w:jc w:val="center"/>
              <w:rPr>
                <w:rFonts w:cs="Arial"/>
                <w:sz w:val="16"/>
                <w:szCs w:val="16"/>
              </w:rPr>
            </w:pPr>
            <w:r w:rsidRPr="00951C6E">
              <w:rPr>
                <w:rFonts w:cs="Arial"/>
                <w:sz w:val="16"/>
                <w:szCs w:val="16"/>
              </w:rPr>
              <w:t>-</w:t>
            </w:r>
          </w:p>
        </w:tc>
        <w:tc>
          <w:tcPr>
            <w:tcW w:w="882" w:type="dxa"/>
            <w:shd w:val="clear" w:color="auto" w:fill="auto"/>
            <w:vAlign w:val="center"/>
          </w:tcPr>
          <w:p w14:paraId="1C81E042" w14:textId="59CC7A15" w:rsidR="00F30214" w:rsidRPr="00951C6E" w:rsidRDefault="00F30214" w:rsidP="00951C6E">
            <w:pPr>
              <w:spacing w:before="40" w:after="40"/>
              <w:jc w:val="center"/>
              <w:rPr>
                <w:rFonts w:cs="Arial"/>
                <w:sz w:val="16"/>
                <w:szCs w:val="16"/>
              </w:rPr>
            </w:pPr>
            <w:r w:rsidRPr="00951C6E">
              <w:rPr>
                <w:rFonts w:cs="Arial"/>
                <w:sz w:val="16"/>
                <w:szCs w:val="16"/>
              </w:rPr>
              <w:t>-</w:t>
            </w:r>
          </w:p>
        </w:tc>
        <w:tc>
          <w:tcPr>
            <w:tcW w:w="1071" w:type="dxa"/>
            <w:shd w:val="clear" w:color="auto" w:fill="auto"/>
            <w:vAlign w:val="center"/>
          </w:tcPr>
          <w:p w14:paraId="3D84FC8C" w14:textId="76E0B2CB" w:rsidR="00F30214" w:rsidRPr="00951C6E" w:rsidRDefault="00B96103" w:rsidP="00951C6E">
            <w:pPr>
              <w:spacing w:before="40" w:after="40"/>
              <w:jc w:val="center"/>
              <w:rPr>
                <w:rFonts w:cs="Arial"/>
                <w:sz w:val="16"/>
                <w:szCs w:val="16"/>
              </w:rPr>
            </w:pPr>
            <w:r w:rsidRPr="00951C6E">
              <w:rPr>
                <w:rFonts w:cs="Arial"/>
                <w:sz w:val="16"/>
                <w:szCs w:val="16"/>
              </w:rPr>
              <w:t>-</w:t>
            </w:r>
          </w:p>
        </w:tc>
      </w:tr>
      <w:tr w:rsidR="001D1B43" w:rsidRPr="00951C6E" w14:paraId="119389D6" w14:textId="77777777" w:rsidTr="00951C6E">
        <w:trPr>
          <w:cantSplit/>
        </w:trPr>
        <w:tc>
          <w:tcPr>
            <w:tcW w:w="1627" w:type="dxa"/>
            <w:shd w:val="clear" w:color="auto" w:fill="F2F2F2"/>
            <w:vAlign w:val="center"/>
          </w:tcPr>
          <w:p w14:paraId="7C2B9B84" w14:textId="77777777" w:rsidR="001D1B43" w:rsidRPr="00951C6E" w:rsidRDefault="001D1B43" w:rsidP="00951C6E">
            <w:pPr>
              <w:spacing w:before="40" w:after="40"/>
              <w:rPr>
                <w:rFonts w:cs="Arial"/>
                <w:sz w:val="16"/>
                <w:szCs w:val="16"/>
              </w:rPr>
            </w:pPr>
            <w:r w:rsidRPr="00951C6E">
              <w:rPr>
                <w:rFonts w:cs="Arial"/>
                <w:i/>
                <w:sz w:val="16"/>
                <w:szCs w:val="16"/>
              </w:rPr>
              <w:lastRenderedPageBreak/>
              <w:t>Phoebetris fusca</w:t>
            </w:r>
          </w:p>
        </w:tc>
        <w:tc>
          <w:tcPr>
            <w:tcW w:w="1271" w:type="dxa"/>
            <w:shd w:val="clear" w:color="auto" w:fill="F2F2F2"/>
          </w:tcPr>
          <w:p w14:paraId="2FF9FEA8" w14:textId="77777777" w:rsidR="001D1B43" w:rsidRPr="002D1ACD" w:rsidRDefault="001D1B43" w:rsidP="00951C6E">
            <w:pPr>
              <w:spacing w:before="40" w:after="40"/>
              <w:rPr>
                <w:rFonts w:cs="Arial"/>
                <w:i/>
                <w:sz w:val="16"/>
                <w:szCs w:val="16"/>
              </w:rPr>
            </w:pPr>
            <w:r w:rsidRPr="002D1ACD">
              <w:rPr>
                <w:rFonts w:cs="Arial"/>
                <w:sz w:val="16"/>
                <w:szCs w:val="16"/>
              </w:rPr>
              <w:t>Sooty albatross</w:t>
            </w:r>
          </w:p>
        </w:tc>
        <w:tc>
          <w:tcPr>
            <w:tcW w:w="1193" w:type="dxa"/>
            <w:shd w:val="clear" w:color="auto" w:fill="F2F2F2"/>
            <w:vAlign w:val="center"/>
          </w:tcPr>
          <w:p w14:paraId="24AB357F" w14:textId="73638A22" w:rsidR="001D1B43" w:rsidRPr="00951C6E" w:rsidRDefault="001D1B43" w:rsidP="00951C6E">
            <w:pPr>
              <w:spacing w:before="40" w:after="40"/>
              <w:jc w:val="center"/>
              <w:rPr>
                <w:rFonts w:cs="Arial"/>
                <w:sz w:val="16"/>
                <w:szCs w:val="16"/>
              </w:rPr>
            </w:pPr>
            <w:r w:rsidRPr="00951C6E">
              <w:rPr>
                <w:rFonts w:cs="Arial"/>
                <w:sz w:val="16"/>
                <w:szCs w:val="16"/>
              </w:rPr>
              <w:t>V</w:t>
            </w:r>
          </w:p>
        </w:tc>
        <w:tc>
          <w:tcPr>
            <w:tcW w:w="1093" w:type="dxa"/>
            <w:shd w:val="clear" w:color="auto" w:fill="F2F2F2"/>
            <w:vAlign w:val="center"/>
          </w:tcPr>
          <w:p w14:paraId="57300108" w14:textId="1505EC91"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904" w:type="dxa"/>
            <w:shd w:val="clear" w:color="auto" w:fill="F2F2F2"/>
            <w:vAlign w:val="center"/>
          </w:tcPr>
          <w:p w14:paraId="67A47D13" w14:textId="25663C97"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1071" w:type="dxa"/>
            <w:shd w:val="clear" w:color="auto" w:fill="F2F2F2"/>
            <w:vAlign w:val="center"/>
          </w:tcPr>
          <w:p w14:paraId="2C5F34B2" w14:textId="5263B487" w:rsidR="001D1B43" w:rsidRPr="00951C6E" w:rsidRDefault="003313BB" w:rsidP="00951C6E">
            <w:pPr>
              <w:spacing w:before="40" w:after="40"/>
              <w:jc w:val="center"/>
              <w:rPr>
                <w:rFonts w:cs="Arial"/>
                <w:sz w:val="16"/>
                <w:szCs w:val="16"/>
              </w:rPr>
            </w:pPr>
            <w:r w:rsidRPr="00951C6E">
              <w:rPr>
                <w:rFonts w:cs="Arial"/>
                <w:sz w:val="16"/>
                <w:szCs w:val="16"/>
              </w:rPr>
              <w:t>T</w:t>
            </w:r>
          </w:p>
        </w:tc>
        <w:tc>
          <w:tcPr>
            <w:tcW w:w="882" w:type="dxa"/>
            <w:shd w:val="clear" w:color="auto" w:fill="F2F2F2"/>
            <w:vAlign w:val="center"/>
          </w:tcPr>
          <w:p w14:paraId="5B754EA1" w14:textId="1474560B" w:rsidR="001D1B43" w:rsidRPr="00951C6E" w:rsidRDefault="001D1B43" w:rsidP="00951C6E">
            <w:pPr>
              <w:spacing w:before="40" w:after="40"/>
              <w:jc w:val="center"/>
              <w:rPr>
                <w:rFonts w:cs="Arial"/>
                <w:sz w:val="16"/>
                <w:szCs w:val="16"/>
              </w:rPr>
            </w:pPr>
            <w:r w:rsidRPr="00951C6E">
              <w:rPr>
                <w:rFonts w:cs="Arial"/>
                <w:sz w:val="16"/>
                <w:szCs w:val="16"/>
              </w:rPr>
              <w:t>-</w:t>
            </w:r>
          </w:p>
        </w:tc>
        <w:tc>
          <w:tcPr>
            <w:tcW w:w="1071" w:type="dxa"/>
            <w:shd w:val="clear" w:color="auto" w:fill="F2F2F2"/>
            <w:vAlign w:val="center"/>
          </w:tcPr>
          <w:p w14:paraId="3E5658A5" w14:textId="48F09BB8" w:rsidR="001D1B43" w:rsidRPr="00951C6E" w:rsidRDefault="001D1B43" w:rsidP="00951C6E">
            <w:pPr>
              <w:spacing w:before="40" w:after="40"/>
              <w:jc w:val="center"/>
              <w:rPr>
                <w:rFonts w:cs="Arial"/>
                <w:sz w:val="16"/>
                <w:szCs w:val="16"/>
              </w:rPr>
            </w:pPr>
            <w:r w:rsidRPr="00951C6E">
              <w:rPr>
                <w:rFonts w:cs="Arial"/>
                <w:sz w:val="16"/>
                <w:szCs w:val="16"/>
              </w:rPr>
              <w:t>RP</w:t>
            </w:r>
          </w:p>
        </w:tc>
      </w:tr>
      <w:tr w:rsidR="001D1B43" w:rsidRPr="00951C6E" w14:paraId="07B3FADE" w14:textId="77777777" w:rsidTr="00951C6E">
        <w:trPr>
          <w:cantSplit/>
        </w:trPr>
        <w:tc>
          <w:tcPr>
            <w:tcW w:w="1627" w:type="dxa"/>
            <w:shd w:val="clear" w:color="auto" w:fill="auto"/>
            <w:vAlign w:val="center"/>
          </w:tcPr>
          <w:p w14:paraId="641B8CB0" w14:textId="77777777" w:rsidR="001D1B43" w:rsidRPr="00951C6E" w:rsidRDefault="001D1B43" w:rsidP="00951C6E">
            <w:pPr>
              <w:spacing w:before="40" w:after="40"/>
              <w:rPr>
                <w:rFonts w:cs="Arial"/>
                <w:i/>
                <w:sz w:val="16"/>
                <w:szCs w:val="16"/>
              </w:rPr>
            </w:pPr>
            <w:r w:rsidRPr="00951C6E">
              <w:rPr>
                <w:rFonts w:cs="Arial"/>
                <w:i/>
                <w:sz w:val="16"/>
                <w:szCs w:val="16"/>
              </w:rPr>
              <w:t>Pterodroma leucoptera leucoptera</w:t>
            </w:r>
          </w:p>
        </w:tc>
        <w:tc>
          <w:tcPr>
            <w:tcW w:w="1271" w:type="dxa"/>
            <w:shd w:val="clear" w:color="auto" w:fill="auto"/>
          </w:tcPr>
          <w:p w14:paraId="0FF133C0" w14:textId="77777777" w:rsidR="001D1B43" w:rsidRPr="002D1ACD" w:rsidRDefault="001D1B43" w:rsidP="00951C6E">
            <w:pPr>
              <w:spacing w:before="40" w:after="40"/>
              <w:rPr>
                <w:rFonts w:cs="Arial"/>
                <w:sz w:val="16"/>
                <w:szCs w:val="16"/>
              </w:rPr>
            </w:pPr>
            <w:r w:rsidRPr="002D1ACD">
              <w:rPr>
                <w:rFonts w:cs="Arial"/>
                <w:sz w:val="16"/>
                <w:szCs w:val="16"/>
              </w:rPr>
              <w:t>Gould’s petrel</w:t>
            </w:r>
          </w:p>
        </w:tc>
        <w:tc>
          <w:tcPr>
            <w:tcW w:w="1193" w:type="dxa"/>
            <w:shd w:val="clear" w:color="auto" w:fill="auto"/>
            <w:vAlign w:val="center"/>
          </w:tcPr>
          <w:p w14:paraId="335B113C" w14:textId="4CB742A5" w:rsidR="001D1B43" w:rsidRPr="00951C6E" w:rsidRDefault="001D1B43" w:rsidP="00951C6E">
            <w:pPr>
              <w:spacing w:before="40" w:after="40"/>
              <w:jc w:val="center"/>
              <w:rPr>
                <w:rFonts w:cs="Arial"/>
                <w:sz w:val="16"/>
                <w:szCs w:val="16"/>
              </w:rPr>
            </w:pPr>
            <w:r w:rsidRPr="00951C6E">
              <w:rPr>
                <w:rFonts w:cs="Arial"/>
                <w:sz w:val="16"/>
                <w:szCs w:val="16"/>
              </w:rPr>
              <w:t>E</w:t>
            </w:r>
          </w:p>
        </w:tc>
        <w:tc>
          <w:tcPr>
            <w:tcW w:w="1093" w:type="dxa"/>
            <w:shd w:val="clear" w:color="auto" w:fill="auto"/>
            <w:vAlign w:val="center"/>
          </w:tcPr>
          <w:p w14:paraId="47B10563" w14:textId="77777777" w:rsidR="001D1B43" w:rsidRPr="00951C6E" w:rsidRDefault="001D1B43" w:rsidP="00951C6E">
            <w:pPr>
              <w:spacing w:before="40" w:after="40"/>
              <w:jc w:val="center"/>
              <w:rPr>
                <w:rFonts w:cs="Arial"/>
                <w:sz w:val="16"/>
                <w:szCs w:val="16"/>
              </w:rPr>
            </w:pPr>
            <w:r w:rsidRPr="00951C6E">
              <w:rPr>
                <w:rFonts w:cs="Arial"/>
                <w:sz w:val="16"/>
                <w:szCs w:val="16"/>
              </w:rPr>
              <w:t>-</w:t>
            </w:r>
          </w:p>
        </w:tc>
        <w:tc>
          <w:tcPr>
            <w:tcW w:w="904" w:type="dxa"/>
            <w:shd w:val="clear" w:color="auto" w:fill="auto"/>
            <w:vAlign w:val="center"/>
          </w:tcPr>
          <w:p w14:paraId="6D287197" w14:textId="77777777" w:rsidR="001D1B43" w:rsidRPr="00951C6E" w:rsidRDefault="001D1B43" w:rsidP="00951C6E">
            <w:pPr>
              <w:spacing w:before="40" w:after="40"/>
              <w:jc w:val="center"/>
              <w:rPr>
                <w:rFonts w:cs="Arial"/>
                <w:sz w:val="16"/>
                <w:szCs w:val="16"/>
              </w:rPr>
            </w:pPr>
            <w:r w:rsidRPr="00951C6E">
              <w:rPr>
                <w:rFonts w:cs="Arial"/>
                <w:sz w:val="16"/>
                <w:szCs w:val="16"/>
              </w:rPr>
              <w:t>-</w:t>
            </w:r>
          </w:p>
        </w:tc>
        <w:tc>
          <w:tcPr>
            <w:tcW w:w="1071" w:type="dxa"/>
            <w:shd w:val="clear" w:color="auto" w:fill="auto"/>
            <w:vAlign w:val="center"/>
          </w:tcPr>
          <w:p w14:paraId="439AAAC3" w14:textId="214CC80C" w:rsidR="001D1B43" w:rsidRPr="00951C6E" w:rsidRDefault="001D1B43" w:rsidP="00951C6E">
            <w:pPr>
              <w:spacing w:before="40" w:after="40"/>
              <w:jc w:val="center"/>
              <w:rPr>
                <w:rFonts w:cs="Arial"/>
                <w:sz w:val="16"/>
                <w:szCs w:val="16"/>
              </w:rPr>
            </w:pPr>
            <w:r w:rsidRPr="00951C6E">
              <w:rPr>
                <w:rFonts w:cs="Arial"/>
                <w:sz w:val="16"/>
                <w:szCs w:val="16"/>
              </w:rPr>
              <w:t>-</w:t>
            </w:r>
          </w:p>
        </w:tc>
        <w:tc>
          <w:tcPr>
            <w:tcW w:w="882" w:type="dxa"/>
            <w:shd w:val="clear" w:color="auto" w:fill="auto"/>
            <w:vAlign w:val="center"/>
          </w:tcPr>
          <w:p w14:paraId="1F95CCE3" w14:textId="7BB8739F" w:rsidR="001D1B43" w:rsidRPr="00951C6E" w:rsidRDefault="001D1B43" w:rsidP="00951C6E">
            <w:pPr>
              <w:spacing w:before="40" w:after="40"/>
              <w:jc w:val="center"/>
              <w:rPr>
                <w:rFonts w:cs="Arial"/>
                <w:sz w:val="16"/>
                <w:szCs w:val="16"/>
              </w:rPr>
            </w:pPr>
            <w:r w:rsidRPr="00951C6E">
              <w:rPr>
                <w:rFonts w:cs="Arial"/>
                <w:sz w:val="16"/>
                <w:szCs w:val="16"/>
              </w:rPr>
              <w:t>-</w:t>
            </w:r>
          </w:p>
        </w:tc>
        <w:tc>
          <w:tcPr>
            <w:tcW w:w="1071" w:type="dxa"/>
            <w:shd w:val="clear" w:color="auto" w:fill="auto"/>
            <w:vAlign w:val="center"/>
          </w:tcPr>
          <w:p w14:paraId="50E1F655" w14:textId="05DAD2E1" w:rsidR="001D1B43" w:rsidRPr="00951C6E" w:rsidRDefault="001D1B43" w:rsidP="00951C6E">
            <w:pPr>
              <w:spacing w:before="40" w:after="40"/>
              <w:jc w:val="center"/>
              <w:rPr>
                <w:rFonts w:cs="Arial"/>
                <w:sz w:val="16"/>
                <w:szCs w:val="16"/>
              </w:rPr>
            </w:pPr>
            <w:r w:rsidRPr="00951C6E">
              <w:rPr>
                <w:rFonts w:cs="Arial"/>
                <w:sz w:val="16"/>
                <w:szCs w:val="16"/>
              </w:rPr>
              <w:t>RP</w:t>
            </w:r>
          </w:p>
        </w:tc>
      </w:tr>
      <w:tr w:rsidR="001D1B43" w:rsidRPr="00951C6E" w14:paraId="533A68DF" w14:textId="77777777" w:rsidTr="00951C6E">
        <w:trPr>
          <w:cantSplit/>
        </w:trPr>
        <w:tc>
          <w:tcPr>
            <w:tcW w:w="1627" w:type="dxa"/>
            <w:shd w:val="clear" w:color="auto" w:fill="F2F2F2"/>
            <w:vAlign w:val="center"/>
          </w:tcPr>
          <w:p w14:paraId="1EABBDEA" w14:textId="77777777" w:rsidR="001D1B43" w:rsidRPr="00951C6E" w:rsidRDefault="001D1B43" w:rsidP="00951C6E">
            <w:pPr>
              <w:spacing w:before="40" w:after="40"/>
              <w:rPr>
                <w:rFonts w:cs="Arial"/>
                <w:i/>
                <w:sz w:val="16"/>
                <w:szCs w:val="16"/>
              </w:rPr>
            </w:pPr>
            <w:r w:rsidRPr="00951C6E">
              <w:rPr>
                <w:rFonts w:cs="Arial"/>
                <w:i/>
                <w:sz w:val="16"/>
                <w:szCs w:val="16"/>
              </w:rPr>
              <w:t>Pterodroma mollis</w:t>
            </w:r>
          </w:p>
        </w:tc>
        <w:tc>
          <w:tcPr>
            <w:tcW w:w="1271" w:type="dxa"/>
            <w:shd w:val="clear" w:color="auto" w:fill="F2F2F2"/>
          </w:tcPr>
          <w:p w14:paraId="3DA17461" w14:textId="77777777" w:rsidR="001D1B43" w:rsidRPr="002D1ACD" w:rsidRDefault="001D1B43" w:rsidP="00951C6E">
            <w:pPr>
              <w:spacing w:before="40" w:after="40"/>
              <w:rPr>
                <w:rFonts w:cs="Arial"/>
                <w:sz w:val="16"/>
                <w:szCs w:val="16"/>
              </w:rPr>
            </w:pPr>
            <w:r w:rsidRPr="002D1ACD">
              <w:rPr>
                <w:rFonts w:cs="Arial"/>
                <w:sz w:val="16"/>
                <w:szCs w:val="16"/>
              </w:rPr>
              <w:t>Soft-plumaged petrel</w:t>
            </w:r>
          </w:p>
        </w:tc>
        <w:tc>
          <w:tcPr>
            <w:tcW w:w="1193" w:type="dxa"/>
            <w:shd w:val="clear" w:color="auto" w:fill="F2F2F2"/>
            <w:vAlign w:val="center"/>
          </w:tcPr>
          <w:p w14:paraId="75FA73D1" w14:textId="2D849D5E" w:rsidR="001D1B43" w:rsidRPr="00951C6E" w:rsidRDefault="001D1B43" w:rsidP="00951C6E">
            <w:pPr>
              <w:spacing w:before="40" w:after="40"/>
              <w:jc w:val="center"/>
              <w:rPr>
                <w:rFonts w:cs="Arial"/>
                <w:sz w:val="16"/>
                <w:szCs w:val="16"/>
              </w:rPr>
            </w:pPr>
            <w:r w:rsidRPr="00951C6E">
              <w:rPr>
                <w:rFonts w:cs="Arial"/>
                <w:sz w:val="16"/>
                <w:szCs w:val="16"/>
              </w:rPr>
              <w:t>V</w:t>
            </w:r>
          </w:p>
        </w:tc>
        <w:tc>
          <w:tcPr>
            <w:tcW w:w="1093" w:type="dxa"/>
            <w:shd w:val="clear" w:color="auto" w:fill="F2F2F2"/>
            <w:vAlign w:val="center"/>
          </w:tcPr>
          <w:p w14:paraId="243A1D2D" w14:textId="77777777" w:rsidR="001D1B43" w:rsidRPr="00951C6E" w:rsidRDefault="001D1B43" w:rsidP="00951C6E">
            <w:pPr>
              <w:spacing w:before="40" w:after="40"/>
              <w:jc w:val="center"/>
              <w:rPr>
                <w:rFonts w:cs="Arial"/>
                <w:sz w:val="16"/>
                <w:szCs w:val="16"/>
              </w:rPr>
            </w:pPr>
            <w:r w:rsidRPr="00951C6E">
              <w:rPr>
                <w:rFonts w:cs="Arial"/>
                <w:sz w:val="16"/>
                <w:szCs w:val="16"/>
              </w:rPr>
              <w:t>-</w:t>
            </w:r>
          </w:p>
        </w:tc>
        <w:tc>
          <w:tcPr>
            <w:tcW w:w="904" w:type="dxa"/>
            <w:shd w:val="clear" w:color="auto" w:fill="F2F2F2"/>
            <w:vAlign w:val="center"/>
          </w:tcPr>
          <w:p w14:paraId="647E11C0" w14:textId="35CDBCF1"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1071" w:type="dxa"/>
            <w:shd w:val="clear" w:color="auto" w:fill="F2F2F2"/>
            <w:vAlign w:val="center"/>
          </w:tcPr>
          <w:p w14:paraId="537BDAC0" w14:textId="0A8B07F0" w:rsidR="001D1B43" w:rsidRPr="00951C6E" w:rsidRDefault="001D1B43" w:rsidP="00951C6E">
            <w:pPr>
              <w:spacing w:before="40" w:after="40"/>
              <w:jc w:val="center"/>
              <w:rPr>
                <w:rFonts w:cs="Arial"/>
                <w:sz w:val="16"/>
                <w:szCs w:val="16"/>
              </w:rPr>
            </w:pPr>
            <w:r w:rsidRPr="00951C6E">
              <w:rPr>
                <w:rFonts w:cs="Arial"/>
                <w:sz w:val="16"/>
                <w:szCs w:val="16"/>
              </w:rPr>
              <w:t>-</w:t>
            </w:r>
          </w:p>
        </w:tc>
        <w:tc>
          <w:tcPr>
            <w:tcW w:w="882" w:type="dxa"/>
            <w:shd w:val="clear" w:color="auto" w:fill="F2F2F2"/>
            <w:vAlign w:val="center"/>
          </w:tcPr>
          <w:p w14:paraId="5183D615" w14:textId="4AF66899" w:rsidR="001D1B43" w:rsidRPr="00951C6E" w:rsidRDefault="001D1B43" w:rsidP="00951C6E">
            <w:pPr>
              <w:spacing w:before="40" w:after="40"/>
              <w:jc w:val="center"/>
              <w:rPr>
                <w:rFonts w:cs="Arial"/>
                <w:sz w:val="16"/>
                <w:szCs w:val="16"/>
              </w:rPr>
            </w:pPr>
            <w:r w:rsidRPr="00951C6E">
              <w:rPr>
                <w:rFonts w:cs="Arial"/>
                <w:sz w:val="16"/>
                <w:szCs w:val="16"/>
              </w:rPr>
              <w:t>-</w:t>
            </w:r>
          </w:p>
        </w:tc>
        <w:tc>
          <w:tcPr>
            <w:tcW w:w="1071" w:type="dxa"/>
            <w:shd w:val="clear" w:color="auto" w:fill="F2F2F2"/>
            <w:vAlign w:val="center"/>
          </w:tcPr>
          <w:p w14:paraId="49B8D7C4" w14:textId="31E67994" w:rsidR="001D1B43" w:rsidRPr="00951C6E" w:rsidRDefault="001D1B43" w:rsidP="00951C6E">
            <w:pPr>
              <w:spacing w:before="40" w:after="40"/>
              <w:jc w:val="center"/>
              <w:rPr>
                <w:rFonts w:cs="Arial"/>
                <w:sz w:val="16"/>
                <w:szCs w:val="16"/>
              </w:rPr>
            </w:pPr>
            <w:r w:rsidRPr="00951C6E">
              <w:rPr>
                <w:rFonts w:cs="Arial"/>
                <w:sz w:val="16"/>
                <w:szCs w:val="16"/>
              </w:rPr>
              <w:t>RP</w:t>
            </w:r>
          </w:p>
        </w:tc>
      </w:tr>
      <w:tr w:rsidR="00F30214" w:rsidRPr="00951C6E" w14:paraId="4E8B2E7D" w14:textId="77777777" w:rsidTr="00951C6E">
        <w:trPr>
          <w:cantSplit/>
        </w:trPr>
        <w:tc>
          <w:tcPr>
            <w:tcW w:w="1627" w:type="dxa"/>
            <w:shd w:val="clear" w:color="auto" w:fill="auto"/>
            <w:vAlign w:val="center"/>
          </w:tcPr>
          <w:p w14:paraId="02D617B8" w14:textId="77777777" w:rsidR="00F30214" w:rsidRPr="00951C6E" w:rsidRDefault="00F30214" w:rsidP="00951C6E">
            <w:pPr>
              <w:spacing w:before="40" w:after="40"/>
              <w:rPr>
                <w:rFonts w:cs="Arial"/>
                <w:i/>
                <w:sz w:val="16"/>
                <w:szCs w:val="16"/>
              </w:rPr>
            </w:pPr>
            <w:r w:rsidRPr="00951C6E">
              <w:rPr>
                <w:rFonts w:cs="Arial"/>
                <w:i/>
                <w:sz w:val="16"/>
                <w:szCs w:val="16"/>
              </w:rPr>
              <w:t>Puffinus carneipes</w:t>
            </w:r>
          </w:p>
        </w:tc>
        <w:tc>
          <w:tcPr>
            <w:tcW w:w="1271" w:type="dxa"/>
            <w:shd w:val="clear" w:color="auto" w:fill="auto"/>
          </w:tcPr>
          <w:p w14:paraId="6A58A61D" w14:textId="77777777" w:rsidR="00F30214" w:rsidRPr="002D1ACD" w:rsidRDefault="00F30214" w:rsidP="00951C6E">
            <w:pPr>
              <w:spacing w:before="40" w:after="40"/>
              <w:rPr>
                <w:rFonts w:cs="Arial"/>
                <w:sz w:val="16"/>
                <w:szCs w:val="16"/>
              </w:rPr>
            </w:pPr>
            <w:r w:rsidRPr="002D1ACD">
              <w:rPr>
                <w:rFonts w:cs="Arial"/>
                <w:sz w:val="16"/>
                <w:szCs w:val="16"/>
              </w:rPr>
              <w:t>Flesh-footed shearwater</w:t>
            </w:r>
          </w:p>
        </w:tc>
        <w:tc>
          <w:tcPr>
            <w:tcW w:w="1193" w:type="dxa"/>
            <w:shd w:val="clear" w:color="auto" w:fill="auto"/>
            <w:vAlign w:val="center"/>
          </w:tcPr>
          <w:p w14:paraId="65E9902F" w14:textId="77777777" w:rsidR="00F30214" w:rsidRPr="00951C6E" w:rsidRDefault="00F30214" w:rsidP="00951C6E">
            <w:pPr>
              <w:spacing w:before="40" w:after="40"/>
              <w:jc w:val="center"/>
              <w:rPr>
                <w:rFonts w:cs="Arial"/>
                <w:sz w:val="16"/>
                <w:szCs w:val="16"/>
              </w:rPr>
            </w:pPr>
            <w:r w:rsidRPr="00951C6E">
              <w:rPr>
                <w:rFonts w:cs="Arial"/>
                <w:sz w:val="16"/>
                <w:szCs w:val="16"/>
              </w:rPr>
              <w:t>-</w:t>
            </w:r>
          </w:p>
        </w:tc>
        <w:tc>
          <w:tcPr>
            <w:tcW w:w="1093" w:type="dxa"/>
            <w:shd w:val="clear" w:color="auto" w:fill="auto"/>
            <w:vAlign w:val="center"/>
          </w:tcPr>
          <w:p w14:paraId="4C4D5043" w14:textId="0871A458"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904" w:type="dxa"/>
            <w:shd w:val="clear" w:color="auto" w:fill="auto"/>
            <w:vAlign w:val="center"/>
          </w:tcPr>
          <w:p w14:paraId="4D0CF77A" w14:textId="27EF78F9"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1071" w:type="dxa"/>
            <w:shd w:val="clear" w:color="auto" w:fill="auto"/>
            <w:vAlign w:val="center"/>
          </w:tcPr>
          <w:p w14:paraId="057ED4B2" w14:textId="119F24A0" w:rsidR="00F30214" w:rsidRPr="00951C6E" w:rsidRDefault="00F30214" w:rsidP="00951C6E">
            <w:pPr>
              <w:spacing w:before="40" w:after="40"/>
              <w:jc w:val="center"/>
              <w:rPr>
                <w:rFonts w:cs="Arial"/>
                <w:sz w:val="16"/>
                <w:szCs w:val="16"/>
              </w:rPr>
            </w:pPr>
            <w:r w:rsidRPr="00951C6E">
              <w:rPr>
                <w:rFonts w:cs="Arial"/>
                <w:sz w:val="16"/>
                <w:szCs w:val="16"/>
              </w:rPr>
              <w:t>-</w:t>
            </w:r>
          </w:p>
        </w:tc>
        <w:tc>
          <w:tcPr>
            <w:tcW w:w="882" w:type="dxa"/>
            <w:shd w:val="clear" w:color="auto" w:fill="auto"/>
            <w:vAlign w:val="center"/>
          </w:tcPr>
          <w:p w14:paraId="6DB26E2D" w14:textId="5026AFEF" w:rsidR="00F30214" w:rsidRPr="00951C6E" w:rsidRDefault="00F30214" w:rsidP="00951C6E">
            <w:pPr>
              <w:spacing w:before="40" w:after="40"/>
              <w:jc w:val="center"/>
              <w:rPr>
                <w:rFonts w:cs="Arial"/>
                <w:sz w:val="16"/>
                <w:szCs w:val="16"/>
              </w:rPr>
            </w:pPr>
            <w:r w:rsidRPr="00951C6E">
              <w:rPr>
                <w:rFonts w:cs="Arial"/>
                <w:sz w:val="16"/>
                <w:szCs w:val="16"/>
              </w:rPr>
              <w:t>-</w:t>
            </w:r>
          </w:p>
        </w:tc>
        <w:tc>
          <w:tcPr>
            <w:tcW w:w="1071" w:type="dxa"/>
            <w:shd w:val="clear" w:color="auto" w:fill="auto"/>
            <w:vAlign w:val="center"/>
          </w:tcPr>
          <w:p w14:paraId="7139B96B" w14:textId="729E73FD" w:rsidR="00F30214" w:rsidRPr="00951C6E" w:rsidRDefault="005F3B48" w:rsidP="00951C6E">
            <w:pPr>
              <w:spacing w:before="40" w:after="40"/>
              <w:jc w:val="center"/>
              <w:rPr>
                <w:rFonts w:cs="Arial"/>
                <w:sz w:val="16"/>
                <w:szCs w:val="16"/>
              </w:rPr>
            </w:pPr>
            <w:r w:rsidRPr="00951C6E">
              <w:rPr>
                <w:rFonts w:cs="Arial"/>
                <w:sz w:val="16"/>
                <w:szCs w:val="16"/>
              </w:rPr>
              <w:t>CA</w:t>
            </w:r>
          </w:p>
        </w:tc>
      </w:tr>
      <w:tr w:rsidR="00F30214" w:rsidRPr="00951C6E" w14:paraId="221AFF12" w14:textId="77777777" w:rsidTr="00951C6E">
        <w:trPr>
          <w:cantSplit/>
        </w:trPr>
        <w:tc>
          <w:tcPr>
            <w:tcW w:w="1627" w:type="dxa"/>
            <w:shd w:val="clear" w:color="auto" w:fill="F2F2F2"/>
            <w:vAlign w:val="center"/>
          </w:tcPr>
          <w:p w14:paraId="4C834B8C" w14:textId="77777777" w:rsidR="00F30214" w:rsidRPr="00951C6E" w:rsidRDefault="00F30214" w:rsidP="00951C6E">
            <w:pPr>
              <w:spacing w:before="40" w:after="40"/>
              <w:rPr>
                <w:rFonts w:cs="Arial"/>
                <w:i/>
                <w:sz w:val="16"/>
                <w:szCs w:val="16"/>
              </w:rPr>
            </w:pPr>
            <w:r w:rsidRPr="00951C6E">
              <w:rPr>
                <w:rFonts w:cs="Arial"/>
                <w:i/>
                <w:sz w:val="16"/>
                <w:szCs w:val="16"/>
              </w:rPr>
              <w:t>Puffinus tenuirostris</w:t>
            </w:r>
          </w:p>
        </w:tc>
        <w:tc>
          <w:tcPr>
            <w:tcW w:w="1271" w:type="dxa"/>
            <w:shd w:val="clear" w:color="auto" w:fill="F2F2F2"/>
          </w:tcPr>
          <w:p w14:paraId="63F62767" w14:textId="77777777" w:rsidR="00F30214" w:rsidRPr="002D1ACD" w:rsidRDefault="00F30214" w:rsidP="00951C6E">
            <w:pPr>
              <w:spacing w:before="40" w:after="40"/>
              <w:rPr>
                <w:rFonts w:cs="Arial"/>
                <w:sz w:val="16"/>
                <w:szCs w:val="16"/>
              </w:rPr>
            </w:pPr>
            <w:r w:rsidRPr="002D1ACD">
              <w:rPr>
                <w:rFonts w:cs="Arial"/>
                <w:sz w:val="16"/>
                <w:szCs w:val="16"/>
              </w:rPr>
              <w:t>Short-tailed shearwater</w:t>
            </w:r>
          </w:p>
        </w:tc>
        <w:tc>
          <w:tcPr>
            <w:tcW w:w="1193" w:type="dxa"/>
            <w:shd w:val="clear" w:color="auto" w:fill="F2F2F2"/>
            <w:vAlign w:val="center"/>
          </w:tcPr>
          <w:p w14:paraId="755289AF" w14:textId="77777777" w:rsidR="00F30214" w:rsidRPr="00951C6E" w:rsidRDefault="00F30214" w:rsidP="00951C6E">
            <w:pPr>
              <w:spacing w:before="40" w:after="40"/>
              <w:jc w:val="center"/>
              <w:rPr>
                <w:rFonts w:cs="Arial"/>
                <w:sz w:val="16"/>
                <w:szCs w:val="16"/>
              </w:rPr>
            </w:pPr>
            <w:r w:rsidRPr="00951C6E">
              <w:rPr>
                <w:rFonts w:cs="Arial"/>
                <w:sz w:val="16"/>
                <w:szCs w:val="16"/>
              </w:rPr>
              <w:t>-</w:t>
            </w:r>
          </w:p>
        </w:tc>
        <w:tc>
          <w:tcPr>
            <w:tcW w:w="1093" w:type="dxa"/>
            <w:shd w:val="clear" w:color="auto" w:fill="F2F2F2"/>
            <w:vAlign w:val="center"/>
          </w:tcPr>
          <w:p w14:paraId="7A78F4A8" w14:textId="77777777" w:rsidR="00F30214" w:rsidRPr="00951C6E" w:rsidRDefault="00F30214" w:rsidP="00951C6E">
            <w:pPr>
              <w:spacing w:before="40" w:after="40"/>
              <w:jc w:val="center"/>
              <w:rPr>
                <w:rFonts w:cs="Arial"/>
                <w:sz w:val="16"/>
                <w:szCs w:val="16"/>
              </w:rPr>
            </w:pPr>
            <w:r w:rsidRPr="00951C6E">
              <w:rPr>
                <w:rFonts w:cs="Arial"/>
                <w:sz w:val="16"/>
                <w:szCs w:val="16"/>
              </w:rPr>
              <w:t>-</w:t>
            </w:r>
          </w:p>
        </w:tc>
        <w:tc>
          <w:tcPr>
            <w:tcW w:w="904" w:type="dxa"/>
            <w:shd w:val="clear" w:color="auto" w:fill="F2F2F2"/>
            <w:vAlign w:val="center"/>
          </w:tcPr>
          <w:p w14:paraId="0D4EDB6D" w14:textId="1D27CF6A"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1071" w:type="dxa"/>
            <w:shd w:val="clear" w:color="auto" w:fill="F2F2F2"/>
            <w:vAlign w:val="center"/>
          </w:tcPr>
          <w:p w14:paraId="2544AAF5" w14:textId="7C20CE81" w:rsidR="00F30214" w:rsidRPr="00951C6E" w:rsidRDefault="00F30214" w:rsidP="00951C6E">
            <w:pPr>
              <w:spacing w:before="40" w:after="40"/>
              <w:jc w:val="center"/>
              <w:rPr>
                <w:rFonts w:cs="Arial"/>
                <w:sz w:val="16"/>
                <w:szCs w:val="16"/>
              </w:rPr>
            </w:pPr>
            <w:r w:rsidRPr="00951C6E">
              <w:rPr>
                <w:rFonts w:cs="Arial"/>
                <w:sz w:val="16"/>
                <w:szCs w:val="16"/>
              </w:rPr>
              <w:t>-</w:t>
            </w:r>
          </w:p>
        </w:tc>
        <w:tc>
          <w:tcPr>
            <w:tcW w:w="882" w:type="dxa"/>
            <w:shd w:val="clear" w:color="auto" w:fill="F2F2F2"/>
            <w:vAlign w:val="center"/>
          </w:tcPr>
          <w:p w14:paraId="565F41FC" w14:textId="0127F798" w:rsidR="00F30214" w:rsidRPr="00951C6E" w:rsidRDefault="002A2634" w:rsidP="00951C6E">
            <w:pPr>
              <w:spacing w:before="40" w:after="40"/>
              <w:jc w:val="center"/>
              <w:rPr>
                <w:rFonts w:cs="Arial"/>
                <w:sz w:val="16"/>
                <w:szCs w:val="16"/>
              </w:rPr>
            </w:pPr>
            <w:r w:rsidRPr="00951C6E">
              <w:rPr>
                <w:rFonts w:cs="Arial"/>
                <w:sz w:val="16"/>
                <w:szCs w:val="16"/>
              </w:rPr>
              <w:t>F</w:t>
            </w:r>
          </w:p>
        </w:tc>
        <w:tc>
          <w:tcPr>
            <w:tcW w:w="1071" w:type="dxa"/>
            <w:shd w:val="clear" w:color="auto" w:fill="F2F2F2"/>
            <w:vAlign w:val="center"/>
          </w:tcPr>
          <w:p w14:paraId="1F73373E" w14:textId="395D3268" w:rsidR="00F30214" w:rsidRPr="00951C6E" w:rsidRDefault="005F3B48" w:rsidP="00951C6E">
            <w:pPr>
              <w:spacing w:before="40" w:after="40"/>
              <w:jc w:val="center"/>
              <w:rPr>
                <w:rFonts w:cs="Arial"/>
                <w:sz w:val="16"/>
                <w:szCs w:val="16"/>
              </w:rPr>
            </w:pPr>
            <w:r w:rsidRPr="00951C6E">
              <w:rPr>
                <w:rFonts w:cs="Arial"/>
                <w:sz w:val="16"/>
                <w:szCs w:val="16"/>
              </w:rPr>
              <w:t>-</w:t>
            </w:r>
          </w:p>
        </w:tc>
      </w:tr>
      <w:tr w:rsidR="00F30214" w:rsidRPr="00951C6E" w14:paraId="0AAE4EA4" w14:textId="77777777" w:rsidTr="00951C6E">
        <w:trPr>
          <w:cantSplit/>
        </w:trPr>
        <w:tc>
          <w:tcPr>
            <w:tcW w:w="1627" w:type="dxa"/>
            <w:shd w:val="clear" w:color="auto" w:fill="auto"/>
            <w:vAlign w:val="center"/>
          </w:tcPr>
          <w:p w14:paraId="00B81C33" w14:textId="77777777" w:rsidR="00F30214" w:rsidRPr="00951C6E" w:rsidRDefault="00F30214" w:rsidP="00951C6E">
            <w:pPr>
              <w:spacing w:before="40" w:after="40"/>
              <w:rPr>
                <w:rFonts w:cs="Arial"/>
                <w:sz w:val="16"/>
                <w:szCs w:val="16"/>
              </w:rPr>
            </w:pPr>
            <w:r w:rsidRPr="00951C6E">
              <w:rPr>
                <w:rFonts w:cs="Arial"/>
                <w:i/>
                <w:sz w:val="16"/>
                <w:szCs w:val="16"/>
              </w:rPr>
              <w:t>Thalassarche bulleri</w:t>
            </w:r>
          </w:p>
        </w:tc>
        <w:tc>
          <w:tcPr>
            <w:tcW w:w="1271" w:type="dxa"/>
            <w:shd w:val="clear" w:color="auto" w:fill="auto"/>
          </w:tcPr>
          <w:p w14:paraId="321E8F05" w14:textId="77777777" w:rsidR="00F30214" w:rsidRPr="002D1ACD" w:rsidRDefault="00F30214" w:rsidP="00951C6E">
            <w:pPr>
              <w:spacing w:before="40" w:after="40"/>
              <w:rPr>
                <w:rFonts w:cs="Arial"/>
                <w:i/>
                <w:sz w:val="16"/>
                <w:szCs w:val="16"/>
              </w:rPr>
            </w:pPr>
            <w:r w:rsidRPr="002D1ACD">
              <w:rPr>
                <w:rFonts w:cs="Arial"/>
                <w:sz w:val="16"/>
                <w:szCs w:val="16"/>
              </w:rPr>
              <w:t>Buller's albatross</w:t>
            </w:r>
          </w:p>
        </w:tc>
        <w:tc>
          <w:tcPr>
            <w:tcW w:w="1193" w:type="dxa"/>
            <w:shd w:val="clear" w:color="auto" w:fill="auto"/>
            <w:vAlign w:val="center"/>
          </w:tcPr>
          <w:p w14:paraId="59617906" w14:textId="5395E86D" w:rsidR="00F30214" w:rsidRPr="00951C6E" w:rsidRDefault="00F30214" w:rsidP="00951C6E">
            <w:pPr>
              <w:spacing w:before="40" w:after="40"/>
              <w:jc w:val="center"/>
              <w:rPr>
                <w:rFonts w:cs="Arial"/>
                <w:sz w:val="16"/>
                <w:szCs w:val="16"/>
              </w:rPr>
            </w:pPr>
            <w:r w:rsidRPr="00951C6E">
              <w:rPr>
                <w:rFonts w:cs="Arial"/>
                <w:sz w:val="16"/>
                <w:szCs w:val="16"/>
              </w:rPr>
              <w:t>V</w:t>
            </w:r>
          </w:p>
        </w:tc>
        <w:tc>
          <w:tcPr>
            <w:tcW w:w="1093" w:type="dxa"/>
            <w:shd w:val="clear" w:color="auto" w:fill="auto"/>
            <w:vAlign w:val="center"/>
          </w:tcPr>
          <w:p w14:paraId="0B6CC817" w14:textId="1EEB7B10"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904" w:type="dxa"/>
            <w:shd w:val="clear" w:color="auto" w:fill="auto"/>
            <w:vAlign w:val="center"/>
          </w:tcPr>
          <w:p w14:paraId="6744E189" w14:textId="6C5416E1"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1071" w:type="dxa"/>
            <w:shd w:val="clear" w:color="auto" w:fill="auto"/>
            <w:vAlign w:val="center"/>
          </w:tcPr>
          <w:p w14:paraId="588D3409" w14:textId="43058226" w:rsidR="00F30214" w:rsidRPr="00951C6E" w:rsidRDefault="00F30214" w:rsidP="00951C6E">
            <w:pPr>
              <w:spacing w:before="40" w:after="40"/>
              <w:jc w:val="center"/>
              <w:rPr>
                <w:rFonts w:cs="Arial"/>
                <w:sz w:val="16"/>
                <w:szCs w:val="16"/>
              </w:rPr>
            </w:pPr>
            <w:r w:rsidRPr="00951C6E">
              <w:rPr>
                <w:rFonts w:cs="Arial"/>
                <w:sz w:val="16"/>
                <w:szCs w:val="16"/>
              </w:rPr>
              <w:t>T</w:t>
            </w:r>
          </w:p>
        </w:tc>
        <w:tc>
          <w:tcPr>
            <w:tcW w:w="882" w:type="dxa"/>
            <w:shd w:val="clear" w:color="auto" w:fill="auto"/>
            <w:vAlign w:val="center"/>
          </w:tcPr>
          <w:p w14:paraId="3C12335B" w14:textId="62AA4238" w:rsidR="00F30214" w:rsidRPr="00951C6E" w:rsidRDefault="002A2634" w:rsidP="00951C6E">
            <w:pPr>
              <w:spacing w:before="40" w:after="40"/>
              <w:jc w:val="center"/>
              <w:rPr>
                <w:rFonts w:cs="Arial"/>
                <w:sz w:val="16"/>
                <w:szCs w:val="16"/>
              </w:rPr>
            </w:pPr>
            <w:r w:rsidRPr="00951C6E">
              <w:rPr>
                <w:rFonts w:cs="Arial"/>
                <w:sz w:val="16"/>
                <w:szCs w:val="16"/>
              </w:rPr>
              <w:t>F</w:t>
            </w:r>
          </w:p>
        </w:tc>
        <w:tc>
          <w:tcPr>
            <w:tcW w:w="1071" w:type="dxa"/>
            <w:shd w:val="clear" w:color="auto" w:fill="auto"/>
            <w:vAlign w:val="center"/>
          </w:tcPr>
          <w:p w14:paraId="21490E17" w14:textId="7DF55AD1" w:rsidR="00F30214" w:rsidRPr="00951C6E" w:rsidRDefault="001D1B43" w:rsidP="00951C6E">
            <w:pPr>
              <w:spacing w:before="40" w:after="40"/>
              <w:jc w:val="center"/>
              <w:rPr>
                <w:rFonts w:cs="Arial"/>
                <w:sz w:val="16"/>
                <w:szCs w:val="16"/>
              </w:rPr>
            </w:pPr>
            <w:r w:rsidRPr="00951C6E">
              <w:rPr>
                <w:rFonts w:cs="Arial"/>
                <w:sz w:val="16"/>
                <w:szCs w:val="16"/>
              </w:rPr>
              <w:t>RP</w:t>
            </w:r>
          </w:p>
        </w:tc>
      </w:tr>
      <w:tr w:rsidR="001D1B43" w:rsidRPr="00951C6E" w14:paraId="60207F02" w14:textId="77777777" w:rsidTr="00951C6E">
        <w:trPr>
          <w:cantSplit/>
        </w:trPr>
        <w:tc>
          <w:tcPr>
            <w:tcW w:w="1627" w:type="dxa"/>
            <w:shd w:val="clear" w:color="auto" w:fill="F2F2F2"/>
            <w:vAlign w:val="center"/>
          </w:tcPr>
          <w:p w14:paraId="5C0BAB97" w14:textId="77777777" w:rsidR="001D1B43" w:rsidRPr="00951C6E" w:rsidRDefault="001D1B43" w:rsidP="00951C6E">
            <w:pPr>
              <w:spacing w:before="40" w:after="40"/>
              <w:rPr>
                <w:rFonts w:cs="Arial"/>
                <w:i/>
                <w:sz w:val="16"/>
                <w:szCs w:val="16"/>
              </w:rPr>
            </w:pPr>
            <w:r w:rsidRPr="00951C6E">
              <w:rPr>
                <w:rFonts w:cs="Arial"/>
                <w:i/>
                <w:sz w:val="16"/>
                <w:szCs w:val="16"/>
              </w:rPr>
              <w:t>Thalassarche bulleri platei</w:t>
            </w:r>
          </w:p>
        </w:tc>
        <w:tc>
          <w:tcPr>
            <w:tcW w:w="1271" w:type="dxa"/>
            <w:shd w:val="clear" w:color="auto" w:fill="F2F2F2"/>
          </w:tcPr>
          <w:p w14:paraId="46C29AAB" w14:textId="77777777" w:rsidR="001D1B43" w:rsidRPr="002D1ACD" w:rsidRDefault="001D1B43" w:rsidP="00951C6E">
            <w:pPr>
              <w:spacing w:before="40" w:after="40"/>
              <w:rPr>
                <w:rFonts w:cs="Arial"/>
                <w:sz w:val="16"/>
                <w:szCs w:val="16"/>
              </w:rPr>
            </w:pPr>
            <w:r w:rsidRPr="002D1ACD">
              <w:rPr>
                <w:rFonts w:cs="Arial"/>
                <w:sz w:val="16"/>
                <w:szCs w:val="16"/>
              </w:rPr>
              <w:t>Northern Buller’s albatross</w:t>
            </w:r>
          </w:p>
        </w:tc>
        <w:tc>
          <w:tcPr>
            <w:tcW w:w="1193" w:type="dxa"/>
            <w:shd w:val="clear" w:color="auto" w:fill="F2F2F2"/>
            <w:vAlign w:val="center"/>
          </w:tcPr>
          <w:p w14:paraId="32B471A8" w14:textId="3902902A" w:rsidR="001D1B43" w:rsidRPr="00951C6E" w:rsidRDefault="001D1B43" w:rsidP="00951C6E">
            <w:pPr>
              <w:spacing w:before="40" w:after="40"/>
              <w:jc w:val="center"/>
              <w:rPr>
                <w:rFonts w:cs="Arial"/>
                <w:sz w:val="16"/>
                <w:szCs w:val="16"/>
              </w:rPr>
            </w:pPr>
            <w:r w:rsidRPr="00951C6E">
              <w:rPr>
                <w:rFonts w:cs="Arial"/>
                <w:sz w:val="16"/>
                <w:szCs w:val="16"/>
              </w:rPr>
              <w:t>V</w:t>
            </w:r>
          </w:p>
        </w:tc>
        <w:tc>
          <w:tcPr>
            <w:tcW w:w="1093" w:type="dxa"/>
            <w:shd w:val="clear" w:color="auto" w:fill="F2F2F2"/>
            <w:vAlign w:val="center"/>
          </w:tcPr>
          <w:p w14:paraId="4F790436" w14:textId="154F95CA"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904" w:type="dxa"/>
            <w:shd w:val="clear" w:color="auto" w:fill="F2F2F2"/>
            <w:vAlign w:val="center"/>
          </w:tcPr>
          <w:p w14:paraId="70A35EB6" w14:textId="185A323B"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1071" w:type="dxa"/>
            <w:shd w:val="clear" w:color="auto" w:fill="F2F2F2"/>
            <w:vAlign w:val="center"/>
          </w:tcPr>
          <w:p w14:paraId="467556D1" w14:textId="64A84C24" w:rsidR="001D1B43" w:rsidRPr="00951C6E" w:rsidRDefault="001D1B43" w:rsidP="00951C6E">
            <w:pPr>
              <w:spacing w:before="40" w:after="40"/>
              <w:jc w:val="center"/>
              <w:rPr>
                <w:rFonts w:cs="Arial"/>
                <w:sz w:val="16"/>
                <w:szCs w:val="16"/>
              </w:rPr>
            </w:pPr>
            <w:r w:rsidRPr="00951C6E">
              <w:rPr>
                <w:rFonts w:cs="Arial"/>
                <w:sz w:val="16"/>
                <w:szCs w:val="16"/>
              </w:rPr>
              <w:t>-</w:t>
            </w:r>
          </w:p>
        </w:tc>
        <w:tc>
          <w:tcPr>
            <w:tcW w:w="882" w:type="dxa"/>
            <w:shd w:val="clear" w:color="auto" w:fill="F2F2F2"/>
            <w:vAlign w:val="center"/>
          </w:tcPr>
          <w:p w14:paraId="1E905C94" w14:textId="4E159260" w:rsidR="001D1B43" w:rsidRPr="00951C6E" w:rsidRDefault="001D1B43" w:rsidP="00951C6E">
            <w:pPr>
              <w:spacing w:before="40" w:after="40"/>
              <w:jc w:val="center"/>
              <w:rPr>
                <w:rFonts w:cs="Arial"/>
                <w:sz w:val="16"/>
                <w:szCs w:val="16"/>
              </w:rPr>
            </w:pPr>
            <w:r w:rsidRPr="00951C6E">
              <w:rPr>
                <w:rFonts w:cs="Arial"/>
                <w:sz w:val="16"/>
                <w:szCs w:val="16"/>
              </w:rPr>
              <w:t>-</w:t>
            </w:r>
          </w:p>
        </w:tc>
        <w:tc>
          <w:tcPr>
            <w:tcW w:w="1071" w:type="dxa"/>
            <w:shd w:val="clear" w:color="auto" w:fill="F2F2F2"/>
            <w:vAlign w:val="center"/>
          </w:tcPr>
          <w:p w14:paraId="233C6CA3" w14:textId="15A2A53E" w:rsidR="001D1B43" w:rsidRPr="00951C6E" w:rsidRDefault="001D1B43" w:rsidP="00951C6E">
            <w:pPr>
              <w:spacing w:before="40" w:after="40"/>
              <w:jc w:val="center"/>
              <w:rPr>
                <w:rFonts w:cs="Arial"/>
                <w:sz w:val="16"/>
                <w:szCs w:val="16"/>
              </w:rPr>
            </w:pPr>
            <w:r w:rsidRPr="00951C6E">
              <w:rPr>
                <w:rFonts w:cs="Arial"/>
                <w:sz w:val="16"/>
                <w:szCs w:val="16"/>
              </w:rPr>
              <w:t>RP</w:t>
            </w:r>
          </w:p>
        </w:tc>
      </w:tr>
      <w:tr w:rsidR="001D1B43" w:rsidRPr="00951C6E" w14:paraId="23FC7D46" w14:textId="77777777" w:rsidTr="00951C6E">
        <w:trPr>
          <w:cantSplit/>
        </w:trPr>
        <w:tc>
          <w:tcPr>
            <w:tcW w:w="1627" w:type="dxa"/>
            <w:shd w:val="clear" w:color="auto" w:fill="auto"/>
            <w:vAlign w:val="center"/>
          </w:tcPr>
          <w:p w14:paraId="59B548BD" w14:textId="77777777" w:rsidR="001D1B43" w:rsidRPr="00951C6E" w:rsidRDefault="001D1B43" w:rsidP="00951C6E">
            <w:pPr>
              <w:spacing w:before="40" w:after="40"/>
              <w:rPr>
                <w:rFonts w:cs="Arial"/>
                <w:sz w:val="16"/>
                <w:szCs w:val="16"/>
              </w:rPr>
            </w:pPr>
            <w:r w:rsidRPr="00951C6E">
              <w:rPr>
                <w:rFonts w:cs="Arial"/>
                <w:i/>
                <w:sz w:val="16"/>
                <w:szCs w:val="16"/>
              </w:rPr>
              <w:t>Thalassarche cauta cauta</w:t>
            </w:r>
          </w:p>
        </w:tc>
        <w:tc>
          <w:tcPr>
            <w:tcW w:w="1271" w:type="dxa"/>
            <w:shd w:val="clear" w:color="auto" w:fill="auto"/>
          </w:tcPr>
          <w:p w14:paraId="1AB472C6" w14:textId="77777777" w:rsidR="001D1B43" w:rsidRPr="002D1ACD" w:rsidRDefault="001D1B43" w:rsidP="00951C6E">
            <w:pPr>
              <w:spacing w:before="40" w:after="40"/>
              <w:rPr>
                <w:rFonts w:cs="Arial"/>
                <w:i/>
                <w:sz w:val="16"/>
                <w:szCs w:val="16"/>
              </w:rPr>
            </w:pPr>
            <w:r w:rsidRPr="002D1ACD">
              <w:rPr>
                <w:rFonts w:cs="Arial"/>
                <w:sz w:val="16"/>
                <w:szCs w:val="16"/>
              </w:rPr>
              <w:t>Shy albatross</w:t>
            </w:r>
          </w:p>
        </w:tc>
        <w:tc>
          <w:tcPr>
            <w:tcW w:w="1193" w:type="dxa"/>
            <w:shd w:val="clear" w:color="auto" w:fill="auto"/>
            <w:vAlign w:val="center"/>
          </w:tcPr>
          <w:p w14:paraId="17A3CFED" w14:textId="32616AAF" w:rsidR="001D1B43" w:rsidRPr="00951C6E" w:rsidRDefault="001D1B43" w:rsidP="00951C6E">
            <w:pPr>
              <w:spacing w:before="40" w:after="40"/>
              <w:jc w:val="center"/>
              <w:rPr>
                <w:rFonts w:cs="Arial"/>
                <w:sz w:val="16"/>
                <w:szCs w:val="16"/>
              </w:rPr>
            </w:pPr>
            <w:r w:rsidRPr="00951C6E">
              <w:rPr>
                <w:rFonts w:cs="Arial"/>
                <w:sz w:val="16"/>
                <w:szCs w:val="16"/>
              </w:rPr>
              <w:t>V</w:t>
            </w:r>
          </w:p>
        </w:tc>
        <w:tc>
          <w:tcPr>
            <w:tcW w:w="1093" w:type="dxa"/>
            <w:shd w:val="clear" w:color="auto" w:fill="auto"/>
            <w:vAlign w:val="center"/>
          </w:tcPr>
          <w:p w14:paraId="026C8135" w14:textId="00A9CF06"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904" w:type="dxa"/>
            <w:shd w:val="clear" w:color="auto" w:fill="auto"/>
            <w:vAlign w:val="center"/>
          </w:tcPr>
          <w:p w14:paraId="17A57405" w14:textId="37BC9D49"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1071" w:type="dxa"/>
            <w:shd w:val="clear" w:color="auto" w:fill="auto"/>
            <w:vAlign w:val="center"/>
          </w:tcPr>
          <w:p w14:paraId="4160AC46" w14:textId="139E829D" w:rsidR="001D1B43" w:rsidRPr="00951C6E" w:rsidRDefault="001D1B43" w:rsidP="00951C6E">
            <w:pPr>
              <w:spacing w:before="40" w:after="40"/>
              <w:jc w:val="center"/>
              <w:rPr>
                <w:rFonts w:cs="Arial"/>
                <w:sz w:val="16"/>
                <w:szCs w:val="16"/>
              </w:rPr>
            </w:pPr>
            <w:r w:rsidRPr="00951C6E">
              <w:rPr>
                <w:rFonts w:cs="Arial"/>
                <w:sz w:val="16"/>
                <w:szCs w:val="16"/>
              </w:rPr>
              <w:t>T</w:t>
            </w:r>
          </w:p>
        </w:tc>
        <w:tc>
          <w:tcPr>
            <w:tcW w:w="882" w:type="dxa"/>
            <w:shd w:val="clear" w:color="auto" w:fill="auto"/>
            <w:vAlign w:val="center"/>
          </w:tcPr>
          <w:p w14:paraId="34BDDCB6" w14:textId="12D85506" w:rsidR="001D1B43" w:rsidRPr="00951C6E" w:rsidRDefault="001D1B43" w:rsidP="00951C6E">
            <w:pPr>
              <w:spacing w:before="40" w:after="40"/>
              <w:jc w:val="center"/>
              <w:rPr>
                <w:rFonts w:cs="Arial"/>
                <w:sz w:val="16"/>
                <w:szCs w:val="16"/>
              </w:rPr>
            </w:pPr>
            <w:r w:rsidRPr="00951C6E">
              <w:rPr>
                <w:rFonts w:cs="Arial"/>
                <w:sz w:val="16"/>
                <w:szCs w:val="16"/>
              </w:rPr>
              <w:t>F</w:t>
            </w:r>
          </w:p>
        </w:tc>
        <w:tc>
          <w:tcPr>
            <w:tcW w:w="1071" w:type="dxa"/>
            <w:shd w:val="clear" w:color="auto" w:fill="auto"/>
            <w:vAlign w:val="center"/>
          </w:tcPr>
          <w:p w14:paraId="72C8FF71" w14:textId="65647514" w:rsidR="001D1B43" w:rsidRPr="00951C6E" w:rsidRDefault="001D1B43" w:rsidP="00951C6E">
            <w:pPr>
              <w:spacing w:before="40" w:after="40"/>
              <w:jc w:val="center"/>
              <w:rPr>
                <w:rFonts w:cs="Arial"/>
                <w:sz w:val="16"/>
                <w:szCs w:val="16"/>
              </w:rPr>
            </w:pPr>
            <w:r w:rsidRPr="00951C6E">
              <w:rPr>
                <w:rFonts w:cs="Arial"/>
                <w:sz w:val="16"/>
                <w:szCs w:val="16"/>
              </w:rPr>
              <w:t>RP</w:t>
            </w:r>
          </w:p>
        </w:tc>
      </w:tr>
      <w:tr w:rsidR="001D1B43" w:rsidRPr="00951C6E" w14:paraId="09C8971A" w14:textId="77777777" w:rsidTr="00951C6E">
        <w:trPr>
          <w:cantSplit/>
        </w:trPr>
        <w:tc>
          <w:tcPr>
            <w:tcW w:w="1627" w:type="dxa"/>
            <w:shd w:val="clear" w:color="auto" w:fill="F2F2F2"/>
            <w:vAlign w:val="center"/>
          </w:tcPr>
          <w:p w14:paraId="285EBD93" w14:textId="77777777" w:rsidR="001D1B43" w:rsidRPr="00951C6E" w:rsidRDefault="001D1B43" w:rsidP="00951C6E">
            <w:pPr>
              <w:spacing w:before="40" w:after="40"/>
              <w:rPr>
                <w:rFonts w:cs="Arial"/>
                <w:i/>
                <w:sz w:val="16"/>
                <w:szCs w:val="16"/>
              </w:rPr>
            </w:pPr>
            <w:r w:rsidRPr="00951C6E">
              <w:rPr>
                <w:rFonts w:cs="Arial"/>
                <w:i/>
                <w:sz w:val="16"/>
                <w:szCs w:val="16"/>
              </w:rPr>
              <w:t>Thalassarche cauta steadi</w:t>
            </w:r>
          </w:p>
        </w:tc>
        <w:tc>
          <w:tcPr>
            <w:tcW w:w="1271" w:type="dxa"/>
            <w:shd w:val="clear" w:color="auto" w:fill="F2F2F2"/>
          </w:tcPr>
          <w:p w14:paraId="559B6D65" w14:textId="77777777" w:rsidR="001D1B43" w:rsidRPr="002D1ACD" w:rsidRDefault="001D1B43" w:rsidP="00951C6E">
            <w:pPr>
              <w:spacing w:before="40" w:after="40"/>
              <w:rPr>
                <w:rFonts w:cs="Arial"/>
                <w:sz w:val="16"/>
                <w:szCs w:val="16"/>
              </w:rPr>
            </w:pPr>
            <w:r w:rsidRPr="002D1ACD">
              <w:rPr>
                <w:rFonts w:cs="Arial"/>
                <w:sz w:val="16"/>
                <w:szCs w:val="16"/>
              </w:rPr>
              <w:t>White-capped albatross</w:t>
            </w:r>
          </w:p>
        </w:tc>
        <w:tc>
          <w:tcPr>
            <w:tcW w:w="1193" w:type="dxa"/>
            <w:shd w:val="clear" w:color="auto" w:fill="F2F2F2"/>
            <w:vAlign w:val="center"/>
          </w:tcPr>
          <w:p w14:paraId="46C08FFC" w14:textId="5E4683BB" w:rsidR="001D1B43" w:rsidRPr="00951C6E" w:rsidRDefault="001D1B43" w:rsidP="00951C6E">
            <w:pPr>
              <w:spacing w:before="40" w:after="40"/>
              <w:jc w:val="center"/>
              <w:rPr>
                <w:rFonts w:cs="Arial"/>
                <w:sz w:val="16"/>
                <w:szCs w:val="16"/>
              </w:rPr>
            </w:pPr>
            <w:r w:rsidRPr="00951C6E">
              <w:rPr>
                <w:rFonts w:cs="Arial"/>
                <w:sz w:val="16"/>
                <w:szCs w:val="16"/>
              </w:rPr>
              <w:t>V</w:t>
            </w:r>
          </w:p>
        </w:tc>
        <w:tc>
          <w:tcPr>
            <w:tcW w:w="1093" w:type="dxa"/>
            <w:shd w:val="clear" w:color="auto" w:fill="F2F2F2"/>
            <w:vAlign w:val="center"/>
          </w:tcPr>
          <w:p w14:paraId="64609DA5" w14:textId="45D3D326"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904" w:type="dxa"/>
            <w:shd w:val="clear" w:color="auto" w:fill="F2F2F2"/>
            <w:vAlign w:val="center"/>
          </w:tcPr>
          <w:p w14:paraId="698CC0BE" w14:textId="1EAA59E4"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1071" w:type="dxa"/>
            <w:shd w:val="clear" w:color="auto" w:fill="F2F2F2"/>
            <w:vAlign w:val="center"/>
          </w:tcPr>
          <w:p w14:paraId="57CB3840" w14:textId="3A2626B9" w:rsidR="001D1B43" w:rsidRPr="00951C6E" w:rsidRDefault="001D1B43" w:rsidP="00951C6E">
            <w:pPr>
              <w:spacing w:before="40" w:after="40"/>
              <w:jc w:val="center"/>
              <w:rPr>
                <w:rFonts w:cs="Arial"/>
                <w:sz w:val="16"/>
                <w:szCs w:val="16"/>
              </w:rPr>
            </w:pPr>
            <w:r w:rsidRPr="00951C6E">
              <w:rPr>
                <w:rFonts w:cs="Arial"/>
                <w:sz w:val="16"/>
                <w:szCs w:val="16"/>
              </w:rPr>
              <w:t>-</w:t>
            </w:r>
          </w:p>
        </w:tc>
        <w:tc>
          <w:tcPr>
            <w:tcW w:w="882" w:type="dxa"/>
            <w:shd w:val="clear" w:color="auto" w:fill="F2F2F2"/>
            <w:vAlign w:val="center"/>
          </w:tcPr>
          <w:p w14:paraId="2A39D96D" w14:textId="2C9D576D" w:rsidR="001D1B43" w:rsidRPr="00951C6E" w:rsidRDefault="001D1B43" w:rsidP="00951C6E">
            <w:pPr>
              <w:spacing w:before="40" w:after="40"/>
              <w:jc w:val="center"/>
              <w:rPr>
                <w:rFonts w:cs="Arial"/>
                <w:sz w:val="16"/>
                <w:szCs w:val="16"/>
              </w:rPr>
            </w:pPr>
            <w:r w:rsidRPr="00951C6E">
              <w:rPr>
                <w:rFonts w:cs="Arial"/>
                <w:sz w:val="16"/>
                <w:szCs w:val="16"/>
              </w:rPr>
              <w:t>-</w:t>
            </w:r>
          </w:p>
        </w:tc>
        <w:tc>
          <w:tcPr>
            <w:tcW w:w="1071" w:type="dxa"/>
            <w:shd w:val="clear" w:color="auto" w:fill="F2F2F2"/>
            <w:vAlign w:val="center"/>
          </w:tcPr>
          <w:p w14:paraId="0856ECD7" w14:textId="5DEA3137" w:rsidR="001D1B43" w:rsidRPr="00951C6E" w:rsidRDefault="001D1B43" w:rsidP="00951C6E">
            <w:pPr>
              <w:spacing w:before="40" w:after="40"/>
              <w:jc w:val="center"/>
              <w:rPr>
                <w:rFonts w:cs="Arial"/>
                <w:sz w:val="16"/>
                <w:szCs w:val="16"/>
              </w:rPr>
            </w:pPr>
            <w:r w:rsidRPr="00951C6E">
              <w:rPr>
                <w:rFonts w:cs="Arial"/>
                <w:sz w:val="16"/>
                <w:szCs w:val="16"/>
              </w:rPr>
              <w:t>RP</w:t>
            </w:r>
          </w:p>
        </w:tc>
      </w:tr>
      <w:tr w:rsidR="001D1B43" w:rsidRPr="00951C6E" w14:paraId="52F0A7FE" w14:textId="77777777" w:rsidTr="00951C6E">
        <w:trPr>
          <w:cantSplit/>
        </w:trPr>
        <w:tc>
          <w:tcPr>
            <w:tcW w:w="1627" w:type="dxa"/>
            <w:shd w:val="clear" w:color="auto" w:fill="auto"/>
            <w:vAlign w:val="center"/>
          </w:tcPr>
          <w:p w14:paraId="6F596D40" w14:textId="77777777" w:rsidR="001D1B43" w:rsidRPr="00951C6E" w:rsidRDefault="001D1B43" w:rsidP="00951C6E">
            <w:pPr>
              <w:spacing w:before="40" w:after="40"/>
              <w:rPr>
                <w:rFonts w:cs="Arial"/>
                <w:sz w:val="16"/>
                <w:szCs w:val="16"/>
              </w:rPr>
            </w:pPr>
            <w:r w:rsidRPr="00951C6E">
              <w:rPr>
                <w:rFonts w:cs="Arial"/>
                <w:i/>
                <w:sz w:val="16"/>
                <w:szCs w:val="16"/>
              </w:rPr>
              <w:t>Thalassarche chrysostoma</w:t>
            </w:r>
          </w:p>
        </w:tc>
        <w:tc>
          <w:tcPr>
            <w:tcW w:w="1271" w:type="dxa"/>
            <w:shd w:val="clear" w:color="auto" w:fill="auto"/>
          </w:tcPr>
          <w:p w14:paraId="54C121EA" w14:textId="77777777" w:rsidR="001D1B43" w:rsidRPr="002D1ACD" w:rsidRDefault="001D1B43" w:rsidP="00951C6E">
            <w:pPr>
              <w:spacing w:before="40" w:after="40"/>
              <w:rPr>
                <w:rFonts w:cs="Arial"/>
                <w:i/>
                <w:sz w:val="16"/>
                <w:szCs w:val="16"/>
              </w:rPr>
            </w:pPr>
            <w:r w:rsidRPr="002D1ACD">
              <w:rPr>
                <w:rFonts w:cs="Arial"/>
                <w:sz w:val="16"/>
                <w:szCs w:val="16"/>
              </w:rPr>
              <w:t>Grey-headed albatross</w:t>
            </w:r>
          </w:p>
        </w:tc>
        <w:tc>
          <w:tcPr>
            <w:tcW w:w="1193" w:type="dxa"/>
            <w:shd w:val="clear" w:color="auto" w:fill="auto"/>
            <w:vAlign w:val="center"/>
          </w:tcPr>
          <w:p w14:paraId="103EFCFB" w14:textId="523873B3" w:rsidR="001D1B43" w:rsidRPr="00951C6E" w:rsidRDefault="001D1B43" w:rsidP="00951C6E">
            <w:pPr>
              <w:spacing w:before="40" w:after="40"/>
              <w:jc w:val="center"/>
              <w:rPr>
                <w:rFonts w:cs="Arial"/>
                <w:sz w:val="16"/>
                <w:szCs w:val="16"/>
              </w:rPr>
            </w:pPr>
            <w:r w:rsidRPr="00951C6E">
              <w:rPr>
                <w:rFonts w:cs="Arial"/>
                <w:sz w:val="16"/>
                <w:szCs w:val="16"/>
              </w:rPr>
              <w:t>E</w:t>
            </w:r>
          </w:p>
        </w:tc>
        <w:tc>
          <w:tcPr>
            <w:tcW w:w="1093" w:type="dxa"/>
            <w:shd w:val="clear" w:color="auto" w:fill="auto"/>
            <w:vAlign w:val="center"/>
          </w:tcPr>
          <w:p w14:paraId="5B7BDD08" w14:textId="524180AB"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904" w:type="dxa"/>
            <w:shd w:val="clear" w:color="auto" w:fill="auto"/>
            <w:vAlign w:val="center"/>
          </w:tcPr>
          <w:p w14:paraId="39DB706C" w14:textId="32DD9717"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1071" w:type="dxa"/>
            <w:shd w:val="clear" w:color="auto" w:fill="auto"/>
            <w:vAlign w:val="center"/>
          </w:tcPr>
          <w:p w14:paraId="3274A405" w14:textId="1723AE82" w:rsidR="001D1B43" w:rsidRPr="00951C6E" w:rsidRDefault="001D1B43" w:rsidP="00951C6E">
            <w:pPr>
              <w:spacing w:before="40" w:after="40"/>
              <w:jc w:val="center"/>
              <w:rPr>
                <w:rFonts w:cs="Arial"/>
                <w:sz w:val="16"/>
                <w:szCs w:val="16"/>
              </w:rPr>
            </w:pPr>
            <w:r w:rsidRPr="00951C6E">
              <w:rPr>
                <w:rFonts w:cs="Arial"/>
                <w:sz w:val="16"/>
                <w:szCs w:val="16"/>
              </w:rPr>
              <w:t>T</w:t>
            </w:r>
          </w:p>
        </w:tc>
        <w:tc>
          <w:tcPr>
            <w:tcW w:w="882" w:type="dxa"/>
            <w:shd w:val="clear" w:color="auto" w:fill="auto"/>
            <w:vAlign w:val="center"/>
          </w:tcPr>
          <w:p w14:paraId="3FC523EA" w14:textId="2B2FAF50" w:rsidR="001D1B43" w:rsidRPr="00951C6E" w:rsidRDefault="001D1B43" w:rsidP="00951C6E">
            <w:pPr>
              <w:spacing w:before="40" w:after="40"/>
              <w:jc w:val="center"/>
              <w:rPr>
                <w:rFonts w:cs="Arial"/>
                <w:sz w:val="16"/>
                <w:szCs w:val="16"/>
              </w:rPr>
            </w:pPr>
            <w:r w:rsidRPr="00951C6E">
              <w:rPr>
                <w:rFonts w:cs="Arial"/>
                <w:sz w:val="16"/>
                <w:szCs w:val="16"/>
              </w:rPr>
              <w:t>-</w:t>
            </w:r>
          </w:p>
        </w:tc>
        <w:tc>
          <w:tcPr>
            <w:tcW w:w="1071" w:type="dxa"/>
            <w:shd w:val="clear" w:color="auto" w:fill="auto"/>
            <w:vAlign w:val="center"/>
          </w:tcPr>
          <w:p w14:paraId="08FFA885" w14:textId="4A326593" w:rsidR="001D1B43" w:rsidRPr="00951C6E" w:rsidRDefault="001D1B43" w:rsidP="00951C6E">
            <w:pPr>
              <w:spacing w:before="40" w:after="40"/>
              <w:jc w:val="center"/>
              <w:rPr>
                <w:rFonts w:cs="Arial"/>
                <w:sz w:val="16"/>
                <w:szCs w:val="16"/>
              </w:rPr>
            </w:pPr>
            <w:r w:rsidRPr="00951C6E">
              <w:rPr>
                <w:rFonts w:cs="Arial"/>
                <w:sz w:val="16"/>
                <w:szCs w:val="16"/>
              </w:rPr>
              <w:t>RP</w:t>
            </w:r>
          </w:p>
        </w:tc>
      </w:tr>
      <w:tr w:rsidR="001D1B43" w:rsidRPr="00951C6E" w14:paraId="3E910657" w14:textId="77777777" w:rsidTr="00951C6E">
        <w:trPr>
          <w:cantSplit/>
        </w:trPr>
        <w:tc>
          <w:tcPr>
            <w:tcW w:w="1627" w:type="dxa"/>
            <w:shd w:val="clear" w:color="auto" w:fill="F2F2F2"/>
            <w:vAlign w:val="center"/>
          </w:tcPr>
          <w:p w14:paraId="7569A585" w14:textId="77777777" w:rsidR="001D1B43" w:rsidRPr="00951C6E" w:rsidRDefault="001D1B43" w:rsidP="00951C6E">
            <w:pPr>
              <w:spacing w:before="40" w:after="40"/>
              <w:rPr>
                <w:rFonts w:cs="Arial"/>
                <w:sz w:val="16"/>
                <w:szCs w:val="16"/>
              </w:rPr>
            </w:pPr>
            <w:r w:rsidRPr="00951C6E">
              <w:rPr>
                <w:rFonts w:cs="Arial"/>
                <w:i/>
                <w:sz w:val="16"/>
                <w:szCs w:val="16"/>
              </w:rPr>
              <w:t>Thalassarche impavida</w:t>
            </w:r>
          </w:p>
        </w:tc>
        <w:tc>
          <w:tcPr>
            <w:tcW w:w="1271" w:type="dxa"/>
            <w:shd w:val="clear" w:color="auto" w:fill="F2F2F2"/>
          </w:tcPr>
          <w:p w14:paraId="70FFCEE2" w14:textId="77777777" w:rsidR="001D1B43" w:rsidRPr="002D1ACD" w:rsidRDefault="001D1B43" w:rsidP="00951C6E">
            <w:pPr>
              <w:spacing w:before="40" w:after="40"/>
              <w:rPr>
                <w:rFonts w:cs="Arial"/>
                <w:i/>
                <w:sz w:val="16"/>
                <w:szCs w:val="16"/>
              </w:rPr>
            </w:pPr>
            <w:r w:rsidRPr="002D1ACD">
              <w:rPr>
                <w:rFonts w:cs="Arial"/>
                <w:sz w:val="16"/>
                <w:szCs w:val="16"/>
              </w:rPr>
              <w:t>Campbell albatross</w:t>
            </w:r>
          </w:p>
        </w:tc>
        <w:tc>
          <w:tcPr>
            <w:tcW w:w="1193" w:type="dxa"/>
            <w:shd w:val="clear" w:color="auto" w:fill="F2F2F2"/>
          </w:tcPr>
          <w:p w14:paraId="20B09FC7" w14:textId="5ABB80E7" w:rsidR="001D1B43" w:rsidRPr="00951C6E" w:rsidRDefault="001D1B43" w:rsidP="00951C6E">
            <w:pPr>
              <w:spacing w:before="40" w:after="40"/>
              <w:jc w:val="center"/>
              <w:rPr>
                <w:rFonts w:cs="Arial"/>
                <w:sz w:val="16"/>
                <w:szCs w:val="16"/>
              </w:rPr>
            </w:pPr>
            <w:r w:rsidRPr="00951C6E">
              <w:rPr>
                <w:rFonts w:cs="Arial"/>
                <w:sz w:val="16"/>
                <w:szCs w:val="16"/>
              </w:rPr>
              <w:t>V</w:t>
            </w:r>
          </w:p>
        </w:tc>
        <w:tc>
          <w:tcPr>
            <w:tcW w:w="1093" w:type="dxa"/>
            <w:shd w:val="clear" w:color="auto" w:fill="F2F2F2"/>
            <w:vAlign w:val="center"/>
          </w:tcPr>
          <w:p w14:paraId="32EE4985" w14:textId="215F4966"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904" w:type="dxa"/>
            <w:shd w:val="clear" w:color="auto" w:fill="F2F2F2"/>
            <w:vAlign w:val="center"/>
          </w:tcPr>
          <w:p w14:paraId="7A873DF1" w14:textId="0A011A65"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1071" w:type="dxa"/>
            <w:shd w:val="clear" w:color="auto" w:fill="F2F2F2"/>
            <w:vAlign w:val="center"/>
          </w:tcPr>
          <w:p w14:paraId="31604375" w14:textId="195DAF98" w:rsidR="001D1B43" w:rsidRPr="00951C6E" w:rsidRDefault="001D1B43" w:rsidP="00951C6E">
            <w:pPr>
              <w:spacing w:before="40" w:after="40"/>
              <w:jc w:val="center"/>
              <w:rPr>
                <w:rFonts w:cs="Arial"/>
                <w:sz w:val="16"/>
                <w:szCs w:val="16"/>
              </w:rPr>
            </w:pPr>
            <w:r w:rsidRPr="00951C6E">
              <w:rPr>
                <w:rFonts w:cs="Arial"/>
                <w:sz w:val="16"/>
                <w:szCs w:val="16"/>
              </w:rPr>
              <w:t>-</w:t>
            </w:r>
          </w:p>
        </w:tc>
        <w:tc>
          <w:tcPr>
            <w:tcW w:w="882" w:type="dxa"/>
            <w:shd w:val="clear" w:color="auto" w:fill="F2F2F2"/>
            <w:vAlign w:val="center"/>
          </w:tcPr>
          <w:p w14:paraId="5508B18D" w14:textId="59E23FCE" w:rsidR="001D1B43" w:rsidRPr="00951C6E" w:rsidRDefault="001D1B43" w:rsidP="00951C6E">
            <w:pPr>
              <w:spacing w:before="40" w:after="40"/>
              <w:jc w:val="center"/>
              <w:rPr>
                <w:rFonts w:cs="Arial"/>
                <w:sz w:val="16"/>
                <w:szCs w:val="16"/>
              </w:rPr>
            </w:pPr>
            <w:r w:rsidRPr="00951C6E">
              <w:rPr>
                <w:rFonts w:cs="Arial"/>
                <w:sz w:val="16"/>
                <w:szCs w:val="16"/>
              </w:rPr>
              <w:t>F</w:t>
            </w:r>
          </w:p>
        </w:tc>
        <w:tc>
          <w:tcPr>
            <w:tcW w:w="1071" w:type="dxa"/>
            <w:shd w:val="clear" w:color="auto" w:fill="F2F2F2"/>
            <w:vAlign w:val="center"/>
          </w:tcPr>
          <w:p w14:paraId="49904417" w14:textId="76301BD9" w:rsidR="001D1B43" w:rsidRPr="00951C6E" w:rsidRDefault="001D1B43" w:rsidP="00951C6E">
            <w:pPr>
              <w:spacing w:before="40" w:after="40"/>
              <w:jc w:val="center"/>
              <w:rPr>
                <w:rFonts w:cs="Arial"/>
                <w:sz w:val="16"/>
                <w:szCs w:val="16"/>
              </w:rPr>
            </w:pPr>
            <w:r w:rsidRPr="00951C6E">
              <w:rPr>
                <w:rFonts w:cs="Arial"/>
                <w:sz w:val="16"/>
                <w:szCs w:val="16"/>
              </w:rPr>
              <w:t>RP</w:t>
            </w:r>
          </w:p>
        </w:tc>
      </w:tr>
      <w:tr w:rsidR="001D1B43" w:rsidRPr="00951C6E" w14:paraId="307BC24B" w14:textId="77777777" w:rsidTr="00951C6E">
        <w:trPr>
          <w:cantSplit/>
        </w:trPr>
        <w:tc>
          <w:tcPr>
            <w:tcW w:w="1627" w:type="dxa"/>
            <w:shd w:val="clear" w:color="auto" w:fill="auto"/>
            <w:vAlign w:val="center"/>
          </w:tcPr>
          <w:p w14:paraId="5CAD053B" w14:textId="77777777" w:rsidR="001D1B43" w:rsidRPr="00951C6E" w:rsidRDefault="001D1B43" w:rsidP="00951C6E">
            <w:pPr>
              <w:spacing w:before="40" w:after="40"/>
              <w:rPr>
                <w:rFonts w:cs="Arial"/>
                <w:sz w:val="16"/>
                <w:szCs w:val="16"/>
              </w:rPr>
            </w:pPr>
            <w:r w:rsidRPr="00951C6E">
              <w:rPr>
                <w:rFonts w:cs="Arial"/>
                <w:i/>
                <w:sz w:val="16"/>
                <w:szCs w:val="16"/>
              </w:rPr>
              <w:t>Thalassarche melanophris</w:t>
            </w:r>
          </w:p>
        </w:tc>
        <w:tc>
          <w:tcPr>
            <w:tcW w:w="1271" w:type="dxa"/>
            <w:shd w:val="clear" w:color="auto" w:fill="auto"/>
          </w:tcPr>
          <w:p w14:paraId="74AE892A" w14:textId="77777777" w:rsidR="001D1B43" w:rsidRPr="002D1ACD" w:rsidRDefault="001D1B43" w:rsidP="00951C6E">
            <w:pPr>
              <w:spacing w:before="40" w:after="40"/>
              <w:rPr>
                <w:rFonts w:cs="Arial"/>
                <w:i/>
                <w:sz w:val="16"/>
                <w:szCs w:val="16"/>
              </w:rPr>
            </w:pPr>
            <w:r w:rsidRPr="002D1ACD">
              <w:rPr>
                <w:rFonts w:cs="Arial"/>
                <w:sz w:val="16"/>
                <w:szCs w:val="16"/>
              </w:rPr>
              <w:t>Black-browed albatross</w:t>
            </w:r>
          </w:p>
        </w:tc>
        <w:tc>
          <w:tcPr>
            <w:tcW w:w="1193" w:type="dxa"/>
            <w:shd w:val="clear" w:color="auto" w:fill="auto"/>
          </w:tcPr>
          <w:p w14:paraId="66D0FD34" w14:textId="664D06D1" w:rsidR="001D1B43" w:rsidRPr="00951C6E" w:rsidRDefault="001D1B43" w:rsidP="00951C6E">
            <w:pPr>
              <w:spacing w:before="40" w:after="40"/>
              <w:jc w:val="center"/>
              <w:rPr>
                <w:rFonts w:cs="Arial"/>
                <w:sz w:val="16"/>
                <w:szCs w:val="16"/>
              </w:rPr>
            </w:pPr>
            <w:r w:rsidRPr="00951C6E">
              <w:rPr>
                <w:rFonts w:cs="Arial"/>
                <w:sz w:val="16"/>
                <w:szCs w:val="16"/>
              </w:rPr>
              <w:t>V</w:t>
            </w:r>
          </w:p>
        </w:tc>
        <w:tc>
          <w:tcPr>
            <w:tcW w:w="1093" w:type="dxa"/>
            <w:shd w:val="clear" w:color="auto" w:fill="auto"/>
            <w:vAlign w:val="center"/>
          </w:tcPr>
          <w:p w14:paraId="7A8E91EC" w14:textId="2459D72D"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904" w:type="dxa"/>
            <w:shd w:val="clear" w:color="auto" w:fill="auto"/>
            <w:vAlign w:val="center"/>
          </w:tcPr>
          <w:p w14:paraId="4A81095D" w14:textId="282E5DD8"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1071" w:type="dxa"/>
            <w:shd w:val="clear" w:color="auto" w:fill="auto"/>
            <w:vAlign w:val="center"/>
          </w:tcPr>
          <w:p w14:paraId="53510DB9" w14:textId="23373E4C" w:rsidR="001D1B43" w:rsidRPr="00951C6E" w:rsidRDefault="001D1B43" w:rsidP="00951C6E">
            <w:pPr>
              <w:spacing w:before="40" w:after="40"/>
              <w:jc w:val="center"/>
              <w:rPr>
                <w:rFonts w:cs="Arial"/>
                <w:sz w:val="16"/>
                <w:szCs w:val="16"/>
              </w:rPr>
            </w:pPr>
            <w:r w:rsidRPr="00951C6E">
              <w:rPr>
                <w:rFonts w:cs="Arial"/>
                <w:sz w:val="16"/>
                <w:szCs w:val="16"/>
              </w:rPr>
              <w:t>-</w:t>
            </w:r>
          </w:p>
        </w:tc>
        <w:tc>
          <w:tcPr>
            <w:tcW w:w="882" w:type="dxa"/>
            <w:shd w:val="clear" w:color="auto" w:fill="auto"/>
            <w:vAlign w:val="center"/>
          </w:tcPr>
          <w:p w14:paraId="67886359" w14:textId="5EEE06D4" w:rsidR="001D1B43" w:rsidRPr="00951C6E" w:rsidRDefault="001D1B43" w:rsidP="00951C6E">
            <w:pPr>
              <w:spacing w:before="40" w:after="40"/>
              <w:jc w:val="center"/>
              <w:rPr>
                <w:rFonts w:cs="Arial"/>
                <w:sz w:val="16"/>
                <w:szCs w:val="16"/>
              </w:rPr>
            </w:pPr>
            <w:r w:rsidRPr="00951C6E">
              <w:rPr>
                <w:rFonts w:cs="Arial"/>
                <w:sz w:val="16"/>
                <w:szCs w:val="16"/>
              </w:rPr>
              <w:t>F</w:t>
            </w:r>
          </w:p>
        </w:tc>
        <w:tc>
          <w:tcPr>
            <w:tcW w:w="1071" w:type="dxa"/>
            <w:shd w:val="clear" w:color="auto" w:fill="auto"/>
            <w:vAlign w:val="center"/>
          </w:tcPr>
          <w:p w14:paraId="765831CF" w14:textId="2D8E971C" w:rsidR="001D1B43" w:rsidRPr="00951C6E" w:rsidRDefault="001D1B43" w:rsidP="00951C6E">
            <w:pPr>
              <w:spacing w:before="40" w:after="40"/>
              <w:jc w:val="center"/>
              <w:rPr>
                <w:rFonts w:cs="Arial"/>
                <w:sz w:val="16"/>
                <w:szCs w:val="16"/>
              </w:rPr>
            </w:pPr>
            <w:r w:rsidRPr="00951C6E">
              <w:rPr>
                <w:rFonts w:cs="Arial"/>
                <w:sz w:val="16"/>
                <w:szCs w:val="16"/>
              </w:rPr>
              <w:t>RP</w:t>
            </w:r>
          </w:p>
        </w:tc>
      </w:tr>
      <w:tr w:rsidR="001D1B43" w:rsidRPr="00951C6E" w14:paraId="08957EC2" w14:textId="77777777" w:rsidTr="00951C6E">
        <w:trPr>
          <w:cantSplit/>
        </w:trPr>
        <w:tc>
          <w:tcPr>
            <w:tcW w:w="1627" w:type="dxa"/>
            <w:shd w:val="clear" w:color="auto" w:fill="F2F2F2"/>
            <w:vAlign w:val="center"/>
          </w:tcPr>
          <w:p w14:paraId="16D986E6" w14:textId="77777777" w:rsidR="001D1B43" w:rsidRPr="00951C6E" w:rsidRDefault="001D1B43" w:rsidP="00951C6E">
            <w:pPr>
              <w:spacing w:before="40" w:after="40"/>
              <w:rPr>
                <w:rFonts w:cs="Arial"/>
                <w:sz w:val="16"/>
                <w:szCs w:val="16"/>
              </w:rPr>
            </w:pPr>
            <w:r w:rsidRPr="00951C6E">
              <w:rPr>
                <w:rFonts w:cs="Arial"/>
                <w:i/>
                <w:sz w:val="16"/>
                <w:szCs w:val="16"/>
              </w:rPr>
              <w:t>Thalassarche salvini</w:t>
            </w:r>
          </w:p>
        </w:tc>
        <w:tc>
          <w:tcPr>
            <w:tcW w:w="1271" w:type="dxa"/>
            <w:shd w:val="clear" w:color="auto" w:fill="F2F2F2"/>
          </w:tcPr>
          <w:p w14:paraId="3218DC41" w14:textId="77777777" w:rsidR="001D1B43" w:rsidRPr="002D1ACD" w:rsidRDefault="001D1B43" w:rsidP="00951C6E">
            <w:pPr>
              <w:spacing w:before="40" w:after="40"/>
              <w:rPr>
                <w:rFonts w:cs="Arial"/>
                <w:i/>
                <w:sz w:val="16"/>
                <w:szCs w:val="16"/>
              </w:rPr>
            </w:pPr>
            <w:r w:rsidRPr="002D1ACD">
              <w:rPr>
                <w:rFonts w:cs="Arial"/>
                <w:sz w:val="16"/>
                <w:szCs w:val="16"/>
              </w:rPr>
              <w:t>Salvin's albatross</w:t>
            </w:r>
          </w:p>
        </w:tc>
        <w:tc>
          <w:tcPr>
            <w:tcW w:w="1193" w:type="dxa"/>
            <w:shd w:val="clear" w:color="auto" w:fill="F2F2F2"/>
          </w:tcPr>
          <w:p w14:paraId="7EC67403" w14:textId="340B6528" w:rsidR="001D1B43" w:rsidRPr="00951C6E" w:rsidRDefault="001D1B43" w:rsidP="00951C6E">
            <w:pPr>
              <w:spacing w:before="40" w:after="40"/>
              <w:jc w:val="center"/>
              <w:rPr>
                <w:rFonts w:cs="Arial"/>
                <w:sz w:val="16"/>
                <w:szCs w:val="16"/>
              </w:rPr>
            </w:pPr>
            <w:r w:rsidRPr="00951C6E">
              <w:rPr>
                <w:rFonts w:cs="Arial"/>
                <w:sz w:val="16"/>
                <w:szCs w:val="16"/>
              </w:rPr>
              <w:t>V</w:t>
            </w:r>
          </w:p>
        </w:tc>
        <w:tc>
          <w:tcPr>
            <w:tcW w:w="1093" w:type="dxa"/>
            <w:shd w:val="clear" w:color="auto" w:fill="F2F2F2"/>
            <w:vAlign w:val="center"/>
          </w:tcPr>
          <w:p w14:paraId="1E5DA575" w14:textId="1F6EDC7A"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904" w:type="dxa"/>
            <w:shd w:val="clear" w:color="auto" w:fill="F2F2F2"/>
            <w:vAlign w:val="center"/>
          </w:tcPr>
          <w:p w14:paraId="09A1317B" w14:textId="59D7D187"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1071" w:type="dxa"/>
            <w:shd w:val="clear" w:color="auto" w:fill="F2F2F2"/>
            <w:vAlign w:val="center"/>
          </w:tcPr>
          <w:p w14:paraId="07F3E31A" w14:textId="35915359" w:rsidR="001D1B43" w:rsidRPr="00951C6E" w:rsidRDefault="001D1B43" w:rsidP="00951C6E">
            <w:pPr>
              <w:spacing w:before="40" w:after="40"/>
              <w:jc w:val="center"/>
              <w:rPr>
                <w:rFonts w:cs="Arial"/>
                <w:sz w:val="16"/>
                <w:szCs w:val="16"/>
              </w:rPr>
            </w:pPr>
            <w:r w:rsidRPr="00951C6E">
              <w:rPr>
                <w:rFonts w:cs="Arial"/>
                <w:sz w:val="16"/>
                <w:szCs w:val="16"/>
              </w:rPr>
              <w:t>-</w:t>
            </w:r>
          </w:p>
        </w:tc>
        <w:tc>
          <w:tcPr>
            <w:tcW w:w="882" w:type="dxa"/>
            <w:shd w:val="clear" w:color="auto" w:fill="F2F2F2"/>
            <w:vAlign w:val="center"/>
          </w:tcPr>
          <w:p w14:paraId="325BFE64" w14:textId="5F656B2C" w:rsidR="001D1B43" w:rsidRPr="00951C6E" w:rsidRDefault="001D1B43" w:rsidP="00951C6E">
            <w:pPr>
              <w:spacing w:before="40" w:after="40"/>
              <w:jc w:val="center"/>
              <w:rPr>
                <w:rFonts w:cs="Arial"/>
                <w:sz w:val="16"/>
                <w:szCs w:val="16"/>
              </w:rPr>
            </w:pPr>
            <w:r w:rsidRPr="00951C6E">
              <w:rPr>
                <w:rFonts w:cs="Arial"/>
                <w:sz w:val="16"/>
                <w:szCs w:val="16"/>
              </w:rPr>
              <w:t>-</w:t>
            </w:r>
          </w:p>
        </w:tc>
        <w:tc>
          <w:tcPr>
            <w:tcW w:w="1071" w:type="dxa"/>
            <w:shd w:val="clear" w:color="auto" w:fill="F2F2F2"/>
            <w:vAlign w:val="center"/>
          </w:tcPr>
          <w:p w14:paraId="0E3B00AC" w14:textId="286B32D0" w:rsidR="001D1B43" w:rsidRPr="00951C6E" w:rsidRDefault="001D1B43" w:rsidP="00951C6E">
            <w:pPr>
              <w:spacing w:before="40" w:after="40"/>
              <w:jc w:val="center"/>
              <w:rPr>
                <w:rFonts w:cs="Arial"/>
                <w:sz w:val="16"/>
                <w:szCs w:val="16"/>
              </w:rPr>
            </w:pPr>
            <w:r w:rsidRPr="00951C6E">
              <w:rPr>
                <w:rFonts w:cs="Arial"/>
                <w:sz w:val="16"/>
                <w:szCs w:val="16"/>
              </w:rPr>
              <w:t>RP</w:t>
            </w:r>
          </w:p>
        </w:tc>
      </w:tr>
      <w:tr w:rsidR="001D1B43" w:rsidRPr="00951C6E" w14:paraId="128A1039" w14:textId="77777777" w:rsidTr="00951C6E">
        <w:trPr>
          <w:cantSplit/>
        </w:trPr>
        <w:tc>
          <w:tcPr>
            <w:tcW w:w="1627" w:type="dxa"/>
            <w:shd w:val="clear" w:color="auto" w:fill="auto"/>
            <w:vAlign w:val="center"/>
          </w:tcPr>
          <w:p w14:paraId="6A2C9BC3" w14:textId="77777777" w:rsidR="001D1B43" w:rsidRPr="00951C6E" w:rsidRDefault="001D1B43" w:rsidP="00951C6E">
            <w:pPr>
              <w:spacing w:before="40" w:after="40"/>
              <w:rPr>
                <w:rFonts w:cs="Arial"/>
                <w:sz w:val="16"/>
                <w:szCs w:val="16"/>
              </w:rPr>
            </w:pPr>
            <w:r w:rsidRPr="00951C6E">
              <w:rPr>
                <w:rFonts w:cs="Arial"/>
                <w:i/>
                <w:sz w:val="16"/>
                <w:szCs w:val="16"/>
              </w:rPr>
              <w:t>Thalassarche</w:t>
            </w:r>
            <w:r w:rsidRPr="00951C6E">
              <w:rPr>
                <w:rFonts w:cs="Arial"/>
                <w:sz w:val="16"/>
                <w:szCs w:val="16"/>
              </w:rPr>
              <w:t xml:space="preserve"> sp. nov.</w:t>
            </w:r>
          </w:p>
        </w:tc>
        <w:tc>
          <w:tcPr>
            <w:tcW w:w="1271" w:type="dxa"/>
            <w:shd w:val="clear" w:color="auto" w:fill="auto"/>
          </w:tcPr>
          <w:p w14:paraId="4C606606" w14:textId="77777777" w:rsidR="001D1B43" w:rsidRPr="002D1ACD" w:rsidRDefault="001D1B43" w:rsidP="00951C6E">
            <w:pPr>
              <w:spacing w:before="40" w:after="40"/>
              <w:rPr>
                <w:rFonts w:cs="Arial"/>
                <w:sz w:val="16"/>
                <w:szCs w:val="16"/>
              </w:rPr>
            </w:pPr>
            <w:r w:rsidRPr="002D1ACD">
              <w:rPr>
                <w:rFonts w:cs="Arial"/>
                <w:sz w:val="16"/>
                <w:szCs w:val="16"/>
              </w:rPr>
              <w:t>Pacific albatross</w:t>
            </w:r>
          </w:p>
        </w:tc>
        <w:tc>
          <w:tcPr>
            <w:tcW w:w="1193" w:type="dxa"/>
            <w:shd w:val="clear" w:color="auto" w:fill="auto"/>
            <w:vAlign w:val="center"/>
          </w:tcPr>
          <w:p w14:paraId="2936DA62" w14:textId="34347238" w:rsidR="001D1B43" w:rsidRPr="00951C6E" w:rsidRDefault="001D1B43" w:rsidP="00951C6E">
            <w:pPr>
              <w:spacing w:before="40" w:after="40"/>
              <w:jc w:val="center"/>
              <w:rPr>
                <w:rFonts w:cs="Arial"/>
                <w:sz w:val="16"/>
                <w:szCs w:val="16"/>
              </w:rPr>
            </w:pPr>
            <w:r w:rsidRPr="00951C6E">
              <w:rPr>
                <w:rFonts w:cs="Arial"/>
                <w:sz w:val="16"/>
                <w:szCs w:val="16"/>
              </w:rPr>
              <w:t>V</w:t>
            </w:r>
          </w:p>
        </w:tc>
        <w:tc>
          <w:tcPr>
            <w:tcW w:w="1093" w:type="dxa"/>
            <w:shd w:val="clear" w:color="auto" w:fill="auto"/>
            <w:vAlign w:val="center"/>
          </w:tcPr>
          <w:p w14:paraId="3864B226" w14:textId="2CDAC02B"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904" w:type="dxa"/>
            <w:shd w:val="clear" w:color="auto" w:fill="auto"/>
            <w:vAlign w:val="center"/>
          </w:tcPr>
          <w:p w14:paraId="0A133FC3" w14:textId="5F0B058A"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1071" w:type="dxa"/>
            <w:shd w:val="clear" w:color="auto" w:fill="auto"/>
            <w:vAlign w:val="center"/>
          </w:tcPr>
          <w:p w14:paraId="1F81DB28" w14:textId="0D66A33F" w:rsidR="001D1B43" w:rsidRPr="00951C6E" w:rsidRDefault="001D1B43" w:rsidP="00951C6E">
            <w:pPr>
              <w:spacing w:before="40" w:after="40"/>
              <w:jc w:val="center"/>
              <w:rPr>
                <w:rFonts w:cs="Arial"/>
                <w:sz w:val="16"/>
                <w:szCs w:val="16"/>
              </w:rPr>
            </w:pPr>
            <w:r w:rsidRPr="00951C6E">
              <w:rPr>
                <w:rFonts w:cs="Arial"/>
                <w:sz w:val="16"/>
                <w:szCs w:val="16"/>
              </w:rPr>
              <w:t>-</w:t>
            </w:r>
          </w:p>
        </w:tc>
        <w:tc>
          <w:tcPr>
            <w:tcW w:w="882" w:type="dxa"/>
            <w:shd w:val="clear" w:color="auto" w:fill="auto"/>
            <w:vAlign w:val="center"/>
          </w:tcPr>
          <w:p w14:paraId="53C153AA" w14:textId="50CD7264" w:rsidR="001D1B43" w:rsidRPr="00951C6E" w:rsidRDefault="001D1B43" w:rsidP="00951C6E">
            <w:pPr>
              <w:spacing w:before="40" w:after="40"/>
              <w:jc w:val="center"/>
              <w:rPr>
                <w:rFonts w:cs="Arial"/>
                <w:sz w:val="16"/>
                <w:szCs w:val="16"/>
              </w:rPr>
            </w:pPr>
            <w:r w:rsidRPr="00951C6E">
              <w:rPr>
                <w:rFonts w:cs="Arial"/>
                <w:sz w:val="16"/>
                <w:szCs w:val="16"/>
              </w:rPr>
              <w:t>-</w:t>
            </w:r>
          </w:p>
        </w:tc>
        <w:tc>
          <w:tcPr>
            <w:tcW w:w="1071" w:type="dxa"/>
            <w:shd w:val="clear" w:color="auto" w:fill="auto"/>
            <w:vAlign w:val="center"/>
          </w:tcPr>
          <w:p w14:paraId="3AB37B32" w14:textId="2BBF2FB6" w:rsidR="001D1B43" w:rsidRPr="00951C6E" w:rsidRDefault="001D1B43" w:rsidP="00951C6E">
            <w:pPr>
              <w:spacing w:before="40" w:after="40"/>
              <w:jc w:val="center"/>
              <w:rPr>
                <w:rFonts w:cs="Arial"/>
                <w:sz w:val="16"/>
                <w:szCs w:val="16"/>
              </w:rPr>
            </w:pPr>
            <w:r w:rsidRPr="00951C6E">
              <w:rPr>
                <w:rFonts w:cs="Arial"/>
                <w:sz w:val="16"/>
                <w:szCs w:val="16"/>
              </w:rPr>
              <w:t>RP</w:t>
            </w:r>
          </w:p>
        </w:tc>
      </w:tr>
      <w:tr w:rsidR="001D1B43" w:rsidRPr="00951C6E" w14:paraId="41A09595" w14:textId="77777777" w:rsidTr="00951C6E">
        <w:trPr>
          <w:cantSplit/>
        </w:trPr>
        <w:tc>
          <w:tcPr>
            <w:tcW w:w="1627" w:type="dxa"/>
            <w:shd w:val="clear" w:color="auto" w:fill="F2F2F2"/>
            <w:vAlign w:val="center"/>
          </w:tcPr>
          <w:p w14:paraId="559D1321" w14:textId="77777777" w:rsidR="001D1B43" w:rsidRPr="00951C6E" w:rsidRDefault="001D1B43" w:rsidP="00951C6E">
            <w:pPr>
              <w:spacing w:before="40" w:after="40"/>
              <w:rPr>
                <w:rFonts w:cs="Arial"/>
                <w:i/>
                <w:sz w:val="16"/>
                <w:szCs w:val="16"/>
              </w:rPr>
            </w:pPr>
            <w:r w:rsidRPr="00951C6E">
              <w:rPr>
                <w:rFonts w:cs="Arial"/>
                <w:i/>
                <w:sz w:val="16"/>
                <w:szCs w:val="16"/>
              </w:rPr>
              <w:t>Thalassarche steadi</w:t>
            </w:r>
          </w:p>
        </w:tc>
        <w:tc>
          <w:tcPr>
            <w:tcW w:w="1271" w:type="dxa"/>
            <w:shd w:val="clear" w:color="auto" w:fill="F2F2F2"/>
          </w:tcPr>
          <w:p w14:paraId="05F3AA37" w14:textId="77777777" w:rsidR="001D1B43" w:rsidRPr="002D1ACD" w:rsidRDefault="001D1B43" w:rsidP="00951C6E">
            <w:pPr>
              <w:spacing w:before="40" w:after="40"/>
              <w:rPr>
                <w:rFonts w:cs="Arial"/>
                <w:sz w:val="16"/>
                <w:szCs w:val="16"/>
              </w:rPr>
            </w:pPr>
            <w:r w:rsidRPr="002D1ACD">
              <w:rPr>
                <w:rFonts w:cs="Arial"/>
                <w:sz w:val="16"/>
                <w:szCs w:val="16"/>
              </w:rPr>
              <w:t>White-capped albatross</w:t>
            </w:r>
          </w:p>
        </w:tc>
        <w:tc>
          <w:tcPr>
            <w:tcW w:w="1193" w:type="dxa"/>
            <w:shd w:val="clear" w:color="auto" w:fill="F2F2F2"/>
            <w:vAlign w:val="center"/>
          </w:tcPr>
          <w:p w14:paraId="6FD5AF8F" w14:textId="5B0E9B25" w:rsidR="001D1B43" w:rsidRPr="00951C6E" w:rsidRDefault="001D1B43" w:rsidP="00951C6E">
            <w:pPr>
              <w:spacing w:before="40" w:after="40"/>
              <w:jc w:val="center"/>
              <w:rPr>
                <w:rFonts w:cs="Arial"/>
                <w:sz w:val="16"/>
                <w:szCs w:val="16"/>
              </w:rPr>
            </w:pPr>
            <w:r w:rsidRPr="00951C6E">
              <w:rPr>
                <w:rFonts w:cs="Arial"/>
                <w:sz w:val="16"/>
                <w:szCs w:val="16"/>
              </w:rPr>
              <w:t>V</w:t>
            </w:r>
          </w:p>
        </w:tc>
        <w:tc>
          <w:tcPr>
            <w:tcW w:w="1093" w:type="dxa"/>
            <w:shd w:val="clear" w:color="auto" w:fill="F2F2F2"/>
            <w:vAlign w:val="center"/>
          </w:tcPr>
          <w:p w14:paraId="73BCE7E6" w14:textId="3A89BEBF"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904" w:type="dxa"/>
            <w:shd w:val="clear" w:color="auto" w:fill="F2F2F2"/>
            <w:vAlign w:val="center"/>
          </w:tcPr>
          <w:p w14:paraId="31195293" w14:textId="2E698716" w:rsidR="001D1B43" w:rsidRPr="00951C6E" w:rsidRDefault="001D1B43" w:rsidP="00951C6E">
            <w:pPr>
              <w:spacing w:before="40" w:after="40"/>
              <w:jc w:val="center"/>
              <w:rPr>
                <w:rFonts w:cs="Arial"/>
                <w:sz w:val="16"/>
                <w:szCs w:val="16"/>
              </w:rPr>
            </w:pPr>
            <w:r w:rsidRPr="00951C6E">
              <w:rPr>
                <w:rFonts w:cs="Arial"/>
                <w:sz w:val="16"/>
                <w:szCs w:val="16"/>
              </w:rPr>
              <w:t>Yes</w:t>
            </w:r>
          </w:p>
        </w:tc>
        <w:tc>
          <w:tcPr>
            <w:tcW w:w="1071" w:type="dxa"/>
            <w:shd w:val="clear" w:color="auto" w:fill="F2F2F2"/>
            <w:vAlign w:val="center"/>
          </w:tcPr>
          <w:p w14:paraId="33819A29" w14:textId="08A0636D" w:rsidR="001D1B43" w:rsidRPr="00951C6E" w:rsidRDefault="001D1B43" w:rsidP="00951C6E">
            <w:pPr>
              <w:spacing w:before="40" w:after="40"/>
              <w:jc w:val="center"/>
              <w:rPr>
                <w:rFonts w:cs="Arial"/>
                <w:sz w:val="16"/>
                <w:szCs w:val="16"/>
              </w:rPr>
            </w:pPr>
            <w:r w:rsidRPr="00951C6E">
              <w:rPr>
                <w:rFonts w:cs="Arial"/>
                <w:sz w:val="16"/>
                <w:szCs w:val="16"/>
              </w:rPr>
              <w:t>-</w:t>
            </w:r>
          </w:p>
        </w:tc>
        <w:tc>
          <w:tcPr>
            <w:tcW w:w="882" w:type="dxa"/>
            <w:shd w:val="clear" w:color="auto" w:fill="F2F2F2"/>
            <w:vAlign w:val="center"/>
          </w:tcPr>
          <w:p w14:paraId="0E03D8AF" w14:textId="74AA4662" w:rsidR="001D1B43" w:rsidRPr="00951C6E" w:rsidRDefault="001D1B43" w:rsidP="00951C6E">
            <w:pPr>
              <w:spacing w:before="40" w:after="40"/>
              <w:jc w:val="center"/>
              <w:rPr>
                <w:rFonts w:cs="Arial"/>
                <w:sz w:val="16"/>
                <w:szCs w:val="16"/>
              </w:rPr>
            </w:pPr>
            <w:r w:rsidRPr="00951C6E">
              <w:rPr>
                <w:rFonts w:cs="Arial"/>
                <w:sz w:val="16"/>
                <w:szCs w:val="16"/>
              </w:rPr>
              <w:t>-</w:t>
            </w:r>
          </w:p>
        </w:tc>
        <w:tc>
          <w:tcPr>
            <w:tcW w:w="1071" w:type="dxa"/>
            <w:shd w:val="clear" w:color="auto" w:fill="F2F2F2"/>
            <w:vAlign w:val="center"/>
          </w:tcPr>
          <w:p w14:paraId="449C777B" w14:textId="7A5C3322" w:rsidR="001D1B43" w:rsidRPr="00951C6E" w:rsidRDefault="001D1B43" w:rsidP="00951C6E">
            <w:pPr>
              <w:spacing w:before="40" w:after="40"/>
              <w:jc w:val="center"/>
              <w:rPr>
                <w:rFonts w:cs="Arial"/>
                <w:sz w:val="16"/>
                <w:szCs w:val="16"/>
              </w:rPr>
            </w:pPr>
            <w:r w:rsidRPr="00951C6E">
              <w:rPr>
                <w:rFonts w:cs="Arial"/>
                <w:sz w:val="16"/>
                <w:szCs w:val="16"/>
              </w:rPr>
              <w:t>RP</w:t>
            </w:r>
          </w:p>
        </w:tc>
      </w:tr>
      <w:tr w:rsidR="00E121A6" w:rsidRPr="00951C6E" w14:paraId="2ABF6C12" w14:textId="77777777" w:rsidTr="00951C6E">
        <w:trPr>
          <w:cantSplit/>
        </w:trPr>
        <w:tc>
          <w:tcPr>
            <w:tcW w:w="9112" w:type="dxa"/>
            <w:gridSpan w:val="8"/>
            <w:shd w:val="clear" w:color="auto" w:fill="auto"/>
          </w:tcPr>
          <w:p w14:paraId="68CA0F72" w14:textId="273565D9" w:rsidR="00E121A6" w:rsidRPr="00AB55C8" w:rsidRDefault="00E121A6" w:rsidP="002D1ACD">
            <w:pPr>
              <w:spacing w:before="40" w:after="40"/>
              <w:rPr>
                <w:rFonts w:cs="Arial"/>
                <w:b/>
                <w:sz w:val="16"/>
                <w:szCs w:val="16"/>
                <w:highlight w:val="yellow"/>
              </w:rPr>
            </w:pPr>
            <w:r w:rsidRPr="009315D1">
              <w:rPr>
                <w:rFonts w:cs="Arial"/>
                <w:b/>
                <w:i/>
                <w:sz w:val="16"/>
                <w:szCs w:val="16"/>
              </w:rPr>
              <w:t xml:space="preserve">Shorebirds/coastal wetland species </w:t>
            </w:r>
          </w:p>
        </w:tc>
      </w:tr>
      <w:tr w:rsidR="00F30214" w:rsidRPr="00951C6E" w14:paraId="29DF33BC" w14:textId="77777777" w:rsidTr="00951C6E">
        <w:trPr>
          <w:cantSplit/>
        </w:trPr>
        <w:tc>
          <w:tcPr>
            <w:tcW w:w="1627" w:type="dxa"/>
            <w:shd w:val="clear" w:color="auto" w:fill="auto"/>
            <w:vAlign w:val="center"/>
          </w:tcPr>
          <w:p w14:paraId="72E5ADAB" w14:textId="77777777" w:rsidR="00F30214" w:rsidRPr="00951C6E" w:rsidRDefault="00F30214" w:rsidP="00951C6E">
            <w:pPr>
              <w:spacing w:before="40" w:after="40"/>
              <w:rPr>
                <w:rFonts w:cs="Arial"/>
                <w:i/>
                <w:sz w:val="16"/>
                <w:szCs w:val="16"/>
              </w:rPr>
            </w:pPr>
            <w:r w:rsidRPr="00951C6E">
              <w:rPr>
                <w:rFonts w:cs="Arial"/>
                <w:i/>
                <w:sz w:val="16"/>
                <w:szCs w:val="16"/>
              </w:rPr>
              <w:t>Arenaria interpres</w:t>
            </w:r>
          </w:p>
        </w:tc>
        <w:tc>
          <w:tcPr>
            <w:tcW w:w="1271" w:type="dxa"/>
            <w:shd w:val="clear" w:color="auto" w:fill="auto"/>
          </w:tcPr>
          <w:p w14:paraId="70446949" w14:textId="77777777" w:rsidR="00F30214" w:rsidRPr="002D1ACD" w:rsidRDefault="00F30214" w:rsidP="00951C6E">
            <w:pPr>
              <w:spacing w:before="40" w:after="40"/>
              <w:rPr>
                <w:rFonts w:cs="Arial"/>
                <w:sz w:val="16"/>
                <w:szCs w:val="16"/>
              </w:rPr>
            </w:pPr>
            <w:r w:rsidRPr="002D1ACD">
              <w:rPr>
                <w:rFonts w:cs="Arial"/>
                <w:sz w:val="16"/>
                <w:szCs w:val="16"/>
              </w:rPr>
              <w:t>Ruddy turnstone</w:t>
            </w:r>
          </w:p>
        </w:tc>
        <w:tc>
          <w:tcPr>
            <w:tcW w:w="1193" w:type="dxa"/>
            <w:shd w:val="clear" w:color="auto" w:fill="auto"/>
            <w:vAlign w:val="center"/>
          </w:tcPr>
          <w:p w14:paraId="0B881294" w14:textId="47639739" w:rsidR="00F30214" w:rsidRPr="00951C6E" w:rsidRDefault="005F3B48" w:rsidP="00951C6E">
            <w:pPr>
              <w:spacing w:before="40" w:after="40"/>
              <w:jc w:val="center"/>
              <w:rPr>
                <w:rFonts w:cs="Arial"/>
                <w:sz w:val="16"/>
                <w:szCs w:val="16"/>
              </w:rPr>
            </w:pPr>
            <w:r w:rsidRPr="00951C6E">
              <w:rPr>
                <w:rFonts w:cs="Arial"/>
                <w:sz w:val="16"/>
                <w:szCs w:val="16"/>
              </w:rPr>
              <w:t>-</w:t>
            </w:r>
          </w:p>
        </w:tc>
        <w:tc>
          <w:tcPr>
            <w:tcW w:w="1093" w:type="dxa"/>
            <w:shd w:val="clear" w:color="auto" w:fill="auto"/>
            <w:vAlign w:val="center"/>
          </w:tcPr>
          <w:p w14:paraId="7E3D7162" w14:textId="52AD3E92" w:rsidR="00F30214" w:rsidRPr="00951C6E" w:rsidRDefault="005F3B48" w:rsidP="00951C6E">
            <w:pPr>
              <w:spacing w:before="40" w:after="40"/>
              <w:jc w:val="center"/>
              <w:rPr>
                <w:rFonts w:cs="Arial"/>
                <w:sz w:val="16"/>
                <w:szCs w:val="16"/>
              </w:rPr>
            </w:pPr>
            <w:r w:rsidRPr="00951C6E">
              <w:rPr>
                <w:rFonts w:cs="Arial"/>
                <w:sz w:val="16"/>
                <w:szCs w:val="16"/>
              </w:rPr>
              <w:t>Yes</w:t>
            </w:r>
          </w:p>
        </w:tc>
        <w:tc>
          <w:tcPr>
            <w:tcW w:w="904" w:type="dxa"/>
            <w:shd w:val="clear" w:color="auto" w:fill="auto"/>
            <w:vAlign w:val="center"/>
          </w:tcPr>
          <w:p w14:paraId="1633B098" w14:textId="36817BDD"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1071" w:type="dxa"/>
            <w:shd w:val="clear" w:color="auto" w:fill="auto"/>
            <w:vAlign w:val="center"/>
          </w:tcPr>
          <w:p w14:paraId="580A7196" w14:textId="75C4B99A" w:rsidR="00F30214" w:rsidRPr="00951C6E" w:rsidRDefault="00F30214" w:rsidP="00951C6E">
            <w:pPr>
              <w:spacing w:before="40" w:after="40"/>
              <w:jc w:val="center"/>
              <w:rPr>
                <w:rFonts w:cs="Arial"/>
                <w:sz w:val="16"/>
                <w:szCs w:val="16"/>
              </w:rPr>
            </w:pPr>
            <w:r w:rsidRPr="00951C6E">
              <w:rPr>
                <w:rFonts w:cs="Arial"/>
                <w:sz w:val="16"/>
                <w:szCs w:val="16"/>
              </w:rPr>
              <w:t>-</w:t>
            </w:r>
          </w:p>
        </w:tc>
        <w:tc>
          <w:tcPr>
            <w:tcW w:w="882" w:type="dxa"/>
            <w:shd w:val="clear" w:color="auto" w:fill="auto"/>
            <w:vAlign w:val="center"/>
          </w:tcPr>
          <w:p w14:paraId="23B47471" w14:textId="0A0E73D2" w:rsidR="00F30214" w:rsidRPr="00951C6E" w:rsidRDefault="00F30214" w:rsidP="00951C6E">
            <w:pPr>
              <w:spacing w:before="40" w:after="40"/>
              <w:jc w:val="center"/>
              <w:rPr>
                <w:rFonts w:cs="Arial"/>
                <w:sz w:val="16"/>
                <w:szCs w:val="16"/>
              </w:rPr>
            </w:pPr>
            <w:r w:rsidRPr="00951C6E">
              <w:rPr>
                <w:rFonts w:cs="Arial"/>
                <w:sz w:val="16"/>
                <w:szCs w:val="16"/>
              </w:rPr>
              <w:t>-</w:t>
            </w:r>
          </w:p>
        </w:tc>
        <w:tc>
          <w:tcPr>
            <w:tcW w:w="1071" w:type="dxa"/>
            <w:shd w:val="clear" w:color="auto" w:fill="auto"/>
            <w:vAlign w:val="center"/>
          </w:tcPr>
          <w:p w14:paraId="5CE3CA92" w14:textId="065AEA71" w:rsidR="00F30214" w:rsidRPr="00951C6E" w:rsidRDefault="00F30214" w:rsidP="00951C6E">
            <w:pPr>
              <w:spacing w:before="40" w:after="40"/>
              <w:jc w:val="center"/>
              <w:rPr>
                <w:rFonts w:cs="Arial"/>
                <w:sz w:val="16"/>
                <w:szCs w:val="16"/>
              </w:rPr>
            </w:pPr>
            <w:r w:rsidRPr="00951C6E">
              <w:rPr>
                <w:rFonts w:cs="Arial"/>
                <w:sz w:val="16"/>
                <w:szCs w:val="16"/>
              </w:rPr>
              <w:t>-</w:t>
            </w:r>
          </w:p>
        </w:tc>
      </w:tr>
      <w:tr w:rsidR="00F30214" w:rsidRPr="00951C6E" w14:paraId="0245DAE5" w14:textId="77777777" w:rsidTr="00951C6E">
        <w:trPr>
          <w:cantSplit/>
        </w:trPr>
        <w:tc>
          <w:tcPr>
            <w:tcW w:w="1627" w:type="dxa"/>
            <w:shd w:val="clear" w:color="auto" w:fill="auto"/>
            <w:vAlign w:val="center"/>
          </w:tcPr>
          <w:p w14:paraId="1A2D5708" w14:textId="77777777" w:rsidR="00F30214" w:rsidRPr="00951C6E" w:rsidRDefault="00F30214" w:rsidP="00951C6E">
            <w:pPr>
              <w:spacing w:before="40" w:after="40"/>
              <w:rPr>
                <w:rFonts w:cs="Arial"/>
                <w:i/>
                <w:sz w:val="16"/>
                <w:szCs w:val="16"/>
              </w:rPr>
            </w:pPr>
            <w:r w:rsidRPr="00951C6E">
              <w:rPr>
                <w:rFonts w:cs="Arial"/>
                <w:i/>
                <w:sz w:val="16"/>
                <w:szCs w:val="16"/>
              </w:rPr>
              <w:t>Calidris alba</w:t>
            </w:r>
          </w:p>
        </w:tc>
        <w:tc>
          <w:tcPr>
            <w:tcW w:w="1271" w:type="dxa"/>
            <w:shd w:val="clear" w:color="auto" w:fill="auto"/>
          </w:tcPr>
          <w:p w14:paraId="58707E62" w14:textId="77777777" w:rsidR="00F30214" w:rsidRPr="002D1ACD" w:rsidRDefault="00F30214" w:rsidP="00951C6E">
            <w:pPr>
              <w:spacing w:before="40" w:after="40"/>
              <w:rPr>
                <w:rFonts w:cs="Arial"/>
                <w:sz w:val="16"/>
                <w:szCs w:val="16"/>
              </w:rPr>
            </w:pPr>
            <w:r w:rsidRPr="002D1ACD">
              <w:rPr>
                <w:rFonts w:cs="Arial"/>
                <w:sz w:val="16"/>
                <w:szCs w:val="16"/>
              </w:rPr>
              <w:t>Sanderling</w:t>
            </w:r>
          </w:p>
        </w:tc>
        <w:tc>
          <w:tcPr>
            <w:tcW w:w="1193" w:type="dxa"/>
            <w:shd w:val="clear" w:color="auto" w:fill="auto"/>
            <w:vAlign w:val="center"/>
          </w:tcPr>
          <w:p w14:paraId="6EAD6372" w14:textId="77777777" w:rsidR="00F30214" w:rsidRPr="00951C6E" w:rsidRDefault="00F30214" w:rsidP="00951C6E">
            <w:pPr>
              <w:spacing w:before="40" w:after="40"/>
              <w:jc w:val="center"/>
              <w:rPr>
                <w:rFonts w:cs="Arial"/>
                <w:sz w:val="16"/>
                <w:szCs w:val="16"/>
              </w:rPr>
            </w:pPr>
            <w:r w:rsidRPr="00951C6E">
              <w:rPr>
                <w:rFonts w:cs="Arial"/>
                <w:sz w:val="16"/>
                <w:szCs w:val="16"/>
              </w:rPr>
              <w:t>-</w:t>
            </w:r>
          </w:p>
        </w:tc>
        <w:tc>
          <w:tcPr>
            <w:tcW w:w="1093" w:type="dxa"/>
            <w:shd w:val="clear" w:color="auto" w:fill="auto"/>
            <w:vAlign w:val="center"/>
          </w:tcPr>
          <w:p w14:paraId="0CCCF132" w14:textId="0A8E79EC" w:rsidR="00F30214" w:rsidRPr="00951C6E" w:rsidRDefault="00B855AA" w:rsidP="00951C6E">
            <w:pPr>
              <w:spacing w:before="40" w:after="40"/>
              <w:jc w:val="center"/>
              <w:rPr>
                <w:rFonts w:cs="Arial"/>
                <w:sz w:val="16"/>
                <w:szCs w:val="16"/>
              </w:rPr>
            </w:pPr>
            <w:r w:rsidRPr="00951C6E">
              <w:rPr>
                <w:rFonts w:cs="Arial"/>
                <w:sz w:val="16"/>
                <w:szCs w:val="16"/>
              </w:rPr>
              <w:t>Yes</w:t>
            </w:r>
          </w:p>
        </w:tc>
        <w:tc>
          <w:tcPr>
            <w:tcW w:w="904" w:type="dxa"/>
            <w:shd w:val="clear" w:color="auto" w:fill="auto"/>
            <w:vAlign w:val="center"/>
          </w:tcPr>
          <w:p w14:paraId="2D4DCA7B" w14:textId="5DAC7191"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1071" w:type="dxa"/>
            <w:shd w:val="clear" w:color="auto" w:fill="auto"/>
            <w:vAlign w:val="center"/>
          </w:tcPr>
          <w:p w14:paraId="1C5D96D2" w14:textId="4F29E09F" w:rsidR="00F30214" w:rsidRPr="00951C6E" w:rsidRDefault="00F30214" w:rsidP="00951C6E">
            <w:pPr>
              <w:spacing w:before="40" w:after="40"/>
              <w:jc w:val="center"/>
              <w:rPr>
                <w:rFonts w:cs="Arial"/>
                <w:sz w:val="16"/>
                <w:szCs w:val="16"/>
              </w:rPr>
            </w:pPr>
            <w:r w:rsidRPr="00951C6E">
              <w:rPr>
                <w:rFonts w:cs="Arial"/>
                <w:sz w:val="16"/>
                <w:szCs w:val="16"/>
              </w:rPr>
              <w:t>-</w:t>
            </w:r>
          </w:p>
        </w:tc>
        <w:tc>
          <w:tcPr>
            <w:tcW w:w="882" w:type="dxa"/>
            <w:shd w:val="clear" w:color="auto" w:fill="auto"/>
            <w:vAlign w:val="center"/>
          </w:tcPr>
          <w:p w14:paraId="4D6FAA5D" w14:textId="557EBEAA" w:rsidR="00F30214" w:rsidRPr="00951C6E" w:rsidRDefault="00F30214" w:rsidP="00951C6E">
            <w:pPr>
              <w:spacing w:before="40" w:after="40"/>
              <w:jc w:val="center"/>
              <w:rPr>
                <w:rFonts w:cs="Arial"/>
                <w:sz w:val="16"/>
                <w:szCs w:val="16"/>
              </w:rPr>
            </w:pPr>
            <w:r w:rsidRPr="00951C6E">
              <w:rPr>
                <w:rFonts w:cs="Arial"/>
                <w:sz w:val="16"/>
                <w:szCs w:val="16"/>
              </w:rPr>
              <w:t>-</w:t>
            </w:r>
          </w:p>
        </w:tc>
        <w:tc>
          <w:tcPr>
            <w:tcW w:w="1071" w:type="dxa"/>
            <w:shd w:val="clear" w:color="auto" w:fill="auto"/>
            <w:vAlign w:val="center"/>
          </w:tcPr>
          <w:p w14:paraId="4FE794D7" w14:textId="0F36C825" w:rsidR="00F30214" w:rsidRPr="00951C6E" w:rsidRDefault="00F30214" w:rsidP="00951C6E">
            <w:pPr>
              <w:spacing w:before="40" w:after="40"/>
              <w:jc w:val="center"/>
              <w:rPr>
                <w:rFonts w:cs="Arial"/>
                <w:sz w:val="16"/>
                <w:szCs w:val="16"/>
              </w:rPr>
            </w:pPr>
            <w:r w:rsidRPr="00951C6E">
              <w:rPr>
                <w:rFonts w:cs="Arial"/>
                <w:sz w:val="16"/>
                <w:szCs w:val="16"/>
              </w:rPr>
              <w:t>-</w:t>
            </w:r>
          </w:p>
        </w:tc>
      </w:tr>
      <w:tr w:rsidR="00F30214" w:rsidRPr="00951C6E" w14:paraId="71B9BCE8" w14:textId="77777777" w:rsidTr="00951C6E">
        <w:trPr>
          <w:cantSplit/>
        </w:trPr>
        <w:tc>
          <w:tcPr>
            <w:tcW w:w="1627" w:type="dxa"/>
            <w:shd w:val="clear" w:color="auto" w:fill="F2F2F2"/>
            <w:vAlign w:val="center"/>
          </w:tcPr>
          <w:p w14:paraId="4CEB2E0D" w14:textId="77777777" w:rsidR="00F30214" w:rsidRPr="00951C6E" w:rsidRDefault="00F30214" w:rsidP="00951C6E">
            <w:pPr>
              <w:spacing w:before="40" w:after="40"/>
              <w:rPr>
                <w:rFonts w:cs="Arial"/>
                <w:i/>
                <w:sz w:val="16"/>
                <w:szCs w:val="16"/>
              </w:rPr>
            </w:pPr>
            <w:r w:rsidRPr="00951C6E">
              <w:rPr>
                <w:rFonts w:cs="Arial"/>
                <w:i/>
                <w:sz w:val="16"/>
                <w:szCs w:val="16"/>
              </w:rPr>
              <w:t>Calidris canutus</w:t>
            </w:r>
          </w:p>
        </w:tc>
        <w:tc>
          <w:tcPr>
            <w:tcW w:w="1271" w:type="dxa"/>
            <w:shd w:val="clear" w:color="auto" w:fill="F2F2F2"/>
          </w:tcPr>
          <w:p w14:paraId="75527EAA" w14:textId="77777777" w:rsidR="00F30214" w:rsidRPr="002D1ACD" w:rsidRDefault="00F30214" w:rsidP="00951C6E">
            <w:pPr>
              <w:spacing w:before="40" w:after="40"/>
              <w:rPr>
                <w:rFonts w:cs="Arial"/>
                <w:sz w:val="16"/>
                <w:szCs w:val="16"/>
              </w:rPr>
            </w:pPr>
            <w:r w:rsidRPr="002D1ACD">
              <w:rPr>
                <w:rFonts w:cs="Arial"/>
                <w:sz w:val="16"/>
                <w:szCs w:val="16"/>
              </w:rPr>
              <w:t>Red knot</w:t>
            </w:r>
          </w:p>
        </w:tc>
        <w:tc>
          <w:tcPr>
            <w:tcW w:w="1193" w:type="dxa"/>
            <w:shd w:val="clear" w:color="auto" w:fill="F2F2F2"/>
            <w:vAlign w:val="center"/>
          </w:tcPr>
          <w:p w14:paraId="78D23DB6" w14:textId="68943792" w:rsidR="00F30214" w:rsidRPr="00951C6E" w:rsidRDefault="00F30214" w:rsidP="00951C6E">
            <w:pPr>
              <w:spacing w:before="40" w:after="40"/>
              <w:jc w:val="center"/>
              <w:rPr>
                <w:rFonts w:cs="Arial"/>
                <w:sz w:val="16"/>
                <w:szCs w:val="16"/>
              </w:rPr>
            </w:pPr>
            <w:r w:rsidRPr="00951C6E">
              <w:rPr>
                <w:rFonts w:cs="Arial"/>
                <w:sz w:val="16"/>
                <w:szCs w:val="16"/>
              </w:rPr>
              <w:t>E</w:t>
            </w:r>
          </w:p>
        </w:tc>
        <w:tc>
          <w:tcPr>
            <w:tcW w:w="1093" w:type="dxa"/>
            <w:shd w:val="clear" w:color="auto" w:fill="F2F2F2"/>
            <w:vAlign w:val="center"/>
          </w:tcPr>
          <w:p w14:paraId="349655FF" w14:textId="16E8193F" w:rsidR="00F30214" w:rsidRPr="00951C6E" w:rsidRDefault="00B855AA" w:rsidP="00951C6E">
            <w:pPr>
              <w:spacing w:before="40" w:after="40"/>
              <w:jc w:val="center"/>
              <w:rPr>
                <w:rFonts w:cs="Arial"/>
                <w:sz w:val="16"/>
                <w:szCs w:val="16"/>
              </w:rPr>
            </w:pPr>
            <w:r w:rsidRPr="00951C6E">
              <w:rPr>
                <w:rFonts w:cs="Arial"/>
                <w:sz w:val="16"/>
                <w:szCs w:val="16"/>
              </w:rPr>
              <w:t>Yes</w:t>
            </w:r>
          </w:p>
        </w:tc>
        <w:tc>
          <w:tcPr>
            <w:tcW w:w="904" w:type="dxa"/>
            <w:shd w:val="clear" w:color="auto" w:fill="F2F2F2"/>
            <w:vAlign w:val="center"/>
          </w:tcPr>
          <w:p w14:paraId="066DDA40" w14:textId="464B962A"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1071" w:type="dxa"/>
            <w:shd w:val="clear" w:color="auto" w:fill="F2F2F2"/>
            <w:vAlign w:val="center"/>
          </w:tcPr>
          <w:p w14:paraId="3F5A8F15" w14:textId="149B23DC" w:rsidR="00F30214" w:rsidRPr="00951C6E" w:rsidRDefault="00F30214" w:rsidP="00951C6E">
            <w:pPr>
              <w:spacing w:before="40" w:after="40"/>
              <w:jc w:val="center"/>
              <w:rPr>
                <w:rFonts w:cs="Arial"/>
                <w:sz w:val="16"/>
                <w:szCs w:val="16"/>
              </w:rPr>
            </w:pPr>
            <w:r w:rsidRPr="00951C6E">
              <w:rPr>
                <w:rFonts w:cs="Arial"/>
                <w:sz w:val="16"/>
                <w:szCs w:val="16"/>
              </w:rPr>
              <w:t>-</w:t>
            </w:r>
          </w:p>
        </w:tc>
        <w:tc>
          <w:tcPr>
            <w:tcW w:w="882" w:type="dxa"/>
            <w:shd w:val="clear" w:color="auto" w:fill="F2F2F2"/>
            <w:vAlign w:val="center"/>
          </w:tcPr>
          <w:p w14:paraId="102FFD90" w14:textId="1BBB24CF" w:rsidR="00F30214" w:rsidRPr="00951C6E" w:rsidRDefault="00F30214" w:rsidP="00951C6E">
            <w:pPr>
              <w:spacing w:before="40" w:after="40"/>
              <w:jc w:val="center"/>
              <w:rPr>
                <w:rFonts w:cs="Arial"/>
                <w:sz w:val="16"/>
                <w:szCs w:val="16"/>
              </w:rPr>
            </w:pPr>
            <w:r w:rsidRPr="00951C6E">
              <w:rPr>
                <w:rFonts w:cs="Arial"/>
                <w:sz w:val="16"/>
                <w:szCs w:val="16"/>
              </w:rPr>
              <w:t>-</w:t>
            </w:r>
          </w:p>
        </w:tc>
        <w:tc>
          <w:tcPr>
            <w:tcW w:w="1071" w:type="dxa"/>
            <w:shd w:val="clear" w:color="auto" w:fill="F2F2F2"/>
            <w:vAlign w:val="center"/>
          </w:tcPr>
          <w:p w14:paraId="1C1F2421" w14:textId="3396CA82" w:rsidR="00F30214" w:rsidRPr="00951C6E" w:rsidRDefault="001C38BD" w:rsidP="00951C6E">
            <w:pPr>
              <w:spacing w:before="40" w:after="40"/>
              <w:jc w:val="center"/>
              <w:rPr>
                <w:rFonts w:cs="Arial"/>
                <w:sz w:val="16"/>
                <w:szCs w:val="16"/>
              </w:rPr>
            </w:pPr>
            <w:r w:rsidRPr="00951C6E">
              <w:rPr>
                <w:rFonts w:cs="Arial"/>
                <w:sz w:val="16"/>
                <w:szCs w:val="16"/>
              </w:rPr>
              <w:t>CA</w:t>
            </w:r>
          </w:p>
        </w:tc>
      </w:tr>
      <w:tr w:rsidR="00F30214" w:rsidRPr="00951C6E" w14:paraId="7C295A01" w14:textId="77777777" w:rsidTr="00951C6E">
        <w:trPr>
          <w:cantSplit/>
        </w:trPr>
        <w:tc>
          <w:tcPr>
            <w:tcW w:w="1627" w:type="dxa"/>
            <w:shd w:val="clear" w:color="auto" w:fill="auto"/>
            <w:vAlign w:val="center"/>
          </w:tcPr>
          <w:p w14:paraId="7D9115F3" w14:textId="77777777" w:rsidR="00F30214" w:rsidRPr="00AB55C8" w:rsidRDefault="00F30214" w:rsidP="00951C6E">
            <w:pPr>
              <w:spacing w:before="40" w:after="40"/>
              <w:rPr>
                <w:rFonts w:cs="Arial"/>
                <w:i/>
                <w:sz w:val="16"/>
                <w:szCs w:val="16"/>
              </w:rPr>
            </w:pPr>
            <w:r w:rsidRPr="00AB55C8">
              <w:rPr>
                <w:rFonts w:cs="Arial"/>
                <w:i/>
                <w:sz w:val="16"/>
                <w:szCs w:val="16"/>
              </w:rPr>
              <w:t>Calidris ferruginea</w:t>
            </w:r>
          </w:p>
        </w:tc>
        <w:tc>
          <w:tcPr>
            <w:tcW w:w="1271" w:type="dxa"/>
            <w:shd w:val="clear" w:color="auto" w:fill="auto"/>
          </w:tcPr>
          <w:p w14:paraId="42040D47" w14:textId="77777777" w:rsidR="00F30214" w:rsidRPr="002D1ACD" w:rsidRDefault="00F30214" w:rsidP="00951C6E">
            <w:pPr>
              <w:spacing w:before="40" w:after="40"/>
              <w:rPr>
                <w:rFonts w:cs="Arial"/>
                <w:sz w:val="16"/>
                <w:szCs w:val="16"/>
              </w:rPr>
            </w:pPr>
            <w:r w:rsidRPr="002D1ACD">
              <w:rPr>
                <w:rFonts w:cs="Arial"/>
                <w:sz w:val="16"/>
                <w:szCs w:val="16"/>
              </w:rPr>
              <w:t>Curlew sandpiper</w:t>
            </w:r>
          </w:p>
        </w:tc>
        <w:tc>
          <w:tcPr>
            <w:tcW w:w="1193" w:type="dxa"/>
            <w:shd w:val="clear" w:color="auto" w:fill="auto"/>
            <w:vAlign w:val="center"/>
          </w:tcPr>
          <w:p w14:paraId="307E3C54" w14:textId="3C356C9B" w:rsidR="00F30214" w:rsidRPr="00951C6E" w:rsidRDefault="002A2634" w:rsidP="00951C6E">
            <w:pPr>
              <w:spacing w:before="40" w:after="40"/>
              <w:jc w:val="center"/>
              <w:rPr>
                <w:rFonts w:cs="Arial"/>
                <w:sz w:val="16"/>
                <w:szCs w:val="16"/>
              </w:rPr>
            </w:pPr>
            <w:r w:rsidRPr="00951C6E">
              <w:rPr>
                <w:rFonts w:cs="Arial"/>
                <w:sz w:val="16"/>
                <w:szCs w:val="16"/>
              </w:rPr>
              <w:t>CE</w:t>
            </w:r>
          </w:p>
        </w:tc>
        <w:tc>
          <w:tcPr>
            <w:tcW w:w="1093" w:type="dxa"/>
            <w:shd w:val="clear" w:color="auto" w:fill="auto"/>
            <w:vAlign w:val="center"/>
          </w:tcPr>
          <w:p w14:paraId="75DD2CB1" w14:textId="7DB75631" w:rsidR="00F30214" w:rsidRPr="00951C6E" w:rsidRDefault="001C38BD" w:rsidP="00951C6E">
            <w:pPr>
              <w:spacing w:before="40" w:after="40"/>
              <w:jc w:val="center"/>
              <w:rPr>
                <w:rFonts w:cs="Arial"/>
                <w:sz w:val="16"/>
                <w:szCs w:val="16"/>
              </w:rPr>
            </w:pPr>
            <w:r w:rsidRPr="00951C6E">
              <w:rPr>
                <w:rFonts w:cs="Arial"/>
                <w:sz w:val="16"/>
                <w:szCs w:val="16"/>
              </w:rPr>
              <w:t>Yes</w:t>
            </w:r>
          </w:p>
        </w:tc>
        <w:tc>
          <w:tcPr>
            <w:tcW w:w="904" w:type="dxa"/>
            <w:shd w:val="clear" w:color="auto" w:fill="auto"/>
            <w:vAlign w:val="center"/>
          </w:tcPr>
          <w:p w14:paraId="41087BC3" w14:textId="31BF2613"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1071" w:type="dxa"/>
            <w:shd w:val="clear" w:color="auto" w:fill="auto"/>
            <w:vAlign w:val="center"/>
          </w:tcPr>
          <w:p w14:paraId="7D80AC3F" w14:textId="12DBFC1C" w:rsidR="00F30214" w:rsidRPr="00951C6E" w:rsidRDefault="001635EA" w:rsidP="00951C6E">
            <w:pPr>
              <w:spacing w:before="40" w:after="40"/>
              <w:jc w:val="center"/>
              <w:rPr>
                <w:rFonts w:cs="Arial"/>
                <w:sz w:val="16"/>
                <w:szCs w:val="16"/>
              </w:rPr>
            </w:pPr>
            <w:r>
              <w:rPr>
                <w:rFonts w:cs="Arial"/>
                <w:sz w:val="16"/>
                <w:szCs w:val="16"/>
              </w:rPr>
              <w:t>T</w:t>
            </w:r>
          </w:p>
        </w:tc>
        <w:tc>
          <w:tcPr>
            <w:tcW w:w="882" w:type="dxa"/>
            <w:shd w:val="clear" w:color="auto" w:fill="auto"/>
            <w:vAlign w:val="center"/>
          </w:tcPr>
          <w:p w14:paraId="4C5CE6DF" w14:textId="757FE925" w:rsidR="00F30214" w:rsidRPr="00951C6E" w:rsidRDefault="00F30214" w:rsidP="00951C6E">
            <w:pPr>
              <w:spacing w:before="40" w:after="40"/>
              <w:jc w:val="center"/>
              <w:rPr>
                <w:rFonts w:cs="Arial"/>
                <w:sz w:val="16"/>
                <w:szCs w:val="16"/>
              </w:rPr>
            </w:pPr>
            <w:r w:rsidRPr="00951C6E">
              <w:rPr>
                <w:rFonts w:cs="Arial"/>
                <w:sz w:val="16"/>
                <w:szCs w:val="16"/>
              </w:rPr>
              <w:t>-</w:t>
            </w:r>
          </w:p>
        </w:tc>
        <w:tc>
          <w:tcPr>
            <w:tcW w:w="1071" w:type="dxa"/>
            <w:shd w:val="clear" w:color="auto" w:fill="auto"/>
            <w:vAlign w:val="center"/>
          </w:tcPr>
          <w:p w14:paraId="2311C7C3" w14:textId="2EA12551" w:rsidR="00F30214" w:rsidRPr="00951C6E" w:rsidRDefault="001C38BD" w:rsidP="00951C6E">
            <w:pPr>
              <w:spacing w:before="40" w:after="40"/>
              <w:jc w:val="center"/>
              <w:rPr>
                <w:rFonts w:cs="Arial"/>
                <w:sz w:val="16"/>
                <w:szCs w:val="16"/>
              </w:rPr>
            </w:pPr>
            <w:r w:rsidRPr="00951C6E">
              <w:rPr>
                <w:rFonts w:cs="Arial"/>
                <w:sz w:val="16"/>
                <w:szCs w:val="16"/>
              </w:rPr>
              <w:t>CA</w:t>
            </w:r>
          </w:p>
        </w:tc>
      </w:tr>
      <w:tr w:rsidR="001127AC" w:rsidRPr="00951C6E" w14:paraId="267702BD" w14:textId="77777777" w:rsidTr="00951C6E">
        <w:trPr>
          <w:cantSplit/>
        </w:trPr>
        <w:tc>
          <w:tcPr>
            <w:tcW w:w="1627" w:type="dxa"/>
            <w:shd w:val="clear" w:color="auto" w:fill="auto"/>
            <w:vAlign w:val="center"/>
          </w:tcPr>
          <w:p w14:paraId="5A66E505" w14:textId="573A118B" w:rsidR="001127AC" w:rsidRPr="00951C6E" w:rsidRDefault="001127AC" w:rsidP="00951C6E">
            <w:pPr>
              <w:spacing w:before="40" w:after="40"/>
              <w:rPr>
                <w:rFonts w:cs="Arial"/>
                <w:i/>
                <w:sz w:val="16"/>
                <w:szCs w:val="16"/>
              </w:rPr>
            </w:pPr>
            <w:r w:rsidRPr="00951C6E">
              <w:rPr>
                <w:rFonts w:cs="Arial"/>
                <w:i/>
                <w:sz w:val="16"/>
                <w:szCs w:val="16"/>
              </w:rPr>
              <w:t>Catharacta skua</w:t>
            </w:r>
          </w:p>
        </w:tc>
        <w:tc>
          <w:tcPr>
            <w:tcW w:w="1271" w:type="dxa"/>
            <w:shd w:val="clear" w:color="auto" w:fill="auto"/>
          </w:tcPr>
          <w:p w14:paraId="386CE46E" w14:textId="69BFDD6E" w:rsidR="001127AC" w:rsidRPr="002D1ACD" w:rsidRDefault="001127AC" w:rsidP="00951C6E">
            <w:pPr>
              <w:spacing w:before="40" w:after="40"/>
              <w:rPr>
                <w:rFonts w:cs="Arial"/>
                <w:sz w:val="16"/>
                <w:szCs w:val="16"/>
              </w:rPr>
            </w:pPr>
            <w:r w:rsidRPr="002D1ACD">
              <w:rPr>
                <w:rFonts w:cs="Arial"/>
                <w:sz w:val="16"/>
                <w:szCs w:val="16"/>
              </w:rPr>
              <w:t>Great skua</w:t>
            </w:r>
          </w:p>
        </w:tc>
        <w:tc>
          <w:tcPr>
            <w:tcW w:w="1193" w:type="dxa"/>
            <w:shd w:val="clear" w:color="auto" w:fill="auto"/>
            <w:vAlign w:val="center"/>
          </w:tcPr>
          <w:p w14:paraId="44843437" w14:textId="009EC04C" w:rsidR="001127AC" w:rsidRPr="00951C6E" w:rsidRDefault="001127AC" w:rsidP="00951C6E">
            <w:pPr>
              <w:spacing w:before="40" w:after="40"/>
              <w:jc w:val="center"/>
              <w:rPr>
                <w:rFonts w:cs="Arial"/>
                <w:sz w:val="16"/>
                <w:szCs w:val="16"/>
              </w:rPr>
            </w:pPr>
            <w:r w:rsidRPr="00951C6E">
              <w:rPr>
                <w:rFonts w:cs="Arial"/>
                <w:sz w:val="16"/>
                <w:szCs w:val="16"/>
              </w:rPr>
              <w:t>-</w:t>
            </w:r>
          </w:p>
        </w:tc>
        <w:tc>
          <w:tcPr>
            <w:tcW w:w="1093" w:type="dxa"/>
            <w:shd w:val="clear" w:color="auto" w:fill="auto"/>
            <w:vAlign w:val="center"/>
          </w:tcPr>
          <w:p w14:paraId="1ED3FD2C" w14:textId="6543D655" w:rsidR="001127AC" w:rsidRPr="00951C6E" w:rsidRDefault="001127AC" w:rsidP="00951C6E">
            <w:pPr>
              <w:spacing w:before="40" w:after="40"/>
              <w:jc w:val="center"/>
              <w:rPr>
                <w:rFonts w:cs="Arial"/>
                <w:sz w:val="16"/>
                <w:szCs w:val="16"/>
              </w:rPr>
            </w:pPr>
            <w:r w:rsidRPr="00951C6E">
              <w:rPr>
                <w:rFonts w:cs="Arial"/>
                <w:sz w:val="16"/>
                <w:szCs w:val="16"/>
              </w:rPr>
              <w:t>-</w:t>
            </w:r>
          </w:p>
        </w:tc>
        <w:tc>
          <w:tcPr>
            <w:tcW w:w="904" w:type="dxa"/>
            <w:shd w:val="clear" w:color="auto" w:fill="auto"/>
            <w:vAlign w:val="center"/>
          </w:tcPr>
          <w:p w14:paraId="45A436A2" w14:textId="768279F5" w:rsidR="001127AC" w:rsidRPr="00951C6E" w:rsidRDefault="001127AC" w:rsidP="00951C6E">
            <w:pPr>
              <w:spacing w:before="40" w:after="40"/>
              <w:jc w:val="center"/>
              <w:rPr>
                <w:rFonts w:cs="Arial"/>
                <w:sz w:val="16"/>
                <w:szCs w:val="16"/>
              </w:rPr>
            </w:pPr>
            <w:r w:rsidRPr="00951C6E">
              <w:rPr>
                <w:rFonts w:cs="Arial"/>
                <w:sz w:val="16"/>
                <w:szCs w:val="16"/>
              </w:rPr>
              <w:t>Yes</w:t>
            </w:r>
          </w:p>
        </w:tc>
        <w:tc>
          <w:tcPr>
            <w:tcW w:w="1071" w:type="dxa"/>
            <w:shd w:val="clear" w:color="auto" w:fill="auto"/>
            <w:vAlign w:val="center"/>
          </w:tcPr>
          <w:p w14:paraId="47D0C0CA" w14:textId="068D93B5" w:rsidR="001127AC" w:rsidRPr="00951C6E" w:rsidRDefault="001127AC" w:rsidP="00951C6E">
            <w:pPr>
              <w:spacing w:before="40" w:after="40"/>
              <w:jc w:val="center"/>
              <w:rPr>
                <w:rFonts w:cs="Arial"/>
                <w:sz w:val="16"/>
                <w:szCs w:val="16"/>
              </w:rPr>
            </w:pPr>
            <w:r w:rsidRPr="00951C6E">
              <w:rPr>
                <w:rFonts w:cs="Arial"/>
                <w:sz w:val="16"/>
                <w:szCs w:val="16"/>
              </w:rPr>
              <w:t>-</w:t>
            </w:r>
          </w:p>
        </w:tc>
        <w:tc>
          <w:tcPr>
            <w:tcW w:w="882" w:type="dxa"/>
            <w:shd w:val="clear" w:color="auto" w:fill="auto"/>
            <w:vAlign w:val="center"/>
          </w:tcPr>
          <w:p w14:paraId="2E80DA5A" w14:textId="00684938" w:rsidR="001127AC" w:rsidRPr="00951C6E" w:rsidRDefault="001127AC" w:rsidP="00951C6E">
            <w:pPr>
              <w:spacing w:before="40" w:after="40"/>
              <w:jc w:val="center"/>
              <w:rPr>
                <w:rFonts w:cs="Arial"/>
                <w:sz w:val="16"/>
                <w:szCs w:val="16"/>
              </w:rPr>
            </w:pPr>
            <w:r w:rsidRPr="00951C6E">
              <w:rPr>
                <w:rFonts w:cs="Arial"/>
                <w:sz w:val="16"/>
                <w:szCs w:val="16"/>
              </w:rPr>
              <w:t>-</w:t>
            </w:r>
          </w:p>
        </w:tc>
        <w:tc>
          <w:tcPr>
            <w:tcW w:w="1071" w:type="dxa"/>
            <w:shd w:val="clear" w:color="auto" w:fill="auto"/>
            <w:vAlign w:val="center"/>
          </w:tcPr>
          <w:p w14:paraId="204587CA" w14:textId="3BCDA13E" w:rsidR="001127AC" w:rsidRPr="00951C6E" w:rsidRDefault="001127AC" w:rsidP="00951C6E">
            <w:pPr>
              <w:spacing w:before="40" w:after="40"/>
              <w:jc w:val="center"/>
              <w:rPr>
                <w:rFonts w:cs="Arial"/>
                <w:sz w:val="16"/>
                <w:szCs w:val="16"/>
              </w:rPr>
            </w:pPr>
            <w:r w:rsidRPr="00951C6E">
              <w:rPr>
                <w:rFonts w:cs="Arial"/>
                <w:sz w:val="16"/>
                <w:szCs w:val="16"/>
              </w:rPr>
              <w:t>-</w:t>
            </w:r>
          </w:p>
        </w:tc>
      </w:tr>
      <w:tr w:rsidR="00F30214" w:rsidRPr="00951C6E" w14:paraId="2428CA2D" w14:textId="77777777" w:rsidTr="00951C6E">
        <w:trPr>
          <w:cantSplit/>
        </w:trPr>
        <w:tc>
          <w:tcPr>
            <w:tcW w:w="1627" w:type="dxa"/>
            <w:shd w:val="clear" w:color="auto" w:fill="auto"/>
            <w:vAlign w:val="center"/>
          </w:tcPr>
          <w:p w14:paraId="26629D93" w14:textId="77777777" w:rsidR="00F30214" w:rsidRPr="00951C6E" w:rsidRDefault="00F30214" w:rsidP="00951C6E">
            <w:pPr>
              <w:spacing w:before="40" w:after="40"/>
              <w:rPr>
                <w:rFonts w:cs="Arial"/>
                <w:i/>
                <w:sz w:val="16"/>
                <w:szCs w:val="16"/>
              </w:rPr>
            </w:pPr>
            <w:r w:rsidRPr="00951C6E">
              <w:rPr>
                <w:rFonts w:cs="Arial"/>
                <w:i/>
                <w:sz w:val="16"/>
                <w:szCs w:val="16"/>
              </w:rPr>
              <w:t>Charadrius bicinctus</w:t>
            </w:r>
          </w:p>
        </w:tc>
        <w:tc>
          <w:tcPr>
            <w:tcW w:w="1271" w:type="dxa"/>
            <w:shd w:val="clear" w:color="auto" w:fill="auto"/>
          </w:tcPr>
          <w:p w14:paraId="3043CD52" w14:textId="77777777" w:rsidR="00F30214" w:rsidRPr="002D1ACD" w:rsidRDefault="00F30214" w:rsidP="00951C6E">
            <w:pPr>
              <w:spacing w:before="40" w:after="40"/>
              <w:rPr>
                <w:rFonts w:cs="Arial"/>
                <w:sz w:val="16"/>
                <w:szCs w:val="16"/>
              </w:rPr>
            </w:pPr>
            <w:r w:rsidRPr="002D1ACD">
              <w:rPr>
                <w:rFonts w:cs="Arial"/>
                <w:sz w:val="16"/>
                <w:szCs w:val="16"/>
              </w:rPr>
              <w:t>Double-banded plover</w:t>
            </w:r>
          </w:p>
        </w:tc>
        <w:tc>
          <w:tcPr>
            <w:tcW w:w="1193" w:type="dxa"/>
            <w:shd w:val="clear" w:color="auto" w:fill="auto"/>
            <w:vAlign w:val="center"/>
          </w:tcPr>
          <w:p w14:paraId="3428901E" w14:textId="77777777" w:rsidR="00F30214" w:rsidRPr="00951C6E" w:rsidRDefault="00F30214" w:rsidP="00951C6E">
            <w:pPr>
              <w:spacing w:before="40" w:after="40"/>
              <w:jc w:val="center"/>
              <w:rPr>
                <w:rFonts w:cs="Arial"/>
                <w:sz w:val="16"/>
                <w:szCs w:val="16"/>
              </w:rPr>
            </w:pPr>
            <w:r w:rsidRPr="00951C6E">
              <w:rPr>
                <w:rFonts w:cs="Arial"/>
                <w:sz w:val="16"/>
                <w:szCs w:val="16"/>
              </w:rPr>
              <w:t>-</w:t>
            </w:r>
          </w:p>
        </w:tc>
        <w:tc>
          <w:tcPr>
            <w:tcW w:w="1093" w:type="dxa"/>
            <w:shd w:val="clear" w:color="auto" w:fill="auto"/>
            <w:vAlign w:val="center"/>
          </w:tcPr>
          <w:p w14:paraId="132D93C3" w14:textId="53AD1605" w:rsidR="00F30214" w:rsidRPr="00951C6E" w:rsidRDefault="00241F92" w:rsidP="00951C6E">
            <w:pPr>
              <w:spacing w:before="40" w:after="40"/>
              <w:jc w:val="center"/>
              <w:rPr>
                <w:rFonts w:cs="Arial"/>
                <w:sz w:val="16"/>
                <w:szCs w:val="16"/>
              </w:rPr>
            </w:pPr>
            <w:r w:rsidRPr="00951C6E">
              <w:rPr>
                <w:rFonts w:cs="Arial"/>
                <w:sz w:val="16"/>
                <w:szCs w:val="16"/>
              </w:rPr>
              <w:t>Yes</w:t>
            </w:r>
          </w:p>
        </w:tc>
        <w:tc>
          <w:tcPr>
            <w:tcW w:w="904" w:type="dxa"/>
            <w:shd w:val="clear" w:color="auto" w:fill="auto"/>
            <w:vAlign w:val="center"/>
          </w:tcPr>
          <w:p w14:paraId="568A508B" w14:textId="6FC4B4EE"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1071" w:type="dxa"/>
            <w:shd w:val="clear" w:color="auto" w:fill="auto"/>
            <w:vAlign w:val="center"/>
          </w:tcPr>
          <w:p w14:paraId="1340C0E3" w14:textId="0961251B" w:rsidR="00F30214" w:rsidRPr="00951C6E" w:rsidRDefault="00F30214" w:rsidP="00951C6E">
            <w:pPr>
              <w:spacing w:before="40" w:after="40"/>
              <w:jc w:val="center"/>
              <w:rPr>
                <w:rFonts w:cs="Arial"/>
                <w:sz w:val="16"/>
                <w:szCs w:val="16"/>
              </w:rPr>
            </w:pPr>
            <w:r w:rsidRPr="00951C6E">
              <w:rPr>
                <w:rFonts w:cs="Arial"/>
                <w:sz w:val="16"/>
                <w:szCs w:val="16"/>
              </w:rPr>
              <w:t>-</w:t>
            </w:r>
          </w:p>
        </w:tc>
        <w:tc>
          <w:tcPr>
            <w:tcW w:w="882" w:type="dxa"/>
            <w:shd w:val="clear" w:color="auto" w:fill="auto"/>
            <w:vAlign w:val="center"/>
          </w:tcPr>
          <w:p w14:paraId="36347685" w14:textId="37E0284F" w:rsidR="00F30214" w:rsidRPr="00951C6E" w:rsidRDefault="00F30214" w:rsidP="00951C6E">
            <w:pPr>
              <w:spacing w:before="40" w:after="40"/>
              <w:jc w:val="center"/>
              <w:rPr>
                <w:rFonts w:cs="Arial"/>
                <w:sz w:val="16"/>
                <w:szCs w:val="16"/>
              </w:rPr>
            </w:pPr>
            <w:r w:rsidRPr="00951C6E">
              <w:rPr>
                <w:rFonts w:cs="Arial"/>
                <w:sz w:val="16"/>
                <w:szCs w:val="16"/>
              </w:rPr>
              <w:t>-</w:t>
            </w:r>
          </w:p>
        </w:tc>
        <w:tc>
          <w:tcPr>
            <w:tcW w:w="1071" w:type="dxa"/>
            <w:shd w:val="clear" w:color="auto" w:fill="auto"/>
            <w:vAlign w:val="center"/>
          </w:tcPr>
          <w:p w14:paraId="15B38CAF" w14:textId="7F300C2B" w:rsidR="00F30214" w:rsidRPr="00951C6E" w:rsidRDefault="00F30214" w:rsidP="00951C6E">
            <w:pPr>
              <w:spacing w:before="40" w:after="40"/>
              <w:jc w:val="center"/>
              <w:rPr>
                <w:rFonts w:cs="Arial"/>
                <w:sz w:val="16"/>
                <w:szCs w:val="16"/>
              </w:rPr>
            </w:pPr>
            <w:r w:rsidRPr="00951C6E">
              <w:rPr>
                <w:rFonts w:cs="Arial"/>
                <w:sz w:val="16"/>
                <w:szCs w:val="16"/>
              </w:rPr>
              <w:t>-</w:t>
            </w:r>
          </w:p>
        </w:tc>
      </w:tr>
      <w:tr w:rsidR="00F30214" w:rsidRPr="00951C6E" w14:paraId="6366B5AC" w14:textId="77777777" w:rsidTr="00951C6E">
        <w:trPr>
          <w:cantSplit/>
        </w:trPr>
        <w:tc>
          <w:tcPr>
            <w:tcW w:w="1627" w:type="dxa"/>
            <w:shd w:val="clear" w:color="auto" w:fill="F2F2F2"/>
            <w:vAlign w:val="center"/>
          </w:tcPr>
          <w:p w14:paraId="4BE0E774" w14:textId="77777777" w:rsidR="00F30214" w:rsidRPr="00951C6E" w:rsidRDefault="00F30214" w:rsidP="00951C6E">
            <w:pPr>
              <w:spacing w:before="40" w:after="40"/>
              <w:rPr>
                <w:rFonts w:cs="Arial"/>
                <w:i/>
                <w:sz w:val="16"/>
                <w:szCs w:val="16"/>
              </w:rPr>
            </w:pPr>
            <w:r w:rsidRPr="00951C6E">
              <w:rPr>
                <w:rFonts w:cs="Arial"/>
                <w:i/>
                <w:sz w:val="16"/>
                <w:szCs w:val="16"/>
              </w:rPr>
              <w:t>Charadrius mongolus</w:t>
            </w:r>
          </w:p>
        </w:tc>
        <w:tc>
          <w:tcPr>
            <w:tcW w:w="1271" w:type="dxa"/>
            <w:shd w:val="clear" w:color="auto" w:fill="F2F2F2"/>
          </w:tcPr>
          <w:p w14:paraId="0E1C3572" w14:textId="77777777" w:rsidR="00F30214" w:rsidRPr="002D1ACD" w:rsidRDefault="00F30214" w:rsidP="00951C6E">
            <w:pPr>
              <w:spacing w:before="40" w:after="40"/>
              <w:rPr>
                <w:rFonts w:cs="Arial"/>
                <w:sz w:val="16"/>
                <w:szCs w:val="16"/>
              </w:rPr>
            </w:pPr>
            <w:r w:rsidRPr="002D1ACD">
              <w:rPr>
                <w:rFonts w:cs="Arial"/>
                <w:sz w:val="16"/>
                <w:szCs w:val="16"/>
              </w:rPr>
              <w:t>Lesser sand plover</w:t>
            </w:r>
          </w:p>
        </w:tc>
        <w:tc>
          <w:tcPr>
            <w:tcW w:w="1193" w:type="dxa"/>
            <w:shd w:val="clear" w:color="auto" w:fill="F2F2F2"/>
            <w:vAlign w:val="center"/>
          </w:tcPr>
          <w:p w14:paraId="6B3B03E5" w14:textId="4CC18A7C" w:rsidR="00F30214" w:rsidRPr="00951C6E" w:rsidRDefault="00F30214" w:rsidP="00951C6E">
            <w:pPr>
              <w:spacing w:before="40" w:after="40"/>
              <w:jc w:val="center"/>
              <w:rPr>
                <w:rFonts w:cs="Arial"/>
                <w:sz w:val="16"/>
                <w:szCs w:val="16"/>
              </w:rPr>
            </w:pPr>
            <w:r w:rsidRPr="00951C6E">
              <w:rPr>
                <w:rFonts w:cs="Arial"/>
                <w:sz w:val="16"/>
                <w:szCs w:val="16"/>
              </w:rPr>
              <w:t>E</w:t>
            </w:r>
          </w:p>
        </w:tc>
        <w:tc>
          <w:tcPr>
            <w:tcW w:w="1093" w:type="dxa"/>
            <w:shd w:val="clear" w:color="auto" w:fill="F2F2F2"/>
            <w:vAlign w:val="center"/>
          </w:tcPr>
          <w:p w14:paraId="52114BD8" w14:textId="1D832320" w:rsidR="00F30214" w:rsidRPr="00951C6E" w:rsidRDefault="00241F92" w:rsidP="00951C6E">
            <w:pPr>
              <w:spacing w:before="40" w:after="40"/>
              <w:jc w:val="center"/>
              <w:rPr>
                <w:rFonts w:cs="Arial"/>
                <w:sz w:val="16"/>
                <w:szCs w:val="16"/>
              </w:rPr>
            </w:pPr>
            <w:r w:rsidRPr="00951C6E">
              <w:rPr>
                <w:rFonts w:cs="Arial"/>
                <w:sz w:val="16"/>
                <w:szCs w:val="16"/>
              </w:rPr>
              <w:t>Yes</w:t>
            </w:r>
          </w:p>
        </w:tc>
        <w:tc>
          <w:tcPr>
            <w:tcW w:w="904" w:type="dxa"/>
            <w:shd w:val="clear" w:color="auto" w:fill="F2F2F2"/>
            <w:vAlign w:val="center"/>
          </w:tcPr>
          <w:p w14:paraId="7C978DC8" w14:textId="7A5A0D9B"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1071" w:type="dxa"/>
            <w:shd w:val="clear" w:color="auto" w:fill="F2F2F2"/>
            <w:vAlign w:val="center"/>
          </w:tcPr>
          <w:p w14:paraId="5D273C92" w14:textId="0C130A1E" w:rsidR="00F30214" w:rsidRPr="00951C6E" w:rsidRDefault="00F30214" w:rsidP="00951C6E">
            <w:pPr>
              <w:spacing w:before="40" w:after="40"/>
              <w:jc w:val="center"/>
              <w:rPr>
                <w:rFonts w:cs="Arial"/>
                <w:sz w:val="16"/>
                <w:szCs w:val="16"/>
              </w:rPr>
            </w:pPr>
            <w:r w:rsidRPr="00951C6E">
              <w:rPr>
                <w:rFonts w:cs="Arial"/>
                <w:sz w:val="16"/>
                <w:szCs w:val="16"/>
              </w:rPr>
              <w:t>-</w:t>
            </w:r>
          </w:p>
        </w:tc>
        <w:tc>
          <w:tcPr>
            <w:tcW w:w="882" w:type="dxa"/>
            <w:shd w:val="clear" w:color="auto" w:fill="F2F2F2"/>
            <w:vAlign w:val="center"/>
          </w:tcPr>
          <w:p w14:paraId="454BA440" w14:textId="2D772FC6" w:rsidR="00F30214" w:rsidRPr="00951C6E" w:rsidRDefault="00F30214" w:rsidP="00951C6E">
            <w:pPr>
              <w:spacing w:before="40" w:after="40"/>
              <w:jc w:val="center"/>
              <w:rPr>
                <w:rFonts w:cs="Arial"/>
                <w:sz w:val="16"/>
                <w:szCs w:val="16"/>
              </w:rPr>
            </w:pPr>
            <w:r w:rsidRPr="00951C6E">
              <w:rPr>
                <w:rFonts w:cs="Arial"/>
                <w:sz w:val="16"/>
                <w:szCs w:val="16"/>
              </w:rPr>
              <w:t>-</w:t>
            </w:r>
          </w:p>
        </w:tc>
        <w:tc>
          <w:tcPr>
            <w:tcW w:w="1071" w:type="dxa"/>
            <w:shd w:val="clear" w:color="auto" w:fill="F2F2F2"/>
            <w:vAlign w:val="center"/>
          </w:tcPr>
          <w:p w14:paraId="01E904B8" w14:textId="4AE75319" w:rsidR="00F30214" w:rsidRPr="00951C6E" w:rsidRDefault="00241F92" w:rsidP="00951C6E">
            <w:pPr>
              <w:spacing w:before="40" w:after="40"/>
              <w:jc w:val="center"/>
              <w:rPr>
                <w:rFonts w:cs="Arial"/>
                <w:sz w:val="16"/>
                <w:szCs w:val="16"/>
              </w:rPr>
            </w:pPr>
            <w:r w:rsidRPr="00951C6E">
              <w:rPr>
                <w:rFonts w:cs="Arial"/>
                <w:sz w:val="16"/>
                <w:szCs w:val="16"/>
              </w:rPr>
              <w:t>CA</w:t>
            </w:r>
          </w:p>
        </w:tc>
      </w:tr>
      <w:tr w:rsidR="00F30214" w:rsidRPr="00951C6E" w14:paraId="01A858F2" w14:textId="77777777" w:rsidTr="00951C6E">
        <w:trPr>
          <w:cantSplit/>
        </w:trPr>
        <w:tc>
          <w:tcPr>
            <w:tcW w:w="1627" w:type="dxa"/>
            <w:shd w:val="clear" w:color="auto" w:fill="auto"/>
            <w:vAlign w:val="center"/>
          </w:tcPr>
          <w:p w14:paraId="7654757A" w14:textId="77777777" w:rsidR="00F30214" w:rsidRPr="00951C6E" w:rsidRDefault="00F30214" w:rsidP="00951C6E">
            <w:pPr>
              <w:spacing w:before="40" w:after="40"/>
              <w:rPr>
                <w:rFonts w:cs="Arial"/>
                <w:i/>
                <w:sz w:val="16"/>
                <w:szCs w:val="16"/>
              </w:rPr>
            </w:pPr>
            <w:r w:rsidRPr="00951C6E">
              <w:rPr>
                <w:rFonts w:cs="Arial"/>
                <w:i/>
                <w:sz w:val="16"/>
                <w:szCs w:val="16"/>
              </w:rPr>
              <w:t>Charadrius ruficapillus</w:t>
            </w:r>
          </w:p>
        </w:tc>
        <w:tc>
          <w:tcPr>
            <w:tcW w:w="1271" w:type="dxa"/>
            <w:shd w:val="clear" w:color="auto" w:fill="auto"/>
          </w:tcPr>
          <w:p w14:paraId="212BD30A" w14:textId="77777777" w:rsidR="00F30214" w:rsidRPr="002D1ACD" w:rsidRDefault="00F30214" w:rsidP="00951C6E">
            <w:pPr>
              <w:spacing w:before="40" w:after="40"/>
              <w:rPr>
                <w:rFonts w:cs="Arial"/>
                <w:sz w:val="16"/>
                <w:szCs w:val="16"/>
              </w:rPr>
            </w:pPr>
            <w:r w:rsidRPr="002D1ACD">
              <w:rPr>
                <w:rFonts w:cs="Arial"/>
                <w:sz w:val="16"/>
                <w:szCs w:val="16"/>
              </w:rPr>
              <w:t>Red-capped plover</w:t>
            </w:r>
          </w:p>
        </w:tc>
        <w:tc>
          <w:tcPr>
            <w:tcW w:w="1193" w:type="dxa"/>
            <w:shd w:val="clear" w:color="auto" w:fill="auto"/>
            <w:vAlign w:val="center"/>
          </w:tcPr>
          <w:p w14:paraId="294BFB14" w14:textId="77777777" w:rsidR="00F30214" w:rsidRPr="00951C6E" w:rsidRDefault="00F30214" w:rsidP="00951C6E">
            <w:pPr>
              <w:spacing w:before="40" w:after="40"/>
              <w:jc w:val="center"/>
              <w:rPr>
                <w:rFonts w:cs="Arial"/>
                <w:sz w:val="16"/>
                <w:szCs w:val="16"/>
              </w:rPr>
            </w:pPr>
            <w:r w:rsidRPr="00951C6E">
              <w:rPr>
                <w:rFonts w:cs="Arial"/>
                <w:sz w:val="16"/>
                <w:szCs w:val="16"/>
              </w:rPr>
              <w:t>-</w:t>
            </w:r>
          </w:p>
        </w:tc>
        <w:tc>
          <w:tcPr>
            <w:tcW w:w="1093" w:type="dxa"/>
            <w:shd w:val="clear" w:color="auto" w:fill="auto"/>
            <w:vAlign w:val="center"/>
          </w:tcPr>
          <w:p w14:paraId="62EBFCF0" w14:textId="3AC0D894" w:rsidR="00F30214" w:rsidRPr="00951C6E" w:rsidRDefault="00241F92" w:rsidP="00951C6E">
            <w:pPr>
              <w:spacing w:before="40" w:after="40"/>
              <w:jc w:val="center"/>
              <w:rPr>
                <w:rFonts w:cs="Arial"/>
                <w:sz w:val="16"/>
                <w:szCs w:val="16"/>
              </w:rPr>
            </w:pPr>
            <w:r w:rsidRPr="00951C6E">
              <w:rPr>
                <w:rFonts w:cs="Arial"/>
                <w:sz w:val="16"/>
                <w:szCs w:val="16"/>
              </w:rPr>
              <w:t>-</w:t>
            </w:r>
          </w:p>
        </w:tc>
        <w:tc>
          <w:tcPr>
            <w:tcW w:w="904" w:type="dxa"/>
            <w:shd w:val="clear" w:color="auto" w:fill="auto"/>
            <w:vAlign w:val="center"/>
          </w:tcPr>
          <w:p w14:paraId="125378C1" w14:textId="136A05FF"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1071" w:type="dxa"/>
            <w:shd w:val="clear" w:color="auto" w:fill="auto"/>
            <w:vAlign w:val="center"/>
          </w:tcPr>
          <w:p w14:paraId="274C375E" w14:textId="5177D93E" w:rsidR="00F30214" w:rsidRPr="00951C6E" w:rsidRDefault="00F30214" w:rsidP="00951C6E">
            <w:pPr>
              <w:spacing w:before="40" w:after="40"/>
              <w:jc w:val="center"/>
              <w:rPr>
                <w:rFonts w:cs="Arial"/>
                <w:sz w:val="16"/>
                <w:szCs w:val="16"/>
              </w:rPr>
            </w:pPr>
            <w:r w:rsidRPr="00951C6E">
              <w:rPr>
                <w:rFonts w:cs="Arial"/>
                <w:sz w:val="16"/>
                <w:szCs w:val="16"/>
              </w:rPr>
              <w:t>-</w:t>
            </w:r>
          </w:p>
        </w:tc>
        <w:tc>
          <w:tcPr>
            <w:tcW w:w="882" w:type="dxa"/>
            <w:shd w:val="clear" w:color="auto" w:fill="auto"/>
            <w:vAlign w:val="center"/>
          </w:tcPr>
          <w:p w14:paraId="31F4CDEB" w14:textId="507086EF" w:rsidR="00F30214" w:rsidRPr="00951C6E" w:rsidRDefault="00F30214" w:rsidP="00951C6E">
            <w:pPr>
              <w:spacing w:before="40" w:after="40"/>
              <w:jc w:val="center"/>
              <w:rPr>
                <w:rFonts w:cs="Arial"/>
                <w:sz w:val="16"/>
                <w:szCs w:val="16"/>
              </w:rPr>
            </w:pPr>
            <w:r w:rsidRPr="00951C6E">
              <w:rPr>
                <w:rFonts w:cs="Arial"/>
                <w:sz w:val="16"/>
                <w:szCs w:val="16"/>
              </w:rPr>
              <w:t>-</w:t>
            </w:r>
          </w:p>
        </w:tc>
        <w:tc>
          <w:tcPr>
            <w:tcW w:w="1071" w:type="dxa"/>
            <w:shd w:val="clear" w:color="auto" w:fill="auto"/>
            <w:vAlign w:val="center"/>
          </w:tcPr>
          <w:p w14:paraId="178C6FC3" w14:textId="134183CE" w:rsidR="00F30214" w:rsidRPr="00951C6E" w:rsidRDefault="00241F92" w:rsidP="00951C6E">
            <w:pPr>
              <w:spacing w:before="40" w:after="40"/>
              <w:jc w:val="center"/>
              <w:rPr>
                <w:rFonts w:cs="Arial"/>
                <w:sz w:val="16"/>
                <w:szCs w:val="16"/>
              </w:rPr>
            </w:pPr>
            <w:r w:rsidRPr="00951C6E">
              <w:rPr>
                <w:rFonts w:cs="Arial"/>
                <w:sz w:val="16"/>
                <w:szCs w:val="16"/>
              </w:rPr>
              <w:t>-</w:t>
            </w:r>
          </w:p>
        </w:tc>
      </w:tr>
      <w:tr w:rsidR="00F30214" w:rsidRPr="00951C6E" w14:paraId="674187DD" w14:textId="77777777" w:rsidTr="00951C6E">
        <w:trPr>
          <w:cantSplit/>
        </w:trPr>
        <w:tc>
          <w:tcPr>
            <w:tcW w:w="1627" w:type="dxa"/>
            <w:shd w:val="clear" w:color="auto" w:fill="auto"/>
            <w:vAlign w:val="center"/>
          </w:tcPr>
          <w:p w14:paraId="156D1127" w14:textId="4F23424C" w:rsidR="00F30214" w:rsidRPr="00951C6E" w:rsidRDefault="00F30214" w:rsidP="00951C6E">
            <w:pPr>
              <w:spacing w:before="40" w:after="40"/>
              <w:rPr>
                <w:rFonts w:cs="Arial"/>
                <w:i/>
                <w:sz w:val="16"/>
                <w:szCs w:val="16"/>
              </w:rPr>
            </w:pPr>
            <w:r w:rsidRPr="00951C6E">
              <w:rPr>
                <w:rFonts w:cs="Arial"/>
                <w:i/>
                <w:sz w:val="16"/>
                <w:szCs w:val="16"/>
              </w:rPr>
              <w:t>Eudyptula minor</w:t>
            </w:r>
          </w:p>
        </w:tc>
        <w:tc>
          <w:tcPr>
            <w:tcW w:w="1271" w:type="dxa"/>
            <w:shd w:val="clear" w:color="auto" w:fill="auto"/>
          </w:tcPr>
          <w:p w14:paraId="1437C66F" w14:textId="16B33820" w:rsidR="00F30214" w:rsidRPr="002D1ACD" w:rsidRDefault="00F30214" w:rsidP="00951C6E">
            <w:pPr>
              <w:spacing w:before="40" w:after="40"/>
              <w:rPr>
                <w:rFonts w:cs="Arial"/>
                <w:sz w:val="16"/>
                <w:szCs w:val="16"/>
              </w:rPr>
            </w:pPr>
            <w:r w:rsidRPr="002D1ACD">
              <w:rPr>
                <w:rFonts w:cs="Arial"/>
                <w:sz w:val="16"/>
                <w:szCs w:val="16"/>
              </w:rPr>
              <w:t>Little penguin</w:t>
            </w:r>
          </w:p>
        </w:tc>
        <w:tc>
          <w:tcPr>
            <w:tcW w:w="1193" w:type="dxa"/>
            <w:shd w:val="clear" w:color="auto" w:fill="auto"/>
            <w:vAlign w:val="center"/>
          </w:tcPr>
          <w:p w14:paraId="3AC44BD1" w14:textId="747CE748" w:rsidR="00F30214" w:rsidRPr="00951C6E" w:rsidRDefault="00F30214" w:rsidP="00951C6E">
            <w:pPr>
              <w:spacing w:before="40" w:after="40"/>
              <w:jc w:val="center"/>
              <w:rPr>
                <w:rFonts w:cs="Arial"/>
                <w:sz w:val="16"/>
                <w:szCs w:val="16"/>
              </w:rPr>
            </w:pPr>
            <w:r w:rsidRPr="00951C6E">
              <w:rPr>
                <w:rFonts w:cs="Arial"/>
                <w:sz w:val="16"/>
                <w:szCs w:val="16"/>
              </w:rPr>
              <w:t>-</w:t>
            </w:r>
          </w:p>
        </w:tc>
        <w:tc>
          <w:tcPr>
            <w:tcW w:w="1093" w:type="dxa"/>
            <w:shd w:val="clear" w:color="auto" w:fill="auto"/>
            <w:vAlign w:val="center"/>
          </w:tcPr>
          <w:p w14:paraId="179D734F" w14:textId="76C1B62E" w:rsidR="00F30214" w:rsidRPr="00951C6E" w:rsidRDefault="00F30214" w:rsidP="00951C6E">
            <w:pPr>
              <w:spacing w:before="40" w:after="40"/>
              <w:jc w:val="center"/>
              <w:rPr>
                <w:rFonts w:cs="Arial"/>
                <w:sz w:val="16"/>
                <w:szCs w:val="16"/>
              </w:rPr>
            </w:pPr>
            <w:r w:rsidRPr="00951C6E">
              <w:rPr>
                <w:rFonts w:cs="Arial"/>
                <w:sz w:val="16"/>
                <w:szCs w:val="16"/>
              </w:rPr>
              <w:t>-</w:t>
            </w:r>
          </w:p>
        </w:tc>
        <w:tc>
          <w:tcPr>
            <w:tcW w:w="904" w:type="dxa"/>
            <w:shd w:val="clear" w:color="auto" w:fill="auto"/>
            <w:vAlign w:val="center"/>
          </w:tcPr>
          <w:p w14:paraId="0E5D6423" w14:textId="4D6B747A"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1071" w:type="dxa"/>
            <w:shd w:val="clear" w:color="auto" w:fill="auto"/>
            <w:vAlign w:val="center"/>
          </w:tcPr>
          <w:p w14:paraId="2FD73C4D" w14:textId="6F812AB8" w:rsidR="00F30214" w:rsidRPr="00951C6E" w:rsidRDefault="00F30214" w:rsidP="00951C6E">
            <w:pPr>
              <w:spacing w:before="40" w:after="40"/>
              <w:jc w:val="center"/>
              <w:rPr>
                <w:rFonts w:cs="Arial"/>
                <w:sz w:val="16"/>
                <w:szCs w:val="16"/>
              </w:rPr>
            </w:pPr>
            <w:r w:rsidRPr="00951C6E">
              <w:rPr>
                <w:rFonts w:cs="Arial"/>
                <w:sz w:val="16"/>
                <w:szCs w:val="16"/>
              </w:rPr>
              <w:t>-</w:t>
            </w:r>
          </w:p>
        </w:tc>
        <w:tc>
          <w:tcPr>
            <w:tcW w:w="882" w:type="dxa"/>
            <w:shd w:val="clear" w:color="auto" w:fill="auto"/>
            <w:vAlign w:val="center"/>
          </w:tcPr>
          <w:p w14:paraId="6F31288B" w14:textId="1350C228" w:rsidR="00F30214" w:rsidRPr="00951C6E" w:rsidRDefault="00F30214" w:rsidP="00951C6E">
            <w:pPr>
              <w:spacing w:before="40" w:after="40"/>
              <w:jc w:val="center"/>
              <w:rPr>
                <w:rFonts w:cs="Arial"/>
                <w:sz w:val="16"/>
                <w:szCs w:val="16"/>
              </w:rPr>
            </w:pPr>
            <w:r w:rsidRPr="00951C6E">
              <w:rPr>
                <w:rFonts w:cs="Arial"/>
                <w:sz w:val="16"/>
                <w:szCs w:val="16"/>
              </w:rPr>
              <w:t>-</w:t>
            </w:r>
          </w:p>
        </w:tc>
        <w:tc>
          <w:tcPr>
            <w:tcW w:w="1071" w:type="dxa"/>
            <w:shd w:val="clear" w:color="auto" w:fill="auto"/>
            <w:vAlign w:val="center"/>
          </w:tcPr>
          <w:p w14:paraId="4BED3CC7" w14:textId="1CFF9055" w:rsidR="00F30214" w:rsidRPr="00951C6E" w:rsidRDefault="00F30214" w:rsidP="00951C6E">
            <w:pPr>
              <w:spacing w:before="40" w:after="40"/>
              <w:jc w:val="center"/>
              <w:rPr>
                <w:rFonts w:cs="Arial"/>
                <w:sz w:val="16"/>
                <w:szCs w:val="16"/>
              </w:rPr>
            </w:pPr>
            <w:r w:rsidRPr="00951C6E">
              <w:rPr>
                <w:rFonts w:cs="Arial"/>
                <w:sz w:val="16"/>
                <w:szCs w:val="16"/>
              </w:rPr>
              <w:t>-</w:t>
            </w:r>
          </w:p>
        </w:tc>
      </w:tr>
      <w:tr w:rsidR="00F30214" w:rsidRPr="00951C6E" w14:paraId="79DFDAFA" w14:textId="77777777" w:rsidTr="00951C6E">
        <w:trPr>
          <w:cantSplit/>
        </w:trPr>
        <w:tc>
          <w:tcPr>
            <w:tcW w:w="1627" w:type="dxa"/>
            <w:shd w:val="clear" w:color="auto" w:fill="F2F2F2"/>
            <w:vAlign w:val="center"/>
          </w:tcPr>
          <w:p w14:paraId="3268EBDF" w14:textId="77777777" w:rsidR="00F30214" w:rsidRPr="00951C6E" w:rsidRDefault="00F30214" w:rsidP="00951C6E">
            <w:pPr>
              <w:spacing w:before="40" w:after="40"/>
              <w:rPr>
                <w:rFonts w:cs="Arial"/>
                <w:i/>
                <w:sz w:val="16"/>
                <w:szCs w:val="16"/>
              </w:rPr>
            </w:pPr>
            <w:r w:rsidRPr="00951C6E">
              <w:rPr>
                <w:rFonts w:cs="Arial"/>
                <w:i/>
                <w:sz w:val="16"/>
                <w:szCs w:val="16"/>
              </w:rPr>
              <w:t>Heteroscelus breviceps</w:t>
            </w:r>
          </w:p>
        </w:tc>
        <w:tc>
          <w:tcPr>
            <w:tcW w:w="1271" w:type="dxa"/>
            <w:shd w:val="clear" w:color="auto" w:fill="F2F2F2"/>
          </w:tcPr>
          <w:p w14:paraId="7E2D8713" w14:textId="77777777" w:rsidR="00F30214" w:rsidRPr="002D1ACD" w:rsidRDefault="00F30214" w:rsidP="00951C6E">
            <w:pPr>
              <w:spacing w:before="40" w:after="40"/>
              <w:rPr>
                <w:rFonts w:cs="Arial"/>
                <w:sz w:val="16"/>
                <w:szCs w:val="16"/>
              </w:rPr>
            </w:pPr>
            <w:r w:rsidRPr="002D1ACD">
              <w:rPr>
                <w:rFonts w:cs="Arial"/>
                <w:sz w:val="16"/>
                <w:szCs w:val="16"/>
              </w:rPr>
              <w:t>Grey-tailed tattler</w:t>
            </w:r>
          </w:p>
        </w:tc>
        <w:tc>
          <w:tcPr>
            <w:tcW w:w="1193" w:type="dxa"/>
            <w:shd w:val="clear" w:color="auto" w:fill="F2F2F2"/>
            <w:vAlign w:val="center"/>
          </w:tcPr>
          <w:p w14:paraId="33A3F108" w14:textId="77777777" w:rsidR="00F30214" w:rsidRPr="00951C6E" w:rsidRDefault="00F30214" w:rsidP="00951C6E">
            <w:pPr>
              <w:spacing w:before="40" w:after="40"/>
              <w:jc w:val="center"/>
              <w:rPr>
                <w:rFonts w:cs="Arial"/>
                <w:sz w:val="16"/>
                <w:szCs w:val="16"/>
              </w:rPr>
            </w:pPr>
            <w:r w:rsidRPr="00951C6E">
              <w:rPr>
                <w:rFonts w:cs="Arial"/>
                <w:sz w:val="16"/>
                <w:szCs w:val="16"/>
              </w:rPr>
              <w:t>-</w:t>
            </w:r>
          </w:p>
        </w:tc>
        <w:tc>
          <w:tcPr>
            <w:tcW w:w="1093" w:type="dxa"/>
            <w:shd w:val="clear" w:color="auto" w:fill="F2F2F2"/>
            <w:vAlign w:val="center"/>
          </w:tcPr>
          <w:p w14:paraId="33628B36" w14:textId="6F33F5E7" w:rsidR="00F30214" w:rsidRPr="00951C6E" w:rsidRDefault="00241F92" w:rsidP="00951C6E">
            <w:pPr>
              <w:spacing w:before="40" w:after="40"/>
              <w:jc w:val="center"/>
              <w:rPr>
                <w:rFonts w:cs="Arial"/>
                <w:sz w:val="16"/>
                <w:szCs w:val="16"/>
              </w:rPr>
            </w:pPr>
            <w:r w:rsidRPr="00951C6E">
              <w:rPr>
                <w:rFonts w:cs="Arial"/>
                <w:sz w:val="16"/>
                <w:szCs w:val="16"/>
              </w:rPr>
              <w:t>Yes</w:t>
            </w:r>
          </w:p>
        </w:tc>
        <w:tc>
          <w:tcPr>
            <w:tcW w:w="904" w:type="dxa"/>
            <w:shd w:val="clear" w:color="auto" w:fill="F2F2F2"/>
            <w:vAlign w:val="center"/>
          </w:tcPr>
          <w:p w14:paraId="66835F25" w14:textId="413384C1"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1071" w:type="dxa"/>
            <w:shd w:val="clear" w:color="auto" w:fill="F2F2F2"/>
            <w:vAlign w:val="center"/>
          </w:tcPr>
          <w:p w14:paraId="58E6080C" w14:textId="3195DC93" w:rsidR="00F30214" w:rsidRPr="00951C6E" w:rsidRDefault="002A2634" w:rsidP="00951C6E">
            <w:pPr>
              <w:spacing w:before="40" w:after="40"/>
              <w:jc w:val="center"/>
              <w:rPr>
                <w:rFonts w:cs="Arial"/>
                <w:sz w:val="16"/>
                <w:szCs w:val="16"/>
              </w:rPr>
            </w:pPr>
            <w:r w:rsidRPr="00951C6E">
              <w:rPr>
                <w:rFonts w:cs="Arial"/>
                <w:sz w:val="16"/>
                <w:szCs w:val="16"/>
              </w:rPr>
              <w:t>T</w:t>
            </w:r>
          </w:p>
        </w:tc>
        <w:tc>
          <w:tcPr>
            <w:tcW w:w="882" w:type="dxa"/>
            <w:shd w:val="clear" w:color="auto" w:fill="F2F2F2"/>
            <w:vAlign w:val="center"/>
          </w:tcPr>
          <w:p w14:paraId="0BCFACFF" w14:textId="07F56E06" w:rsidR="00F30214" w:rsidRPr="00951C6E" w:rsidRDefault="00F30214" w:rsidP="00951C6E">
            <w:pPr>
              <w:spacing w:before="40" w:after="40"/>
              <w:jc w:val="center"/>
              <w:rPr>
                <w:rFonts w:cs="Arial"/>
                <w:sz w:val="16"/>
                <w:szCs w:val="16"/>
              </w:rPr>
            </w:pPr>
            <w:r w:rsidRPr="00951C6E">
              <w:rPr>
                <w:rFonts w:cs="Arial"/>
                <w:sz w:val="16"/>
                <w:szCs w:val="16"/>
              </w:rPr>
              <w:t>-</w:t>
            </w:r>
          </w:p>
        </w:tc>
        <w:tc>
          <w:tcPr>
            <w:tcW w:w="1071" w:type="dxa"/>
            <w:shd w:val="clear" w:color="auto" w:fill="F2F2F2"/>
            <w:vAlign w:val="center"/>
          </w:tcPr>
          <w:p w14:paraId="392C770C" w14:textId="376D8E43" w:rsidR="00F30214" w:rsidRPr="00951C6E" w:rsidRDefault="00241F92" w:rsidP="00951C6E">
            <w:pPr>
              <w:spacing w:before="40" w:after="40"/>
              <w:jc w:val="center"/>
              <w:rPr>
                <w:rFonts w:cs="Arial"/>
                <w:sz w:val="16"/>
                <w:szCs w:val="16"/>
              </w:rPr>
            </w:pPr>
            <w:r w:rsidRPr="00951C6E">
              <w:rPr>
                <w:rFonts w:cs="Arial"/>
                <w:sz w:val="16"/>
                <w:szCs w:val="16"/>
              </w:rPr>
              <w:t>-</w:t>
            </w:r>
          </w:p>
        </w:tc>
      </w:tr>
      <w:tr w:rsidR="00245DE7" w:rsidRPr="00951C6E" w14:paraId="2E9A7CB4" w14:textId="77777777" w:rsidTr="00951C6E">
        <w:trPr>
          <w:cantSplit/>
        </w:trPr>
        <w:tc>
          <w:tcPr>
            <w:tcW w:w="1627" w:type="dxa"/>
            <w:shd w:val="clear" w:color="auto" w:fill="F2F2F2"/>
            <w:vAlign w:val="center"/>
          </w:tcPr>
          <w:p w14:paraId="7F679780" w14:textId="77AEDFC0" w:rsidR="00245DE7" w:rsidRPr="00951C6E" w:rsidRDefault="00245DE7" w:rsidP="00951C6E">
            <w:pPr>
              <w:spacing w:before="40" w:after="40"/>
              <w:rPr>
                <w:rFonts w:cs="Arial"/>
                <w:i/>
                <w:sz w:val="16"/>
                <w:szCs w:val="16"/>
              </w:rPr>
            </w:pPr>
            <w:r>
              <w:rPr>
                <w:rFonts w:cs="Arial"/>
                <w:i/>
                <w:sz w:val="16"/>
                <w:szCs w:val="16"/>
              </w:rPr>
              <w:t>Pandion haliaetus</w:t>
            </w:r>
          </w:p>
        </w:tc>
        <w:tc>
          <w:tcPr>
            <w:tcW w:w="1271" w:type="dxa"/>
            <w:shd w:val="clear" w:color="auto" w:fill="F2F2F2"/>
          </w:tcPr>
          <w:p w14:paraId="442BF4DF" w14:textId="0ACACB34" w:rsidR="00245DE7" w:rsidRPr="002D1ACD" w:rsidRDefault="00245DE7" w:rsidP="00951C6E">
            <w:pPr>
              <w:spacing w:before="40" w:after="40"/>
              <w:rPr>
                <w:rFonts w:cs="Arial"/>
                <w:sz w:val="16"/>
                <w:szCs w:val="16"/>
              </w:rPr>
            </w:pPr>
            <w:r w:rsidRPr="002D1ACD">
              <w:rPr>
                <w:rFonts w:cs="Arial"/>
                <w:sz w:val="16"/>
                <w:szCs w:val="16"/>
              </w:rPr>
              <w:t>Osprey</w:t>
            </w:r>
          </w:p>
        </w:tc>
        <w:tc>
          <w:tcPr>
            <w:tcW w:w="1193" w:type="dxa"/>
            <w:shd w:val="clear" w:color="auto" w:fill="F2F2F2"/>
            <w:vAlign w:val="center"/>
          </w:tcPr>
          <w:p w14:paraId="655DF417" w14:textId="20E24683" w:rsidR="00245DE7" w:rsidRPr="00951C6E" w:rsidRDefault="00245DE7" w:rsidP="00951C6E">
            <w:pPr>
              <w:spacing w:before="40" w:after="40"/>
              <w:jc w:val="center"/>
              <w:rPr>
                <w:rFonts w:cs="Arial"/>
                <w:sz w:val="16"/>
                <w:szCs w:val="16"/>
              </w:rPr>
            </w:pPr>
            <w:r>
              <w:rPr>
                <w:rFonts w:cs="Arial"/>
                <w:sz w:val="16"/>
                <w:szCs w:val="16"/>
              </w:rPr>
              <w:t>-</w:t>
            </w:r>
          </w:p>
        </w:tc>
        <w:tc>
          <w:tcPr>
            <w:tcW w:w="1093" w:type="dxa"/>
            <w:shd w:val="clear" w:color="auto" w:fill="F2F2F2"/>
            <w:vAlign w:val="center"/>
          </w:tcPr>
          <w:p w14:paraId="6069F177" w14:textId="23B7C10B" w:rsidR="00245DE7" w:rsidRPr="00951C6E" w:rsidRDefault="00245DE7" w:rsidP="00951C6E">
            <w:pPr>
              <w:spacing w:before="40" w:after="40"/>
              <w:jc w:val="center"/>
              <w:rPr>
                <w:rFonts w:cs="Arial"/>
                <w:sz w:val="16"/>
                <w:szCs w:val="16"/>
              </w:rPr>
            </w:pPr>
            <w:r>
              <w:rPr>
                <w:rFonts w:cs="Arial"/>
                <w:sz w:val="16"/>
                <w:szCs w:val="16"/>
              </w:rPr>
              <w:t>Yes</w:t>
            </w:r>
          </w:p>
        </w:tc>
        <w:tc>
          <w:tcPr>
            <w:tcW w:w="904" w:type="dxa"/>
            <w:shd w:val="clear" w:color="auto" w:fill="F2F2F2"/>
            <w:vAlign w:val="center"/>
          </w:tcPr>
          <w:p w14:paraId="5B615DA3" w14:textId="5B759857" w:rsidR="00245DE7" w:rsidRPr="00951C6E" w:rsidRDefault="00245DE7" w:rsidP="00951C6E">
            <w:pPr>
              <w:spacing w:before="40" w:after="40"/>
              <w:jc w:val="center"/>
              <w:rPr>
                <w:rFonts w:cs="Arial"/>
                <w:sz w:val="16"/>
                <w:szCs w:val="16"/>
              </w:rPr>
            </w:pPr>
            <w:r>
              <w:rPr>
                <w:rFonts w:cs="Arial"/>
                <w:sz w:val="16"/>
                <w:szCs w:val="16"/>
              </w:rPr>
              <w:t>Yes</w:t>
            </w:r>
          </w:p>
        </w:tc>
        <w:tc>
          <w:tcPr>
            <w:tcW w:w="1071" w:type="dxa"/>
            <w:shd w:val="clear" w:color="auto" w:fill="F2F2F2"/>
            <w:vAlign w:val="center"/>
          </w:tcPr>
          <w:p w14:paraId="41521646" w14:textId="4962172C" w:rsidR="00245DE7" w:rsidRPr="00951C6E" w:rsidRDefault="00245DE7" w:rsidP="00951C6E">
            <w:pPr>
              <w:spacing w:before="40" w:after="40"/>
              <w:jc w:val="center"/>
              <w:rPr>
                <w:rFonts w:cs="Arial"/>
                <w:sz w:val="16"/>
                <w:szCs w:val="16"/>
              </w:rPr>
            </w:pPr>
            <w:r>
              <w:rPr>
                <w:rFonts w:cs="Arial"/>
                <w:sz w:val="16"/>
                <w:szCs w:val="16"/>
              </w:rPr>
              <w:t>-</w:t>
            </w:r>
          </w:p>
        </w:tc>
        <w:tc>
          <w:tcPr>
            <w:tcW w:w="882" w:type="dxa"/>
            <w:shd w:val="clear" w:color="auto" w:fill="F2F2F2"/>
            <w:vAlign w:val="center"/>
          </w:tcPr>
          <w:p w14:paraId="052D5007" w14:textId="531FDD75" w:rsidR="00245DE7" w:rsidRPr="00951C6E" w:rsidRDefault="00245DE7" w:rsidP="00951C6E">
            <w:pPr>
              <w:spacing w:before="40" w:after="40"/>
              <w:jc w:val="center"/>
              <w:rPr>
                <w:rFonts w:cs="Arial"/>
                <w:sz w:val="16"/>
                <w:szCs w:val="16"/>
              </w:rPr>
            </w:pPr>
            <w:r>
              <w:rPr>
                <w:rFonts w:cs="Arial"/>
                <w:sz w:val="16"/>
                <w:szCs w:val="16"/>
              </w:rPr>
              <w:t>-</w:t>
            </w:r>
          </w:p>
        </w:tc>
        <w:tc>
          <w:tcPr>
            <w:tcW w:w="1071" w:type="dxa"/>
            <w:shd w:val="clear" w:color="auto" w:fill="F2F2F2"/>
            <w:vAlign w:val="center"/>
          </w:tcPr>
          <w:p w14:paraId="3663D2CB" w14:textId="087FAF9E" w:rsidR="00245DE7" w:rsidRPr="00951C6E" w:rsidRDefault="00245DE7" w:rsidP="00951C6E">
            <w:pPr>
              <w:spacing w:before="40" w:after="40"/>
              <w:jc w:val="center"/>
              <w:rPr>
                <w:rFonts w:cs="Arial"/>
                <w:sz w:val="16"/>
                <w:szCs w:val="16"/>
              </w:rPr>
            </w:pPr>
            <w:r>
              <w:rPr>
                <w:rFonts w:cs="Arial"/>
                <w:sz w:val="16"/>
                <w:szCs w:val="16"/>
              </w:rPr>
              <w:t>-</w:t>
            </w:r>
          </w:p>
        </w:tc>
      </w:tr>
      <w:tr w:rsidR="00F30214" w:rsidRPr="00951C6E" w14:paraId="6DED40AF" w14:textId="77777777" w:rsidTr="00951C6E">
        <w:trPr>
          <w:cantSplit/>
        </w:trPr>
        <w:tc>
          <w:tcPr>
            <w:tcW w:w="1627" w:type="dxa"/>
            <w:shd w:val="clear" w:color="auto" w:fill="F2F2F2"/>
            <w:vAlign w:val="center"/>
          </w:tcPr>
          <w:p w14:paraId="045133B0" w14:textId="77777777" w:rsidR="00F30214" w:rsidRPr="00951C6E" w:rsidRDefault="00F30214" w:rsidP="00951C6E">
            <w:pPr>
              <w:spacing w:before="40" w:after="40"/>
              <w:rPr>
                <w:rFonts w:cs="Arial"/>
                <w:i/>
                <w:sz w:val="16"/>
                <w:szCs w:val="16"/>
              </w:rPr>
            </w:pPr>
            <w:r w:rsidRPr="00951C6E">
              <w:rPr>
                <w:rFonts w:cs="Arial"/>
                <w:i/>
                <w:sz w:val="16"/>
                <w:szCs w:val="16"/>
              </w:rPr>
              <w:t>Phalacrocorax fuscescens</w:t>
            </w:r>
          </w:p>
        </w:tc>
        <w:tc>
          <w:tcPr>
            <w:tcW w:w="1271" w:type="dxa"/>
            <w:shd w:val="clear" w:color="auto" w:fill="F2F2F2"/>
          </w:tcPr>
          <w:p w14:paraId="3A388F2D" w14:textId="77777777" w:rsidR="00F30214" w:rsidRPr="002D1ACD" w:rsidRDefault="00F30214" w:rsidP="00951C6E">
            <w:pPr>
              <w:spacing w:before="40" w:after="40"/>
              <w:rPr>
                <w:rFonts w:cs="Arial"/>
                <w:sz w:val="16"/>
                <w:szCs w:val="16"/>
              </w:rPr>
            </w:pPr>
            <w:r w:rsidRPr="002D1ACD">
              <w:rPr>
                <w:rFonts w:cs="Arial"/>
                <w:sz w:val="16"/>
                <w:szCs w:val="16"/>
              </w:rPr>
              <w:t>Black-faced cormorant</w:t>
            </w:r>
          </w:p>
        </w:tc>
        <w:tc>
          <w:tcPr>
            <w:tcW w:w="1193" w:type="dxa"/>
            <w:shd w:val="clear" w:color="auto" w:fill="F2F2F2"/>
            <w:vAlign w:val="center"/>
          </w:tcPr>
          <w:p w14:paraId="26D97995" w14:textId="77777777" w:rsidR="00F30214" w:rsidRPr="00951C6E" w:rsidRDefault="00F30214" w:rsidP="00951C6E">
            <w:pPr>
              <w:spacing w:before="40" w:after="40"/>
              <w:jc w:val="center"/>
              <w:rPr>
                <w:rFonts w:cs="Arial"/>
                <w:sz w:val="16"/>
                <w:szCs w:val="16"/>
              </w:rPr>
            </w:pPr>
            <w:r w:rsidRPr="00951C6E">
              <w:rPr>
                <w:rFonts w:cs="Arial"/>
                <w:sz w:val="16"/>
                <w:szCs w:val="16"/>
              </w:rPr>
              <w:t>-</w:t>
            </w:r>
          </w:p>
        </w:tc>
        <w:tc>
          <w:tcPr>
            <w:tcW w:w="1093" w:type="dxa"/>
            <w:shd w:val="clear" w:color="auto" w:fill="F2F2F2"/>
            <w:vAlign w:val="center"/>
          </w:tcPr>
          <w:p w14:paraId="001A0081" w14:textId="77777777" w:rsidR="00F30214" w:rsidRPr="00951C6E" w:rsidRDefault="00F30214" w:rsidP="00951C6E">
            <w:pPr>
              <w:spacing w:before="40" w:after="40"/>
              <w:jc w:val="center"/>
              <w:rPr>
                <w:rFonts w:cs="Arial"/>
                <w:sz w:val="16"/>
                <w:szCs w:val="16"/>
              </w:rPr>
            </w:pPr>
            <w:r w:rsidRPr="00951C6E">
              <w:rPr>
                <w:rFonts w:cs="Arial"/>
                <w:sz w:val="16"/>
                <w:szCs w:val="16"/>
              </w:rPr>
              <w:t>-</w:t>
            </w:r>
          </w:p>
        </w:tc>
        <w:tc>
          <w:tcPr>
            <w:tcW w:w="904" w:type="dxa"/>
            <w:shd w:val="clear" w:color="auto" w:fill="F2F2F2"/>
            <w:vAlign w:val="center"/>
          </w:tcPr>
          <w:p w14:paraId="00921142" w14:textId="0D219ACB"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1071" w:type="dxa"/>
            <w:shd w:val="clear" w:color="auto" w:fill="F2F2F2"/>
            <w:vAlign w:val="center"/>
          </w:tcPr>
          <w:p w14:paraId="7EACD3E3" w14:textId="4477BFCD" w:rsidR="00F30214" w:rsidRPr="00951C6E" w:rsidRDefault="00F30214" w:rsidP="00951C6E">
            <w:pPr>
              <w:spacing w:before="40" w:after="40"/>
              <w:jc w:val="center"/>
              <w:rPr>
                <w:rFonts w:cs="Arial"/>
                <w:sz w:val="16"/>
                <w:szCs w:val="16"/>
              </w:rPr>
            </w:pPr>
            <w:r w:rsidRPr="00951C6E">
              <w:rPr>
                <w:rFonts w:cs="Arial"/>
                <w:sz w:val="16"/>
                <w:szCs w:val="16"/>
              </w:rPr>
              <w:t>-</w:t>
            </w:r>
          </w:p>
        </w:tc>
        <w:tc>
          <w:tcPr>
            <w:tcW w:w="882" w:type="dxa"/>
            <w:shd w:val="clear" w:color="auto" w:fill="F2F2F2"/>
            <w:vAlign w:val="center"/>
          </w:tcPr>
          <w:p w14:paraId="47499B8B" w14:textId="76F16128" w:rsidR="00F30214" w:rsidRPr="00951C6E" w:rsidRDefault="00F30214" w:rsidP="00951C6E">
            <w:pPr>
              <w:spacing w:before="40" w:after="40"/>
              <w:jc w:val="center"/>
              <w:rPr>
                <w:rFonts w:cs="Arial"/>
                <w:sz w:val="16"/>
                <w:szCs w:val="16"/>
              </w:rPr>
            </w:pPr>
            <w:r w:rsidRPr="00951C6E">
              <w:rPr>
                <w:rFonts w:cs="Arial"/>
                <w:sz w:val="16"/>
                <w:szCs w:val="16"/>
              </w:rPr>
              <w:t>-</w:t>
            </w:r>
          </w:p>
        </w:tc>
        <w:tc>
          <w:tcPr>
            <w:tcW w:w="1071" w:type="dxa"/>
            <w:shd w:val="clear" w:color="auto" w:fill="F2F2F2"/>
            <w:vAlign w:val="center"/>
          </w:tcPr>
          <w:p w14:paraId="6DE10E44" w14:textId="45638990" w:rsidR="00F30214" w:rsidRPr="00951C6E" w:rsidRDefault="003204E9" w:rsidP="00951C6E">
            <w:pPr>
              <w:spacing w:before="40" w:after="40"/>
              <w:jc w:val="center"/>
              <w:rPr>
                <w:rFonts w:cs="Arial"/>
                <w:sz w:val="16"/>
                <w:szCs w:val="16"/>
              </w:rPr>
            </w:pPr>
            <w:r w:rsidRPr="00951C6E">
              <w:rPr>
                <w:rFonts w:cs="Arial"/>
                <w:sz w:val="16"/>
                <w:szCs w:val="16"/>
              </w:rPr>
              <w:t>-</w:t>
            </w:r>
          </w:p>
        </w:tc>
      </w:tr>
      <w:tr w:rsidR="00F30214" w:rsidRPr="00951C6E" w14:paraId="43493899" w14:textId="77777777" w:rsidTr="00951C6E">
        <w:trPr>
          <w:cantSplit/>
        </w:trPr>
        <w:tc>
          <w:tcPr>
            <w:tcW w:w="1627" w:type="dxa"/>
            <w:shd w:val="clear" w:color="auto" w:fill="auto"/>
            <w:vAlign w:val="center"/>
          </w:tcPr>
          <w:p w14:paraId="41D76EB0" w14:textId="77777777" w:rsidR="00F30214" w:rsidRPr="00951C6E" w:rsidRDefault="00F30214" w:rsidP="00951C6E">
            <w:pPr>
              <w:spacing w:before="40" w:after="40"/>
              <w:rPr>
                <w:rFonts w:cs="Arial"/>
                <w:i/>
                <w:sz w:val="16"/>
                <w:szCs w:val="16"/>
              </w:rPr>
            </w:pPr>
            <w:r w:rsidRPr="00951C6E">
              <w:rPr>
                <w:rFonts w:cs="Arial"/>
                <w:i/>
                <w:sz w:val="16"/>
                <w:szCs w:val="16"/>
              </w:rPr>
              <w:lastRenderedPageBreak/>
              <w:t>Pluvialis fulva</w:t>
            </w:r>
          </w:p>
        </w:tc>
        <w:tc>
          <w:tcPr>
            <w:tcW w:w="1271" w:type="dxa"/>
            <w:shd w:val="clear" w:color="auto" w:fill="auto"/>
          </w:tcPr>
          <w:p w14:paraId="00BE2C2F" w14:textId="77777777" w:rsidR="00F30214" w:rsidRPr="002D1ACD" w:rsidRDefault="00F30214" w:rsidP="00951C6E">
            <w:pPr>
              <w:spacing w:before="40" w:after="40"/>
              <w:rPr>
                <w:rFonts w:cs="Arial"/>
                <w:sz w:val="16"/>
                <w:szCs w:val="16"/>
              </w:rPr>
            </w:pPr>
            <w:r w:rsidRPr="002D1ACD">
              <w:rPr>
                <w:rFonts w:cs="Arial"/>
                <w:sz w:val="16"/>
                <w:szCs w:val="16"/>
              </w:rPr>
              <w:t>Pacific golden plover</w:t>
            </w:r>
          </w:p>
        </w:tc>
        <w:tc>
          <w:tcPr>
            <w:tcW w:w="1193" w:type="dxa"/>
            <w:shd w:val="clear" w:color="auto" w:fill="auto"/>
            <w:vAlign w:val="center"/>
          </w:tcPr>
          <w:p w14:paraId="1AB1BD2D" w14:textId="77777777" w:rsidR="00F30214" w:rsidRPr="00951C6E" w:rsidRDefault="00F30214" w:rsidP="00951C6E">
            <w:pPr>
              <w:spacing w:before="40" w:after="40"/>
              <w:jc w:val="center"/>
              <w:rPr>
                <w:rFonts w:cs="Arial"/>
                <w:sz w:val="16"/>
                <w:szCs w:val="16"/>
              </w:rPr>
            </w:pPr>
            <w:r w:rsidRPr="00951C6E">
              <w:rPr>
                <w:rFonts w:cs="Arial"/>
                <w:sz w:val="16"/>
                <w:szCs w:val="16"/>
              </w:rPr>
              <w:t>-</w:t>
            </w:r>
          </w:p>
        </w:tc>
        <w:tc>
          <w:tcPr>
            <w:tcW w:w="1093" w:type="dxa"/>
            <w:shd w:val="clear" w:color="auto" w:fill="auto"/>
            <w:vAlign w:val="center"/>
          </w:tcPr>
          <w:p w14:paraId="2FB3205F" w14:textId="3A26030D" w:rsidR="00F30214" w:rsidRPr="00951C6E" w:rsidRDefault="00464903" w:rsidP="00951C6E">
            <w:pPr>
              <w:spacing w:before="40" w:after="40"/>
              <w:jc w:val="center"/>
              <w:rPr>
                <w:rFonts w:cs="Arial"/>
                <w:sz w:val="16"/>
                <w:szCs w:val="16"/>
              </w:rPr>
            </w:pPr>
            <w:r w:rsidRPr="00951C6E">
              <w:rPr>
                <w:rFonts w:cs="Arial"/>
                <w:sz w:val="16"/>
                <w:szCs w:val="16"/>
              </w:rPr>
              <w:t>Yes</w:t>
            </w:r>
          </w:p>
        </w:tc>
        <w:tc>
          <w:tcPr>
            <w:tcW w:w="904" w:type="dxa"/>
            <w:shd w:val="clear" w:color="auto" w:fill="auto"/>
            <w:vAlign w:val="center"/>
          </w:tcPr>
          <w:p w14:paraId="05EDA442" w14:textId="6642144C"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1071" w:type="dxa"/>
            <w:shd w:val="clear" w:color="auto" w:fill="auto"/>
            <w:vAlign w:val="center"/>
          </w:tcPr>
          <w:p w14:paraId="08C33B9A" w14:textId="4105E2BB" w:rsidR="00F30214" w:rsidRPr="00951C6E" w:rsidRDefault="00F30214" w:rsidP="00951C6E">
            <w:pPr>
              <w:spacing w:before="40" w:after="40"/>
              <w:jc w:val="center"/>
              <w:rPr>
                <w:rFonts w:cs="Arial"/>
                <w:sz w:val="16"/>
                <w:szCs w:val="16"/>
              </w:rPr>
            </w:pPr>
            <w:r w:rsidRPr="00951C6E">
              <w:rPr>
                <w:rFonts w:cs="Arial"/>
                <w:sz w:val="16"/>
                <w:szCs w:val="16"/>
              </w:rPr>
              <w:t>-</w:t>
            </w:r>
          </w:p>
        </w:tc>
        <w:tc>
          <w:tcPr>
            <w:tcW w:w="882" w:type="dxa"/>
            <w:shd w:val="clear" w:color="auto" w:fill="auto"/>
            <w:vAlign w:val="center"/>
          </w:tcPr>
          <w:p w14:paraId="44D246F1" w14:textId="4C901260" w:rsidR="00F30214" w:rsidRPr="00951C6E" w:rsidRDefault="00F30214" w:rsidP="00951C6E">
            <w:pPr>
              <w:spacing w:before="40" w:after="40"/>
              <w:jc w:val="center"/>
              <w:rPr>
                <w:rFonts w:cs="Arial"/>
                <w:sz w:val="16"/>
                <w:szCs w:val="16"/>
              </w:rPr>
            </w:pPr>
            <w:r w:rsidRPr="00951C6E">
              <w:rPr>
                <w:rFonts w:cs="Arial"/>
                <w:sz w:val="16"/>
                <w:szCs w:val="16"/>
              </w:rPr>
              <w:t>-</w:t>
            </w:r>
          </w:p>
        </w:tc>
        <w:tc>
          <w:tcPr>
            <w:tcW w:w="1071" w:type="dxa"/>
            <w:shd w:val="clear" w:color="auto" w:fill="auto"/>
            <w:vAlign w:val="center"/>
          </w:tcPr>
          <w:p w14:paraId="51F87264" w14:textId="5F4FE00A" w:rsidR="00F30214" w:rsidRPr="00951C6E" w:rsidRDefault="00464903" w:rsidP="00951C6E">
            <w:pPr>
              <w:spacing w:before="40" w:after="40"/>
              <w:jc w:val="center"/>
              <w:rPr>
                <w:rFonts w:cs="Arial"/>
                <w:sz w:val="16"/>
                <w:szCs w:val="16"/>
              </w:rPr>
            </w:pPr>
            <w:r w:rsidRPr="00951C6E">
              <w:rPr>
                <w:rFonts w:cs="Arial"/>
                <w:sz w:val="16"/>
                <w:szCs w:val="16"/>
              </w:rPr>
              <w:t>-</w:t>
            </w:r>
          </w:p>
        </w:tc>
      </w:tr>
      <w:tr w:rsidR="00F30214" w:rsidRPr="00951C6E" w14:paraId="70EFD6DD" w14:textId="77777777" w:rsidTr="00951C6E">
        <w:trPr>
          <w:cantSplit/>
        </w:trPr>
        <w:tc>
          <w:tcPr>
            <w:tcW w:w="1627" w:type="dxa"/>
            <w:shd w:val="clear" w:color="auto" w:fill="F2F2F2"/>
            <w:vAlign w:val="center"/>
          </w:tcPr>
          <w:p w14:paraId="307A889E" w14:textId="77777777" w:rsidR="00F30214" w:rsidRPr="00951C6E" w:rsidRDefault="00F30214" w:rsidP="00951C6E">
            <w:pPr>
              <w:spacing w:before="40" w:after="40"/>
              <w:rPr>
                <w:rFonts w:cs="Arial"/>
                <w:i/>
                <w:sz w:val="16"/>
                <w:szCs w:val="16"/>
              </w:rPr>
            </w:pPr>
            <w:r w:rsidRPr="00951C6E">
              <w:rPr>
                <w:rFonts w:cs="Arial"/>
                <w:i/>
                <w:sz w:val="16"/>
                <w:szCs w:val="16"/>
              </w:rPr>
              <w:t>Sterna albifrons</w:t>
            </w:r>
          </w:p>
        </w:tc>
        <w:tc>
          <w:tcPr>
            <w:tcW w:w="1271" w:type="dxa"/>
            <w:shd w:val="clear" w:color="auto" w:fill="F2F2F2"/>
          </w:tcPr>
          <w:p w14:paraId="67D7DF47" w14:textId="77777777" w:rsidR="00F30214" w:rsidRPr="002D1ACD" w:rsidRDefault="00F30214" w:rsidP="00951C6E">
            <w:pPr>
              <w:spacing w:before="40" w:after="40"/>
              <w:rPr>
                <w:rFonts w:cs="Arial"/>
                <w:sz w:val="16"/>
                <w:szCs w:val="16"/>
              </w:rPr>
            </w:pPr>
            <w:r w:rsidRPr="002D1ACD">
              <w:rPr>
                <w:rFonts w:cs="Arial"/>
                <w:sz w:val="16"/>
                <w:szCs w:val="16"/>
              </w:rPr>
              <w:t>Little tern</w:t>
            </w:r>
          </w:p>
        </w:tc>
        <w:tc>
          <w:tcPr>
            <w:tcW w:w="1193" w:type="dxa"/>
            <w:shd w:val="clear" w:color="auto" w:fill="F2F2F2"/>
            <w:vAlign w:val="center"/>
          </w:tcPr>
          <w:p w14:paraId="5F9D8460" w14:textId="77777777" w:rsidR="00F30214" w:rsidRPr="00951C6E" w:rsidRDefault="00F30214" w:rsidP="00951C6E">
            <w:pPr>
              <w:spacing w:before="40" w:after="40"/>
              <w:jc w:val="center"/>
              <w:rPr>
                <w:rFonts w:cs="Arial"/>
                <w:sz w:val="16"/>
                <w:szCs w:val="16"/>
              </w:rPr>
            </w:pPr>
            <w:r w:rsidRPr="00951C6E">
              <w:rPr>
                <w:rFonts w:cs="Arial"/>
                <w:sz w:val="16"/>
                <w:szCs w:val="16"/>
              </w:rPr>
              <w:t>-</w:t>
            </w:r>
          </w:p>
        </w:tc>
        <w:tc>
          <w:tcPr>
            <w:tcW w:w="1093" w:type="dxa"/>
            <w:shd w:val="clear" w:color="auto" w:fill="F2F2F2"/>
            <w:vAlign w:val="center"/>
          </w:tcPr>
          <w:p w14:paraId="38EC520F" w14:textId="557874AD"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904" w:type="dxa"/>
            <w:shd w:val="clear" w:color="auto" w:fill="F2F2F2"/>
            <w:vAlign w:val="center"/>
          </w:tcPr>
          <w:p w14:paraId="5D14D49A" w14:textId="11785C87"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1071" w:type="dxa"/>
            <w:shd w:val="clear" w:color="auto" w:fill="F2F2F2"/>
            <w:vAlign w:val="center"/>
          </w:tcPr>
          <w:p w14:paraId="032CF8E8" w14:textId="3F0A0AC9" w:rsidR="00F30214" w:rsidRPr="00951C6E" w:rsidRDefault="002A2634" w:rsidP="00951C6E">
            <w:pPr>
              <w:spacing w:before="40" w:after="40"/>
              <w:jc w:val="center"/>
              <w:rPr>
                <w:rFonts w:cs="Arial"/>
                <w:sz w:val="16"/>
                <w:szCs w:val="16"/>
              </w:rPr>
            </w:pPr>
            <w:r w:rsidRPr="00951C6E">
              <w:rPr>
                <w:rFonts w:cs="Arial"/>
                <w:sz w:val="16"/>
                <w:szCs w:val="16"/>
              </w:rPr>
              <w:t>T</w:t>
            </w:r>
          </w:p>
        </w:tc>
        <w:tc>
          <w:tcPr>
            <w:tcW w:w="882" w:type="dxa"/>
            <w:shd w:val="clear" w:color="auto" w:fill="F2F2F2"/>
            <w:vAlign w:val="center"/>
          </w:tcPr>
          <w:p w14:paraId="6F559167" w14:textId="3D274BE4" w:rsidR="00F30214" w:rsidRPr="00951C6E" w:rsidRDefault="00F30214" w:rsidP="00951C6E">
            <w:pPr>
              <w:spacing w:before="40" w:after="40"/>
              <w:jc w:val="center"/>
              <w:rPr>
                <w:rFonts w:cs="Arial"/>
                <w:sz w:val="16"/>
                <w:szCs w:val="16"/>
              </w:rPr>
            </w:pPr>
            <w:r w:rsidRPr="00951C6E">
              <w:rPr>
                <w:rFonts w:cs="Arial"/>
                <w:sz w:val="16"/>
                <w:szCs w:val="16"/>
              </w:rPr>
              <w:t>-</w:t>
            </w:r>
          </w:p>
        </w:tc>
        <w:tc>
          <w:tcPr>
            <w:tcW w:w="1071" w:type="dxa"/>
            <w:shd w:val="clear" w:color="auto" w:fill="F2F2F2"/>
            <w:vAlign w:val="center"/>
          </w:tcPr>
          <w:p w14:paraId="40B8144E" w14:textId="132AA9EB" w:rsidR="00F30214" w:rsidRPr="00951C6E" w:rsidRDefault="00F30214" w:rsidP="00951C6E">
            <w:pPr>
              <w:spacing w:before="40" w:after="40"/>
              <w:jc w:val="center"/>
              <w:rPr>
                <w:rFonts w:cs="Arial"/>
                <w:sz w:val="16"/>
                <w:szCs w:val="16"/>
              </w:rPr>
            </w:pPr>
            <w:r w:rsidRPr="00951C6E">
              <w:rPr>
                <w:rFonts w:cs="Arial"/>
                <w:sz w:val="16"/>
                <w:szCs w:val="16"/>
              </w:rPr>
              <w:t>-</w:t>
            </w:r>
          </w:p>
        </w:tc>
      </w:tr>
      <w:tr w:rsidR="00F30214" w:rsidRPr="00951C6E" w14:paraId="14A8912A" w14:textId="77777777" w:rsidTr="00951C6E">
        <w:trPr>
          <w:cantSplit/>
        </w:trPr>
        <w:tc>
          <w:tcPr>
            <w:tcW w:w="1627" w:type="dxa"/>
            <w:shd w:val="clear" w:color="auto" w:fill="auto"/>
            <w:vAlign w:val="center"/>
          </w:tcPr>
          <w:p w14:paraId="3C12D705" w14:textId="77777777" w:rsidR="00F30214" w:rsidRPr="00951C6E" w:rsidRDefault="00F30214" w:rsidP="00951C6E">
            <w:pPr>
              <w:spacing w:before="40" w:after="40"/>
              <w:rPr>
                <w:rFonts w:cs="Arial"/>
                <w:i/>
                <w:sz w:val="16"/>
                <w:szCs w:val="16"/>
              </w:rPr>
            </w:pPr>
            <w:r w:rsidRPr="00951C6E">
              <w:rPr>
                <w:rFonts w:cs="Arial"/>
                <w:i/>
                <w:sz w:val="16"/>
                <w:szCs w:val="16"/>
              </w:rPr>
              <w:t>Sterna bergii</w:t>
            </w:r>
          </w:p>
        </w:tc>
        <w:tc>
          <w:tcPr>
            <w:tcW w:w="1271" w:type="dxa"/>
            <w:shd w:val="clear" w:color="auto" w:fill="auto"/>
          </w:tcPr>
          <w:p w14:paraId="39CFA2AC" w14:textId="77777777" w:rsidR="00F30214" w:rsidRPr="002D1ACD" w:rsidRDefault="00F30214" w:rsidP="00951C6E">
            <w:pPr>
              <w:spacing w:before="40" w:after="40"/>
              <w:rPr>
                <w:rFonts w:cs="Arial"/>
                <w:sz w:val="16"/>
                <w:szCs w:val="16"/>
              </w:rPr>
            </w:pPr>
            <w:r w:rsidRPr="002D1ACD">
              <w:rPr>
                <w:rFonts w:cs="Arial"/>
                <w:sz w:val="16"/>
                <w:szCs w:val="16"/>
              </w:rPr>
              <w:t>Crested tern</w:t>
            </w:r>
          </w:p>
        </w:tc>
        <w:tc>
          <w:tcPr>
            <w:tcW w:w="1193" w:type="dxa"/>
            <w:shd w:val="clear" w:color="auto" w:fill="auto"/>
            <w:vAlign w:val="center"/>
          </w:tcPr>
          <w:p w14:paraId="6DA081BD" w14:textId="77777777" w:rsidR="00F30214" w:rsidRPr="00951C6E" w:rsidRDefault="00F30214" w:rsidP="00951C6E">
            <w:pPr>
              <w:spacing w:before="40" w:after="40"/>
              <w:jc w:val="center"/>
              <w:rPr>
                <w:rFonts w:cs="Arial"/>
                <w:sz w:val="16"/>
                <w:szCs w:val="16"/>
              </w:rPr>
            </w:pPr>
            <w:r w:rsidRPr="00951C6E">
              <w:rPr>
                <w:rFonts w:cs="Arial"/>
                <w:sz w:val="16"/>
                <w:szCs w:val="16"/>
              </w:rPr>
              <w:t>-</w:t>
            </w:r>
          </w:p>
        </w:tc>
        <w:tc>
          <w:tcPr>
            <w:tcW w:w="1093" w:type="dxa"/>
            <w:shd w:val="clear" w:color="auto" w:fill="auto"/>
            <w:vAlign w:val="center"/>
          </w:tcPr>
          <w:p w14:paraId="419E2705" w14:textId="4B6C84CD" w:rsidR="00F30214" w:rsidRPr="00951C6E" w:rsidRDefault="00464903" w:rsidP="00951C6E">
            <w:pPr>
              <w:spacing w:before="40" w:after="40"/>
              <w:jc w:val="center"/>
              <w:rPr>
                <w:rFonts w:cs="Arial"/>
                <w:sz w:val="16"/>
                <w:szCs w:val="16"/>
              </w:rPr>
            </w:pPr>
            <w:r w:rsidRPr="00951C6E">
              <w:rPr>
                <w:rFonts w:cs="Arial"/>
                <w:sz w:val="16"/>
                <w:szCs w:val="16"/>
              </w:rPr>
              <w:t>Yes</w:t>
            </w:r>
          </w:p>
        </w:tc>
        <w:tc>
          <w:tcPr>
            <w:tcW w:w="904" w:type="dxa"/>
            <w:shd w:val="clear" w:color="auto" w:fill="auto"/>
            <w:vAlign w:val="center"/>
          </w:tcPr>
          <w:p w14:paraId="6B4BD24A" w14:textId="11A9488D" w:rsidR="00F30214" w:rsidRPr="00951C6E" w:rsidRDefault="00F30214" w:rsidP="00951C6E">
            <w:pPr>
              <w:spacing w:before="40" w:after="40"/>
              <w:jc w:val="center"/>
              <w:rPr>
                <w:rFonts w:cs="Arial"/>
                <w:sz w:val="16"/>
                <w:szCs w:val="16"/>
              </w:rPr>
            </w:pPr>
            <w:r w:rsidRPr="00951C6E">
              <w:rPr>
                <w:rFonts w:cs="Arial"/>
                <w:sz w:val="16"/>
                <w:szCs w:val="16"/>
              </w:rPr>
              <w:t>Yes</w:t>
            </w:r>
          </w:p>
        </w:tc>
        <w:tc>
          <w:tcPr>
            <w:tcW w:w="1071" w:type="dxa"/>
            <w:shd w:val="clear" w:color="auto" w:fill="auto"/>
            <w:vAlign w:val="center"/>
          </w:tcPr>
          <w:p w14:paraId="56CF5B2A" w14:textId="0C17A3CE" w:rsidR="00F30214" w:rsidRPr="00951C6E" w:rsidRDefault="00F30214" w:rsidP="00951C6E">
            <w:pPr>
              <w:spacing w:before="40" w:after="40"/>
              <w:jc w:val="center"/>
              <w:rPr>
                <w:rFonts w:cs="Arial"/>
                <w:sz w:val="16"/>
                <w:szCs w:val="16"/>
              </w:rPr>
            </w:pPr>
            <w:r w:rsidRPr="00951C6E">
              <w:rPr>
                <w:rFonts w:cs="Arial"/>
                <w:sz w:val="16"/>
                <w:szCs w:val="16"/>
              </w:rPr>
              <w:t>-</w:t>
            </w:r>
          </w:p>
        </w:tc>
        <w:tc>
          <w:tcPr>
            <w:tcW w:w="882" w:type="dxa"/>
            <w:shd w:val="clear" w:color="auto" w:fill="auto"/>
            <w:vAlign w:val="center"/>
          </w:tcPr>
          <w:p w14:paraId="6BE944E1" w14:textId="676E6B60" w:rsidR="00F30214" w:rsidRPr="00951C6E" w:rsidRDefault="00F30214" w:rsidP="00951C6E">
            <w:pPr>
              <w:spacing w:before="40" w:after="40"/>
              <w:jc w:val="center"/>
              <w:rPr>
                <w:rFonts w:cs="Arial"/>
                <w:sz w:val="16"/>
                <w:szCs w:val="16"/>
              </w:rPr>
            </w:pPr>
            <w:r w:rsidRPr="00951C6E">
              <w:rPr>
                <w:rFonts w:cs="Arial"/>
                <w:sz w:val="16"/>
                <w:szCs w:val="16"/>
              </w:rPr>
              <w:t>-</w:t>
            </w:r>
          </w:p>
        </w:tc>
        <w:tc>
          <w:tcPr>
            <w:tcW w:w="1071" w:type="dxa"/>
            <w:shd w:val="clear" w:color="auto" w:fill="auto"/>
            <w:vAlign w:val="center"/>
          </w:tcPr>
          <w:p w14:paraId="6F0457C8" w14:textId="1D2F8A96" w:rsidR="00F30214" w:rsidRPr="00951C6E" w:rsidRDefault="00464903" w:rsidP="00951C6E">
            <w:pPr>
              <w:spacing w:before="40" w:after="40"/>
              <w:jc w:val="center"/>
              <w:rPr>
                <w:rFonts w:cs="Arial"/>
                <w:sz w:val="16"/>
                <w:szCs w:val="16"/>
              </w:rPr>
            </w:pPr>
            <w:r w:rsidRPr="00951C6E">
              <w:rPr>
                <w:rFonts w:cs="Arial"/>
                <w:sz w:val="16"/>
                <w:szCs w:val="16"/>
              </w:rPr>
              <w:t>-</w:t>
            </w:r>
          </w:p>
        </w:tc>
      </w:tr>
      <w:tr w:rsidR="0041077E" w:rsidRPr="00951C6E" w14:paraId="16B405E1" w14:textId="77777777" w:rsidTr="00951C6E">
        <w:trPr>
          <w:cantSplit/>
        </w:trPr>
        <w:tc>
          <w:tcPr>
            <w:tcW w:w="1627" w:type="dxa"/>
            <w:shd w:val="clear" w:color="auto" w:fill="F2F2F2"/>
            <w:vAlign w:val="center"/>
          </w:tcPr>
          <w:p w14:paraId="21D5B554" w14:textId="77777777" w:rsidR="0041077E" w:rsidRPr="00951C6E" w:rsidRDefault="0041077E" w:rsidP="00951C6E">
            <w:pPr>
              <w:spacing w:before="40" w:after="40"/>
              <w:rPr>
                <w:rFonts w:cs="Arial"/>
                <w:i/>
                <w:sz w:val="16"/>
                <w:szCs w:val="16"/>
              </w:rPr>
            </w:pPr>
            <w:r w:rsidRPr="00951C6E">
              <w:rPr>
                <w:rFonts w:cs="Arial"/>
                <w:i/>
                <w:sz w:val="16"/>
                <w:szCs w:val="16"/>
              </w:rPr>
              <w:t>Sternula nereis nereis</w:t>
            </w:r>
          </w:p>
        </w:tc>
        <w:tc>
          <w:tcPr>
            <w:tcW w:w="1271" w:type="dxa"/>
            <w:shd w:val="clear" w:color="auto" w:fill="F2F2F2"/>
          </w:tcPr>
          <w:p w14:paraId="1E9A0C6B" w14:textId="77777777" w:rsidR="0041077E" w:rsidRPr="002D1ACD" w:rsidRDefault="0041077E" w:rsidP="00951C6E">
            <w:pPr>
              <w:spacing w:before="40" w:after="40"/>
              <w:rPr>
                <w:rFonts w:cs="Arial"/>
                <w:sz w:val="16"/>
                <w:szCs w:val="16"/>
              </w:rPr>
            </w:pPr>
            <w:r w:rsidRPr="002D1ACD">
              <w:rPr>
                <w:rFonts w:cs="Arial"/>
                <w:sz w:val="16"/>
                <w:szCs w:val="16"/>
              </w:rPr>
              <w:t>Australian fairy tern</w:t>
            </w:r>
          </w:p>
        </w:tc>
        <w:tc>
          <w:tcPr>
            <w:tcW w:w="1193" w:type="dxa"/>
            <w:shd w:val="clear" w:color="auto" w:fill="F2F2F2"/>
            <w:vAlign w:val="center"/>
          </w:tcPr>
          <w:p w14:paraId="16DB217E" w14:textId="7D835600" w:rsidR="0041077E" w:rsidRPr="00951C6E" w:rsidRDefault="0041077E" w:rsidP="00E00B2D">
            <w:pPr>
              <w:spacing w:before="40" w:after="40"/>
              <w:jc w:val="center"/>
              <w:rPr>
                <w:rFonts w:cs="Arial"/>
                <w:sz w:val="16"/>
                <w:szCs w:val="16"/>
              </w:rPr>
            </w:pPr>
            <w:r w:rsidRPr="00951C6E">
              <w:rPr>
                <w:rFonts w:cs="Arial"/>
                <w:sz w:val="16"/>
                <w:szCs w:val="16"/>
              </w:rPr>
              <w:t>V</w:t>
            </w:r>
          </w:p>
        </w:tc>
        <w:tc>
          <w:tcPr>
            <w:tcW w:w="1093" w:type="dxa"/>
            <w:shd w:val="clear" w:color="auto" w:fill="F2F2F2"/>
            <w:vAlign w:val="center"/>
          </w:tcPr>
          <w:p w14:paraId="6FA09039" w14:textId="77777777" w:rsidR="0041077E" w:rsidRPr="00951C6E" w:rsidRDefault="0041077E" w:rsidP="00951C6E">
            <w:pPr>
              <w:spacing w:before="40" w:after="40"/>
              <w:jc w:val="center"/>
              <w:rPr>
                <w:rFonts w:cs="Arial"/>
                <w:sz w:val="16"/>
                <w:szCs w:val="16"/>
              </w:rPr>
            </w:pPr>
            <w:r w:rsidRPr="00951C6E">
              <w:rPr>
                <w:rFonts w:cs="Arial"/>
                <w:sz w:val="16"/>
                <w:szCs w:val="16"/>
              </w:rPr>
              <w:t>-</w:t>
            </w:r>
          </w:p>
        </w:tc>
        <w:tc>
          <w:tcPr>
            <w:tcW w:w="904" w:type="dxa"/>
            <w:shd w:val="clear" w:color="auto" w:fill="F2F2F2"/>
            <w:vAlign w:val="center"/>
          </w:tcPr>
          <w:p w14:paraId="7DC9D669" w14:textId="77777777" w:rsidR="0041077E" w:rsidRPr="00951C6E" w:rsidRDefault="0041077E" w:rsidP="00951C6E">
            <w:pPr>
              <w:spacing w:before="40" w:after="40"/>
              <w:jc w:val="center"/>
              <w:rPr>
                <w:rFonts w:cs="Arial"/>
                <w:sz w:val="16"/>
                <w:szCs w:val="16"/>
              </w:rPr>
            </w:pPr>
            <w:r w:rsidRPr="00951C6E">
              <w:rPr>
                <w:rFonts w:cs="Arial"/>
                <w:sz w:val="16"/>
                <w:szCs w:val="16"/>
              </w:rPr>
              <w:t>-</w:t>
            </w:r>
          </w:p>
        </w:tc>
        <w:tc>
          <w:tcPr>
            <w:tcW w:w="1071" w:type="dxa"/>
            <w:shd w:val="clear" w:color="auto" w:fill="F2F2F2"/>
            <w:vAlign w:val="center"/>
          </w:tcPr>
          <w:p w14:paraId="43337627" w14:textId="7F4C86D9" w:rsidR="0041077E" w:rsidRPr="00951C6E" w:rsidRDefault="0041077E" w:rsidP="00951C6E">
            <w:pPr>
              <w:spacing w:before="40" w:after="40"/>
              <w:jc w:val="center"/>
              <w:rPr>
                <w:rFonts w:cs="Arial"/>
                <w:sz w:val="16"/>
                <w:szCs w:val="16"/>
              </w:rPr>
            </w:pPr>
            <w:r w:rsidRPr="00951C6E">
              <w:rPr>
                <w:rFonts w:cs="Arial"/>
                <w:sz w:val="16"/>
                <w:szCs w:val="16"/>
              </w:rPr>
              <w:t>T</w:t>
            </w:r>
          </w:p>
        </w:tc>
        <w:tc>
          <w:tcPr>
            <w:tcW w:w="882" w:type="dxa"/>
            <w:shd w:val="clear" w:color="auto" w:fill="F2F2F2"/>
            <w:vAlign w:val="center"/>
          </w:tcPr>
          <w:p w14:paraId="28488153" w14:textId="6D881145" w:rsidR="0041077E" w:rsidRPr="00951C6E" w:rsidRDefault="0041077E" w:rsidP="00951C6E">
            <w:pPr>
              <w:spacing w:before="40" w:after="40"/>
              <w:jc w:val="center"/>
              <w:rPr>
                <w:rFonts w:cs="Arial"/>
                <w:sz w:val="16"/>
                <w:szCs w:val="16"/>
              </w:rPr>
            </w:pPr>
            <w:r w:rsidRPr="00951C6E">
              <w:rPr>
                <w:rFonts w:cs="Arial"/>
                <w:sz w:val="16"/>
                <w:szCs w:val="16"/>
              </w:rPr>
              <w:t>-</w:t>
            </w:r>
          </w:p>
        </w:tc>
        <w:tc>
          <w:tcPr>
            <w:tcW w:w="1071" w:type="dxa"/>
            <w:shd w:val="clear" w:color="auto" w:fill="F2F2F2"/>
            <w:vAlign w:val="center"/>
          </w:tcPr>
          <w:p w14:paraId="009607C0" w14:textId="11C6EEF1" w:rsidR="0041077E" w:rsidRPr="00951C6E" w:rsidRDefault="00F67EFA" w:rsidP="00951C6E">
            <w:pPr>
              <w:spacing w:before="40" w:after="40"/>
              <w:jc w:val="center"/>
              <w:rPr>
                <w:rFonts w:cs="Arial"/>
                <w:sz w:val="16"/>
                <w:szCs w:val="16"/>
              </w:rPr>
            </w:pPr>
            <w:r w:rsidRPr="00951C6E">
              <w:rPr>
                <w:rFonts w:cs="Arial"/>
                <w:sz w:val="16"/>
                <w:szCs w:val="16"/>
              </w:rPr>
              <w:t>CA</w:t>
            </w:r>
          </w:p>
        </w:tc>
      </w:tr>
      <w:tr w:rsidR="0041077E" w:rsidRPr="00951C6E" w14:paraId="1D1B75B3" w14:textId="77777777" w:rsidTr="00951C6E">
        <w:trPr>
          <w:cantSplit/>
        </w:trPr>
        <w:tc>
          <w:tcPr>
            <w:tcW w:w="1627" w:type="dxa"/>
            <w:shd w:val="clear" w:color="auto" w:fill="auto"/>
            <w:vAlign w:val="center"/>
          </w:tcPr>
          <w:p w14:paraId="135233E7" w14:textId="77777777" w:rsidR="0041077E" w:rsidRPr="00951C6E" w:rsidRDefault="0041077E" w:rsidP="00951C6E">
            <w:pPr>
              <w:spacing w:before="40" w:after="40"/>
              <w:rPr>
                <w:rFonts w:cs="Arial"/>
                <w:i/>
                <w:sz w:val="16"/>
                <w:szCs w:val="16"/>
              </w:rPr>
            </w:pPr>
            <w:r w:rsidRPr="00951C6E">
              <w:rPr>
                <w:rFonts w:cs="Arial"/>
                <w:i/>
                <w:sz w:val="16"/>
                <w:szCs w:val="16"/>
              </w:rPr>
              <w:t>Thinornis rubricollis</w:t>
            </w:r>
          </w:p>
        </w:tc>
        <w:tc>
          <w:tcPr>
            <w:tcW w:w="1271" w:type="dxa"/>
            <w:shd w:val="clear" w:color="auto" w:fill="auto"/>
          </w:tcPr>
          <w:p w14:paraId="539DD582" w14:textId="77777777" w:rsidR="0041077E" w:rsidRPr="002D1ACD" w:rsidRDefault="0041077E" w:rsidP="00951C6E">
            <w:pPr>
              <w:spacing w:before="40" w:after="40"/>
              <w:rPr>
                <w:rFonts w:cs="Arial"/>
                <w:sz w:val="16"/>
                <w:szCs w:val="16"/>
              </w:rPr>
            </w:pPr>
            <w:r w:rsidRPr="002D1ACD">
              <w:rPr>
                <w:rFonts w:cs="Arial"/>
                <w:sz w:val="16"/>
                <w:szCs w:val="16"/>
              </w:rPr>
              <w:t>Hooded plover</w:t>
            </w:r>
          </w:p>
        </w:tc>
        <w:tc>
          <w:tcPr>
            <w:tcW w:w="1193" w:type="dxa"/>
            <w:shd w:val="clear" w:color="auto" w:fill="auto"/>
            <w:vAlign w:val="center"/>
          </w:tcPr>
          <w:p w14:paraId="6914C157" w14:textId="32873A02" w:rsidR="0041077E" w:rsidRPr="00951C6E" w:rsidRDefault="0041077E" w:rsidP="00E00B2D">
            <w:pPr>
              <w:spacing w:before="40" w:after="40"/>
              <w:jc w:val="center"/>
              <w:rPr>
                <w:rFonts w:cs="Arial"/>
                <w:sz w:val="16"/>
                <w:szCs w:val="16"/>
              </w:rPr>
            </w:pPr>
            <w:r w:rsidRPr="00951C6E">
              <w:rPr>
                <w:rFonts w:cs="Arial"/>
                <w:sz w:val="16"/>
                <w:szCs w:val="16"/>
              </w:rPr>
              <w:t>V</w:t>
            </w:r>
          </w:p>
        </w:tc>
        <w:tc>
          <w:tcPr>
            <w:tcW w:w="1093" w:type="dxa"/>
            <w:shd w:val="clear" w:color="auto" w:fill="auto"/>
            <w:vAlign w:val="center"/>
          </w:tcPr>
          <w:p w14:paraId="5C4A1858" w14:textId="77777777" w:rsidR="0041077E" w:rsidRPr="00951C6E" w:rsidRDefault="0041077E" w:rsidP="00951C6E">
            <w:pPr>
              <w:spacing w:before="40" w:after="40"/>
              <w:jc w:val="center"/>
              <w:rPr>
                <w:rFonts w:cs="Arial"/>
                <w:sz w:val="16"/>
                <w:szCs w:val="16"/>
              </w:rPr>
            </w:pPr>
            <w:r w:rsidRPr="00951C6E">
              <w:rPr>
                <w:rFonts w:cs="Arial"/>
                <w:sz w:val="16"/>
                <w:szCs w:val="16"/>
              </w:rPr>
              <w:t>-</w:t>
            </w:r>
          </w:p>
        </w:tc>
        <w:tc>
          <w:tcPr>
            <w:tcW w:w="904" w:type="dxa"/>
            <w:shd w:val="clear" w:color="auto" w:fill="auto"/>
            <w:vAlign w:val="center"/>
          </w:tcPr>
          <w:p w14:paraId="2194DDD5" w14:textId="0CD2C701" w:rsidR="0041077E" w:rsidRPr="00951C6E" w:rsidRDefault="00F30214" w:rsidP="00951C6E">
            <w:pPr>
              <w:spacing w:before="40" w:after="40"/>
              <w:jc w:val="center"/>
              <w:rPr>
                <w:rFonts w:cs="Arial"/>
                <w:sz w:val="16"/>
                <w:szCs w:val="16"/>
              </w:rPr>
            </w:pPr>
            <w:r w:rsidRPr="00951C6E">
              <w:rPr>
                <w:rFonts w:cs="Arial"/>
                <w:sz w:val="16"/>
                <w:szCs w:val="16"/>
              </w:rPr>
              <w:t>Yes</w:t>
            </w:r>
          </w:p>
        </w:tc>
        <w:tc>
          <w:tcPr>
            <w:tcW w:w="1071" w:type="dxa"/>
            <w:shd w:val="clear" w:color="auto" w:fill="auto"/>
            <w:vAlign w:val="center"/>
          </w:tcPr>
          <w:p w14:paraId="670F0380" w14:textId="35DE3E20" w:rsidR="0041077E" w:rsidRPr="00951C6E" w:rsidRDefault="0041077E" w:rsidP="00951C6E">
            <w:pPr>
              <w:spacing w:before="40" w:after="40"/>
              <w:jc w:val="center"/>
              <w:rPr>
                <w:rFonts w:cs="Arial"/>
                <w:sz w:val="16"/>
                <w:szCs w:val="16"/>
              </w:rPr>
            </w:pPr>
            <w:r w:rsidRPr="00951C6E">
              <w:rPr>
                <w:rFonts w:cs="Arial"/>
                <w:sz w:val="16"/>
                <w:szCs w:val="16"/>
              </w:rPr>
              <w:t>T</w:t>
            </w:r>
          </w:p>
        </w:tc>
        <w:tc>
          <w:tcPr>
            <w:tcW w:w="882" w:type="dxa"/>
            <w:shd w:val="clear" w:color="auto" w:fill="auto"/>
            <w:vAlign w:val="center"/>
          </w:tcPr>
          <w:p w14:paraId="46063E82" w14:textId="074507D0" w:rsidR="0041077E" w:rsidRPr="00951C6E" w:rsidRDefault="0041077E" w:rsidP="00951C6E">
            <w:pPr>
              <w:spacing w:before="40" w:after="40"/>
              <w:jc w:val="center"/>
              <w:rPr>
                <w:rFonts w:cs="Arial"/>
                <w:sz w:val="16"/>
                <w:szCs w:val="16"/>
              </w:rPr>
            </w:pPr>
            <w:r w:rsidRPr="00951C6E">
              <w:rPr>
                <w:rFonts w:cs="Arial"/>
                <w:sz w:val="16"/>
                <w:szCs w:val="16"/>
              </w:rPr>
              <w:t>-</w:t>
            </w:r>
          </w:p>
        </w:tc>
        <w:tc>
          <w:tcPr>
            <w:tcW w:w="1071" w:type="dxa"/>
            <w:shd w:val="clear" w:color="auto" w:fill="auto"/>
            <w:vAlign w:val="center"/>
          </w:tcPr>
          <w:p w14:paraId="7898E87A" w14:textId="609FF6CD" w:rsidR="0041077E" w:rsidRPr="00951C6E" w:rsidRDefault="00F67EFA" w:rsidP="00951C6E">
            <w:pPr>
              <w:spacing w:before="40" w:after="40"/>
              <w:jc w:val="center"/>
              <w:rPr>
                <w:rFonts w:cs="Arial"/>
                <w:sz w:val="16"/>
                <w:szCs w:val="16"/>
              </w:rPr>
            </w:pPr>
            <w:r w:rsidRPr="00951C6E">
              <w:rPr>
                <w:rFonts w:cs="Arial"/>
                <w:sz w:val="16"/>
                <w:szCs w:val="16"/>
              </w:rPr>
              <w:t>CA</w:t>
            </w:r>
          </w:p>
        </w:tc>
      </w:tr>
    </w:tbl>
    <w:p w14:paraId="3DBE3B39" w14:textId="10C39C2F" w:rsidR="00A10FC4" w:rsidRPr="00E439A6" w:rsidRDefault="001D1B43" w:rsidP="00230BCE">
      <w:pPr>
        <w:spacing w:before="120"/>
        <w:outlineLvl w:val="9"/>
        <w:rPr>
          <w:sz w:val="18"/>
          <w:szCs w:val="18"/>
        </w:rPr>
      </w:pPr>
      <w:r w:rsidRPr="00E439A6">
        <w:rPr>
          <w:sz w:val="18"/>
          <w:szCs w:val="18"/>
        </w:rPr>
        <w:t>Definitions and key to acronyms as per Table 5.1</w:t>
      </w:r>
    </w:p>
    <w:p w14:paraId="1F929DC2" w14:textId="77777777" w:rsidR="000D1089" w:rsidRDefault="000D1089" w:rsidP="00C52844">
      <w:pPr>
        <w:pStyle w:val="Heading3"/>
      </w:pPr>
      <w:bookmarkStart w:id="102" w:name="_Toc346898899"/>
      <w:bookmarkStart w:id="103" w:name="_Ref473518428"/>
      <w:r>
        <w:t>Marine Pests</w:t>
      </w:r>
      <w:bookmarkEnd w:id="102"/>
      <w:bookmarkEnd w:id="103"/>
    </w:p>
    <w:p w14:paraId="56BAEDAC" w14:textId="77777777" w:rsidR="00831C3B" w:rsidRPr="004A7232" w:rsidRDefault="00831C3B" w:rsidP="004A7232">
      <w:pPr>
        <w:pStyle w:val="BodyText"/>
        <w:keepNext/>
        <w:ind w:left="720"/>
        <w:rPr>
          <w:szCs w:val="20"/>
        </w:rPr>
      </w:pPr>
      <w:r w:rsidRPr="004A7232">
        <w:rPr>
          <w:szCs w:val="20"/>
        </w:rPr>
        <w:t xml:space="preserve">In the South-east Marine Region, 115 marine species are known to be introduced, and an additional 84 are considered to be possible introductions or ‘cryptogenic’ species. Eleven species are considered to be invasive marine species (IMS) (NOO, 2002), though no information specific to the Otway Basin is provided. </w:t>
      </w:r>
    </w:p>
    <w:p w14:paraId="5C3CC34A" w14:textId="77777777" w:rsidR="001A3CB4" w:rsidRPr="004A7232" w:rsidRDefault="00AD61C0" w:rsidP="004A7232">
      <w:pPr>
        <w:pStyle w:val="BodyText"/>
        <w:ind w:left="720"/>
        <w:rPr>
          <w:szCs w:val="20"/>
        </w:rPr>
      </w:pPr>
      <w:r w:rsidRPr="004A7232">
        <w:rPr>
          <w:szCs w:val="20"/>
        </w:rPr>
        <w:t>Invasive marine species</w:t>
      </w:r>
      <w:r w:rsidR="001A3CB4" w:rsidRPr="004A7232">
        <w:rPr>
          <w:szCs w:val="20"/>
        </w:rPr>
        <w:t xml:space="preserve"> are marine plants or animals that have been introduced into a region beyond their natural range and have the ability to survive, reproduce and establish. More than 200 non-indigenous marine species including fish, molluscs, worms and a toxic alga have been detected in Australian coastal waters (AMSA, 2010). </w:t>
      </w:r>
    </w:p>
    <w:p w14:paraId="29027E0E" w14:textId="77777777" w:rsidR="000D1089" w:rsidRDefault="00383E50" w:rsidP="00C52844">
      <w:pPr>
        <w:pStyle w:val="Heading3"/>
      </w:pPr>
      <w:r>
        <w:t>Marine Viruses</w:t>
      </w:r>
    </w:p>
    <w:p w14:paraId="5FAAA48B" w14:textId="77777777" w:rsidR="001A3CB4" w:rsidRPr="004A7232" w:rsidRDefault="001A3CB4" w:rsidP="004705DB">
      <w:pPr>
        <w:pStyle w:val="BodyText"/>
        <w:ind w:left="720"/>
        <w:rPr>
          <w:szCs w:val="20"/>
        </w:rPr>
      </w:pPr>
      <w:r w:rsidRPr="004A7232">
        <w:rPr>
          <w:szCs w:val="20"/>
        </w:rPr>
        <w:t xml:space="preserve">A virus, the Abalone Viral Ganglioneuritis (AVG), has been detected in wild abalone populations in southwest Victoria and was confirmed as far east as White Cliffs near Johanna, and west as far as Discovery Bay Marine Park (DPI, 2009). The virus can be spread through direct contact, through the water column without contact, and in mucus that infected abalone produce before dying. The last confirmation of active disease in Victoria was from Cape Otway lighthouse in December 2009 (Victoria State Government, 2016). </w:t>
      </w:r>
    </w:p>
    <w:p w14:paraId="307750F3" w14:textId="4F62FCDA" w:rsidR="000D1089" w:rsidRPr="004A7232" w:rsidRDefault="001A3CB4" w:rsidP="004705DB">
      <w:pPr>
        <w:pStyle w:val="BodyText"/>
        <w:ind w:left="720"/>
        <w:rPr>
          <w:szCs w:val="20"/>
        </w:rPr>
      </w:pPr>
      <w:r w:rsidRPr="004A7232">
        <w:rPr>
          <w:szCs w:val="20"/>
        </w:rPr>
        <w:t>Strict quarantine controls need to be observed with diving or fishing activities</w:t>
      </w:r>
      <w:r w:rsidR="00383E50" w:rsidRPr="004A7232">
        <w:rPr>
          <w:szCs w:val="20"/>
        </w:rPr>
        <w:t xml:space="preserve"> in south</w:t>
      </w:r>
      <w:r w:rsidRPr="004A7232">
        <w:rPr>
          <w:szCs w:val="20"/>
        </w:rPr>
        <w:t xml:space="preserve">west Victoria when the virus has been detected in the area (A Clarke, DELWP, pers. comm., 2016). Given the lack of detected AVG in Victorian waters, controls outlined in the Biosecurity Control Measures for AVG: A Code of Practice (Gavine et al., 2009) </w:t>
      </w:r>
      <w:r w:rsidR="00BA0611">
        <w:rPr>
          <w:szCs w:val="20"/>
        </w:rPr>
        <w:t>are</w:t>
      </w:r>
      <w:r w:rsidRPr="004A7232">
        <w:rPr>
          <w:szCs w:val="20"/>
        </w:rPr>
        <w:t xml:space="preserve"> not active</w:t>
      </w:r>
      <w:r w:rsidR="00383E50" w:rsidRPr="004A7232">
        <w:rPr>
          <w:szCs w:val="20"/>
        </w:rPr>
        <w:t>.</w:t>
      </w:r>
    </w:p>
    <w:p w14:paraId="6C6935B1" w14:textId="77777777" w:rsidR="000D1089" w:rsidRDefault="00D35515" w:rsidP="00D35515">
      <w:pPr>
        <w:pStyle w:val="Heading2"/>
      </w:pPr>
      <w:bookmarkStart w:id="104" w:name="_Toc512862467"/>
      <w:r>
        <w:t>Conservation Values</w:t>
      </w:r>
      <w:bookmarkEnd w:id="104"/>
    </w:p>
    <w:p w14:paraId="479729C3" w14:textId="1ACF6523" w:rsidR="006E5D0D" w:rsidRDefault="008F7C6F" w:rsidP="002319A9">
      <w:pPr>
        <w:pStyle w:val="BodyText"/>
        <w:tabs>
          <w:tab w:val="left" w:pos="6096"/>
        </w:tabs>
        <w:rPr>
          <w:szCs w:val="20"/>
        </w:rPr>
      </w:pPr>
      <w:r w:rsidRPr="004A7232">
        <w:rPr>
          <w:szCs w:val="20"/>
        </w:rPr>
        <w:t xml:space="preserve">The conservation values and sensitivities in and around the </w:t>
      </w:r>
      <w:r w:rsidR="002319A9">
        <w:rPr>
          <w:szCs w:val="20"/>
        </w:rPr>
        <w:t>CHN asset</w:t>
      </w:r>
      <w:r w:rsidRPr="004A7232">
        <w:rPr>
          <w:szCs w:val="20"/>
        </w:rPr>
        <w:t xml:space="preserve"> area </w:t>
      </w:r>
      <w:r w:rsidR="006E5D0D">
        <w:rPr>
          <w:szCs w:val="20"/>
        </w:rPr>
        <w:t>include:</w:t>
      </w:r>
    </w:p>
    <w:p w14:paraId="2167A571" w14:textId="2A0D46D4" w:rsidR="009477F5" w:rsidRDefault="009477F5" w:rsidP="0036080A">
      <w:pPr>
        <w:pStyle w:val="BodyText"/>
        <w:numPr>
          <w:ilvl w:val="0"/>
          <w:numId w:val="42"/>
        </w:numPr>
        <w:rPr>
          <w:szCs w:val="20"/>
        </w:rPr>
      </w:pPr>
      <w:r>
        <w:rPr>
          <w:szCs w:val="20"/>
        </w:rPr>
        <w:t>Victorian Protected Areas</w:t>
      </w:r>
      <w:r w:rsidR="00653276">
        <w:rPr>
          <w:szCs w:val="20"/>
        </w:rPr>
        <w:t xml:space="preserve"> - Marine</w:t>
      </w:r>
    </w:p>
    <w:p w14:paraId="79C13216" w14:textId="057E94D2" w:rsidR="009477F5" w:rsidRDefault="009477F5" w:rsidP="0036080A">
      <w:pPr>
        <w:pStyle w:val="BodyText"/>
        <w:numPr>
          <w:ilvl w:val="1"/>
          <w:numId w:val="42"/>
        </w:numPr>
        <w:tabs>
          <w:tab w:val="left" w:pos="6096"/>
        </w:tabs>
        <w:rPr>
          <w:color w:val="0000FF"/>
          <w:szCs w:val="20"/>
        </w:rPr>
      </w:pPr>
      <w:r w:rsidRPr="004A7232">
        <w:rPr>
          <w:szCs w:val="20"/>
        </w:rPr>
        <w:t>Twelve Apostles Marine National Park</w:t>
      </w:r>
    </w:p>
    <w:p w14:paraId="52184660" w14:textId="44AE7F97" w:rsidR="009477F5" w:rsidRDefault="00653276" w:rsidP="0036080A">
      <w:pPr>
        <w:pStyle w:val="BodyText"/>
        <w:numPr>
          <w:ilvl w:val="1"/>
          <w:numId w:val="42"/>
        </w:numPr>
        <w:tabs>
          <w:tab w:val="left" w:pos="6096"/>
        </w:tabs>
        <w:rPr>
          <w:szCs w:val="20"/>
        </w:rPr>
      </w:pPr>
      <w:r w:rsidRPr="004A7232">
        <w:rPr>
          <w:szCs w:val="20"/>
        </w:rPr>
        <w:t>The Arches Marine Sanctuary</w:t>
      </w:r>
    </w:p>
    <w:p w14:paraId="5EE6D084" w14:textId="0D87A6A0" w:rsidR="008F7C6F" w:rsidRDefault="00653276" w:rsidP="0036080A">
      <w:pPr>
        <w:pStyle w:val="BodyText"/>
        <w:numPr>
          <w:ilvl w:val="1"/>
          <w:numId w:val="42"/>
        </w:numPr>
        <w:rPr>
          <w:szCs w:val="20"/>
        </w:rPr>
      </w:pPr>
      <w:r w:rsidRPr="004A7232">
        <w:rPr>
          <w:szCs w:val="20"/>
        </w:rPr>
        <w:t>Merri Reefs Marine Sanctuary</w:t>
      </w:r>
    </w:p>
    <w:p w14:paraId="7D29550D" w14:textId="4978A444" w:rsidR="00653276" w:rsidRDefault="00653276" w:rsidP="0036080A">
      <w:pPr>
        <w:pStyle w:val="BodyText"/>
        <w:numPr>
          <w:ilvl w:val="1"/>
          <w:numId w:val="42"/>
        </w:numPr>
        <w:rPr>
          <w:szCs w:val="20"/>
        </w:rPr>
      </w:pPr>
      <w:r>
        <w:rPr>
          <w:szCs w:val="20"/>
        </w:rPr>
        <w:t>Marengo reefs Marine Sanctuary</w:t>
      </w:r>
    </w:p>
    <w:p w14:paraId="3442915B" w14:textId="7F2B6C3C" w:rsidR="00653276" w:rsidRDefault="00653276" w:rsidP="0036080A">
      <w:pPr>
        <w:pStyle w:val="BodyText"/>
        <w:numPr>
          <w:ilvl w:val="1"/>
          <w:numId w:val="42"/>
        </w:numPr>
        <w:rPr>
          <w:szCs w:val="20"/>
        </w:rPr>
      </w:pPr>
      <w:r>
        <w:rPr>
          <w:szCs w:val="20"/>
        </w:rPr>
        <w:t>Eagle Rock Marine Sanctuary</w:t>
      </w:r>
    </w:p>
    <w:p w14:paraId="66D3A0EF" w14:textId="11387584" w:rsidR="00653276" w:rsidRDefault="00653276" w:rsidP="0036080A">
      <w:pPr>
        <w:pStyle w:val="BodyText"/>
        <w:numPr>
          <w:ilvl w:val="1"/>
          <w:numId w:val="42"/>
        </w:numPr>
        <w:rPr>
          <w:szCs w:val="20"/>
        </w:rPr>
      </w:pPr>
      <w:r w:rsidRPr="004A7232">
        <w:rPr>
          <w:szCs w:val="20"/>
        </w:rPr>
        <w:t>Point Addis Marine National Parks</w:t>
      </w:r>
    </w:p>
    <w:p w14:paraId="2269EE80" w14:textId="23896744" w:rsidR="00653276" w:rsidRDefault="00653276" w:rsidP="0036080A">
      <w:pPr>
        <w:pStyle w:val="BodyText"/>
        <w:numPr>
          <w:ilvl w:val="0"/>
          <w:numId w:val="42"/>
        </w:numPr>
        <w:rPr>
          <w:szCs w:val="20"/>
        </w:rPr>
      </w:pPr>
      <w:r>
        <w:rPr>
          <w:szCs w:val="20"/>
        </w:rPr>
        <w:t>Victorian Protected Areas - Terrestrial</w:t>
      </w:r>
    </w:p>
    <w:p w14:paraId="1A744E6F" w14:textId="77777777" w:rsidR="00653276" w:rsidRDefault="00653276" w:rsidP="0036080A">
      <w:pPr>
        <w:pStyle w:val="BodyText"/>
        <w:numPr>
          <w:ilvl w:val="1"/>
          <w:numId w:val="42"/>
        </w:numPr>
        <w:rPr>
          <w:szCs w:val="20"/>
        </w:rPr>
      </w:pPr>
      <w:r w:rsidRPr="00653276">
        <w:rPr>
          <w:szCs w:val="20"/>
        </w:rPr>
        <w:t xml:space="preserve">Port Campbell National Park </w:t>
      </w:r>
    </w:p>
    <w:p w14:paraId="780B1F7B" w14:textId="47718E83" w:rsidR="00653276" w:rsidRDefault="00653276" w:rsidP="0036080A">
      <w:pPr>
        <w:pStyle w:val="BodyText"/>
        <w:numPr>
          <w:ilvl w:val="1"/>
          <w:numId w:val="42"/>
        </w:numPr>
        <w:rPr>
          <w:szCs w:val="20"/>
        </w:rPr>
      </w:pPr>
      <w:r w:rsidRPr="00653276">
        <w:rPr>
          <w:szCs w:val="20"/>
        </w:rPr>
        <w:t>Bay of Islands Coastal Park</w:t>
      </w:r>
    </w:p>
    <w:p w14:paraId="6A751326" w14:textId="7B688B30" w:rsidR="00653276" w:rsidRDefault="00653276" w:rsidP="0036080A">
      <w:pPr>
        <w:pStyle w:val="BodyText"/>
        <w:numPr>
          <w:ilvl w:val="1"/>
          <w:numId w:val="42"/>
        </w:numPr>
        <w:rPr>
          <w:szCs w:val="20"/>
        </w:rPr>
      </w:pPr>
      <w:r>
        <w:rPr>
          <w:szCs w:val="20"/>
        </w:rPr>
        <w:t>Grea</w:t>
      </w:r>
      <w:r w:rsidRPr="00103962">
        <w:rPr>
          <w:szCs w:val="20"/>
        </w:rPr>
        <w:t>t Otway National Park</w:t>
      </w:r>
    </w:p>
    <w:p w14:paraId="5EDA01E9" w14:textId="77777777" w:rsidR="00653276" w:rsidRPr="009477F5" w:rsidRDefault="00653276" w:rsidP="00E439A6">
      <w:pPr>
        <w:pStyle w:val="BodyText"/>
        <w:ind w:left="0"/>
        <w:rPr>
          <w:szCs w:val="20"/>
        </w:rPr>
      </w:pPr>
    </w:p>
    <w:tbl>
      <w:tblPr>
        <w:tblW w:w="0" w:type="auto"/>
        <w:tblInd w:w="851" w:type="dxa"/>
        <w:tblCellMar>
          <w:left w:w="85" w:type="dxa"/>
          <w:right w:w="85" w:type="dxa"/>
        </w:tblCellMar>
        <w:tblLook w:val="04A0" w:firstRow="1" w:lastRow="0" w:firstColumn="1" w:lastColumn="0" w:noHBand="0" w:noVBand="1"/>
      </w:tblPr>
      <w:tblGrid>
        <w:gridCol w:w="8175"/>
      </w:tblGrid>
      <w:tr w:rsidR="00103962" w14:paraId="13138F4F" w14:textId="77777777" w:rsidTr="00653276">
        <w:trPr>
          <w:tblHeader/>
        </w:trPr>
        <w:tc>
          <w:tcPr>
            <w:tcW w:w="8176" w:type="dxa"/>
            <w:shd w:val="clear" w:color="auto" w:fill="auto"/>
            <w:tcMar>
              <w:top w:w="142" w:type="dxa"/>
            </w:tcMar>
          </w:tcPr>
          <w:p w14:paraId="33425715" w14:textId="45C840D1" w:rsidR="00103962" w:rsidRPr="00136A5A" w:rsidRDefault="00103962" w:rsidP="00D022B3">
            <w:pPr>
              <w:pStyle w:val="BodyText"/>
              <w:ind w:left="0"/>
              <w:rPr>
                <w:rFonts w:cs="Arial"/>
                <w:b/>
                <w:szCs w:val="22"/>
              </w:rPr>
            </w:pPr>
            <w:r>
              <w:rPr>
                <w:noProof/>
                <w:lang w:val="en-GB" w:eastAsia="en-GB"/>
              </w:rPr>
              <w:drawing>
                <wp:inline distT="0" distB="0" distL="0" distR="0" wp14:anchorId="2E6B6BEB" wp14:editId="6A17CF9D">
                  <wp:extent cx="5143500" cy="1676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143500" cy="1676400"/>
                          </a:xfrm>
                          <a:prstGeom prst="rect">
                            <a:avLst/>
                          </a:prstGeom>
                        </pic:spPr>
                      </pic:pic>
                    </a:graphicData>
                  </a:graphic>
                </wp:inline>
              </w:drawing>
            </w:r>
          </w:p>
        </w:tc>
      </w:tr>
    </w:tbl>
    <w:p w14:paraId="706D7288" w14:textId="004A3948" w:rsidR="00103962" w:rsidRPr="004A7232" w:rsidRDefault="00103962" w:rsidP="00AC6B06">
      <w:pPr>
        <w:pStyle w:val="Caption"/>
        <w:outlineLvl w:val="9"/>
        <w:rPr>
          <w:sz w:val="20"/>
          <w:szCs w:val="20"/>
        </w:rPr>
      </w:pPr>
      <w:bookmarkStart w:id="105" w:name="_Ref473375024"/>
      <w:bookmarkStart w:id="106" w:name="_Toc510779252"/>
      <w:r w:rsidRPr="004A7232">
        <w:rPr>
          <w:sz w:val="20"/>
          <w:szCs w:val="20"/>
        </w:rPr>
        <w:t xml:space="preserve">Figure </w:t>
      </w:r>
      <w:r w:rsidR="00D3458F">
        <w:rPr>
          <w:sz w:val="20"/>
          <w:szCs w:val="20"/>
        </w:rPr>
        <w:fldChar w:fldCharType="begin"/>
      </w:r>
      <w:r w:rsidR="00D3458F">
        <w:rPr>
          <w:sz w:val="20"/>
          <w:szCs w:val="20"/>
        </w:rPr>
        <w:instrText xml:space="preserve"> STYLEREF 1 \s </w:instrText>
      </w:r>
      <w:r w:rsidR="00D3458F">
        <w:rPr>
          <w:sz w:val="20"/>
          <w:szCs w:val="20"/>
        </w:rPr>
        <w:fldChar w:fldCharType="separate"/>
      </w:r>
      <w:r w:rsidR="00CC4C35">
        <w:rPr>
          <w:noProof/>
          <w:sz w:val="20"/>
          <w:szCs w:val="20"/>
        </w:rPr>
        <w:t>3</w:t>
      </w:r>
      <w:r w:rsidR="00D3458F">
        <w:rPr>
          <w:sz w:val="20"/>
          <w:szCs w:val="20"/>
        </w:rPr>
        <w:fldChar w:fldCharType="end"/>
      </w:r>
      <w:r w:rsidR="00D3458F">
        <w:rPr>
          <w:sz w:val="20"/>
          <w:szCs w:val="20"/>
        </w:rPr>
        <w:noBreakHyphen/>
      </w:r>
      <w:r w:rsidR="00D3458F">
        <w:rPr>
          <w:sz w:val="20"/>
          <w:szCs w:val="20"/>
        </w:rPr>
        <w:fldChar w:fldCharType="begin"/>
      </w:r>
      <w:r w:rsidR="00D3458F">
        <w:rPr>
          <w:sz w:val="20"/>
          <w:szCs w:val="20"/>
        </w:rPr>
        <w:instrText xml:space="preserve"> SEQ Figure \* ARABIC \s 1 </w:instrText>
      </w:r>
      <w:r w:rsidR="00D3458F">
        <w:rPr>
          <w:sz w:val="20"/>
          <w:szCs w:val="20"/>
        </w:rPr>
        <w:fldChar w:fldCharType="separate"/>
      </w:r>
      <w:r w:rsidR="00CC4C35">
        <w:rPr>
          <w:noProof/>
          <w:sz w:val="20"/>
          <w:szCs w:val="20"/>
        </w:rPr>
        <w:t>3</w:t>
      </w:r>
      <w:r w:rsidR="00D3458F">
        <w:rPr>
          <w:sz w:val="20"/>
          <w:szCs w:val="20"/>
        </w:rPr>
        <w:fldChar w:fldCharType="end"/>
      </w:r>
      <w:bookmarkEnd w:id="105"/>
      <w:r w:rsidRPr="004A7232">
        <w:rPr>
          <w:sz w:val="20"/>
          <w:szCs w:val="20"/>
        </w:rPr>
        <w:t xml:space="preserve">: Victorian Protected </w:t>
      </w:r>
      <w:r>
        <w:rPr>
          <w:sz w:val="20"/>
          <w:szCs w:val="20"/>
        </w:rPr>
        <w:t>Marine A</w:t>
      </w:r>
      <w:r w:rsidRPr="004A7232">
        <w:rPr>
          <w:sz w:val="20"/>
          <w:szCs w:val="20"/>
        </w:rPr>
        <w:t>reas</w:t>
      </w:r>
      <w:bookmarkEnd w:id="106"/>
    </w:p>
    <w:p w14:paraId="47735694" w14:textId="77777777" w:rsidR="002763FE" w:rsidRDefault="002763FE" w:rsidP="002763FE">
      <w:pPr>
        <w:pStyle w:val="BodyText"/>
        <w:rPr>
          <w:b/>
          <w:u w:val="single"/>
        </w:rPr>
      </w:pPr>
      <w:bookmarkStart w:id="107" w:name="_Toc342847426"/>
      <w:bookmarkStart w:id="108" w:name="_Toc346898902"/>
    </w:p>
    <w:bookmarkEnd w:id="107"/>
    <w:bookmarkEnd w:id="108"/>
    <w:p w14:paraId="0B0060F7" w14:textId="11EF6EE2" w:rsidR="00AA5AB6" w:rsidRDefault="00AA5AB6" w:rsidP="00AA5AB6">
      <w:pPr>
        <w:pStyle w:val="Heading3"/>
      </w:pPr>
      <w:r>
        <w:t xml:space="preserve">Commonwealth </w:t>
      </w:r>
      <w:r w:rsidR="002763FE">
        <w:t>Marine Reserves (Apollo)</w:t>
      </w:r>
    </w:p>
    <w:p w14:paraId="43779EA3" w14:textId="77777777" w:rsidR="002763FE" w:rsidRPr="00103962" w:rsidRDefault="002763FE" w:rsidP="00C70FB2">
      <w:pPr>
        <w:pStyle w:val="BodyText"/>
        <w:keepNext/>
        <w:rPr>
          <w:szCs w:val="20"/>
        </w:rPr>
      </w:pPr>
      <w:r w:rsidRPr="00103962">
        <w:rPr>
          <w:szCs w:val="20"/>
        </w:rPr>
        <w:t xml:space="preserve">The </w:t>
      </w:r>
      <w:r>
        <w:rPr>
          <w:szCs w:val="20"/>
        </w:rPr>
        <w:t>CHN</w:t>
      </w:r>
      <w:r w:rsidRPr="00103962">
        <w:rPr>
          <w:szCs w:val="20"/>
        </w:rPr>
        <w:t xml:space="preserve"> assets are located within the South-east Commonwealth Marine Reserves </w:t>
      </w:r>
      <w:r>
        <w:rPr>
          <w:szCs w:val="20"/>
        </w:rPr>
        <w:t xml:space="preserve">(CMR) </w:t>
      </w:r>
      <w:r w:rsidRPr="00103962">
        <w:rPr>
          <w:szCs w:val="20"/>
        </w:rPr>
        <w:t xml:space="preserve">Network, which was established to represent the various seafloor features of the region. </w:t>
      </w:r>
    </w:p>
    <w:p w14:paraId="5F0DBB97" w14:textId="2E72228F" w:rsidR="002763FE" w:rsidRPr="00103962" w:rsidRDefault="002763FE" w:rsidP="00C70FB2">
      <w:pPr>
        <w:pStyle w:val="BodyText"/>
        <w:keepNext/>
        <w:rPr>
          <w:szCs w:val="20"/>
        </w:rPr>
      </w:pPr>
      <w:r w:rsidRPr="00103962">
        <w:rPr>
          <w:szCs w:val="20"/>
        </w:rPr>
        <w:t xml:space="preserve">The Apollo CMR is intersected by the EMBA </w:t>
      </w:r>
      <w:r w:rsidR="00686792">
        <w:rPr>
          <w:szCs w:val="20"/>
        </w:rPr>
        <w:t>but is in Commonwealth Waters</w:t>
      </w:r>
    </w:p>
    <w:p w14:paraId="480444B1" w14:textId="3C5B7F7B" w:rsidR="000D0CF5" w:rsidRDefault="000D0CF5" w:rsidP="00037458">
      <w:pPr>
        <w:pStyle w:val="Heading3"/>
      </w:pPr>
      <w:bookmarkStart w:id="109" w:name="_Toc346898903"/>
      <w:bookmarkStart w:id="110" w:name="_Toc342847427"/>
      <w:r>
        <w:t>Commonwealth Heritage</w:t>
      </w:r>
      <w:bookmarkEnd w:id="109"/>
    </w:p>
    <w:bookmarkEnd w:id="110"/>
    <w:p w14:paraId="08D78CBC" w14:textId="3C0EB2B7" w:rsidR="008F7C6F" w:rsidRPr="00103962" w:rsidRDefault="008F7C6F" w:rsidP="00C70FB2">
      <w:pPr>
        <w:pStyle w:val="BodyText"/>
        <w:keepNext/>
        <w:rPr>
          <w:szCs w:val="20"/>
        </w:rPr>
      </w:pPr>
      <w:r w:rsidRPr="00103962">
        <w:rPr>
          <w:szCs w:val="20"/>
        </w:rPr>
        <w:t xml:space="preserve">There are no marine or coastal places on the Commonwealth Heritage list in the vicinity of the </w:t>
      </w:r>
      <w:r w:rsidR="00801061" w:rsidRPr="00103962">
        <w:rPr>
          <w:szCs w:val="20"/>
        </w:rPr>
        <w:t>EMBA</w:t>
      </w:r>
      <w:r w:rsidRPr="00103962">
        <w:rPr>
          <w:szCs w:val="20"/>
        </w:rPr>
        <w:t xml:space="preserve">. The closest site is Swan Island in Port Phillip Bay, approximately 150 km east-northeast of the </w:t>
      </w:r>
      <w:r w:rsidR="00BA0611">
        <w:rPr>
          <w:szCs w:val="20"/>
        </w:rPr>
        <w:t>CHN</w:t>
      </w:r>
      <w:r w:rsidR="00801061" w:rsidRPr="00103962">
        <w:rPr>
          <w:szCs w:val="20"/>
        </w:rPr>
        <w:t xml:space="preserve"> assets</w:t>
      </w:r>
      <w:r w:rsidRPr="00103962">
        <w:rPr>
          <w:szCs w:val="20"/>
        </w:rPr>
        <w:t xml:space="preserve"> (Do</w:t>
      </w:r>
      <w:r w:rsidR="00234E2E" w:rsidRPr="00103962">
        <w:rPr>
          <w:szCs w:val="20"/>
        </w:rPr>
        <w:t>E</w:t>
      </w:r>
      <w:r w:rsidRPr="00103962">
        <w:rPr>
          <w:szCs w:val="20"/>
        </w:rPr>
        <w:t>E, 201</w:t>
      </w:r>
      <w:r w:rsidR="00801061" w:rsidRPr="00103962">
        <w:rPr>
          <w:szCs w:val="20"/>
        </w:rPr>
        <w:t>6</w:t>
      </w:r>
      <w:r w:rsidR="00A73119">
        <w:rPr>
          <w:szCs w:val="20"/>
        </w:rPr>
        <w:t>e</w:t>
      </w:r>
      <w:r w:rsidRPr="00103962">
        <w:rPr>
          <w:szCs w:val="20"/>
        </w:rPr>
        <w:t xml:space="preserve">). </w:t>
      </w:r>
    </w:p>
    <w:p w14:paraId="41958EC6" w14:textId="1CD511E9" w:rsidR="000D0CF5" w:rsidRPr="00A511DB" w:rsidRDefault="00FF6C16" w:rsidP="00037458">
      <w:pPr>
        <w:pStyle w:val="Heading3"/>
      </w:pPr>
      <w:bookmarkStart w:id="111" w:name="_Toc346898904"/>
      <w:r>
        <w:t>Matters of NES</w:t>
      </w:r>
      <w:bookmarkEnd w:id="111"/>
    </w:p>
    <w:p w14:paraId="503EBE78" w14:textId="77777777" w:rsidR="008F7C6F" w:rsidRDefault="008F7C6F" w:rsidP="00914C00">
      <w:pPr>
        <w:pStyle w:val="Heading4"/>
      </w:pPr>
      <w:bookmarkStart w:id="112" w:name="_Toc342847429"/>
      <w:r>
        <w:t>World Heritage Properties</w:t>
      </w:r>
      <w:bookmarkEnd w:id="112"/>
    </w:p>
    <w:p w14:paraId="121DE7F3" w14:textId="377E7A11" w:rsidR="008F7C6F" w:rsidRPr="00161F67" w:rsidRDefault="008F7C6F" w:rsidP="00C70FB2">
      <w:pPr>
        <w:pStyle w:val="BodyText"/>
        <w:keepNext/>
        <w:rPr>
          <w:szCs w:val="20"/>
        </w:rPr>
      </w:pPr>
      <w:r w:rsidRPr="00161F67">
        <w:rPr>
          <w:szCs w:val="20"/>
        </w:rPr>
        <w:t xml:space="preserve">There are no World Heritage Properties in the </w:t>
      </w:r>
      <w:r w:rsidR="00801061" w:rsidRPr="00161F67">
        <w:rPr>
          <w:szCs w:val="20"/>
        </w:rPr>
        <w:t>EMBA</w:t>
      </w:r>
      <w:r w:rsidRPr="00161F67">
        <w:rPr>
          <w:szCs w:val="20"/>
        </w:rPr>
        <w:t>. The closest sites are onshore in Melbourne (Royal Exhibition Building and Carlton Gardens), Victoria (193 km northeast) and Naracoorte (Australian Fossil Mammal site), South Australia (260 km northwest) (Do</w:t>
      </w:r>
      <w:r w:rsidR="00234E2E" w:rsidRPr="00161F67">
        <w:rPr>
          <w:szCs w:val="20"/>
        </w:rPr>
        <w:t>E</w:t>
      </w:r>
      <w:r w:rsidRPr="00161F67">
        <w:rPr>
          <w:szCs w:val="20"/>
        </w:rPr>
        <w:t>E, 2016</w:t>
      </w:r>
      <w:r w:rsidR="00A73119">
        <w:rPr>
          <w:szCs w:val="20"/>
        </w:rPr>
        <w:t>g</w:t>
      </w:r>
      <w:r w:rsidRPr="00161F67">
        <w:rPr>
          <w:szCs w:val="20"/>
        </w:rPr>
        <w:t xml:space="preserve">). </w:t>
      </w:r>
    </w:p>
    <w:p w14:paraId="20580D67" w14:textId="77777777" w:rsidR="008F7C6F" w:rsidRDefault="008F7C6F" w:rsidP="00914C00">
      <w:pPr>
        <w:pStyle w:val="Heading4"/>
      </w:pPr>
      <w:bookmarkStart w:id="113" w:name="_Toc342847430"/>
      <w:r>
        <w:t>National Heritage Places</w:t>
      </w:r>
      <w:bookmarkEnd w:id="113"/>
    </w:p>
    <w:p w14:paraId="6D06DDC4" w14:textId="219F19FF" w:rsidR="008F7C6F" w:rsidRPr="00161F67" w:rsidRDefault="008F7C6F" w:rsidP="00C70FB2">
      <w:pPr>
        <w:pStyle w:val="BodyText"/>
        <w:keepNext/>
        <w:rPr>
          <w:szCs w:val="20"/>
        </w:rPr>
      </w:pPr>
      <w:r w:rsidRPr="00161F67">
        <w:rPr>
          <w:szCs w:val="20"/>
        </w:rPr>
        <w:t xml:space="preserve">The nearest places of National Heritage to the </w:t>
      </w:r>
      <w:r w:rsidR="00BA0611">
        <w:rPr>
          <w:szCs w:val="20"/>
        </w:rPr>
        <w:t>CHN</w:t>
      </w:r>
      <w:r w:rsidR="00801061" w:rsidRPr="00161F67">
        <w:rPr>
          <w:szCs w:val="20"/>
        </w:rPr>
        <w:t xml:space="preserve"> assets </w:t>
      </w:r>
      <w:r w:rsidRPr="00161F67">
        <w:rPr>
          <w:szCs w:val="20"/>
        </w:rPr>
        <w:t xml:space="preserve">are all located onshore and do not have marine or </w:t>
      </w:r>
      <w:r w:rsidR="00801061" w:rsidRPr="00161F67">
        <w:rPr>
          <w:szCs w:val="20"/>
        </w:rPr>
        <w:t>shoreline</w:t>
      </w:r>
      <w:r w:rsidRPr="00161F67">
        <w:rPr>
          <w:szCs w:val="20"/>
        </w:rPr>
        <w:t xml:space="preserve"> components. These are: </w:t>
      </w:r>
    </w:p>
    <w:p w14:paraId="3B768EA1" w14:textId="77777777" w:rsidR="008F7C6F" w:rsidRPr="001313DC" w:rsidRDefault="00801061" w:rsidP="0036080A">
      <w:pPr>
        <w:pStyle w:val="Bullet1"/>
        <w:numPr>
          <w:ilvl w:val="0"/>
          <w:numId w:val="40"/>
        </w:numPr>
      </w:pPr>
      <w:r w:rsidRPr="001313DC">
        <w:t>Great Ocean Road</w:t>
      </w:r>
      <w:r w:rsidR="008F7C6F" w:rsidRPr="001313DC">
        <w:t xml:space="preserve">; </w:t>
      </w:r>
    </w:p>
    <w:p w14:paraId="4E4A9C04" w14:textId="7CE3E5DB" w:rsidR="008F7C6F" w:rsidRPr="001313DC" w:rsidRDefault="008F7C6F" w:rsidP="0036080A">
      <w:pPr>
        <w:pStyle w:val="Bullet1"/>
        <w:numPr>
          <w:ilvl w:val="0"/>
          <w:numId w:val="40"/>
        </w:numPr>
      </w:pPr>
      <w:r w:rsidRPr="001313DC">
        <w:t xml:space="preserve">Budj Bim National Heritage Landscape (Mt Eccles Lake Condah Area) </w:t>
      </w:r>
      <w:r w:rsidR="0015569D" w:rsidRPr="001313DC">
        <w:t>–</w:t>
      </w:r>
      <w:r w:rsidRPr="001313DC">
        <w:t xml:space="preserve"> located</w:t>
      </w:r>
      <w:r w:rsidR="0015569D" w:rsidRPr="001313DC">
        <w:t xml:space="preserve"> </w:t>
      </w:r>
      <w:r w:rsidRPr="001313DC">
        <w:t>100 km northwest; and</w:t>
      </w:r>
    </w:p>
    <w:p w14:paraId="1F502404" w14:textId="0A1DA2D0" w:rsidR="008F7C6F" w:rsidRPr="001313DC" w:rsidRDefault="008F7C6F" w:rsidP="0036080A">
      <w:pPr>
        <w:pStyle w:val="Bullet1"/>
        <w:numPr>
          <w:ilvl w:val="0"/>
          <w:numId w:val="40"/>
        </w:numPr>
      </w:pPr>
      <w:r w:rsidRPr="001313DC">
        <w:t xml:space="preserve">Budj Bim National Heritage Landscape (Tyrendarra Area) </w:t>
      </w:r>
      <w:r w:rsidR="00161F67" w:rsidRPr="001313DC">
        <w:t>–</w:t>
      </w:r>
      <w:r w:rsidRPr="001313DC">
        <w:t xml:space="preserve"> located</w:t>
      </w:r>
      <w:r w:rsidR="00161F67" w:rsidRPr="001313DC">
        <w:t xml:space="preserve"> </w:t>
      </w:r>
      <w:r w:rsidRPr="001313DC">
        <w:t>102 km west-</w:t>
      </w:r>
      <w:r w:rsidR="00161F67" w:rsidRPr="001313DC">
        <w:t>n</w:t>
      </w:r>
      <w:r w:rsidRPr="001313DC">
        <w:t>orthwest (Do</w:t>
      </w:r>
      <w:r w:rsidR="00234E2E" w:rsidRPr="001313DC">
        <w:t>E</w:t>
      </w:r>
      <w:r w:rsidRPr="001313DC">
        <w:t>E, 2016</w:t>
      </w:r>
      <w:r w:rsidR="00A73119" w:rsidRPr="001313DC">
        <w:t>h</w:t>
      </w:r>
      <w:r w:rsidRPr="001313DC">
        <w:t>).</w:t>
      </w:r>
    </w:p>
    <w:p w14:paraId="608269C5" w14:textId="77777777" w:rsidR="008F7C6F" w:rsidRPr="002E7E9D" w:rsidRDefault="008F7C6F" w:rsidP="00914C00">
      <w:pPr>
        <w:pStyle w:val="Heading4"/>
      </w:pPr>
      <w:bookmarkStart w:id="114" w:name="_Toc342847431"/>
      <w:r>
        <w:t>Wetlands of International Importance</w:t>
      </w:r>
      <w:bookmarkEnd w:id="114"/>
    </w:p>
    <w:p w14:paraId="06208CE0" w14:textId="2DFBC7BA" w:rsidR="008F7C6F" w:rsidRDefault="008F7C6F" w:rsidP="0084578D">
      <w:pPr>
        <w:pStyle w:val="BodyText"/>
        <w:ind w:left="720"/>
        <w:rPr>
          <w:szCs w:val="20"/>
        </w:rPr>
      </w:pPr>
      <w:r w:rsidRPr="00161F67">
        <w:rPr>
          <w:szCs w:val="20"/>
        </w:rPr>
        <w:t xml:space="preserve">There are no marine or coastal Wetlands of International Importance (Ramsar-listed wetlands) in the </w:t>
      </w:r>
      <w:r w:rsidR="00801061" w:rsidRPr="00161F67">
        <w:rPr>
          <w:szCs w:val="20"/>
        </w:rPr>
        <w:t>EMBA</w:t>
      </w:r>
      <w:r w:rsidRPr="00161F67">
        <w:rPr>
          <w:szCs w:val="20"/>
        </w:rPr>
        <w:t>. The closest sites are Livinia on King Island (141 km southeast) and the Western District Lakes (50 km northeast) (Do</w:t>
      </w:r>
      <w:r w:rsidR="00234E2E" w:rsidRPr="00161F67">
        <w:rPr>
          <w:szCs w:val="20"/>
        </w:rPr>
        <w:t>E</w:t>
      </w:r>
      <w:r w:rsidRPr="00161F67">
        <w:rPr>
          <w:szCs w:val="20"/>
        </w:rPr>
        <w:t>E, 2016</w:t>
      </w:r>
      <w:r w:rsidR="00A73119">
        <w:rPr>
          <w:szCs w:val="20"/>
        </w:rPr>
        <w:t>i</w:t>
      </w:r>
      <w:r w:rsidRPr="00161F67">
        <w:rPr>
          <w:szCs w:val="20"/>
        </w:rPr>
        <w:t>)</w:t>
      </w:r>
      <w:r w:rsidR="00801061" w:rsidRPr="00161F67">
        <w:rPr>
          <w:szCs w:val="20"/>
        </w:rPr>
        <w:t>.</w:t>
      </w:r>
    </w:p>
    <w:p w14:paraId="078232C4" w14:textId="77777777" w:rsidR="0084578D" w:rsidRDefault="0084578D" w:rsidP="0084578D">
      <w:pPr>
        <w:pStyle w:val="BodyText"/>
        <w:ind w:left="720"/>
        <w:rPr>
          <w:szCs w:val="20"/>
        </w:rPr>
      </w:pPr>
    </w:p>
    <w:p w14:paraId="28E23B1B" w14:textId="77777777" w:rsidR="0084578D" w:rsidRDefault="0084578D" w:rsidP="0084578D">
      <w:pPr>
        <w:pStyle w:val="BodyText"/>
        <w:ind w:left="720"/>
        <w:rPr>
          <w:szCs w:val="20"/>
        </w:rPr>
      </w:pPr>
    </w:p>
    <w:p w14:paraId="0A02539A" w14:textId="77777777" w:rsidR="0084578D" w:rsidRDefault="0084578D" w:rsidP="0084578D">
      <w:pPr>
        <w:pStyle w:val="BodyText"/>
        <w:ind w:left="720"/>
        <w:rPr>
          <w:szCs w:val="20"/>
        </w:rPr>
      </w:pPr>
    </w:p>
    <w:p w14:paraId="164DF7CA" w14:textId="77777777" w:rsidR="0084578D" w:rsidRPr="00161F67" w:rsidRDefault="0084578D" w:rsidP="0084578D">
      <w:pPr>
        <w:pStyle w:val="BodyText"/>
        <w:ind w:left="720"/>
        <w:rPr>
          <w:szCs w:val="20"/>
        </w:rPr>
      </w:pPr>
    </w:p>
    <w:p w14:paraId="2671C9A4" w14:textId="48AD9033" w:rsidR="00704185" w:rsidRPr="002E7E9D" w:rsidRDefault="00704185" w:rsidP="00E439A6">
      <w:pPr>
        <w:pStyle w:val="Heading3"/>
        <w:keepNext w:val="0"/>
      </w:pPr>
      <w:bookmarkStart w:id="115" w:name="_Toc346898905"/>
      <w:bookmarkStart w:id="116" w:name="_Ref473518651"/>
      <w:r>
        <w:lastRenderedPageBreak/>
        <w:t>Other Important Ecological Features</w:t>
      </w:r>
      <w:bookmarkEnd w:id="115"/>
      <w:bookmarkEnd w:id="116"/>
    </w:p>
    <w:p w14:paraId="4581D58F" w14:textId="20EAB168" w:rsidR="00704185" w:rsidRDefault="00704185" w:rsidP="00E439A6">
      <w:pPr>
        <w:pStyle w:val="Heading4"/>
        <w:keepNext w:val="0"/>
      </w:pPr>
      <w:r>
        <w:t>Key Ecological Features</w:t>
      </w:r>
    </w:p>
    <w:p w14:paraId="76514FB9" w14:textId="77777777" w:rsidR="00704185" w:rsidRPr="00161F67" w:rsidRDefault="00704185" w:rsidP="00C70FB2">
      <w:pPr>
        <w:pStyle w:val="BodyText"/>
        <w:keepNext/>
        <w:rPr>
          <w:szCs w:val="20"/>
        </w:rPr>
      </w:pPr>
      <w:r w:rsidRPr="00161F67">
        <w:rPr>
          <w:szCs w:val="20"/>
        </w:rPr>
        <w:t>Key Ecological Features (KEFs) are elements of the Commonwealth marine environment that based on current scientific understanding, are considered to be of regional importance for either the region's biodiversity or ecosystem function and integrity.</w:t>
      </w:r>
    </w:p>
    <w:p w14:paraId="0938BBA0" w14:textId="3097D271" w:rsidR="00D3458F" w:rsidRPr="00161F67" w:rsidRDefault="00704185" w:rsidP="00C70FB2">
      <w:pPr>
        <w:pStyle w:val="BodyText"/>
        <w:keepNext/>
        <w:rPr>
          <w:szCs w:val="20"/>
        </w:rPr>
      </w:pPr>
      <w:r w:rsidRPr="00C70FB2">
        <w:rPr>
          <w:szCs w:val="20"/>
        </w:rPr>
        <w:t xml:space="preserve">The National Conservation Values Atlas indicates that the EMBA intersects the Bonney Upwelling KEF (53 km) northwest of the </w:t>
      </w:r>
      <w:r w:rsidR="00BA0611" w:rsidRPr="00C70FB2">
        <w:rPr>
          <w:szCs w:val="20"/>
        </w:rPr>
        <w:t>CHN</w:t>
      </w:r>
      <w:r w:rsidR="00E80C0C">
        <w:rPr>
          <w:szCs w:val="20"/>
        </w:rPr>
        <w:t xml:space="preserve"> assets. </w:t>
      </w:r>
      <w:r w:rsidR="009113A1">
        <w:rPr>
          <w:szCs w:val="20"/>
        </w:rPr>
        <w:t xml:space="preserve">The area may </w:t>
      </w:r>
      <w:r w:rsidR="007B28C8">
        <w:rPr>
          <w:szCs w:val="20"/>
        </w:rPr>
        <w:t xml:space="preserve">also </w:t>
      </w:r>
      <w:r w:rsidR="009113A1">
        <w:rPr>
          <w:szCs w:val="20"/>
        </w:rPr>
        <w:t xml:space="preserve">contain </w:t>
      </w:r>
      <w:r w:rsidR="004F43A5">
        <w:rPr>
          <w:szCs w:val="20"/>
        </w:rPr>
        <w:t>the “Shelf Rocky Reef and Hard Substrates” KEF identified in the South-east</w:t>
      </w:r>
      <w:r w:rsidR="00C70FB2">
        <w:rPr>
          <w:szCs w:val="20"/>
        </w:rPr>
        <w:t xml:space="preserve"> Regional Profile (DoE, 2015b).</w:t>
      </w:r>
    </w:p>
    <w:p w14:paraId="7F25F5BB" w14:textId="77777777" w:rsidR="00704185" w:rsidRDefault="00704185" w:rsidP="00914C00">
      <w:pPr>
        <w:pStyle w:val="Heading4"/>
      </w:pPr>
      <w:r>
        <w:t>Threatened Ecological Communities</w:t>
      </w:r>
    </w:p>
    <w:p w14:paraId="1ACDC0BF" w14:textId="3682FDD9" w:rsidR="004B1DCC" w:rsidRDefault="004B1DCC" w:rsidP="00C70FB2">
      <w:pPr>
        <w:pStyle w:val="BodyText"/>
        <w:keepNext/>
        <w:rPr>
          <w:szCs w:val="20"/>
        </w:rPr>
      </w:pPr>
      <w:r w:rsidRPr="00161F67">
        <w:rPr>
          <w:szCs w:val="20"/>
        </w:rPr>
        <w:t xml:space="preserve">Threatened Ecological Communities (TECs) provide wildlife corridors and/or habitat refuges for many plant and animal species, and listing a TEC provides a form of landscape or systems-level conservation (including threatened species). The giant kelp marine forests of South East Australia </w:t>
      </w:r>
      <w:r w:rsidR="00323A97">
        <w:rPr>
          <w:szCs w:val="20"/>
        </w:rPr>
        <w:t>are</w:t>
      </w:r>
      <w:r w:rsidRPr="00161F67">
        <w:rPr>
          <w:szCs w:val="20"/>
        </w:rPr>
        <w:t xml:space="preserve"> the only listed </w:t>
      </w:r>
      <w:r w:rsidR="0027044D">
        <w:rPr>
          <w:szCs w:val="20"/>
        </w:rPr>
        <w:t xml:space="preserve">marine </w:t>
      </w:r>
      <w:r w:rsidRPr="00161F67">
        <w:rPr>
          <w:szCs w:val="20"/>
        </w:rPr>
        <w:t xml:space="preserve">TEC </w:t>
      </w:r>
      <w:r w:rsidR="0027044D">
        <w:rPr>
          <w:szCs w:val="20"/>
        </w:rPr>
        <w:t xml:space="preserve">listed as endangered, which may occur </w:t>
      </w:r>
      <w:r w:rsidRPr="00161F67">
        <w:rPr>
          <w:szCs w:val="20"/>
        </w:rPr>
        <w:t xml:space="preserve">in the EMBA and is protected under the EPBC Act. </w:t>
      </w:r>
      <w:r w:rsidR="0027044D">
        <w:rPr>
          <w:szCs w:val="20"/>
        </w:rPr>
        <w:t xml:space="preserve"> The terrestrial Subtropical and temperate coastal saltmarsh TEC, listed as vulnerable is also listed as likely to occur in the area. </w:t>
      </w:r>
    </w:p>
    <w:p w14:paraId="6AE42769" w14:textId="77777777" w:rsidR="00704185" w:rsidRDefault="00704185" w:rsidP="00914C00">
      <w:pPr>
        <w:pStyle w:val="Heading4"/>
      </w:pPr>
      <w:bookmarkStart w:id="117" w:name="_Ref483628197"/>
      <w:r>
        <w:t>Nationally Important Wetlands</w:t>
      </w:r>
      <w:bookmarkEnd w:id="117"/>
    </w:p>
    <w:p w14:paraId="6DEF24E8" w14:textId="13396070" w:rsidR="003868F3" w:rsidRPr="00161F67" w:rsidRDefault="00704185" w:rsidP="00C70FB2">
      <w:pPr>
        <w:pStyle w:val="BodyText"/>
        <w:keepNext/>
        <w:rPr>
          <w:szCs w:val="20"/>
        </w:rPr>
      </w:pPr>
      <w:r w:rsidRPr="00161F67">
        <w:rPr>
          <w:szCs w:val="20"/>
        </w:rPr>
        <w:t xml:space="preserve">Nationally important wetlands are considered important for a variety of reasons, including their importance for maintaining ecological and hydrological roles in wetland systems, providing important habitat for animals at a vulnerable stage in their life cycle, supporting 1% or more of the national population of nay native plant or animal taxa or for its outstanding historical or cultural significance (DoEE, </w:t>
      </w:r>
      <w:r w:rsidR="003868F3" w:rsidRPr="00161F67">
        <w:rPr>
          <w:szCs w:val="20"/>
        </w:rPr>
        <w:t>201</w:t>
      </w:r>
      <w:r w:rsidR="00EB3C6C">
        <w:rPr>
          <w:szCs w:val="20"/>
        </w:rPr>
        <w:t>6j</w:t>
      </w:r>
      <w:r w:rsidR="003868F3" w:rsidRPr="00161F67">
        <w:rPr>
          <w:szCs w:val="20"/>
        </w:rPr>
        <w:t xml:space="preserve">). </w:t>
      </w:r>
    </w:p>
    <w:p w14:paraId="4DC8C6C1" w14:textId="2FA94FF3" w:rsidR="00704185" w:rsidRPr="00161F67" w:rsidRDefault="003868F3" w:rsidP="00C70FB2">
      <w:pPr>
        <w:pStyle w:val="BodyText"/>
        <w:keepNext/>
        <w:rPr>
          <w:szCs w:val="20"/>
        </w:rPr>
      </w:pPr>
      <w:r w:rsidRPr="00161F67">
        <w:rPr>
          <w:szCs w:val="20"/>
        </w:rPr>
        <w:t xml:space="preserve">In Victoria, management of wetlands </w:t>
      </w:r>
      <w:r w:rsidR="009E7DB2" w:rsidRPr="00161F67">
        <w:rPr>
          <w:szCs w:val="20"/>
        </w:rPr>
        <w:t xml:space="preserve">is regulated under various </w:t>
      </w:r>
      <w:r w:rsidR="00161F67">
        <w:rPr>
          <w:szCs w:val="20"/>
        </w:rPr>
        <w:t xml:space="preserve">pieces of </w:t>
      </w:r>
      <w:r w:rsidR="009E7DB2" w:rsidRPr="00161F67">
        <w:rPr>
          <w:szCs w:val="20"/>
        </w:rPr>
        <w:t xml:space="preserve">legislation, including the </w:t>
      </w:r>
      <w:r w:rsidR="009E7DB2" w:rsidRPr="00C70FB2">
        <w:rPr>
          <w:szCs w:val="20"/>
        </w:rPr>
        <w:t>EPBC Act 1999</w:t>
      </w:r>
      <w:r w:rsidR="009E7DB2" w:rsidRPr="00161F67">
        <w:rPr>
          <w:szCs w:val="20"/>
        </w:rPr>
        <w:t xml:space="preserve">, </w:t>
      </w:r>
      <w:r w:rsidR="009E7DB2" w:rsidRPr="00C70FB2">
        <w:rPr>
          <w:szCs w:val="20"/>
        </w:rPr>
        <w:t>FFG Act 1988</w:t>
      </w:r>
      <w:r w:rsidR="009E7DB2" w:rsidRPr="00161F67">
        <w:rPr>
          <w:szCs w:val="20"/>
        </w:rPr>
        <w:t xml:space="preserve">, </w:t>
      </w:r>
      <w:r w:rsidR="009E7DB2" w:rsidRPr="00C70FB2">
        <w:rPr>
          <w:szCs w:val="20"/>
        </w:rPr>
        <w:t>Planning and Environment Act 1987</w:t>
      </w:r>
      <w:r w:rsidR="009E7DB2" w:rsidRPr="00161F67">
        <w:rPr>
          <w:szCs w:val="20"/>
        </w:rPr>
        <w:t xml:space="preserve">, </w:t>
      </w:r>
      <w:r w:rsidR="009E7DB2" w:rsidRPr="00C70FB2">
        <w:rPr>
          <w:szCs w:val="20"/>
        </w:rPr>
        <w:t>Catchment and Land Protection Act 1994</w:t>
      </w:r>
      <w:r w:rsidR="009E7DB2" w:rsidRPr="00161F67">
        <w:rPr>
          <w:szCs w:val="20"/>
        </w:rPr>
        <w:t xml:space="preserve"> and </w:t>
      </w:r>
      <w:r w:rsidR="009E7DB2" w:rsidRPr="00C70FB2">
        <w:rPr>
          <w:szCs w:val="20"/>
        </w:rPr>
        <w:t>Water Act 1989</w:t>
      </w:r>
      <w:r w:rsidR="009E7DB2" w:rsidRPr="00161F67">
        <w:rPr>
          <w:szCs w:val="20"/>
        </w:rPr>
        <w:t>.</w:t>
      </w:r>
      <w:r w:rsidRPr="00161F67">
        <w:rPr>
          <w:szCs w:val="20"/>
        </w:rPr>
        <w:t xml:space="preserve"> </w:t>
      </w:r>
    </w:p>
    <w:p w14:paraId="14365486" w14:textId="77777777" w:rsidR="00F231E7" w:rsidRPr="00161F67" w:rsidRDefault="00704185" w:rsidP="00C70FB2">
      <w:pPr>
        <w:pStyle w:val="BodyText"/>
        <w:keepNext/>
        <w:rPr>
          <w:szCs w:val="20"/>
        </w:rPr>
      </w:pPr>
      <w:r w:rsidRPr="00161F67">
        <w:rPr>
          <w:szCs w:val="20"/>
        </w:rPr>
        <w:t xml:space="preserve">The only nationally important wetland present within the EMBA due to its connection with the ocean </w:t>
      </w:r>
      <w:r w:rsidR="00F231E7" w:rsidRPr="00161F67">
        <w:rPr>
          <w:szCs w:val="20"/>
        </w:rPr>
        <w:t xml:space="preserve">(an open river mouth) </w:t>
      </w:r>
      <w:r w:rsidRPr="00161F67">
        <w:rPr>
          <w:szCs w:val="20"/>
        </w:rPr>
        <w:t>is the Lower Aire River Wetlands (VIC158), located near Glenaire and to the immediate west of Cape Otway.</w:t>
      </w:r>
    </w:p>
    <w:p w14:paraId="6217FBFE" w14:textId="77777777" w:rsidR="00D35515" w:rsidRDefault="00E6702B" w:rsidP="00D35515">
      <w:pPr>
        <w:pStyle w:val="Heading2"/>
      </w:pPr>
      <w:bookmarkStart w:id="118" w:name="_Toc512862468"/>
      <w:r>
        <w:t>Cultural Heritage</w:t>
      </w:r>
      <w:bookmarkEnd w:id="118"/>
    </w:p>
    <w:p w14:paraId="4D2B3D14" w14:textId="77777777" w:rsidR="00E6702B" w:rsidRDefault="00E6702B" w:rsidP="00037458">
      <w:pPr>
        <w:pStyle w:val="Heading3"/>
      </w:pPr>
      <w:bookmarkStart w:id="119" w:name="_Toc290557154"/>
      <w:bookmarkStart w:id="120" w:name="_Toc342847460"/>
      <w:bookmarkStart w:id="121" w:name="_Toc346898907"/>
      <w:r>
        <w:t>Maritime Archaeological Heritage</w:t>
      </w:r>
      <w:bookmarkEnd w:id="119"/>
      <w:bookmarkEnd w:id="120"/>
      <w:bookmarkEnd w:id="121"/>
    </w:p>
    <w:p w14:paraId="10A8E18E" w14:textId="2AFF210D" w:rsidR="003419E3" w:rsidRPr="00161F67" w:rsidRDefault="00E6702B" w:rsidP="00C70FB2">
      <w:pPr>
        <w:pStyle w:val="BodyText"/>
        <w:keepNext/>
      </w:pPr>
      <w:r w:rsidRPr="00161F67">
        <w:rPr>
          <w:szCs w:val="20"/>
        </w:rPr>
        <w:t xml:space="preserve">The stretch of coastline adjacent to the coastline of the middle part of the EMBA area is known as the ‘Shipwreck Coast’ because of the number of shipwrecks present with most wrecked during the late nineteenth century. The strong waves, rocky reefs and cliffs of the region contributed to the loss of these ships. The wrecks represent significant archaeological, educational and recreational (i.e., diving) opportunities for locals, students, and tourists (Flagstaff Hill, 2015). </w:t>
      </w:r>
      <w:r w:rsidR="00686792">
        <w:rPr>
          <w:szCs w:val="20"/>
        </w:rPr>
        <w:t xml:space="preserve">8 </w:t>
      </w:r>
      <w:r w:rsidRPr="00161F67">
        <w:rPr>
          <w:szCs w:val="20"/>
        </w:rPr>
        <w:t>Shipwrecks</w:t>
      </w:r>
      <w:r w:rsidR="00CB2626">
        <w:rPr>
          <w:szCs w:val="20"/>
        </w:rPr>
        <w:t xml:space="preserve"> </w:t>
      </w:r>
      <w:r w:rsidR="00686792">
        <w:rPr>
          <w:szCs w:val="20"/>
        </w:rPr>
        <w:t>are adjacent to the</w:t>
      </w:r>
      <w:r w:rsidR="00114776" w:rsidRPr="00161F67">
        <w:rPr>
          <w:szCs w:val="20"/>
        </w:rPr>
        <w:t xml:space="preserve"> </w:t>
      </w:r>
      <w:r w:rsidR="00BA0611">
        <w:rPr>
          <w:szCs w:val="20"/>
        </w:rPr>
        <w:t>CHN</w:t>
      </w:r>
      <w:r w:rsidR="00686792">
        <w:rPr>
          <w:szCs w:val="20"/>
        </w:rPr>
        <w:t xml:space="preserve"> assets.</w:t>
      </w:r>
    </w:p>
    <w:p w14:paraId="3F8E4C5D" w14:textId="77777777" w:rsidR="00E6702B" w:rsidRPr="00C51694" w:rsidRDefault="00E6702B" w:rsidP="00037458">
      <w:pPr>
        <w:pStyle w:val="Heading3"/>
      </w:pPr>
      <w:bookmarkStart w:id="122" w:name="_Toc342847461"/>
      <w:bookmarkStart w:id="123" w:name="_Toc346898908"/>
      <w:r w:rsidRPr="00C51694">
        <w:t>Aboriginal Heritage</w:t>
      </w:r>
      <w:bookmarkEnd w:id="122"/>
      <w:bookmarkEnd w:id="123"/>
    </w:p>
    <w:p w14:paraId="51146938" w14:textId="77777777" w:rsidR="00E6702B" w:rsidRPr="00161F67" w:rsidRDefault="00E6702B" w:rsidP="00C70FB2">
      <w:pPr>
        <w:pStyle w:val="BodyText"/>
        <w:keepNext/>
        <w:rPr>
          <w:szCs w:val="20"/>
        </w:rPr>
      </w:pPr>
      <w:r w:rsidRPr="00161F67">
        <w:rPr>
          <w:szCs w:val="20"/>
        </w:rPr>
        <w:t>Aboriginal groups inhabited the southwest Victorian coast as is evident from the terrestrial sites of Aboriginal archaeological significance throughout the area. During recent ice age periods (the last ending approximately 14,000 years ago), sea levels were significantly lower and the coastline was a significant distance seaward of its present location, enabling occupation and travel across land that is now submerged.</w:t>
      </w:r>
    </w:p>
    <w:p w14:paraId="17157698" w14:textId="77777777" w:rsidR="00E6702B" w:rsidRPr="00161F67" w:rsidRDefault="00E6702B" w:rsidP="00C70FB2">
      <w:pPr>
        <w:pStyle w:val="BodyText"/>
        <w:keepNext/>
        <w:rPr>
          <w:szCs w:val="20"/>
        </w:rPr>
      </w:pPr>
      <w:r w:rsidRPr="00161F67">
        <w:rPr>
          <w:szCs w:val="20"/>
        </w:rPr>
        <w:t xml:space="preserve">Coastal Aboriginal heritage sites include mostly shell middens, some stone artefacts, a few staircases cut into the coastal cliffs, and at least one burial site. The various shell middens </w:t>
      </w:r>
      <w:r w:rsidRPr="00161F67">
        <w:rPr>
          <w:szCs w:val="20"/>
        </w:rPr>
        <w:lastRenderedPageBreak/>
        <w:t>within the Port Campbell National Park and Bay of Islands Costal Park are close to coastal access points that are, in some cases, now visitor access points (ParksVic, 1998).</w:t>
      </w:r>
    </w:p>
    <w:p w14:paraId="2DCC15A4" w14:textId="77777777" w:rsidR="00E6702B" w:rsidRDefault="00E6702B" w:rsidP="00E6702B">
      <w:pPr>
        <w:pStyle w:val="Heading2"/>
      </w:pPr>
      <w:bookmarkStart w:id="124" w:name="_Toc512862469"/>
      <w:r>
        <w:t>Socio-economic Environment</w:t>
      </w:r>
      <w:bookmarkEnd w:id="124"/>
    </w:p>
    <w:p w14:paraId="0966FC4A" w14:textId="77777777" w:rsidR="00E6702B" w:rsidRDefault="005C01F0" w:rsidP="00037458">
      <w:pPr>
        <w:pStyle w:val="Heading3"/>
      </w:pPr>
      <w:bookmarkStart w:id="125" w:name="_Toc345581911"/>
      <w:bookmarkStart w:id="126" w:name="_Toc346898910"/>
      <w:r>
        <w:t>Settlements</w:t>
      </w:r>
      <w:bookmarkEnd w:id="125"/>
      <w:bookmarkEnd w:id="126"/>
    </w:p>
    <w:p w14:paraId="4EE94FD7" w14:textId="77777777" w:rsidR="005C01F0" w:rsidRPr="00161F67" w:rsidRDefault="005C01F0" w:rsidP="00C70FB2">
      <w:pPr>
        <w:pStyle w:val="BodyText"/>
        <w:keepNext/>
        <w:rPr>
          <w:szCs w:val="20"/>
        </w:rPr>
      </w:pPr>
      <w:r w:rsidRPr="00161F67">
        <w:rPr>
          <w:szCs w:val="20"/>
        </w:rPr>
        <w:t xml:space="preserve">The coastal communities of Apollo Bay, Princetown, Port Campbell, Peterborough, Warrnambool, Port Fairy and Portland all provide services to the commercial and recreational fishing industries in southwest Victoria. Portland is Victoria’s western-most commercial port, and is a deep-water port with breakwaters sheltering a marina and boat ramp. The Port of Warrnambool has a breakwater and yacht club, and provides shelter for commercial fishing boats. Port Fairy has both harbour and fish processing facilities, but is not suitable for use by large vessels, nor is Port Campbell. </w:t>
      </w:r>
    </w:p>
    <w:p w14:paraId="67A8C458" w14:textId="34E6E304" w:rsidR="005C01F0" w:rsidRPr="00161F67" w:rsidRDefault="005C01F0" w:rsidP="00C70FB2">
      <w:pPr>
        <w:pStyle w:val="BodyText"/>
        <w:keepNext/>
        <w:rPr>
          <w:szCs w:val="20"/>
        </w:rPr>
      </w:pPr>
      <w:r w:rsidRPr="00161F67">
        <w:rPr>
          <w:szCs w:val="20"/>
        </w:rPr>
        <w:t xml:space="preserve">Port Campbell is the nearest town to the </w:t>
      </w:r>
      <w:r w:rsidR="00BA0611">
        <w:rPr>
          <w:szCs w:val="20"/>
        </w:rPr>
        <w:t>CHN</w:t>
      </w:r>
      <w:r w:rsidRPr="00161F67">
        <w:rPr>
          <w:szCs w:val="20"/>
        </w:rPr>
        <w:t xml:space="preserve"> assets. At the time of the 2011 census, the population of Port Campbell was 618. The town has a median age of 37, a median weekly household income of $1,097 and an unemployment rate of 5.4% (ABS, 201</w:t>
      </w:r>
      <w:r w:rsidR="00EB3C6C">
        <w:rPr>
          <w:szCs w:val="20"/>
        </w:rPr>
        <w:t>6</w:t>
      </w:r>
      <w:r w:rsidRPr="00161F67">
        <w:rPr>
          <w:szCs w:val="20"/>
        </w:rPr>
        <w:t>). Dairy cattle farming is the town’s largest employment type (19.3%), followed by tourist accommodation (10.6%), sheep, beef and grain farming (5%) and cafes, restaurants and food services accounting for 4.7% (ABS, 201</w:t>
      </w:r>
      <w:r w:rsidR="00EB3C6C">
        <w:rPr>
          <w:szCs w:val="20"/>
        </w:rPr>
        <w:t>6</w:t>
      </w:r>
      <w:r w:rsidRPr="00161F67">
        <w:rPr>
          <w:szCs w:val="20"/>
        </w:rPr>
        <w:t xml:space="preserve">). </w:t>
      </w:r>
    </w:p>
    <w:p w14:paraId="3C2C70F2" w14:textId="77777777" w:rsidR="00E1686E" w:rsidRPr="00C51694" w:rsidRDefault="00E1686E" w:rsidP="00037458">
      <w:pPr>
        <w:pStyle w:val="Heading3"/>
      </w:pPr>
      <w:bookmarkStart w:id="127" w:name="_Toc342847462"/>
      <w:bookmarkStart w:id="128" w:name="_Toc345581912"/>
      <w:bookmarkStart w:id="129" w:name="_Toc346898911"/>
      <w:r w:rsidRPr="00C51694">
        <w:t>Native Title</w:t>
      </w:r>
      <w:bookmarkEnd w:id="127"/>
      <w:bookmarkEnd w:id="128"/>
      <w:bookmarkEnd w:id="129"/>
    </w:p>
    <w:p w14:paraId="0FF5BCBF" w14:textId="6B6370AD" w:rsidR="00E1686E" w:rsidRPr="009D357B" w:rsidRDefault="00C03797" w:rsidP="00C70FB2">
      <w:pPr>
        <w:pStyle w:val="BodyText"/>
        <w:keepNext/>
        <w:rPr>
          <w:szCs w:val="20"/>
        </w:rPr>
      </w:pPr>
      <w:r w:rsidRPr="009D357B">
        <w:rPr>
          <w:szCs w:val="20"/>
        </w:rPr>
        <w:t>The</w:t>
      </w:r>
      <w:r w:rsidR="00E1686E" w:rsidRPr="009D357B">
        <w:rPr>
          <w:szCs w:val="20"/>
        </w:rPr>
        <w:t xml:space="preserve"> National Native Title Tribunal (NNTT) database identifies a claim exists over the adjacent coastal shoreline by the Eastern Maar people. This claim, registered in 2013, extends seaward 100 m from the mean low-water mark of the coastline (NNTT, 2016</w:t>
      </w:r>
      <w:r w:rsidR="00EB3C6C" w:rsidRPr="009D357B">
        <w:rPr>
          <w:szCs w:val="20"/>
        </w:rPr>
        <w:t>a</w:t>
      </w:r>
      <w:r w:rsidR="00E1686E" w:rsidRPr="009D357B">
        <w:rPr>
          <w:szCs w:val="20"/>
        </w:rPr>
        <w:t>). There is currently no determination registered over the area of the claim (still active) in the National Native Title Register.</w:t>
      </w:r>
    </w:p>
    <w:p w14:paraId="4769A2B4" w14:textId="77777777" w:rsidR="005C01F0" w:rsidRDefault="005C01F0" w:rsidP="00037458">
      <w:pPr>
        <w:pStyle w:val="Heading3"/>
      </w:pPr>
      <w:bookmarkStart w:id="130" w:name="_Toc345581913"/>
      <w:bookmarkStart w:id="131" w:name="_Toc346898912"/>
      <w:bookmarkStart w:id="132" w:name="_Ref473518326"/>
      <w:bookmarkStart w:id="133" w:name="_Ref482939136"/>
      <w:r>
        <w:t>Shipping</w:t>
      </w:r>
      <w:bookmarkEnd w:id="130"/>
      <w:bookmarkEnd w:id="131"/>
      <w:bookmarkEnd w:id="132"/>
      <w:bookmarkEnd w:id="133"/>
    </w:p>
    <w:p w14:paraId="3A93BB51" w14:textId="2725FEA2" w:rsidR="005C01F0" w:rsidRPr="00D022B3" w:rsidRDefault="005C01F0" w:rsidP="00E439A6">
      <w:pPr>
        <w:pStyle w:val="BodyText"/>
        <w:rPr>
          <w:szCs w:val="20"/>
        </w:rPr>
      </w:pPr>
      <w:r w:rsidRPr="00D022B3">
        <w:rPr>
          <w:szCs w:val="20"/>
        </w:rPr>
        <w:t xml:space="preserve">The South-east Marine Region is one of the busiest shipping regions in Australia and Bass Strait is one of Australia’s busiest shipping routes. Commercial vessels use the route when transiting between ports on the east, south and west coasts of Australia, and there are regular passenger and cargo services between mainland Australia and Tasmania (NOO, 2004). </w:t>
      </w:r>
      <w:r w:rsidR="00B7174F" w:rsidRPr="00D022B3">
        <w:rPr>
          <w:szCs w:val="20"/>
        </w:rPr>
        <w:t>A</w:t>
      </w:r>
      <w:r w:rsidRPr="00D022B3">
        <w:rPr>
          <w:szCs w:val="20"/>
        </w:rPr>
        <w:t xml:space="preserve">gricultural products and woodchips are transported from the Port of Portland to receiving ports in the Gulf of St Vincent, South Australia, and through Bass Strait to Melbourne and Sydney (NOO, 2004). </w:t>
      </w:r>
    </w:p>
    <w:p w14:paraId="5085E9CB" w14:textId="1D5F9FBA" w:rsidR="00B7174F" w:rsidRPr="00D022B3" w:rsidRDefault="00B7174F" w:rsidP="00E439A6">
      <w:pPr>
        <w:pStyle w:val="BodyText"/>
        <w:rPr>
          <w:szCs w:val="20"/>
        </w:rPr>
      </w:pPr>
      <w:r w:rsidRPr="00D022B3">
        <w:rPr>
          <w:szCs w:val="20"/>
        </w:rPr>
        <w:t xml:space="preserve">AMSA indicates that there are no designated shipping lanes in the vicinity of the </w:t>
      </w:r>
      <w:r w:rsidR="00BA0611">
        <w:rPr>
          <w:szCs w:val="20"/>
        </w:rPr>
        <w:t>CHN</w:t>
      </w:r>
      <w:r w:rsidRPr="00D022B3">
        <w:rPr>
          <w:szCs w:val="20"/>
        </w:rPr>
        <w:t xml:space="preserve"> assets, however local commercial fishing vessels utilise the area frequently</w:t>
      </w:r>
      <w:r w:rsidR="00EB3C6C">
        <w:rPr>
          <w:szCs w:val="20"/>
        </w:rPr>
        <w:t xml:space="preserve"> (Figure 5-20)</w:t>
      </w:r>
      <w:r w:rsidRPr="00D022B3">
        <w:rPr>
          <w:szCs w:val="20"/>
        </w:rPr>
        <w:t xml:space="preserve">. AMSA has provided information regarding shipping routes and density for the area, with the highest density shipping occurs in the southern-most part of </w:t>
      </w:r>
      <w:r w:rsidR="00BA0611">
        <w:rPr>
          <w:szCs w:val="20"/>
        </w:rPr>
        <w:t>V</w:t>
      </w:r>
      <w:r w:rsidR="006D5BA7">
        <w:rPr>
          <w:szCs w:val="20"/>
        </w:rPr>
        <w:t>ic/L30</w:t>
      </w:r>
      <w:r w:rsidRPr="00D022B3">
        <w:rPr>
          <w:szCs w:val="20"/>
        </w:rPr>
        <w:t xml:space="preserve"> and Vic/L24. </w:t>
      </w:r>
      <w:r w:rsidR="009C5773">
        <w:rPr>
          <w:szCs w:val="20"/>
        </w:rPr>
        <w:t xml:space="preserve">Ship </w:t>
      </w:r>
      <w:r w:rsidR="00E80C0C">
        <w:rPr>
          <w:szCs w:val="20"/>
        </w:rPr>
        <w:t>tracking data</w:t>
      </w:r>
      <w:r w:rsidR="00D2695B">
        <w:rPr>
          <w:szCs w:val="20"/>
        </w:rPr>
        <w:t xml:space="preserve"> </w:t>
      </w:r>
      <w:r w:rsidR="00E80C0C">
        <w:rPr>
          <w:szCs w:val="20"/>
        </w:rPr>
        <w:t>from AMSA (2016-7</w:t>
      </w:r>
      <w:r w:rsidR="009C5773">
        <w:rPr>
          <w:szCs w:val="20"/>
        </w:rPr>
        <w:t xml:space="preserve">) provides details of the shipping traffic in the area. The CHN assets are located at the northern extremity of areas with high traffic volumes. </w:t>
      </w:r>
    </w:p>
    <w:p w14:paraId="6A8595DD" w14:textId="77777777" w:rsidR="00977CF5" w:rsidRDefault="00977CF5" w:rsidP="00E439A6">
      <w:pPr>
        <w:pStyle w:val="Heading3"/>
        <w:keepNext w:val="0"/>
      </w:pPr>
      <w:bookmarkStart w:id="134" w:name="_Toc345581914"/>
      <w:bookmarkStart w:id="135" w:name="_Toc346898913"/>
      <w:r>
        <w:t>Recreational Fishing</w:t>
      </w:r>
      <w:bookmarkEnd w:id="134"/>
      <w:bookmarkEnd w:id="135"/>
    </w:p>
    <w:p w14:paraId="3B8E85C1" w14:textId="60644419" w:rsidR="00977CF5" w:rsidRPr="00213285" w:rsidRDefault="00977CF5" w:rsidP="00E439A6">
      <w:pPr>
        <w:pStyle w:val="BodyText"/>
      </w:pPr>
      <w:r w:rsidRPr="00213285">
        <w:t>Recreational fishing includes rock, beach, boat and estuary fishing, using rod and line. Fishing licences are required for inland and ocean fishing. Fishing charter operators provide deeper water recreational fishing opportunities</w:t>
      </w:r>
      <w:r w:rsidR="00C06733" w:rsidRPr="00213285">
        <w:t xml:space="preserve"> (such as tuna fishing)</w:t>
      </w:r>
      <w:r w:rsidRPr="00213285">
        <w:t>.</w:t>
      </w:r>
    </w:p>
    <w:p w14:paraId="65AE0664" w14:textId="77777777" w:rsidR="00977CF5" w:rsidRDefault="00977CF5" w:rsidP="00E439A6">
      <w:pPr>
        <w:pStyle w:val="Heading3"/>
        <w:keepNext w:val="0"/>
      </w:pPr>
      <w:bookmarkStart w:id="136" w:name="_Toc345581915"/>
      <w:bookmarkStart w:id="137" w:name="_Toc346898914"/>
      <w:bookmarkStart w:id="138" w:name="_Ref483759407"/>
      <w:r>
        <w:t>Tourism</w:t>
      </w:r>
      <w:bookmarkEnd w:id="136"/>
      <w:bookmarkEnd w:id="137"/>
      <w:bookmarkEnd w:id="138"/>
    </w:p>
    <w:p w14:paraId="60381CE4" w14:textId="29CE6FCC" w:rsidR="00977CF5" w:rsidRPr="00C70FB2" w:rsidRDefault="00977CF5" w:rsidP="00E439A6">
      <w:pPr>
        <w:pStyle w:val="BodyText"/>
        <w:rPr>
          <w:szCs w:val="20"/>
        </w:rPr>
      </w:pPr>
      <w:r w:rsidRPr="00C70FB2">
        <w:rPr>
          <w:szCs w:val="20"/>
        </w:rPr>
        <w:t xml:space="preserve">Recreational and tourism activities are extremely valuable foundations for the local and regional economy. Key activities include sight-seeing, surfing and fishing however, these are generally land-based or near-shore activities and are not impacted by the </w:t>
      </w:r>
      <w:r w:rsidR="00BA0611" w:rsidRPr="00C70FB2">
        <w:rPr>
          <w:szCs w:val="20"/>
        </w:rPr>
        <w:t>CHN</w:t>
      </w:r>
      <w:r w:rsidR="00F479DE" w:rsidRPr="00C70FB2">
        <w:rPr>
          <w:szCs w:val="20"/>
        </w:rPr>
        <w:t xml:space="preserve"> </w:t>
      </w:r>
      <w:r w:rsidRPr="00C70FB2">
        <w:rPr>
          <w:szCs w:val="20"/>
        </w:rPr>
        <w:t xml:space="preserve">asset operations. </w:t>
      </w:r>
    </w:p>
    <w:p w14:paraId="3DF0A99E" w14:textId="47B1BC02" w:rsidR="008541E0" w:rsidRDefault="00F04F7C" w:rsidP="00E439A6">
      <w:pPr>
        <w:pStyle w:val="BodyText"/>
      </w:pPr>
      <w:r w:rsidRPr="00C70FB2">
        <w:rPr>
          <w:szCs w:val="20"/>
        </w:rPr>
        <w:t>The CH</w:t>
      </w:r>
      <w:r>
        <w:rPr>
          <w:lang w:val="en-GB"/>
        </w:rPr>
        <w:t xml:space="preserve">N assets are located in an area of the Otway coastline which is located on the Great Ocean Road, one of the most famous drives in the world. </w:t>
      </w:r>
      <w:r w:rsidR="003D0C5D">
        <w:rPr>
          <w:lang w:val="en-GB"/>
        </w:rPr>
        <w:t xml:space="preserve"> </w:t>
      </w:r>
      <w:r w:rsidR="00CF1DB3">
        <w:t>Tourism activities include surfing, recreational f</w:t>
      </w:r>
      <w:bookmarkStart w:id="139" w:name="_Toc345581916"/>
      <w:bookmarkStart w:id="140" w:name="_Toc346898915"/>
      <w:bookmarkStart w:id="141" w:name="_Ref473518314"/>
      <w:bookmarkStart w:id="142" w:name="_Ref473518680"/>
      <w:r w:rsidR="00CF1DB3">
        <w:t>ishing, diving and snorkelling.</w:t>
      </w:r>
    </w:p>
    <w:p w14:paraId="447CE4C0" w14:textId="7911E0F9" w:rsidR="00F479DE" w:rsidRDefault="00F479DE" w:rsidP="00E439A6">
      <w:pPr>
        <w:pStyle w:val="Heading3"/>
        <w:keepNext w:val="0"/>
      </w:pPr>
      <w:bookmarkStart w:id="143" w:name="_Ref483652443"/>
      <w:r>
        <w:lastRenderedPageBreak/>
        <w:t>Commercial Fishing</w:t>
      </w:r>
      <w:bookmarkEnd w:id="139"/>
      <w:bookmarkEnd w:id="140"/>
      <w:bookmarkEnd w:id="141"/>
      <w:bookmarkEnd w:id="142"/>
      <w:bookmarkEnd w:id="143"/>
    </w:p>
    <w:p w14:paraId="06607A90" w14:textId="26D5FDC3" w:rsidR="00F479DE" w:rsidRPr="00D022B3" w:rsidRDefault="00F479DE" w:rsidP="00E439A6">
      <w:pPr>
        <w:pStyle w:val="BodyText"/>
      </w:pPr>
      <w:r w:rsidRPr="00D022B3">
        <w:t xml:space="preserve">The offshore </w:t>
      </w:r>
      <w:r w:rsidR="00BA0611">
        <w:t>CHN</w:t>
      </w:r>
      <w:r w:rsidRPr="00D022B3">
        <w:t xml:space="preserve"> assets are overlapped by the jurisdiction of several Commonwealth and State-managed fisheries, as outlined below.</w:t>
      </w:r>
    </w:p>
    <w:p w14:paraId="3E4A8D80" w14:textId="77777777" w:rsidR="00F479DE" w:rsidRPr="00BD4297" w:rsidRDefault="00F479DE" w:rsidP="00914C00">
      <w:pPr>
        <w:pStyle w:val="Heading4"/>
      </w:pPr>
      <w:r w:rsidRPr="00BD4297">
        <w:t>Commonwealth-managed Fisheries</w:t>
      </w:r>
    </w:p>
    <w:p w14:paraId="4D234143" w14:textId="72A944C0" w:rsidR="00F479DE" w:rsidRPr="00213285" w:rsidRDefault="00F479DE" w:rsidP="00C70FB2">
      <w:pPr>
        <w:pStyle w:val="BodyText"/>
        <w:keepNext/>
      </w:pPr>
      <w:r w:rsidRPr="00213285">
        <w:t xml:space="preserve">Commonwealth fisheries are managed by AFMA, with Commonwealth fisheries operating from 3 nm of baseline out to 200 nm (the extent of the Australian Fishing Zone, AFZ). The offshore </w:t>
      </w:r>
      <w:r w:rsidR="00BA0611">
        <w:t>CHN</w:t>
      </w:r>
      <w:r w:rsidRPr="00213285">
        <w:t xml:space="preserve"> asset</w:t>
      </w:r>
      <w:r w:rsidR="00BD4297" w:rsidRPr="00213285">
        <w:t>s</w:t>
      </w:r>
      <w:r w:rsidRPr="00213285">
        <w:t xml:space="preserve"> </w:t>
      </w:r>
      <w:r w:rsidR="00BD4297" w:rsidRPr="00213285">
        <w:t xml:space="preserve">are located </w:t>
      </w:r>
      <w:r w:rsidRPr="00213285">
        <w:t>within an area encompassed by several Commonwealth-managed fisheries, these being:</w:t>
      </w:r>
    </w:p>
    <w:p w14:paraId="5C8B9868" w14:textId="77777777" w:rsidR="00F479DE" w:rsidRPr="00D022B3" w:rsidRDefault="00F479DE" w:rsidP="0036080A">
      <w:pPr>
        <w:pStyle w:val="Bullet1"/>
        <w:numPr>
          <w:ilvl w:val="0"/>
          <w:numId w:val="40"/>
        </w:numPr>
      </w:pPr>
      <w:r w:rsidRPr="00D022B3">
        <w:t>Bass Strait Central Zone Scallop.</w:t>
      </w:r>
    </w:p>
    <w:p w14:paraId="7262AB4A" w14:textId="77777777" w:rsidR="00F479DE" w:rsidRPr="00D022B3" w:rsidRDefault="00F479DE" w:rsidP="0036080A">
      <w:pPr>
        <w:pStyle w:val="Bullet1"/>
        <w:numPr>
          <w:ilvl w:val="0"/>
          <w:numId w:val="40"/>
        </w:numPr>
      </w:pPr>
      <w:r w:rsidRPr="00D022B3">
        <w:t>Eastern Tuna and Billfish.</w:t>
      </w:r>
    </w:p>
    <w:p w14:paraId="4E522A19" w14:textId="77777777" w:rsidR="00F479DE" w:rsidRPr="00D022B3" w:rsidRDefault="00F479DE" w:rsidP="0036080A">
      <w:pPr>
        <w:pStyle w:val="Bullet1"/>
        <w:numPr>
          <w:ilvl w:val="0"/>
          <w:numId w:val="40"/>
        </w:numPr>
      </w:pPr>
      <w:r w:rsidRPr="00D022B3">
        <w:t>Skipjack (eastern).</w:t>
      </w:r>
    </w:p>
    <w:p w14:paraId="4125D06E" w14:textId="77777777" w:rsidR="00F479DE" w:rsidRPr="00D022B3" w:rsidRDefault="00F479DE" w:rsidP="0036080A">
      <w:pPr>
        <w:pStyle w:val="Bullet1"/>
        <w:numPr>
          <w:ilvl w:val="0"/>
          <w:numId w:val="40"/>
        </w:numPr>
      </w:pPr>
      <w:r w:rsidRPr="00D022B3">
        <w:t>Small Pelagic (western sub-area).</w:t>
      </w:r>
    </w:p>
    <w:p w14:paraId="62B9F383" w14:textId="77777777" w:rsidR="00F479DE" w:rsidRPr="00D022B3" w:rsidRDefault="00F479DE" w:rsidP="0036080A">
      <w:pPr>
        <w:pStyle w:val="Bullet1"/>
        <w:numPr>
          <w:ilvl w:val="0"/>
          <w:numId w:val="40"/>
        </w:numPr>
      </w:pPr>
      <w:r w:rsidRPr="00D022B3">
        <w:t>Southern and Eastern Scalefish and Shark.</w:t>
      </w:r>
    </w:p>
    <w:p w14:paraId="12BFC37B" w14:textId="77777777" w:rsidR="00F479DE" w:rsidRPr="00D022B3" w:rsidRDefault="00F479DE" w:rsidP="0036080A">
      <w:pPr>
        <w:pStyle w:val="Bullet1"/>
        <w:numPr>
          <w:ilvl w:val="0"/>
          <w:numId w:val="40"/>
        </w:numPr>
      </w:pPr>
      <w:r w:rsidRPr="00D022B3">
        <w:t xml:space="preserve">Southern Bluefin Tuna. </w:t>
      </w:r>
    </w:p>
    <w:p w14:paraId="61BB05D2" w14:textId="77777777" w:rsidR="00F479DE" w:rsidRPr="00D022B3" w:rsidRDefault="00F479DE" w:rsidP="0036080A">
      <w:pPr>
        <w:pStyle w:val="Bullet1"/>
        <w:numPr>
          <w:ilvl w:val="0"/>
          <w:numId w:val="40"/>
        </w:numPr>
      </w:pPr>
      <w:r w:rsidRPr="00D022B3">
        <w:t xml:space="preserve">Southern Squid Jig. </w:t>
      </w:r>
    </w:p>
    <w:p w14:paraId="1AA85A97" w14:textId="77777777" w:rsidR="00F479DE" w:rsidRPr="00BD4297" w:rsidRDefault="00F479DE" w:rsidP="00914C00">
      <w:pPr>
        <w:pStyle w:val="Heading4"/>
      </w:pPr>
      <w:r w:rsidRPr="00BD4297">
        <w:t>State-managed Fisheries</w:t>
      </w:r>
    </w:p>
    <w:p w14:paraId="47A813AB" w14:textId="3751782E" w:rsidR="00F479DE" w:rsidRPr="00213285" w:rsidRDefault="00F479DE" w:rsidP="00C70FB2">
      <w:pPr>
        <w:pStyle w:val="BodyText"/>
        <w:keepNext/>
      </w:pPr>
      <w:r w:rsidRPr="00213285">
        <w:t xml:space="preserve">Victorian fisheries are managed by </w:t>
      </w:r>
      <w:r w:rsidR="006948AA" w:rsidRPr="00213285">
        <w:t>DEDJTR</w:t>
      </w:r>
      <w:r w:rsidRPr="00213285">
        <w:t xml:space="preserve"> </w:t>
      </w:r>
      <w:r w:rsidR="006948AA" w:rsidRPr="00213285">
        <w:t>(</w:t>
      </w:r>
      <w:r w:rsidRPr="00213285">
        <w:t>Fisheries</w:t>
      </w:r>
      <w:r w:rsidR="006948AA" w:rsidRPr="00213285">
        <w:t>)</w:t>
      </w:r>
      <w:r w:rsidRPr="00213285">
        <w:t xml:space="preserve"> and may overlap Commonwealth fisheries areas. The offshore </w:t>
      </w:r>
      <w:r w:rsidR="00BA0611">
        <w:t>CHN</w:t>
      </w:r>
      <w:r w:rsidRPr="00213285">
        <w:t xml:space="preserve"> asset lies within an area encompassed by several State-managed fisheries, these being:</w:t>
      </w:r>
    </w:p>
    <w:p w14:paraId="16076589" w14:textId="77777777" w:rsidR="00F479DE" w:rsidRPr="00213285" w:rsidRDefault="00F479DE" w:rsidP="0036080A">
      <w:pPr>
        <w:pStyle w:val="Bullet1"/>
        <w:numPr>
          <w:ilvl w:val="0"/>
          <w:numId w:val="40"/>
        </w:numPr>
      </w:pPr>
      <w:r w:rsidRPr="00213285">
        <w:t>Victorian Rock Lobster.</w:t>
      </w:r>
    </w:p>
    <w:p w14:paraId="34CEE727" w14:textId="77777777" w:rsidR="00F479DE" w:rsidRPr="00213285" w:rsidRDefault="00F479DE" w:rsidP="0036080A">
      <w:pPr>
        <w:pStyle w:val="Bullet1"/>
        <w:numPr>
          <w:ilvl w:val="0"/>
          <w:numId w:val="40"/>
        </w:numPr>
      </w:pPr>
      <w:r w:rsidRPr="00213285">
        <w:t>Victorian Giant Crab</w:t>
      </w:r>
    </w:p>
    <w:p w14:paraId="0086875B" w14:textId="77777777" w:rsidR="00F479DE" w:rsidRDefault="00F479DE" w:rsidP="0036080A">
      <w:pPr>
        <w:pStyle w:val="Bullet1"/>
        <w:numPr>
          <w:ilvl w:val="0"/>
          <w:numId w:val="40"/>
        </w:numPr>
      </w:pPr>
      <w:r w:rsidRPr="00213285">
        <w:t>Abalone.</w:t>
      </w:r>
    </w:p>
    <w:p w14:paraId="24F46629" w14:textId="1E5A5133" w:rsidR="00F63734" w:rsidRPr="00213285" w:rsidRDefault="00F63734" w:rsidP="0036080A">
      <w:pPr>
        <w:pStyle w:val="Bullet1"/>
        <w:numPr>
          <w:ilvl w:val="0"/>
          <w:numId w:val="40"/>
        </w:numPr>
      </w:pPr>
      <w:r>
        <w:t>Wrasse.</w:t>
      </w:r>
    </w:p>
    <w:p w14:paraId="44036CC6" w14:textId="77777777" w:rsidR="00F479DE" w:rsidRPr="00213285" w:rsidRDefault="00F479DE" w:rsidP="0036080A">
      <w:pPr>
        <w:pStyle w:val="Bullet1"/>
        <w:numPr>
          <w:ilvl w:val="0"/>
          <w:numId w:val="40"/>
        </w:numPr>
      </w:pPr>
      <w:r w:rsidRPr="00213285">
        <w:t>Scallop.</w:t>
      </w:r>
    </w:p>
    <w:p w14:paraId="6C46DA25" w14:textId="6D4D89C5" w:rsidR="00497195" w:rsidRDefault="00F479DE" w:rsidP="0036080A">
      <w:pPr>
        <w:pStyle w:val="Bullet1"/>
        <w:numPr>
          <w:ilvl w:val="0"/>
          <w:numId w:val="40"/>
        </w:numPr>
      </w:pPr>
      <w:r w:rsidRPr="00213285">
        <w:t>Snapper.</w:t>
      </w:r>
    </w:p>
    <w:p w14:paraId="37AF3C0A" w14:textId="77777777" w:rsidR="004C2498" w:rsidRDefault="00CF2012" w:rsidP="0096218D">
      <w:pPr>
        <w:pStyle w:val="Heading3"/>
      </w:pPr>
      <w:bookmarkStart w:id="144" w:name="_Toc345581917"/>
      <w:bookmarkStart w:id="145" w:name="_Toc346898916"/>
      <w:r>
        <w:t>Petroleum Exploration and Production</w:t>
      </w:r>
      <w:bookmarkEnd w:id="144"/>
      <w:bookmarkEnd w:id="145"/>
    </w:p>
    <w:p w14:paraId="589F118A" w14:textId="0FA44136" w:rsidR="004C2498" w:rsidRPr="00213285" w:rsidRDefault="004C2498" w:rsidP="00C70FB2">
      <w:pPr>
        <w:pStyle w:val="BodyText"/>
        <w:keepNext/>
      </w:pPr>
      <w:r w:rsidRPr="00213285">
        <w:t xml:space="preserve">Other than the </w:t>
      </w:r>
      <w:r w:rsidR="00BA0611">
        <w:t>CHN</w:t>
      </w:r>
      <w:r w:rsidRPr="00213285">
        <w:t xml:space="preserve"> asset</w:t>
      </w:r>
      <w:r w:rsidR="00CF2012" w:rsidRPr="00213285">
        <w:t>s</w:t>
      </w:r>
      <w:r w:rsidRPr="00213285">
        <w:t xml:space="preserve">, </w:t>
      </w:r>
      <w:r w:rsidR="00CF1DB3">
        <w:t>there are no other petroleum related assets in proximity to the state waters pipeline</w:t>
      </w:r>
      <w:r w:rsidRPr="00213285">
        <w:t xml:space="preserve">  </w:t>
      </w:r>
    </w:p>
    <w:p w14:paraId="57A4024C" w14:textId="77777777" w:rsidR="009E5D22" w:rsidRDefault="009E5D22" w:rsidP="0096218D">
      <w:pPr>
        <w:pStyle w:val="Heading3"/>
      </w:pPr>
      <w:bookmarkStart w:id="146" w:name="_Toc345581918"/>
      <w:bookmarkStart w:id="147" w:name="_Toc346898917"/>
      <w:r>
        <w:t>Defence Activities</w:t>
      </w:r>
      <w:bookmarkEnd w:id="146"/>
      <w:bookmarkEnd w:id="147"/>
    </w:p>
    <w:p w14:paraId="49F908D5" w14:textId="77777777" w:rsidR="009E5D22" w:rsidRPr="00802703" w:rsidRDefault="009E5D22" w:rsidP="00C70FB2">
      <w:pPr>
        <w:pStyle w:val="BodyText"/>
        <w:keepNext/>
      </w:pPr>
      <w:r w:rsidRPr="00802703">
        <w:t xml:space="preserve">The Defence Force uses offshore areas for training operations including live firing, bombing practice from aircraft, air-to-air and air-to-sea or ground firing, anti-aircraft firing, firing from shore batteries or ships, remote controlled craft firing, and rocket and guided weapons firing. </w:t>
      </w:r>
    </w:p>
    <w:p w14:paraId="71D4AA71" w14:textId="4C10AC6C" w:rsidR="009E5D22" w:rsidRPr="00802703" w:rsidRDefault="009E5D22" w:rsidP="00C70FB2">
      <w:pPr>
        <w:pStyle w:val="BodyText"/>
        <w:keepNext/>
      </w:pPr>
      <w:r w:rsidRPr="00802703">
        <w:t xml:space="preserve">Five training areas are located more than 150 km east of the </w:t>
      </w:r>
      <w:r w:rsidR="00BA0611">
        <w:t>CHN</w:t>
      </w:r>
      <w:r w:rsidR="002B6F06" w:rsidRPr="00802703">
        <w:t xml:space="preserve"> </w:t>
      </w:r>
      <w:r w:rsidRPr="00802703">
        <w:t>asset</w:t>
      </w:r>
      <w:r w:rsidR="002B6F06" w:rsidRPr="00802703">
        <w:t>s</w:t>
      </w:r>
      <w:r w:rsidRPr="00802703">
        <w:t xml:space="preserve">, in and around Port Phillip Bay and Western Port Bay. </w:t>
      </w:r>
    </w:p>
    <w:p w14:paraId="1E4D97F7" w14:textId="77777777" w:rsidR="00E536D5" w:rsidRDefault="00E536D5" w:rsidP="00CF1DB3">
      <w:pPr>
        <w:pStyle w:val="BodyText"/>
        <w:ind w:left="0"/>
      </w:pPr>
    </w:p>
    <w:p w14:paraId="21CBA610" w14:textId="77777777" w:rsidR="00E536D5" w:rsidRDefault="00E536D5" w:rsidP="00697B57">
      <w:pPr>
        <w:pStyle w:val="Heading1"/>
      </w:pPr>
      <w:bookmarkStart w:id="148" w:name="_Toc512862470"/>
      <w:r>
        <w:lastRenderedPageBreak/>
        <w:t>Environmental Imp</w:t>
      </w:r>
      <w:r w:rsidR="00697B57">
        <w:t>act and Risk Assessment Methodology</w:t>
      </w:r>
      <w:bookmarkEnd w:id="148"/>
    </w:p>
    <w:p w14:paraId="1CAE8AA8" w14:textId="0A993CAA" w:rsidR="00697B57" w:rsidRPr="00802703" w:rsidRDefault="00697B57" w:rsidP="00C70FB2">
      <w:pPr>
        <w:pStyle w:val="BodyText"/>
        <w:keepNext/>
        <w:rPr>
          <w:szCs w:val="20"/>
        </w:rPr>
      </w:pPr>
      <w:r w:rsidRPr="00802703">
        <w:rPr>
          <w:szCs w:val="20"/>
        </w:rPr>
        <w:t xml:space="preserve">This </w:t>
      </w:r>
      <w:r w:rsidR="00802703" w:rsidRPr="00802703">
        <w:rPr>
          <w:szCs w:val="20"/>
        </w:rPr>
        <w:t>section</w:t>
      </w:r>
      <w:r w:rsidR="00B13DFD" w:rsidRPr="00802703">
        <w:rPr>
          <w:szCs w:val="20"/>
        </w:rPr>
        <w:t xml:space="preserve"> describes</w:t>
      </w:r>
      <w:r w:rsidRPr="00802703">
        <w:rPr>
          <w:szCs w:val="20"/>
        </w:rPr>
        <w:t xml:space="preserve"> the </w:t>
      </w:r>
      <w:r w:rsidR="00B13DFD" w:rsidRPr="00802703">
        <w:rPr>
          <w:szCs w:val="20"/>
        </w:rPr>
        <w:t xml:space="preserve">environmental </w:t>
      </w:r>
      <w:r w:rsidRPr="00802703">
        <w:rPr>
          <w:szCs w:val="20"/>
        </w:rPr>
        <w:t xml:space="preserve">impact and risk assessment methodology employed for the operations and maintenance of the </w:t>
      </w:r>
      <w:r w:rsidR="00CA4ACB">
        <w:rPr>
          <w:szCs w:val="20"/>
        </w:rPr>
        <w:t>CHN</w:t>
      </w:r>
      <w:r w:rsidR="00B13DFD" w:rsidRPr="00802703">
        <w:rPr>
          <w:szCs w:val="20"/>
        </w:rPr>
        <w:t xml:space="preserve"> </w:t>
      </w:r>
      <w:r w:rsidRPr="00802703">
        <w:rPr>
          <w:szCs w:val="20"/>
        </w:rPr>
        <w:t>assets</w:t>
      </w:r>
      <w:r w:rsidR="00B13DFD" w:rsidRPr="00802703">
        <w:rPr>
          <w:szCs w:val="20"/>
        </w:rPr>
        <w:t xml:space="preserve">, </w:t>
      </w:r>
      <w:r w:rsidRPr="00802703">
        <w:rPr>
          <w:szCs w:val="20"/>
        </w:rPr>
        <w:t>adopt</w:t>
      </w:r>
      <w:r w:rsidR="00B13DFD" w:rsidRPr="00802703">
        <w:rPr>
          <w:szCs w:val="20"/>
        </w:rPr>
        <w:t xml:space="preserve">ing </w:t>
      </w:r>
      <w:r w:rsidRPr="00802703">
        <w:rPr>
          <w:szCs w:val="20"/>
        </w:rPr>
        <w:t>Cooper</w:t>
      </w:r>
      <w:r w:rsidR="006A7623">
        <w:rPr>
          <w:szCs w:val="20"/>
        </w:rPr>
        <w:t xml:space="preserve"> Energy</w:t>
      </w:r>
      <w:r w:rsidR="00B13DFD" w:rsidRPr="00802703">
        <w:rPr>
          <w:szCs w:val="20"/>
        </w:rPr>
        <w:t>’s</w:t>
      </w:r>
      <w:r w:rsidRPr="00802703">
        <w:rPr>
          <w:szCs w:val="20"/>
        </w:rPr>
        <w:t xml:space="preserve"> risk assessment framework and toolkit. This framework is consistent with the approach outlined in ISO</w:t>
      </w:r>
      <w:r w:rsidR="00B13DFD" w:rsidRPr="00802703">
        <w:rPr>
          <w:szCs w:val="20"/>
        </w:rPr>
        <w:t xml:space="preserve"> </w:t>
      </w:r>
      <w:r w:rsidRPr="00802703">
        <w:rPr>
          <w:szCs w:val="20"/>
        </w:rPr>
        <w:t>14001 (Environmental Management Systems), ISO</w:t>
      </w:r>
      <w:r w:rsidR="00B13DFD" w:rsidRPr="00802703">
        <w:rPr>
          <w:szCs w:val="20"/>
        </w:rPr>
        <w:t xml:space="preserve"> </w:t>
      </w:r>
      <w:r w:rsidRPr="00802703">
        <w:rPr>
          <w:szCs w:val="20"/>
        </w:rPr>
        <w:t xml:space="preserve">31000:2009 (Risk Management) and HB203:2012 (Environmental Risk Management – Principles and Process). </w:t>
      </w:r>
      <w:r w:rsidR="00802703" w:rsidRPr="00802703">
        <w:rPr>
          <w:color w:val="0000FF"/>
          <w:szCs w:val="20"/>
        </w:rPr>
        <w:fldChar w:fldCharType="begin"/>
      </w:r>
      <w:r w:rsidR="00802703" w:rsidRPr="00802703">
        <w:rPr>
          <w:szCs w:val="20"/>
        </w:rPr>
        <w:instrText xml:space="preserve"> REF _Ref473373325 \h </w:instrText>
      </w:r>
      <w:r w:rsidR="00802703">
        <w:rPr>
          <w:color w:val="0000FF"/>
          <w:szCs w:val="20"/>
        </w:rPr>
        <w:instrText xml:space="preserve"> \* MERGEFORMAT </w:instrText>
      </w:r>
      <w:r w:rsidR="00802703" w:rsidRPr="00802703">
        <w:rPr>
          <w:color w:val="0000FF"/>
          <w:szCs w:val="20"/>
        </w:rPr>
      </w:r>
      <w:r w:rsidR="00802703" w:rsidRPr="00802703">
        <w:rPr>
          <w:color w:val="0000FF"/>
          <w:szCs w:val="20"/>
        </w:rPr>
        <w:fldChar w:fldCharType="separate"/>
      </w:r>
      <w:r w:rsidR="00CC4C35" w:rsidRPr="00802703">
        <w:rPr>
          <w:szCs w:val="20"/>
        </w:rPr>
        <w:t xml:space="preserve">Figure </w:t>
      </w:r>
      <w:r w:rsidR="00CC4C35">
        <w:rPr>
          <w:noProof/>
          <w:szCs w:val="20"/>
        </w:rPr>
        <w:t>4</w:t>
      </w:r>
      <w:r w:rsidR="00CC4C35">
        <w:rPr>
          <w:noProof/>
          <w:szCs w:val="20"/>
        </w:rPr>
        <w:noBreakHyphen/>
        <w:t>1</w:t>
      </w:r>
      <w:r w:rsidR="00802703" w:rsidRPr="00802703">
        <w:rPr>
          <w:color w:val="0000FF"/>
          <w:szCs w:val="20"/>
        </w:rPr>
        <w:fldChar w:fldCharType="end"/>
      </w:r>
      <w:r w:rsidR="00802703" w:rsidRPr="00802703">
        <w:rPr>
          <w:color w:val="0000FF"/>
          <w:szCs w:val="20"/>
        </w:rPr>
        <w:t xml:space="preserve"> </w:t>
      </w:r>
      <w:r w:rsidRPr="00802703">
        <w:rPr>
          <w:szCs w:val="20"/>
        </w:rPr>
        <w:t xml:space="preserve">provides the process adopted for managing impacts and risks associated with the </w:t>
      </w:r>
      <w:r w:rsidR="00CA4ACB">
        <w:rPr>
          <w:szCs w:val="20"/>
        </w:rPr>
        <w:t xml:space="preserve">petroleum </w:t>
      </w:r>
      <w:r w:rsidRPr="00802703">
        <w:rPr>
          <w:szCs w:val="20"/>
        </w:rPr>
        <w:t>activity.</w:t>
      </w:r>
    </w:p>
    <w:p w14:paraId="6F0A1683" w14:textId="77777777" w:rsidR="00697B57" w:rsidRPr="00697B57" w:rsidRDefault="00697B57" w:rsidP="00697B57">
      <w:pPr>
        <w:pStyle w:val="BodyText"/>
      </w:pPr>
    </w:p>
    <w:p w14:paraId="710E845E" w14:textId="4B785B16" w:rsidR="00697B57" w:rsidRPr="00136A5A" w:rsidRDefault="00DC2C7B" w:rsidP="00697B57">
      <w:pPr>
        <w:pStyle w:val="Content2"/>
        <w:ind w:left="851"/>
        <w:jc w:val="center"/>
        <w:rPr>
          <w:sz w:val="20"/>
          <w:szCs w:val="20"/>
        </w:rPr>
      </w:pPr>
      <w:r>
        <w:rPr>
          <w:noProof/>
          <w:lang w:val="en-GB"/>
        </w:rPr>
        <w:drawing>
          <wp:inline distT="0" distB="0" distL="0" distR="0" wp14:anchorId="120AE7E7" wp14:editId="09524A8F">
            <wp:extent cx="3467100" cy="2791163"/>
            <wp:effectExtent l="0" t="0" r="0" b="9525"/>
            <wp:docPr id="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466543" cy="2790715"/>
                    </a:xfrm>
                    <a:prstGeom prst="rect">
                      <a:avLst/>
                    </a:prstGeom>
                    <a:noFill/>
                    <a:ln>
                      <a:noFill/>
                    </a:ln>
                  </pic:spPr>
                </pic:pic>
              </a:graphicData>
            </a:graphic>
          </wp:inline>
        </w:drawing>
      </w:r>
    </w:p>
    <w:p w14:paraId="561EE2B6" w14:textId="73A337FE" w:rsidR="00802703" w:rsidRPr="00802703" w:rsidRDefault="00802703" w:rsidP="00213285">
      <w:pPr>
        <w:pStyle w:val="Caption"/>
        <w:outlineLvl w:val="9"/>
        <w:rPr>
          <w:rFonts w:ascii="Calibri" w:hAnsi="Calibri"/>
          <w:sz w:val="20"/>
          <w:szCs w:val="20"/>
        </w:rPr>
      </w:pPr>
      <w:bookmarkStart w:id="149" w:name="_Ref473373325"/>
      <w:bookmarkStart w:id="150" w:name="_Toc510779253"/>
      <w:r w:rsidRPr="00802703">
        <w:rPr>
          <w:sz w:val="20"/>
          <w:szCs w:val="20"/>
        </w:rPr>
        <w:t xml:space="preserve">Figure </w:t>
      </w:r>
      <w:r w:rsidR="00D3458F">
        <w:rPr>
          <w:sz w:val="20"/>
          <w:szCs w:val="20"/>
        </w:rPr>
        <w:fldChar w:fldCharType="begin"/>
      </w:r>
      <w:r w:rsidR="00D3458F">
        <w:rPr>
          <w:sz w:val="20"/>
          <w:szCs w:val="20"/>
        </w:rPr>
        <w:instrText xml:space="preserve"> STYLEREF 1 \s </w:instrText>
      </w:r>
      <w:r w:rsidR="00D3458F">
        <w:rPr>
          <w:sz w:val="20"/>
          <w:szCs w:val="20"/>
        </w:rPr>
        <w:fldChar w:fldCharType="separate"/>
      </w:r>
      <w:r w:rsidR="00CC4C35">
        <w:rPr>
          <w:noProof/>
          <w:sz w:val="20"/>
          <w:szCs w:val="20"/>
        </w:rPr>
        <w:t>4</w:t>
      </w:r>
      <w:r w:rsidR="00D3458F">
        <w:rPr>
          <w:sz w:val="20"/>
          <w:szCs w:val="20"/>
        </w:rPr>
        <w:fldChar w:fldCharType="end"/>
      </w:r>
      <w:r w:rsidR="00D3458F">
        <w:rPr>
          <w:sz w:val="20"/>
          <w:szCs w:val="20"/>
        </w:rPr>
        <w:noBreakHyphen/>
      </w:r>
      <w:r w:rsidR="00D3458F">
        <w:rPr>
          <w:sz w:val="20"/>
          <w:szCs w:val="20"/>
        </w:rPr>
        <w:fldChar w:fldCharType="begin"/>
      </w:r>
      <w:r w:rsidR="00D3458F">
        <w:rPr>
          <w:sz w:val="20"/>
          <w:szCs w:val="20"/>
        </w:rPr>
        <w:instrText xml:space="preserve"> SEQ Figure \* ARABIC \s 1 </w:instrText>
      </w:r>
      <w:r w:rsidR="00D3458F">
        <w:rPr>
          <w:sz w:val="20"/>
          <w:szCs w:val="20"/>
        </w:rPr>
        <w:fldChar w:fldCharType="separate"/>
      </w:r>
      <w:r w:rsidR="00CC4C35">
        <w:rPr>
          <w:noProof/>
          <w:sz w:val="20"/>
          <w:szCs w:val="20"/>
        </w:rPr>
        <w:t>1</w:t>
      </w:r>
      <w:r w:rsidR="00D3458F">
        <w:rPr>
          <w:sz w:val="20"/>
          <w:szCs w:val="20"/>
        </w:rPr>
        <w:fldChar w:fldCharType="end"/>
      </w:r>
      <w:bookmarkEnd w:id="149"/>
      <w:r w:rsidRPr="00802703">
        <w:rPr>
          <w:sz w:val="20"/>
          <w:szCs w:val="20"/>
        </w:rPr>
        <w:t>: AS/NZS ISO 31000 – Risk Management Methodology</w:t>
      </w:r>
      <w:bookmarkEnd w:id="150"/>
    </w:p>
    <w:p w14:paraId="6D155E39" w14:textId="77777777" w:rsidR="00697B57" w:rsidRPr="005B728A" w:rsidRDefault="00697B57" w:rsidP="00B13DFD">
      <w:pPr>
        <w:pStyle w:val="Heading2"/>
      </w:pPr>
      <w:bookmarkStart w:id="151" w:name="_Toc512862471"/>
      <w:r w:rsidRPr="005B728A">
        <w:t>Hazard Assessment Methodology</w:t>
      </w:r>
      <w:bookmarkEnd w:id="151"/>
      <w:r w:rsidRPr="005B728A">
        <w:t xml:space="preserve"> </w:t>
      </w:r>
    </w:p>
    <w:p w14:paraId="67CC921D" w14:textId="77777777" w:rsidR="00697B57" w:rsidRPr="00802703" w:rsidRDefault="00697B57" w:rsidP="00B13DFD">
      <w:pPr>
        <w:pStyle w:val="BodyText"/>
        <w:rPr>
          <w:szCs w:val="20"/>
        </w:rPr>
      </w:pPr>
      <w:r w:rsidRPr="00802703">
        <w:rPr>
          <w:szCs w:val="20"/>
        </w:rPr>
        <w:t>For this activity, the environmental hazards, impacts and risks have been identified and risk-assessed undertaking the following steps:</w:t>
      </w:r>
    </w:p>
    <w:p w14:paraId="2E0E4179" w14:textId="77777777" w:rsidR="00697B57" w:rsidRPr="00802703" w:rsidRDefault="00697B57" w:rsidP="0036080A">
      <w:pPr>
        <w:pStyle w:val="Bullet1"/>
        <w:numPr>
          <w:ilvl w:val="0"/>
          <w:numId w:val="40"/>
        </w:numPr>
      </w:pPr>
      <w:r w:rsidRPr="00802703">
        <w:t>Defining the activity and associated environmental hazards (planned and unplanned);</w:t>
      </w:r>
    </w:p>
    <w:p w14:paraId="73F277C0" w14:textId="77777777" w:rsidR="00697B57" w:rsidRPr="00802703" w:rsidRDefault="00697B57" w:rsidP="0036080A">
      <w:pPr>
        <w:pStyle w:val="Bullet1"/>
        <w:numPr>
          <w:ilvl w:val="0"/>
          <w:numId w:val="40"/>
        </w:numPr>
      </w:pPr>
      <w:r w:rsidRPr="00802703">
        <w:t>Identifying the environmental and social values at risk within, and adjacent to, the petroleum activity area;</w:t>
      </w:r>
    </w:p>
    <w:p w14:paraId="37E8F4D1" w14:textId="77777777" w:rsidR="00697B57" w:rsidRPr="00802703" w:rsidRDefault="00697B57" w:rsidP="0036080A">
      <w:pPr>
        <w:pStyle w:val="Bullet1"/>
        <w:numPr>
          <w:ilvl w:val="0"/>
          <w:numId w:val="40"/>
        </w:numPr>
      </w:pPr>
      <w:r w:rsidRPr="00802703">
        <w:t>Establishing the credible environmental impact of the hazard to receptors and determining the maximum credible impact for each hazard associated with the proposed activity</w:t>
      </w:r>
      <w:r w:rsidR="005A6DA5" w:rsidRPr="00802703">
        <w:t xml:space="preserve"> (the impact of the hazard given no control measures, i.e., inherent impact or risk)</w:t>
      </w:r>
      <w:r w:rsidRPr="00802703">
        <w:t>. Impacts are assessed across a number of dimensions (environment, safety, reputation, financial);</w:t>
      </w:r>
    </w:p>
    <w:p w14:paraId="7F04B756" w14:textId="326E3A36" w:rsidR="00697B57" w:rsidRPr="00802703" w:rsidRDefault="00697B57" w:rsidP="0036080A">
      <w:pPr>
        <w:pStyle w:val="Bullet1"/>
        <w:numPr>
          <w:ilvl w:val="0"/>
          <w:numId w:val="40"/>
        </w:numPr>
      </w:pPr>
      <w:r w:rsidRPr="00802703">
        <w:t>For environmental hazards</w:t>
      </w:r>
      <w:r w:rsidR="00CA4ACB">
        <w:t xml:space="preserve"> with the potential to impact the environment</w:t>
      </w:r>
      <w:r w:rsidRPr="00802703">
        <w:t>, identifying the likelihood of occurrence of the impact;</w:t>
      </w:r>
    </w:p>
    <w:p w14:paraId="72FA4E08" w14:textId="77777777" w:rsidR="00697B57" w:rsidRPr="00802703" w:rsidRDefault="00697B57" w:rsidP="0036080A">
      <w:pPr>
        <w:pStyle w:val="Bullet1"/>
        <w:numPr>
          <w:ilvl w:val="0"/>
          <w:numId w:val="40"/>
        </w:numPr>
      </w:pPr>
      <w:r w:rsidRPr="00802703">
        <w:t>Identifying control measures to eliminate or reduce the level of impact and/or the likelihood of the impact occurring; and</w:t>
      </w:r>
    </w:p>
    <w:p w14:paraId="07908969" w14:textId="7E2F3E65" w:rsidR="00697B57" w:rsidRPr="00802703" w:rsidRDefault="00697B57" w:rsidP="0036080A">
      <w:pPr>
        <w:pStyle w:val="Bullet1"/>
        <w:numPr>
          <w:ilvl w:val="0"/>
          <w:numId w:val="40"/>
        </w:numPr>
      </w:pPr>
      <w:r w:rsidRPr="00802703">
        <w:t xml:space="preserve">Assigning a level of residual impact or risk (after control measures are implemented) utilizing </w:t>
      </w:r>
      <w:r w:rsidR="006A7623" w:rsidRPr="00802703">
        <w:t>Cooper</w:t>
      </w:r>
      <w:r w:rsidR="006A7623">
        <w:t xml:space="preserve"> Energy</w:t>
      </w:r>
      <w:r w:rsidR="008A6A8F" w:rsidRPr="00802703">
        <w:t>’s</w:t>
      </w:r>
      <w:r w:rsidRPr="00802703">
        <w:t xml:space="preserve"> qualitative risk matrix. In accordance with </w:t>
      </w:r>
      <w:r w:rsidR="006A7623" w:rsidRPr="00802703">
        <w:t>Cooper</w:t>
      </w:r>
      <w:r w:rsidR="006A7623">
        <w:t xml:space="preserve"> Energy</w:t>
      </w:r>
      <w:r w:rsidR="008A6A8F" w:rsidRPr="00802703">
        <w:t>’s</w:t>
      </w:r>
      <w:r w:rsidRPr="00802703">
        <w:t xml:space="preserve"> acceptance criteria, the impacts and risks will continue to be reassessed until it is demonstrated the impact or risk is reduced to a level which is as low as reasonably </w:t>
      </w:r>
      <w:r w:rsidRPr="00802703">
        <w:lastRenderedPageBreak/>
        <w:t xml:space="preserve">practicable (ALARP) and is acceptable </w:t>
      </w:r>
      <w:r w:rsidR="008A6A8F" w:rsidRPr="00802703">
        <w:t xml:space="preserve">according </w:t>
      </w:r>
      <w:r w:rsidRPr="00802703">
        <w:t xml:space="preserve">to </w:t>
      </w:r>
      <w:r w:rsidR="006A7623" w:rsidRPr="00802703">
        <w:t>Cooper</w:t>
      </w:r>
      <w:r w:rsidR="006A7623">
        <w:t xml:space="preserve"> Energy</w:t>
      </w:r>
      <w:r w:rsidR="008A6A8F" w:rsidRPr="00802703">
        <w:t>’s</w:t>
      </w:r>
      <w:r w:rsidRPr="00802703">
        <w:t xml:space="preserve"> acceptance criteria.</w:t>
      </w:r>
    </w:p>
    <w:p w14:paraId="4EF44867" w14:textId="49BC00AF" w:rsidR="00697B57" w:rsidRPr="00802703" w:rsidRDefault="00697B57" w:rsidP="00EA3DDF">
      <w:pPr>
        <w:pStyle w:val="Bullet1"/>
        <w:numPr>
          <w:ilvl w:val="0"/>
          <w:numId w:val="0"/>
        </w:numPr>
        <w:ind w:left="567"/>
      </w:pPr>
      <w:r w:rsidRPr="00802703">
        <w:t xml:space="preserve">For the </w:t>
      </w:r>
      <w:r w:rsidR="00CA4ACB">
        <w:t>CHN</w:t>
      </w:r>
      <w:r w:rsidR="008A6A8F" w:rsidRPr="00802703">
        <w:t xml:space="preserve"> </w:t>
      </w:r>
      <w:r w:rsidRPr="00802703">
        <w:t>assets, environmental hazard identification and assessment has considered the following:</w:t>
      </w:r>
    </w:p>
    <w:p w14:paraId="0C8A674C" w14:textId="4C7315F6" w:rsidR="00697B57" w:rsidRPr="00802703" w:rsidRDefault="00697B57" w:rsidP="0036080A">
      <w:pPr>
        <w:pStyle w:val="Bullet1"/>
        <w:numPr>
          <w:ilvl w:val="0"/>
          <w:numId w:val="40"/>
        </w:numPr>
      </w:pPr>
      <w:r w:rsidRPr="00802703">
        <w:t xml:space="preserve">Activities </w:t>
      </w:r>
      <w:r w:rsidR="008A6A8F" w:rsidRPr="00802703">
        <w:t>that</w:t>
      </w:r>
      <w:r w:rsidRPr="00802703">
        <w:t xml:space="preserve"> will occur during the operations and maintenance of the </w:t>
      </w:r>
      <w:r w:rsidR="00CA4ACB">
        <w:t xml:space="preserve">CHN </w:t>
      </w:r>
      <w:r w:rsidR="008A6A8F" w:rsidRPr="00802703">
        <w:t xml:space="preserve"> </w:t>
      </w:r>
      <w:r w:rsidRPr="00802703">
        <w:t xml:space="preserve">assets and the equipment and vessels </w:t>
      </w:r>
      <w:r w:rsidR="008A6A8F" w:rsidRPr="00802703">
        <w:t>to</w:t>
      </w:r>
      <w:r w:rsidRPr="00802703">
        <w:t xml:space="preserve"> will be utilized in those activities;</w:t>
      </w:r>
    </w:p>
    <w:p w14:paraId="34A973DA" w14:textId="77777777" w:rsidR="00697B57" w:rsidRPr="00802703" w:rsidRDefault="00697B57" w:rsidP="0036080A">
      <w:pPr>
        <w:pStyle w:val="Bullet1"/>
        <w:numPr>
          <w:ilvl w:val="0"/>
          <w:numId w:val="40"/>
        </w:numPr>
      </w:pPr>
      <w:r w:rsidRPr="00802703">
        <w:t>The environmental sensitivity of the receiving environment with respect to species distribution, subsea habitat types and location of environmentally sensitive areas (i.e.</w:t>
      </w:r>
      <w:r w:rsidR="008A6A8F" w:rsidRPr="00802703">
        <w:t>,</w:t>
      </w:r>
      <w:r w:rsidRPr="00802703">
        <w:t xml:space="preserve"> breeding, resting, etc.) undertaken as part of literature reviews; and</w:t>
      </w:r>
    </w:p>
    <w:p w14:paraId="63CE303C" w14:textId="761E56C8" w:rsidR="00697B57" w:rsidRPr="00802703" w:rsidRDefault="00697B57" w:rsidP="0036080A">
      <w:pPr>
        <w:pStyle w:val="Bullet1"/>
        <w:numPr>
          <w:ilvl w:val="0"/>
          <w:numId w:val="40"/>
        </w:numPr>
      </w:pPr>
      <w:r w:rsidRPr="00802703">
        <w:t xml:space="preserve">Feedback from marine stakeholders to understand socio-economic activities </w:t>
      </w:r>
      <w:r w:rsidR="000F1452" w:rsidRPr="00802703">
        <w:t>that</w:t>
      </w:r>
      <w:r w:rsidRPr="00802703">
        <w:t xml:space="preserve"> may conflict with </w:t>
      </w:r>
      <w:r w:rsidR="00CA4ACB">
        <w:t>CHN</w:t>
      </w:r>
      <w:r w:rsidR="000F1452" w:rsidRPr="00802703">
        <w:t xml:space="preserve"> asset </w:t>
      </w:r>
      <w:r w:rsidRPr="00802703">
        <w:t>activities via communication and consultation activities.</w:t>
      </w:r>
    </w:p>
    <w:p w14:paraId="781D56EB" w14:textId="77777777" w:rsidR="00697B57" w:rsidRPr="00B13DFD" w:rsidRDefault="00697B57" w:rsidP="00B13DFD">
      <w:pPr>
        <w:pStyle w:val="BodyText"/>
      </w:pPr>
      <w:r w:rsidRPr="00802703">
        <w:rPr>
          <w:szCs w:val="20"/>
        </w:rPr>
        <w:t>Within this context, a listing of credible activity-related environmental hazards and possible impacts were identified for the operations and maintenance activities.</w:t>
      </w:r>
    </w:p>
    <w:p w14:paraId="2AA6D2D5" w14:textId="596D92A0" w:rsidR="00697B57" w:rsidRPr="00802703" w:rsidRDefault="00697B57" w:rsidP="00B66D83">
      <w:pPr>
        <w:pStyle w:val="BodyText"/>
        <w:spacing w:before="120"/>
        <w:rPr>
          <w:szCs w:val="20"/>
        </w:rPr>
      </w:pPr>
      <w:r w:rsidRPr="00802703">
        <w:rPr>
          <w:szCs w:val="20"/>
        </w:rPr>
        <w:t xml:space="preserve">For this activity, </w:t>
      </w:r>
      <w:r w:rsidR="006A7623" w:rsidRPr="00802703">
        <w:rPr>
          <w:szCs w:val="20"/>
        </w:rPr>
        <w:t>Cooper</w:t>
      </w:r>
      <w:r w:rsidR="006A7623">
        <w:rPr>
          <w:szCs w:val="20"/>
        </w:rPr>
        <w:t xml:space="preserve"> Energy</w:t>
      </w:r>
      <w:r w:rsidRPr="00802703">
        <w:rPr>
          <w:szCs w:val="20"/>
        </w:rPr>
        <w:t xml:space="preserve"> has determined that impacts and risks</w:t>
      </w:r>
      <w:r w:rsidR="00F41F90" w:rsidRPr="00802703">
        <w:rPr>
          <w:szCs w:val="20"/>
        </w:rPr>
        <w:t xml:space="preserve"> </w:t>
      </w:r>
      <w:r w:rsidRPr="00802703">
        <w:rPr>
          <w:szCs w:val="20"/>
        </w:rPr>
        <w:t xml:space="preserve">are defined as follows: </w:t>
      </w:r>
    </w:p>
    <w:p w14:paraId="5CF2EC3A" w14:textId="2777C93E" w:rsidR="00697B57" w:rsidRPr="00B66D83" w:rsidRDefault="00697B57" w:rsidP="0036080A">
      <w:pPr>
        <w:pStyle w:val="Bullet1"/>
        <w:numPr>
          <w:ilvl w:val="0"/>
          <w:numId w:val="40"/>
        </w:numPr>
      </w:pPr>
      <w:r w:rsidRPr="003D0C5D">
        <w:rPr>
          <w:b/>
        </w:rPr>
        <w:t>Impacts</w:t>
      </w:r>
      <w:r w:rsidRPr="00802703">
        <w:t xml:space="preserve"> result from </w:t>
      </w:r>
      <w:r w:rsidR="00F41F90" w:rsidRPr="00802703">
        <w:t xml:space="preserve">activities that by their very nature </w:t>
      </w:r>
      <w:r w:rsidR="00F41F90" w:rsidRPr="003D0C5D">
        <w:t>will</w:t>
      </w:r>
      <w:r w:rsidR="00F41F90" w:rsidRPr="00802703">
        <w:t xml:space="preserve"> result in a change to the </w:t>
      </w:r>
      <w:r w:rsidR="00F41F90" w:rsidRPr="00B66D83">
        <w:t>environment or a component of the environment, whether adverse or beneficial</w:t>
      </w:r>
      <w:r w:rsidRPr="00B66D83">
        <w:t xml:space="preserve">. Impacts are an inherent part of the activity. For example, there will be </w:t>
      </w:r>
      <w:r w:rsidR="008B3A4B" w:rsidRPr="00B66D83">
        <w:t xml:space="preserve">underwater </w:t>
      </w:r>
      <w:r w:rsidRPr="00B66D83">
        <w:t xml:space="preserve">sound emissions with associated impacts as a result of vessel activity. </w:t>
      </w:r>
    </w:p>
    <w:p w14:paraId="78939FF3" w14:textId="296BCCCC" w:rsidR="006A7623" w:rsidRPr="00B66D83" w:rsidRDefault="00697B57" w:rsidP="0036080A">
      <w:pPr>
        <w:pStyle w:val="Bullet1"/>
        <w:numPr>
          <w:ilvl w:val="0"/>
          <w:numId w:val="40"/>
        </w:numPr>
      </w:pPr>
      <w:r w:rsidRPr="003D0C5D">
        <w:rPr>
          <w:b/>
        </w:rPr>
        <w:t>Risks</w:t>
      </w:r>
      <w:r w:rsidRPr="00B66D83">
        <w:t xml:space="preserve"> result from </w:t>
      </w:r>
      <w:r w:rsidR="006F1D71" w:rsidRPr="00B66D83">
        <w:t xml:space="preserve">activities where a change to the environment or component of the environment </w:t>
      </w:r>
      <w:r w:rsidR="006F1D71" w:rsidRPr="003D0C5D">
        <w:t>may</w:t>
      </w:r>
      <w:r w:rsidR="006F1D71" w:rsidRPr="00B66D83">
        <w:t xml:space="preserve"> occur as a result of the activity </w:t>
      </w:r>
      <w:r w:rsidRPr="00B66D83">
        <w:t xml:space="preserve">(i.e., there </w:t>
      </w:r>
      <w:r w:rsidRPr="003D0C5D">
        <w:t>may</w:t>
      </w:r>
      <w:r w:rsidRPr="00B66D83">
        <w:t xml:space="preserve"> be consequences </w:t>
      </w:r>
      <w:r w:rsidRPr="003D0C5D">
        <w:t>if</w:t>
      </w:r>
      <w:r w:rsidRPr="00B66D83">
        <w:t xml:space="preserve"> the incident event actually occurs). Risk is a combination of the </w:t>
      </w:r>
      <w:r w:rsidRPr="003D0C5D">
        <w:t>consequences</w:t>
      </w:r>
      <w:r w:rsidRPr="00B66D83">
        <w:t xml:space="preserve"> of an event and the associated </w:t>
      </w:r>
      <w:r w:rsidRPr="003D0C5D">
        <w:t>likelihood</w:t>
      </w:r>
      <w:r w:rsidRPr="00B66D83">
        <w:t xml:space="preserve"> of its occurrence. For example, a hydrocarbon spill may occur if a vessel’s fuel tank is punctured by a collision incident during the survey. The</w:t>
      </w:r>
      <w:r w:rsidRPr="00802703">
        <w:t xml:space="preserve"> risk of this event is determined by assessing the consequence of the impact (using factors such as the type and volume of fuel and the nature of the receiving environment) and the likelihood of this event happening (which may be determined qualitatively or quantitatively).</w:t>
      </w:r>
    </w:p>
    <w:p w14:paraId="688F0664" w14:textId="269A0AAE" w:rsidR="006F1D71" w:rsidRPr="00B66D83" w:rsidRDefault="006F1D71" w:rsidP="00B66D83">
      <w:pPr>
        <w:pStyle w:val="Heading3"/>
      </w:pPr>
      <w:r w:rsidRPr="00B66D83">
        <w:t>Control Measures</w:t>
      </w:r>
    </w:p>
    <w:p w14:paraId="51F50836" w14:textId="272FAC20" w:rsidR="006F1D71" w:rsidRPr="00B66D83" w:rsidRDefault="006F1D71" w:rsidP="00B66D83">
      <w:pPr>
        <w:pStyle w:val="BodyText"/>
        <w:rPr>
          <w:szCs w:val="20"/>
        </w:rPr>
      </w:pPr>
      <w:r w:rsidRPr="00B66D83">
        <w:rPr>
          <w:szCs w:val="20"/>
        </w:rPr>
        <w:t>For each identified impact and risk, control measures are identified to reduce the impact or risk. Although commonly used for Occupational Health and Safety (OHS) hazard control, the hierarchy of controls philosophy is a useful framework to identify controls that are effective (</w:t>
      </w:r>
      <w:r w:rsidR="00802703" w:rsidRPr="00B66D83">
        <w:rPr>
          <w:color w:val="0000FF"/>
          <w:szCs w:val="20"/>
        </w:rPr>
        <w:fldChar w:fldCharType="begin"/>
      </w:r>
      <w:r w:rsidR="00802703" w:rsidRPr="00B66D83">
        <w:rPr>
          <w:szCs w:val="20"/>
        </w:rPr>
        <w:instrText xml:space="preserve"> REF _Ref473373487 \h </w:instrText>
      </w:r>
      <w:r w:rsidR="00B66D83" w:rsidRPr="00B66D83">
        <w:rPr>
          <w:color w:val="0000FF"/>
          <w:szCs w:val="20"/>
        </w:rPr>
        <w:instrText xml:space="preserve"> \* MERGEFORMAT </w:instrText>
      </w:r>
      <w:r w:rsidR="00802703" w:rsidRPr="00B66D83">
        <w:rPr>
          <w:color w:val="0000FF"/>
          <w:szCs w:val="20"/>
        </w:rPr>
      </w:r>
      <w:r w:rsidR="00802703" w:rsidRPr="00B66D83">
        <w:rPr>
          <w:color w:val="0000FF"/>
          <w:szCs w:val="20"/>
        </w:rPr>
        <w:fldChar w:fldCharType="separate"/>
      </w:r>
      <w:r w:rsidR="00CC4C35" w:rsidRPr="00802703">
        <w:rPr>
          <w:szCs w:val="20"/>
        </w:rPr>
        <w:t xml:space="preserve">Figure </w:t>
      </w:r>
      <w:r w:rsidR="00CC4C35">
        <w:rPr>
          <w:noProof/>
          <w:szCs w:val="20"/>
        </w:rPr>
        <w:t>4</w:t>
      </w:r>
      <w:r w:rsidR="00CC4C35">
        <w:rPr>
          <w:noProof/>
          <w:szCs w:val="20"/>
        </w:rPr>
        <w:noBreakHyphen/>
        <w:t>2</w:t>
      </w:r>
      <w:r w:rsidR="00802703" w:rsidRPr="00B66D83">
        <w:rPr>
          <w:color w:val="0000FF"/>
          <w:szCs w:val="20"/>
        </w:rPr>
        <w:fldChar w:fldCharType="end"/>
      </w:r>
      <w:r w:rsidRPr="00B66D83">
        <w:rPr>
          <w:szCs w:val="20"/>
        </w:rPr>
        <w:t>) and is used in this assessment process.</w:t>
      </w:r>
    </w:p>
    <w:p w14:paraId="4048F04F" w14:textId="77777777" w:rsidR="006F1D71" w:rsidRPr="00802703" w:rsidRDefault="006F1D71" w:rsidP="00B66D83">
      <w:pPr>
        <w:pStyle w:val="BodyText"/>
        <w:rPr>
          <w:szCs w:val="20"/>
        </w:rPr>
      </w:pPr>
      <w:r w:rsidRPr="00B66D83">
        <w:rPr>
          <w:szCs w:val="20"/>
        </w:rPr>
        <w:t>Multiple controls selected from this hierarchy provide a depth (number) and breadth (control type) to prevent an impact or risk from occurring. Control types listed in the upper section of the hierarchy are recognised as being more effective in terms of functionality, availability, reliability, survivability, independence and compatibility given their inherent design characteristics.</w:t>
      </w:r>
    </w:p>
    <w:p w14:paraId="47EE6E72" w14:textId="4B2FFBF9" w:rsidR="00C126D7" w:rsidRPr="00136A5A" w:rsidRDefault="00802703" w:rsidP="00213285">
      <w:pPr>
        <w:pStyle w:val="Caption"/>
        <w:outlineLvl w:val="9"/>
        <w:rPr>
          <w:rFonts w:cs="Arial"/>
        </w:rPr>
      </w:pPr>
      <w:bookmarkStart w:id="152" w:name="_Ref473373487"/>
      <w:bookmarkStart w:id="153" w:name="_Toc510779254"/>
      <w:r w:rsidRPr="00802703">
        <w:rPr>
          <w:sz w:val="20"/>
          <w:szCs w:val="20"/>
        </w:rPr>
        <w:lastRenderedPageBreak/>
        <w:t xml:space="preserve">Figure </w:t>
      </w:r>
      <w:r w:rsidR="00D3458F">
        <w:rPr>
          <w:sz w:val="20"/>
          <w:szCs w:val="20"/>
        </w:rPr>
        <w:fldChar w:fldCharType="begin"/>
      </w:r>
      <w:r w:rsidR="00D3458F">
        <w:rPr>
          <w:sz w:val="20"/>
          <w:szCs w:val="20"/>
        </w:rPr>
        <w:instrText xml:space="preserve"> STYLEREF 1 \s </w:instrText>
      </w:r>
      <w:r w:rsidR="00D3458F">
        <w:rPr>
          <w:sz w:val="20"/>
          <w:szCs w:val="20"/>
        </w:rPr>
        <w:fldChar w:fldCharType="separate"/>
      </w:r>
      <w:r w:rsidR="00CC4C35">
        <w:rPr>
          <w:noProof/>
          <w:sz w:val="20"/>
          <w:szCs w:val="20"/>
        </w:rPr>
        <w:t>4</w:t>
      </w:r>
      <w:r w:rsidR="00D3458F">
        <w:rPr>
          <w:sz w:val="20"/>
          <w:szCs w:val="20"/>
        </w:rPr>
        <w:fldChar w:fldCharType="end"/>
      </w:r>
      <w:r w:rsidR="00D3458F">
        <w:rPr>
          <w:sz w:val="20"/>
          <w:szCs w:val="20"/>
        </w:rPr>
        <w:noBreakHyphen/>
      </w:r>
      <w:r w:rsidR="00D3458F">
        <w:rPr>
          <w:sz w:val="20"/>
          <w:szCs w:val="20"/>
        </w:rPr>
        <w:fldChar w:fldCharType="begin"/>
      </w:r>
      <w:r w:rsidR="00D3458F">
        <w:rPr>
          <w:sz w:val="20"/>
          <w:szCs w:val="20"/>
        </w:rPr>
        <w:instrText xml:space="preserve"> SEQ Figure \* ARABIC \s 1 </w:instrText>
      </w:r>
      <w:r w:rsidR="00D3458F">
        <w:rPr>
          <w:sz w:val="20"/>
          <w:szCs w:val="20"/>
        </w:rPr>
        <w:fldChar w:fldCharType="separate"/>
      </w:r>
      <w:r w:rsidR="00CC4C35">
        <w:rPr>
          <w:noProof/>
          <w:sz w:val="20"/>
          <w:szCs w:val="20"/>
        </w:rPr>
        <w:t>2</w:t>
      </w:r>
      <w:r w:rsidR="00D3458F">
        <w:rPr>
          <w:sz w:val="20"/>
          <w:szCs w:val="20"/>
        </w:rPr>
        <w:fldChar w:fldCharType="end"/>
      </w:r>
      <w:bookmarkEnd w:id="152"/>
      <w:r w:rsidRPr="00802703">
        <w:rPr>
          <w:sz w:val="20"/>
          <w:szCs w:val="20"/>
        </w:rPr>
        <w:t>: Hierarchy of Control</w:t>
      </w:r>
      <w:bookmarkEnd w:id="153"/>
    </w:p>
    <w:tbl>
      <w:tblPr>
        <w:tblW w:w="0" w:type="auto"/>
        <w:tblInd w:w="851"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1630"/>
        <w:gridCol w:w="1542"/>
        <w:gridCol w:w="4987"/>
      </w:tblGrid>
      <w:tr w:rsidR="00FD5486" w:rsidRPr="00802703" w14:paraId="5904D238" w14:textId="77777777" w:rsidTr="005204BB">
        <w:trPr>
          <w:tblHeader/>
        </w:trPr>
        <w:tc>
          <w:tcPr>
            <w:tcW w:w="1644" w:type="dxa"/>
            <w:tcBorders>
              <w:right w:val="single" w:sz="6" w:space="0" w:color="F2F2F2"/>
            </w:tcBorders>
            <w:shd w:val="clear" w:color="auto" w:fill="A6A6A6"/>
            <w:tcMar>
              <w:top w:w="142" w:type="dxa"/>
            </w:tcMar>
          </w:tcPr>
          <w:p w14:paraId="69293E00" w14:textId="77777777" w:rsidR="00136A5A" w:rsidRPr="00802703" w:rsidRDefault="00136A5A" w:rsidP="00136A5A">
            <w:pPr>
              <w:pStyle w:val="Caption"/>
              <w:spacing w:before="60" w:after="60"/>
              <w:jc w:val="left"/>
              <w:rPr>
                <w:rFonts w:cs="Arial"/>
                <w:b w:val="0"/>
                <w:sz w:val="16"/>
                <w:szCs w:val="16"/>
              </w:rPr>
            </w:pPr>
            <w:r w:rsidRPr="00802703">
              <w:rPr>
                <w:rFonts w:cs="Arial"/>
                <w:b w:val="0"/>
                <w:sz w:val="16"/>
                <w:szCs w:val="16"/>
              </w:rPr>
              <w:t>Control type</w:t>
            </w:r>
          </w:p>
        </w:tc>
        <w:tc>
          <w:tcPr>
            <w:tcW w:w="1559" w:type="dxa"/>
            <w:tcBorders>
              <w:left w:val="single" w:sz="6" w:space="0" w:color="F2F2F2"/>
              <w:right w:val="single" w:sz="6" w:space="0" w:color="F2F2F2"/>
            </w:tcBorders>
            <w:shd w:val="clear" w:color="auto" w:fill="A6A6A6"/>
            <w:tcMar>
              <w:top w:w="142" w:type="dxa"/>
            </w:tcMar>
          </w:tcPr>
          <w:p w14:paraId="6E3C799D" w14:textId="77777777" w:rsidR="00136A5A" w:rsidRPr="00802703" w:rsidRDefault="00136A5A" w:rsidP="00136A5A">
            <w:pPr>
              <w:pStyle w:val="Caption"/>
              <w:spacing w:before="60" w:after="60"/>
              <w:rPr>
                <w:rFonts w:cs="Arial"/>
                <w:b w:val="0"/>
                <w:sz w:val="16"/>
                <w:szCs w:val="16"/>
              </w:rPr>
            </w:pPr>
            <w:r w:rsidRPr="00802703">
              <w:rPr>
                <w:rFonts w:cs="Arial"/>
                <w:b w:val="0"/>
                <w:sz w:val="16"/>
                <w:szCs w:val="16"/>
              </w:rPr>
              <w:t>Effectiveness</w:t>
            </w:r>
          </w:p>
        </w:tc>
        <w:tc>
          <w:tcPr>
            <w:tcW w:w="5143" w:type="dxa"/>
            <w:tcBorders>
              <w:left w:val="single" w:sz="6" w:space="0" w:color="F2F2F2"/>
            </w:tcBorders>
            <w:shd w:val="clear" w:color="auto" w:fill="A6A6A6"/>
            <w:tcMar>
              <w:top w:w="142" w:type="dxa"/>
            </w:tcMar>
          </w:tcPr>
          <w:p w14:paraId="2112604B" w14:textId="77777777" w:rsidR="00136A5A" w:rsidRPr="00802703" w:rsidRDefault="00136A5A" w:rsidP="00136A5A">
            <w:pPr>
              <w:pStyle w:val="Caption"/>
              <w:spacing w:before="60" w:after="60"/>
              <w:jc w:val="left"/>
              <w:rPr>
                <w:rFonts w:cs="Arial"/>
                <w:b w:val="0"/>
                <w:sz w:val="16"/>
                <w:szCs w:val="16"/>
              </w:rPr>
            </w:pPr>
            <w:r w:rsidRPr="00802703">
              <w:rPr>
                <w:rFonts w:cs="Arial"/>
                <w:b w:val="0"/>
                <w:sz w:val="16"/>
                <w:szCs w:val="16"/>
              </w:rPr>
              <w:t>Operations and maintenance examples</w:t>
            </w:r>
          </w:p>
        </w:tc>
      </w:tr>
      <w:tr w:rsidR="00C126D7" w:rsidRPr="00802703" w14:paraId="4ED44667" w14:textId="77777777" w:rsidTr="00C126D7">
        <w:tc>
          <w:tcPr>
            <w:tcW w:w="1644" w:type="dxa"/>
            <w:shd w:val="clear" w:color="auto" w:fill="auto"/>
          </w:tcPr>
          <w:p w14:paraId="2901984B" w14:textId="77777777" w:rsidR="00C126D7" w:rsidRPr="00802703" w:rsidRDefault="00C126D7" w:rsidP="00136A5A">
            <w:pPr>
              <w:pStyle w:val="Caption"/>
              <w:spacing w:before="120"/>
              <w:jc w:val="left"/>
              <w:rPr>
                <w:rFonts w:cs="Arial"/>
                <w:sz w:val="16"/>
                <w:szCs w:val="16"/>
              </w:rPr>
            </w:pPr>
            <w:r w:rsidRPr="00802703">
              <w:rPr>
                <w:rFonts w:cs="Arial"/>
                <w:sz w:val="16"/>
                <w:szCs w:val="16"/>
              </w:rPr>
              <w:t>Eliminate</w:t>
            </w:r>
          </w:p>
        </w:tc>
        <w:tc>
          <w:tcPr>
            <w:tcW w:w="1559" w:type="dxa"/>
            <w:vMerge w:val="restart"/>
            <w:shd w:val="clear" w:color="auto" w:fill="auto"/>
          </w:tcPr>
          <w:p w14:paraId="3D3C48F1" w14:textId="5EC72A3C" w:rsidR="00C126D7" w:rsidRPr="00802703" w:rsidRDefault="00C126D7" w:rsidP="00136A5A">
            <w:pPr>
              <w:pStyle w:val="Caption"/>
              <w:spacing w:before="120" w:after="0"/>
              <w:rPr>
                <w:rFonts w:cs="Arial"/>
                <w:sz w:val="16"/>
                <w:szCs w:val="16"/>
              </w:rPr>
            </w:pPr>
            <w:r w:rsidRPr="00802703">
              <w:rPr>
                <w:noProof/>
                <w:sz w:val="16"/>
                <w:szCs w:val="16"/>
                <w:lang w:val="en-GB" w:eastAsia="en-GB"/>
              </w:rPr>
              <mc:AlternateContent>
                <mc:Choice Requires="wps">
                  <w:drawing>
                    <wp:anchor distT="0" distB="0" distL="114300" distR="114300" simplePos="0" relativeHeight="251654144" behindDoc="0" locked="0" layoutInCell="1" allowOverlap="1" wp14:anchorId="3228FA97" wp14:editId="0DF6A059">
                      <wp:simplePos x="0" y="0"/>
                      <wp:positionH relativeFrom="margin">
                        <wp:align>center</wp:align>
                      </wp:positionH>
                      <wp:positionV relativeFrom="margin">
                        <wp:align>center</wp:align>
                      </wp:positionV>
                      <wp:extent cx="536575" cy="2019300"/>
                      <wp:effectExtent l="0" t="0" r="0" b="38100"/>
                      <wp:wrapSquare wrapText="bothSides"/>
                      <wp:docPr id="105" name="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75" cy="2019300"/>
                              </a:xfrm>
                              <a:prstGeom prst="downArrow">
                                <a:avLst>
                                  <a:gd name="adj1" fmla="val 50000"/>
                                  <a:gd name="adj2" fmla="val 143280"/>
                                </a:avLst>
                              </a:prstGeom>
                              <a:gradFill rotWithShape="0">
                                <a:gsLst>
                                  <a:gs pos="50000">
                                    <a:srgbClr val="0070C0"/>
                                  </a:gs>
                                  <a:gs pos="0">
                                    <a:srgbClr val="4F81BD">
                                      <a:lumMod val="75000"/>
                                    </a:srgbClr>
                                  </a:gs>
                                  <a:gs pos="100000">
                                    <a:srgbClr val="4F81BD">
                                      <a:lumMod val="40000"/>
                                      <a:lumOff val="60000"/>
                                    </a:srgbClr>
                                  </a:gs>
                                </a:gsLst>
                                <a:lin ang="5400000" scaled="1"/>
                              </a:gradFill>
                              <a:ln>
                                <a:noFill/>
                              </a:ln>
                              <a:effectLst>
                                <a:outerShdw dist="25400" dir="5400000" algn="ctr" rotWithShape="0">
                                  <a:srgbClr val="808080">
                                    <a:alpha val="35001"/>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09A70A4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26" type="#_x0000_t67" style="position:absolute;margin-left:0;margin-top:0;width:42.25pt;height:159pt;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ZcxwIAAAAGAAAOAAAAZHJzL2Uyb0RvYy54bWysVF1v0zAUfUfiP1h+Z0n6sXXV0mm0GkIa&#10;MGkgnl3bSQyObWy36fj1XNtJSIEHhGglK7avzz3nft3cnlqJjtw6oVWJi4scI66oZkLVJf708f7V&#10;CiPniWJEasVL/Mwdvt28fHHTmTWf6UZLxi0CEOXWnSlx471ZZ5mjDW+Ju9CGK7istG2Jh62tM2ZJ&#10;B+itzGZ5fpl12jJjNeXOwekuXeJNxK8qTv2HqnLcI1li4ObjauO6D2u2uSHr2hLTCNrTIP/AoiVC&#10;gdMRakc8QQcrfoNqBbXa6cpfUN1muqoE5VEDqCnyX9Q8NcTwqAWC48wYJvf/YOn746NFgkHu8iVG&#10;irSQpJ3uFLqzVndoNg8h6oxbg+WTebRBpDMPmn51SOltQ1TNo2nDCQNiRbDPzh6EjYOnaN+90wzw&#10;ycHrGK1TZdsACHFAp5iU5zEp/OQRhcPl/HJ5BdQoXEGMrud5zFpG1sNrY51/w3WLwkeJGbCPjKIL&#10;cnxwPmaG9eoI+1JgVLUSEn0kEi1z+PWFMLGZTW2KxXy2Gvz2kMBg8Nxnnt0LKZHV/rPwTUxeUBMv&#10;3cDCIaMhTMlpuHK23m+lRUAFrPOrfDv4qV16ml4koDPrxf2qeL2LDuShhdgmkKsAHtMwokNKoDbP&#10;8Iog++9BF9E6tgv4gqZKvi6HY8DvuY2+ostetxQKQamA8AgEregokTzUXc8UmjDGL2iWKqxKh3iG&#10;chpOeOzoHlIfPLdPDesQEyHvswCNYQPtPXohsoa5RL3Ff8zLWThXefinqpGmIUnhHKI5cJwqHN1H&#10;fmfMoHSB49AHofRTC+01e4Y2gAIJdRHGJnw02n7HqIMRVGL37UAsx0i+VVAj18ViEWbWdGOnm/10&#10;QxQFqBJ7DIEOn1uf5tzBWFE34KmI0pS+g/arxMgvsQIVoU9hzKT8pZEY5th0H61+Du7NDwAAAP//&#10;AwBQSwMEFAAGAAgAAAAhAJjfcJXcAAAABAEAAA8AAABkcnMvZG93bnJldi54bWxMj0FLw0AQhe+C&#10;/2EZwYu0u1UbQsymiFL0YFHbet9mxyQkOxuy0zT+e1cvehl4vMd73+SryXVixCE0njQs5goEUult&#10;Q5WG/W49S0EENmRN5wk1fGGAVXF+lpvM+hO947jlSsQSCpnRUDP3mZShrNGZMPc9UvQ+/eAMRzlU&#10;0g7mFMtdJ6+VSqQzDcWF2vT4UGPZbo9Ow/jC68emvXpO3j6Sfbt8pY0qn7S+vJju70AwTvwXhh/8&#10;iA5FZDr4I9kgOg3xEf690UtvlyAOGm4WqQJZ5PI/fPENAAD//wMAUEsBAi0AFAAGAAgAAAAhALaD&#10;OJL+AAAA4QEAABMAAAAAAAAAAAAAAAAAAAAAAFtDb250ZW50X1R5cGVzXS54bWxQSwECLQAUAAYA&#10;CAAAACEAOP0h/9YAAACUAQAACwAAAAAAAAAAAAAAAAAvAQAAX3JlbHMvLnJlbHNQSwECLQAUAAYA&#10;CAAAACEAyaiGXMcCAAAABgAADgAAAAAAAAAAAAAAAAAuAgAAZHJzL2Uyb0RvYy54bWxQSwECLQAU&#10;AAYACAAAACEAmN9wldwAAAAEAQAADwAAAAAAAAAAAAAAAAAhBQAAZHJzL2Rvd25yZXYueG1sUEsF&#10;BgAAAAAEAAQA8wAAACoGAAAAAA==&#10;" adj="13376" fillcolor="#376092" stroked="f">
                      <v:fill color2="#b9cde5" colors="0 #376092;.5 #0070c0;1 #b9cde5" focus="100%" type="gradient"/>
                      <v:shadow on="t" opacity="22938f" offset="0"/>
                      <v:textbox inset=",7.2pt,,7.2pt"/>
                      <w10:wrap type="square" anchorx="margin" anchory="margin"/>
                    </v:shape>
                  </w:pict>
                </mc:Fallback>
              </mc:AlternateContent>
            </w:r>
          </w:p>
        </w:tc>
        <w:tc>
          <w:tcPr>
            <w:tcW w:w="5143" w:type="dxa"/>
            <w:shd w:val="clear" w:color="auto" w:fill="auto"/>
          </w:tcPr>
          <w:p w14:paraId="5A3F7F20" w14:textId="77777777" w:rsidR="00C126D7" w:rsidRPr="00802703" w:rsidRDefault="00C126D7" w:rsidP="00C126D7">
            <w:pPr>
              <w:rPr>
                <w:i/>
                <w:sz w:val="16"/>
                <w:szCs w:val="16"/>
              </w:rPr>
            </w:pPr>
            <w:r w:rsidRPr="00802703">
              <w:rPr>
                <w:i/>
                <w:sz w:val="16"/>
                <w:szCs w:val="16"/>
              </w:rPr>
              <w:t>Eliminate the impact or risk.</w:t>
            </w:r>
          </w:p>
          <w:p w14:paraId="0D6DF81E" w14:textId="50FCD055" w:rsidR="00C126D7" w:rsidRPr="00802703" w:rsidRDefault="00C126D7" w:rsidP="00136A5A">
            <w:pPr>
              <w:pStyle w:val="Caption"/>
              <w:spacing w:before="120"/>
              <w:jc w:val="left"/>
              <w:rPr>
                <w:rFonts w:cs="Arial"/>
                <w:b w:val="0"/>
                <w:sz w:val="16"/>
                <w:szCs w:val="16"/>
              </w:rPr>
            </w:pPr>
            <w:r w:rsidRPr="00802703">
              <w:rPr>
                <w:b w:val="0"/>
                <w:sz w:val="16"/>
                <w:szCs w:val="16"/>
              </w:rPr>
              <w:t>Hydraulic lines are replaced with electrical umbilicals.</w:t>
            </w:r>
          </w:p>
        </w:tc>
      </w:tr>
      <w:tr w:rsidR="00C126D7" w:rsidRPr="00802703" w14:paraId="2E9A55B6" w14:textId="77777777" w:rsidTr="00C126D7">
        <w:tc>
          <w:tcPr>
            <w:tcW w:w="1644" w:type="dxa"/>
            <w:shd w:val="clear" w:color="auto" w:fill="F2F2F2"/>
          </w:tcPr>
          <w:p w14:paraId="409DBD67" w14:textId="77777777" w:rsidR="00C126D7" w:rsidRPr="00802703" w:rsidRDefault="00C126D7" w:rsidP="00136A5A">
            <w:pPr>
              <w:pStyle w:val="Caption"/>
              <w:spacing w:before="120"/>
              <w:jc w:val="left"/>
              <w:rPr>
                <w:rFonts w:cs="Arial"/>
                <w:sz w:val="16"/>
                <w:szCs w:val="16"/>
              </w:rPr>
            </w:pPr>
            <w:r w:rsidRPr="00802703">
              <w:rPr>
                <w:rFonts w:cs="Arial"/>
                <w:sz w:val="16"/>
                <w:szCs w:val="16"/>
              </w:rPr>
              <w:t>Substitute</w:t>
            </w:r>
          </w:p>
        </w:tc>
        <w:tc>
          <w:tcPr>
            <w:tcW w:w="1559" w:type="dxa"/>
            <w:vMerge/>
            <w:shd w:val="clear" w:color="auto" w:fill="F2F2F2"/>
          </w:tcPr>
          <w:p w14:paraId="7E77E60A" w14:textId="77777777" w:rsidR="00C126D7" w:rsidRPr="00802703" w:rsidRDefault="00C126D7" w:rsidP="00136A5A">
            <w:pPr>
              <w:pStyle w:val="Caption"/>
              <w:spacing w:before="120"/>
              <w:jc w:val="left"/>
              <w:rPr>
                <w:rFonts w:cs="Arial"/>
                <w:sz w:val="16"/>
                <w:szCs w:val="16"/>
              </w:rPr>
            </w:pPr>
          </w:p>
        </w:tc>
        <w:tc>
          <w:tcPr>
            <w:tcW w:w="5143" w:type="dxa"/>
            <w:shd w:val="clear" w:color="auto" w:fill="F2F2F2"/>
          </w:tcPr>
          <w:p w14:paraId="2AF83BD4" w14:textId="77777777" w:rsidR="00C126D7" w:rsidRPr="00802703" w:rsidRDefault="00C126D7" w:rsidP="00C126D7">
            <w:pPr>
              <w:rPr>
                <w:i/>
                <w:sz w:val="16"/>
                <w:szCs w:val="16"/>
              </w:rPr>
            </w:pPr>
            <w:r w:rsidRPr="00802703">
              <w:rPr>
                <w:i/>
                <w:sz w:val="16"/>
                <w:szCs w:val="16"/>
              </w:rPr>
              <w:t>Change or substitute the impact or risk for a lower one.</w:t>
            </w:r>
          </w:p>
          <w:p w14:paraId="02451098" w14:textId="101C0338" w:rsidR="00C126D7" w:rsidRPr="00802703" w:rsidRDefault="00C126D7" w:rsidP="00136A5A">
            <w:pPr>
              <w:pStyle w:val="Caption"/>
              <w:spacing w:before="120"/>
              <w:jc w:val="left"/>
              <w:rPr>
                <w:rFonts w:cs="Arial"/>
                <w:b w:val="0"/>
                <w:sz w:val="16"/>
                <w:szCs w:val="16"/>
              </w:rPr>
            </w:pPr>
            <w:r w:rsidRPr="00802703">
              <w:rPr>
                <w:b w:val="0"/>
                <w:sz w:val="16"/>
                <w:szCs w:val="16"/>
              </w:rPr>
              <w:t>Chemicals selected are OCNS ‘Gold’ or ‘Silver’ compared with ‘Purple’</w:t>
            </w:r>
          </w:p>
        </w:tc>
      </w:tr>
      <w:tr w:rsidR="00C126D7" w:rsidRPr="00802703" w14:paraId="3D8CD72E" w14:textId="77777777" w:rsidTr="00C126D7">
        <w:tc>
          <w:tcPr>
            <w:tcW w:w="1644" w:type="dxa"/>
            <w:shd w:val="clear" w:color="auto" w:fill="auto"/>
          </w:tcPr>
          <w:p w14:paraId="71D6ED53" w14:textId="77777777" w:rsidR="00C126D7" w:rsidRPr="00802703" w:rsidRDefault="00C126D7" w:rsidP="00136A5A">
            <w:pPr>
              <w:pStyle w:val="Caption"/>
              <w:spacing w:before="120"/>
              <w:jc w:val="left"/>
              <w:rPr>
                <w:rFonts w:cs="Arial"/>
                <w:sz w:val="16"/>
                <w:szCs w:val="16"/>
              </w:rPr>
            </w:pPr>
            <w:r w:rsidRPr="00802703">
              <w:rPr>
                <w:rFonts w:cs="Arial"/>
                <w:sz w:val="16"/>
                <w:szCs w:val="16"/>
              </w:rPr>
              <w:t>Engineer</w:t>
            </w:r>
          </w:p>
        </w:tc>
        <w:tc>
          <w:tcPr>
            <w:tcW w:w="1559" w:type="dxa"/>
            <w:vMerge/>
            <w:shd w:val="clear" w:color="auto" w:fill="auto"/>
          </w:tcPr>
          <w:p w14:paraId="5D5B8190" w14:textId="77777777" w:rsidR="00C126D7" w:rsidRPr="00802703" w:rsidRDefault="00C126D7" w:rsidP="00136A5A">
            <w:pPr>
              <w:pStyle w:val="Caption"/>
              <w:spacing w:before="120"/>
              <w:jc w:val="left"/>
              <w:rPr>
                <w:rFonts w:cs="Arial"/>
                <w:sz w:val="16"/>
                <w:szCs w:val="16"/>
              </w:rPr>
            </w:pPr>
          </w:p>
        </w:tc>
        <w:tc>
          <w:tcPr>
            <w:tcW w:w="5143" w:type="dxa"/>
            <w:shd w:val="clear" w:color="auto" w:fill="auto"/>
          </w:tcPr>
          <w:p w14:paraId="246C605A" w14:textId="77777777" w:rsidR="00C126D7" w:rsidRPr="00802703" w:rsidRDefault="00C126D7" w:rsidP="00C126D7">
            <w:pPr>
              <w:rPr>
                <w:i/>
                <w:sz w:val="16"/>
                <w:szCs w:val="16"/>
              </w:rPr>
            </w:pPr>
            <w:r w:rsidRPr="00802703">
              <w:rPr>
                <w:i/>
                <w:sz w:val="16"/>
                <w:szCs w:val="16"/>
              </w:rPr>
              <w:t>Engineer out the impact or risk</w:t>
            </w:r>
          </w:p>
          <w:p w14:paraId="2C686F91" w14:textId="7CA2EFB6" w:rsidR="00C126D7" w:rsidRPr="00802703" w:rsidRDefault="00A25420" w:rsidP="00136A5A">
            <w:pPr>
              <w:pStyle w:val="Caption"/>
              <w:spacing w:before="120"/>
              <w:jc w:val="left"/>
              <w:rPr>
                <w:rFonts w:cs="Arial"/>
                <w:b w:val="0"/>
                <w:sz w:val="16"/>
                <w:szCs w:val="16"/>
              </w:rPr>
            </w:pPr>
            <w:r>
              <w:rPr>
                <w:b w:val="0"/>
                <w:sz w:val="16"/>
                <w:szCs w:val="16"/>
              </w:rPr>
              <w:t>Design criteria for equipment can withstand possible threats</w:t>
            </w:r>
            <w:r w:rsidR="00C126D7" w:rsidRPr="00802703">
              <w:rPr>
                <w:b w:val="0"/>
                <w:sz w:val="16"/>
                <w:szCs w:val="16"/>
              </w:rPr>
              <w:t>.</w:t>
            </w:r>
          </w:p>
        </w:tc>
      </w:tr>
      <w:tr w:rsidR="00C126D7" w:rsidRPr="00802703" w14:paraId="0B76409B" w14:textId="77777777" w:rsidTr="00C126D7">
        <w:tc>
          <w:tcPr>
            <w:tcW w:w="1644" w:type="dxa"/>
            <w:shd w:val="clear" w:color="auto" w:fill="F2F2F2"/>
          </w:tcPr>
          <w:p w14:paraId="5F27E0D1" w14:textId="77777777" w:rsidR="00C126D7" w:rsidRPr="00802703" w:rsidRDefault="00C126D7" w:rsidP="00136A5A">
            <w:pPr>
              <w:pStyle w:val="Caption"/>
              <w:spacing w:before="120"/>
              <w:jc w:val="left"/>
              <w:rPr>
                <w:rFonts w:cs="Arial"/>
                <w:sz w:val="16"/>
                <w:szCs w:val="16"/>
              </w:rPr>
            </w:pPr>
            <w:r w:rsidRPr="00802703">
              <w:rPr>
                <w:rFonts w:cs="Arial"/>
                <w:sz w:val="16"/>
                <w:szCs w:val="16"/>
              </w:rPr>
              <w:t>Isolate</w:t>
            </w:r>
          </w:p>
        </w:tc>
        <w:tc>
          <w:tcPr>
            <w:tcW w:w="1559" w:type="dxa"/>
            <w:vMerge/>
            <w:shd w:val="clear" w:color="auto" w:fill="F2F2F2"/>
          </w:tcPr>
          <w:p w14:paraId="17E89B5A" w14:textId="77777777" w:rsidR="00C126D7" w:rsidRPr="00802703" w:rsidRDefault="00C126D7" w:rsidP="00136A5A">
            <w:pPr>
              <w:pStyle w:val="Caption"/>
              <w:spacing w:before="120"/>
              <w:jc w:val="left"/>
              <w:rPr>
                <w:rFonts w:cs="Arial"/>
                <w:sz w:val="16"/>
                <w:szCs w:val="16"/>
              </w:rPr>
            </w:pPr>
          </w:p>
        </w:tc>
        <w:tc>
          <w:tcPr>
            <w:tcW w:w="5143" w:type="dxa"/>
            <w:shd w:val="clear" w:color="auto" w:fill="F2F2F2"/>
          </w:tcPr>
          <w:p w14:paraId="3EA2801D" w14:textId="77777777" w:rsidR="00C126D7" w:rsidRPr="00802703" w:rsidRDefault="00C126D7" w:rsidP="00C126D7">
            <w:pPr>
              <w:rPr>
                <w:i/>
                <w:sz w:val="16"/>
                <w:szCs w:val="16"/>
              </w:rPr>
            </w:pPr>
            <w:r w:rsidRPr="00802703">
              <w:rPr>
                <w:i/>
                <w:sz w:val="16"/>
                <w:szCs w:val="16"/>
              </w:rPr>
              <w:t>Isolate the environment from the impact or risk</w:t>
            </w:r>
          </w:p>
          <w:p w14:paraId="7F0C0705" w14:textId="7B199C91" w:rsidR="00C126D7" w:rsidRPr="00802703" w:rsidRDefault="00C126D7" w:rsidP="00136A5A">
            <w:pPr>
              <w:pStyle w:val="Caption"/>
              <w:spacing w:before="120"/>
              <w:jc w:val="left"/>
              <w:rPr>
                <w:rFonts w:cs="Arial"/>
                <w:b w:val="0"/>
                <w:sz w:val="16"/>
                <w:szCs w:val="16"/>
              </w:rPr>
            </w:pPr>
            <w:r w:rsidRPr="00802703">
              <w:rPr>
                <w:b w:val="0"/>
                <w:sz w:val="16"/>
                <w:szCs w:val="16"/>
              </w:rPr>
              <w:t>No anchoring within sensitive areas.</w:t>
            </w:r>
          </w:p>
        </w:tc>
      </w:tr>
      <w:tr w:rsidR="00C126D7" w:rsidRPr="00802703" w14:paraId="4BD6C0A3" w14:textId="77777777" w:rsidTr="00C030BE">
        <w:trPr>
          <w:trHeight w:val="586"/>
        </w:trPr>
        <w:tc>
          <w:tcPr>
            <w:tcW w:w="1644" w:type="dxa"/>
            <w:shd w:val="clear" w:color="auto" w:fill="auto"/>
          </w:tcPr>
          <w:p w14:paraId="52994277" w14:textId="77777777" w:rsidR="00C126D7" w:rsidRPr="00802703" w:rsidRDefault="00C126D7" w:rsidP="00136A5A">
            <w:pPr>
              <w:pStyle w:val="Caption"/>
              <w:spacing w:before="120"/>
              <w:jc w:val="left"/>
              <w:rPr>
                <w:rFonts w:cs="Arial"/>
                <w:sz w:val="16"/>
                <w:szCs w:val="16"/>
              </w:rPr>
            </w:pPr>
            <w:r w:rsidRPr="00802703">
              <w:rPr>
                <w:rFonts w:cs="Arial"/>
                <w:sz w:val="16"/>
                <w:szCs w:val="16"/>
              </w:rPr>
              <w:t>Administrative</w:t>
            </w:r>
          </w:p>
        </w:tc>
        <w:tc>
          <w:tcPr>
            <w:tcW w:w="1559" w:type="dxa"/>
            <w:vMerge/>
            <w:shd w:val="clear" w:color="auto" w:fill="auto"/>
          </w:tcPr>
          <w:p w14:paraId="5C97A5FF" w14:textId="77777777" w:rsidR="00C126D7" w:rsidRPr="00802703" w:rsidRDefault="00C126D7" w:rsidP="00136A5A">
            <w:pPr>
              <w:pStyle w:val="Caption"/>
              <w:spacing w:before="120"/>
              <w:jc w:val="left"/>
              <w:rPr>
                <w:rFonts w:cs="Arial"/>
                <w:sz w:val="16"/>
                <w:szCs w:val="16"/>
              </w:rPr>
            </w:pPr>
          </w:p>
        </w:tc>
        <w:tc>
          <w:tcPr>
            <w:tcW w:w="5143" w:type="dxa"/>
            <w:shd w:val="clear" w:color="auto" w:fill="auto"/>
          </w:tcPr>
          <w:p w14:paraId="11481C25" w14:textId="77777777" w:rsidR="00C126D7" w:rsidRPr="00802703" w:rsidRDefault="00C126D7" w:rsidP="00C126D7">
            <w:pPr>
              <w:rPr>
                <w:i/>
                <w:sz w:val="16"/>
                <w:szCs w:val="16"/>
              </w:rPr>
            </w:pPr>
            <w:r w:rsidRPr="00802703">
              <w:rPr>
                <w:i/>
                <w:sz w:val="16"/>
                <w:szCs w:val="16"/>
              </w:rPr>
              <w:t>Provide instructions or training to people to lower impact or risk</w:t>
            </w:r>
          </w:p>
          <w:p w14:paraId="55E1A07D" w14:textId="166C6C58" w:rsidR="00C126D7" w:rsidRPr="00802703" w:rsidRDefault="00C126D7" w:rsidP="00136A5A">
            <w:pPr>
              <w:pStyle w:val="Caption"/>
              <w:spacing w:before="120"/>
              <w:jc w:val="left"/>
              <w:rPr>
                <w:rFonts w:cs="Arial"/>
                <w:b w:val="0"/>
                <w:sz w:val="16"/>
                <w:szCs w:val="16"/>
              </w:rPr>
            </w:pPr>
            <w:r w:rsidRPr="00802703">
              <w:rPr>
                <w:b w:val="0"/>
                <w:sz w:val="16"/>
                <w:szCs w:val="16"/>
              </w:rPr>
              <w:t>At-sea refuelling procedures or pre-wok Job Hazard Analyses (JHA).</w:t>
            </w:r>
          </w:p>
        </w:tc>
      </w:tr>
    </w:tbl>
    <w:p w14:paraId="08A91645" w14:textId="77777777" w:rsidR="00136A5A" w:rsidRPr="00136A5A" w:rsidRDefault="00136A5A" w:rsidP="00213285">
      <w:pPr>
        <w:pStyle w:val="BodyText"/>
      </w:pPr>
    </w:p>
    <w:p w14:paraId="680864AB" w14:textId="465E1E09" w:rsidR="00697B57" w:rsidRPr="00136A5A" w:rsidRDefault="00C030BE" w:rsidP="00213285">
      <w:pPr>
        <w:pStyle w:val="Caption"/>
        <w:outlineLvl w:val="9"/>
        <w:rPr>
          <w:rFonts w:cs="Arial"/>
        </w:rPr>
      </w:pPr>
      <w:bookmarkStart w:id="154" w:name="_Ref473374508"/>
      <w:bookmarkStart w:id="155" w:name="_Toc511032585"/>
      <w:r w:rsidRPr="00C030BE">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4</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1</w:t>
      </w:r>
      <w:r w:rsidR="00103328">
        <w:rPr>
          <w:sz w:val="20"/>
          <w:szCs w:val="20"/>
        </w:rPr>
        <w:fldChar w:fldCharType="end"/>
      </w:r>
      <w:bookmarkEnd w:id="154"/>
      <w:r w:rsidRPr="00C030BE">
        <w:rPr>
          <w:sz w:val="20"/>
          <w:szCs w:val="20"/>
        </w:rPr>
        <w:t>: Definition of Consequence</w:t>
      </w:r>
      <w:bookmarkEnd w:id="155"/>
    </w:p>
    <w:tbl>
      <w:tblPr>
        <w:tblW w:w="0" w:type="auto"/>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1346"/>
        <w:gridCol w:w="2756"/>
        <w:gridCol w:w="2448"/>
        <w:gridCol w:w="2375"/>
      </w:tblGrid>
      <w:tr w:rsidR="00FD5486" w:rsidRPr="00C030BE" w14:paraId="036932F3" w14:textId="77777777" w:rsidTr="00136A5A">
        <w:trPr>
          <w:tblHeader/>
        </w:trPr>
        <w:tc>
          <w:tcPr>
            <w:tcW w:w="1351" w:type="dxa"/>
            <w:tcBorders>
              <w:right w:val="single" w:sz="6" w:space="0" w:color="F2F2F2"/>
            </w:tcBorders>
            <w:shd w:val="clear" w:color="auto" w:fill="A6A6A6"/>
            <w:tcMar>
              <w:top w:w="142" w:type="dxa"/>
            </w:tcMar>
          </w:tcPr>
          <w:p w14:paraId="250AE80A" w14:textId="77777777" w:rsidR="00136A5A" w:rsidRPr="00C030BE" w:rsidRDefault="00136A5A" w:rsidP="00136A5A">
            <w:pPr>
              <w:rPr>
                <w:rFonts w:cs="Arial"/>
                <w:b/>
                <w:sz w:val="16"/>
                <w:szCs w:val="16"/>
              </w:rPr>
            </w:pPr>
            <w:r w:rsidRPr="00C030BE">
              <w:rPr>
                <w:rFonts w:cs="Arial"/>
                <w:b/>
                <w:sz w:val="16"/>
                <w:szCs w:val="16"/>
              </w:rPr>
              <w:t>Consequence descriptor</w:t>
            </w:r>
          </w:p>
        </w:tc>
        <w:tc>
          <w:tcPr>
            <w:tcW w:w="2813" w:type="dxa"/>
            <w:tcBorders>
              <w:left w:val="single" w:sz="6" w:space="0" w:color="F2F2F2"/>
              <w:right w:val="single" w:sz="6" w:space="0" w:color="F2F2F2"/>
            </w:tcBorders>
            <w:shd w:val="clear" w:color="auto" w:fill="A6A6A6"/>
            <w:tcMar>
              <w:top w:w="142" w:type="dxa"/>
            </w:tcMar>
          </w:tcPr>
          <w:p w14:paraId="2E747B09" w14:textId="77777777" w:rsidR="00136A5A" w:rsidRPr="00C030BE" w:rsidRDefault="00136A5A" w:rsidP="00136A5A">
            <w:pPr>
              <w:rPr>
                <w:rFonts w:cs="Arial"/>
                <w:b/>
                <w:sz w:val="16"/>
                <w:szCs w:val="16"/>
              </w:rPr>
            </w:pPr>
            <w:r w:rsidRPr="00C030BE">
              <w:rPr>
                <w:rFonts w:cs="Arial"/>
                <w:b/>
                <w:sz w:val="16"/>
                <w:szCs w:val="16"/>
              </w:rPr>
              <w:t>Environment</w:t>
            </w:r>
          </w:p>
        </w:tc>
        <w:tc>
          <w:tcPr>
            <w:tcW w:w="2499" w:type="dxa"/>
            <w:tcBorders>
              <w:left w:val="single" w:sz="6" w:space="0" w:color="F2F2F2"/>
              <w:right w:val="single" w:sz="6" w:space="0" w:color="F2F2F2"/>
            </w:tcBorders>
            <w:shd w:val="clear" w:color="auto" w:fill="A6A6A6"/>
            <w:tcMar>
              <w:top w:w="142" w:type="dxa"/>
            </w:tcMar>
          </w:tcPr>
          <w:p w14:paraId="45A0D2F9" w14:textId="77777777" w:rsidR="00136A5A" w:rsidRPr="00C030BE" w:rsidRDefault="00136A5A" w:rsidP="00136A5A">
            <w:pPr>
              <w:rPr>
                <w:rFonts w:cs="Arial"/>
                <w:b/>
                <w:sz w:val="16"/>
                <w:szCs w:val="16"/>
              </w:rPr>
            </w:pPr>
            <w:r w:rsidRPr="00C030BE">
              <w:rPr>
                <w:rFonts w:cs="Arial"/>
                <w:b/>
                <w:sz w:val="16"/>
                <w:szCs w:val="16"/>
              </w:rPr>
              <w:t>Regulatory, reputation, community and media</w:t>
            </w:r>
          </w:p>
        </w:tc>
        <w:tc>
          <w:tcPr>
            <w:tcW w:w="2409" w:type="dxa"/>
            <w:tcBorders>
              <w:left w:val="single" w:sz="6" w:space="0" w:color="F2F2F2"/>
            </w:tcBorders>
            <w:shd w:val="clear" w:color="auto" w:fill="A6A6A6"/>
            <w:tcMar>
              <w:top w:w="142" w:type="dxa"/>
            </w:tcMar>
          </w:tcPr>
          <w:p w14:paraId="45CA77F8" w14:textId="77777777" w:rsidR="00136A5A" w:rsidRPr="00C030BE" w:rsidRDefault="00136A5A" w:rsidP="00136A5A">
            <w:pPr>
              <w:rPr>
                <w:rFonts w:cs="Arial"/>
                <w:b/>
                <w:sz w:val="16"/>
                <w:szCs w:val="16"/>
              </w:rPr>
            </w:pPr>
            <w:r w:rsidRPr="00C030BE">
              <w:rPr>
                <w:rFonts w:cs="Arial"/>
                <w:b/>
                <w:sz w:val="16"/>
                <w:szCs w:val="16"/>
              </w:rPr>
              <w:t>Financial/Legal</w:t>
            </w:r>
          </w:p>
        </w:tc>
      </w:tr>
      <w:tr w:rsidR="00FD5486" w:rsidRPr="00C030BE" w14:paraId="636A5E34" w14:textId="77777777" w:rsidTr="00136A5A">
        <w:tc>
          <w:tcPr>
            <w:tcW w:w="1351" w:type="dxa"/>
            <w:shd w:val="clear" w:color="auto" w:fill="auto"/>
          </w:tcPr>
          <w:p w14:paraId="75D43D2F" w14:textId="77777777" w:rsidR="00136A5A" w:rsidRPr="00C030BE" w:rsidRDefault="00136A5A" w:rsidP="00136A5A">
            <w:pPr>
              <w:rPr>
                <w:rFonts w:cs="Arial"/>
                <w:sz w:val="16"/>
                <w:szCs w:val="16"/>
              </w:rPr>
            </w:pPr>
            <w:r w:rsidRPr="00C030BE">
              <w:rPr>
                <w:rFonts w:cs="Arial"/>
                <w:sz w:val="16"/>
                <w:szCs w:val="16"/>
              </w:rPr>
              <w:t>5. Critical</w:t>
            </w:r>
          </w:p>
        </w:tc>
        <w:tc>
          <w:tcPr>
            <w:tcW w:w="2813" w:type="dxa"/>
            <w:shd w:val="clear" w:color="auto" w:fill="auto"/>
          </w:tcPr>
          <w:p w14:paraId="6A3C3B05" w14:textId="77777777" w:rsidR="00136A5A" w:rsidRPr="00C030BE" w:rsidRDefault="00136A5A" w:rsidP="00136A5A">
            <w:pPr>
              <w:rPr>
                <w:rFonts w:cs="Arial"/>
                <w:sz w:val="16"/>
                <w:szCs w:val="16"/>
                <w:lang w:eastAsia="zh-CN"/>
              </w:rPr>
            </w:pPr>
            <w:r w:rsidRPr="00C030BE">
              <w:rPr>
                <w:rFonts w:cs="Arial"/>
                <w:sz w:val="16"/>
                <w:szCs w:val="16"/>
                <w:lang w:eastAsia="zh-CN"/>
              </w:rPr>
              <w:t>Severe long-term impact on highly-valued ecosystems, species populations or habitats.</w:t>
            </w:r>
          </w:p>
          <w:p w14:paraId="23B10DE7" w14:textId="77777777" w:rsidR="00136A5A" w:rsidRPr="00C030BE" w:rsidRDefault="00136A5A" w:rsidP="00136A5A">
            <w:pPr>
              <w:rPr>
                <w:rFonts w:cs="Arial"/>
                <w:sz w:val="16"/>
                <w:szCs w:val="16"/>
              </w:rPr>
            </w:pPr>
            <w:r w:rsidRPr="00C030BE">
              <w:rPr>
                <w:rFonts w:cs="Arial"/>
                <w:sz w:val="16"/>
                <w:szCs w:val="16"/>
                <w:lang w:eastAsia="zh-CN"/>
              </w:rPr>
              <w:t>Significant remedial/recovery work to land/water systems over decades (if possible at all).</w:t>
            </w:r>
          </w:p>
        </w:tc>
        <w:tc>
          <w:tcPr>
            <w:tcW w:w="2499" w:type="dxa"/>
            <w:shd w:val="clear" w:color="auto" w:fill="auto"/>
          </w:tcPr>
          <w:p w14:paraId="5A6F1DA6" w14:textId="77777777" w:rsidR="00136A5A" w:rsidRPr="00C030BE" w:rsidRDefault="00136A5A" w:rsidP="00136A5A">
            <w:pPr>
              <w:rPr>
                <w:rFonts w:cs="Arial"/>
                <w:snapToGrid w:val="0"/>
                <w:color w:val="000000"/>
                <w:sz w:val="16"/>
                <w:szCs w:val="16"/>
              </w:rPr>
            </w:pPr>
            <w:r w:rsidRPr="00C030BE">
              <w:rPr>
                <w:rFonts w:cs="Arial"/>
                <w:snapToGrid w:val="0"/>
                <w:color w:val="000000"/>
                <w:sz w:val="16"/>
                <w:szCs w:val="16"/>
              </w:rPr>
              <w:t>Critical impact on business reputation &amp;/or international media exposure.</w:t>
            </w:r>
          </w:p>
          <w:p w14:paraId="73D15520" w14:textId="77777777" w:rsidR="00136A5A" w:rsidRPr="00C030BE" w:rsidRDefault="00136A5A" w:rsidP="00136A5A">
            <w:pPr>
              <w:rPr>
                <w:rFonts w:cs="Arial"/>
                <w:snapToGrid w:val="0"/>
                <w:color w:val="000000"/>
                <w:sz w:val="16"/>
                <w:szCs w:val="16"/>
              </w:rPr>
            </w:pPr>
            <w:r w:rsidRPr="00C030BE">
              <w:rPr>
                <w:rFonts w:cs="Arial"/>
                <w:snapToGrid w:val="0"/>
                <w:color w:val="000000"/>
                <w:sz w:val="16"/>
                <w:szCs w:val="16"/>
              </w:rPr>
              <w:t>High-level regulatory intervention.</w:t>
            </w:r>
          </w:p>
          <w:p w14:paraId="40BB9513" w14:textId="77777777" w:rsidR="00136A5A" w:rsidRPr="00C030BE" w:rsidRDefault="00136A5A" w:rsidP="00136A5A">
            <w:pPr>
              <w:rPr>
                <w:rFonts w:cs="Arial"/>
                <w:color w:val="000000"/>
                <w:sz w:val="16"/>
                <w:szCs w:val="16"/>
                <w:lang w:eastAsia="zh-CN"/>
              </w:rPr>
            </w:pPr>
            <w:r w:rsidRPr="00C030BE">
              <w:rPr>
                <w:rFonts w:cs="Arial"/>
                <w:snapToGrid w:val="0"/>
                <w:color w:val="000000"/>
                <w:sz w:val="16"/>
                <w:szCs w:val="16"/>
              </w:rPr>
              <w:t>P</w:t>
            </w:r>
            <w:r w:rsidRPr="00C030BE">
              <w:rPr>
                <w:rFonts w:cs="Arial"/>
                <w:color w:val="000000"/>
                <w:sz w:val="16"/>
                <w:szCs w:val="16"/>
                <w:lang w:eastAsia="zh-CN"/>
              </w:rPr>
              <w:t>otential revocation of License/Permit.</w:t>
            </w:r>
          </w:p>
          <w:p w14:paraId="7752DBD5" w14:textId="77777777" w:rsidR="00136A5A" w:rsidRPr="00C030BE" w:rsidRDefault="00136A5A" w:rsidP="00136A5A">
            <w:pPr>
              <w:rPr>
                <w:rFonts w:cs="Arial"/>
                <w:sz w:val="16"/>
                <w:szCs w:val="16"/>
              </w:rPr>
            </w:pPr>
            <w:r w:rsidRPr="00C030BE">
              <w:rPr>
                <w:rFonts w:cs="Arial"/>
                <w:color w:val="000000"/>
                <w:sz w:val="16"/>
                <w:szCs w:val="16"/>
                <w:lang w:eastAsia="zh-CN"/>
              </w:rPr>
              <w:t>Operations ceased.</w:t>
            </w:r>
          </w:p>
        </w:tc>
        <w:tc>
          <w:tcPr>
            <w:tcW w:w="2409" w:type="dxa"/>
            <w:shd w:val="clear" w:color="auto" w:fill="auto"/>
          </w:tcPr>
          <w:p w14:paraId="40C863BA" w14:textId="77777777" w:rsidR="00136A5A" w:rsidRPr="00C030BE" w:rsidRDefault="00136A5A" w:rsidP="00136A5A">
            <w:pPr>
              <w:rPr>
                <w:rFonts w:cs="Arial"/>
                <w:snapToGrid w:val="0"/>
                <w:color w:val="000000"/>
                <w:sz w:val="16"/>
                <w:szCs w:val="16"/>
              </w:rPr>
            </w:pPr>
            <w:r w:rsidRPr="00C030BE">
              <w:rPr>
                <w:rFonts w:cs="Arial"/>
                <w:snapToGrid w:val="0"/>
                <w:color w:val="000000"/>
                <w:sz w:val="16"/>
                <w:szCs w:val="16"/>
              </w:rPr>
              <w:t>Catastrophic structural failure/damage/loss.</w:t>
            </w:r>
          </w:p>
          <w:p w14:paraId="62A6BF65" w14:textId="77777777" w:rsidR="00136A5A" w:rsidRPr="00C030BE" w:rsidRDefault="00136A5A" w:rsidP="00136A5A">
            <w:pPr>
              <w:rPr>
                <w:rFonts w:cs="Arial"/>
                <w:snapToGrid w:val="0"/>
                <w:color w:val="000000"/>
                <w:sz w:val="16"/>
                <w:szCs w:val="16"/>
              </w:rPr>
            </w:pPr>
            <w:r w:rsidRPr="00C030BE">
              <w:rPr>
                <w:rFonts w:cs="Arial"/>
                <w:snapToGrid w:val="0"/>
                <w:color w:val="000000"/>
                <w:sz w:val="16"/>
                <w:szCs w:val="16"/>
              </w:rPr>
              <w:t xml:space="preserve">Financial loss &gt;$50 M. </w:t>
            </w:r>
          </w:p>
          <w:p w14:paraId="320963F4" w14:textId="77777777" w:rsidR="00136A5A" w:rsidRPr="00C030BE" w:rsidRDefault="00136A5A" w:rsidP="00136A5A">
            <w:pPr>
              <w:rPr>
                <w:rFonts w:cs="Arial"/>
                <w:snapToGrid w:val="0"/>
                <w:color w:val="000000"/>
                <w:sz w:val="16"/>
                <w:szCs w:val="16"/>
              </w:rPr>
            </w:pPr>
            <w:r w:rsidRPr="00C030BE">
              <w:rPr>
                <w:rFonts w:cs="Arial"/>
                <w:snapToGrid w:val="0"/>
                <w:color w:val="000000"/>
                <w:sz w:val="16"/>
                <w:szCs w:val="16"/>
              </w:rPr>
              <w:t>Public inquiry, major litigation, prosecution with damages/fines &gt;$50 M.</w:t>
            </w:r>
          </w:p>
          <w:p w14:paraId="2D4C4E73" w14:textId="77777777" w:rsidR="00136A5A" w:rsidRPr="00C030BE" w:rsidRDefault="00136A5A" w:rsidP="00136A5A">
            <w:pPr>
              <w:rPr>
                <w:rFonts w:cs="Arial"/>
                <w:snapToGrid w:val="0"/>
                <w:color w:val="000000"/>
                <w:sz w:val="16"/>
                <w:szCs w:val="16"/>
              </w:rPr>
            </w:pPr>
            <w:r w:rsidRPr="00C030BE">
              <w:rPr>
                <w:rFonts w:cs="Arial"/>
                <w:snapToGrid w:val="0"/>
                <w:color w:val="000000"/>
                <w:sz w:val="16"/>
                <w:szCs w:val="16"/>
              </w:rPr>
              <w:t>Custodial sentence for a Cooper Manager</w:t>
            </w:r>
          </w:p>
        </w:tc>
      </w:tr>
      <w:tr w:rsidR="00FD5486" w:rsidRPr="00C030BE" w14:paraId="303E7BD5" w14:textId="77777777" w:rsidTr="00136A5A">
        <w:tc>
          <w:tcPr>
            <w:tcW w:w="1351" w:type="dxa"/>
            <w:shd w:val="clear" w:color="auto" w:fill="F2F2F2"/>
          </w:tcPr>
          <w:p w14:paraId="02ACD539" w14:textId="77777777" w:rsidR="00136A5A" w:rsidRPr="00C030BE" w:rsidRDefault="00136A5A" w:rsidP="00136A5A">
            <w:pPr>
              <w:rPr>
                <w:rFonts w:cs="Arial"/>
                <w:sz w:val="16"/>
                <w:szCs w:val="16"/>
              </w:rPr>
            </w:pPr>
            <w:r w:rsidRPr="00C030BE">
              <w:rPr>
                <w:rFonts w:cs="Arial"/>
                <w:sz w:val="16"/>
                <w:szCs w:val="16"/>
              </w:rPr>
              <w:t>4. Major</w:t>
            </w:r>
          </w:p>
        </w:tc>
        <w:tc>
          <w:tcPr>
            <w:tcW w:w="2813" w:type="dxa"/>
            <w:shd w:val="clear" w:color="auto" w:fill="F2F2F2"/>
          </w:tcPr>
          <w:p w14:paraId="3B7CA780" w14:textId="77777777" w:rsidR="00136A5A" w:rsidRPr="00C030BE" w:rsidRDefault="00136A5A" w:rsidP="00136A5A">
            <w:pPr>
              <w:rPr>
                <w:rFonts w:cs="Arial"/>
                <w:sz w:val="16"/>
                <w:szCs w:val="16"/>
                <w:lang w:eastAsia="zh-CN"/>
              </w:rPr>
            </w:pPr>
            <w:r w:rsidRPr="00C030BE">
              <w:rPr>
                <w:rFonts w:cs="Arial"/>
                <w:sz w:val="16"/>
                <w:szCs w:val="16"/>
                <w:lang w:eastAsia="zh-CN"/>
              </w:rPr>
              <w:t>Extensive medium to long-term impact on highly-valued ecosystems, species populations or habitats.</w:t>
            </w:r>
          </w:p>
          <w:p w14:paraId="3832B165" w14:textId="77777777" w:rsidR="00136A5A" w:rsidRPr="00C030BE" w:rsidRDefault="00136A5A" w:rsidP="00136A5A">
            <w:pPr>
              <w:rPr>
                <w:rFonts w:cs="Arial"/>
                <w:sz w:val="16"/>
                <w:szCs w:val="16"/>
              </w:rPr>
            </w:pPr>
            <w:r w:rsidRPr="00C030BE">
              <w:rPr>
                <w:rFonts w:cs="Arial"/>
                <w:sz w:val="16"/>
                <w:szCs w:val="16"/>
                <w:lang w:eastAsia="zh-CN"/>
              </w:rPr>
              <w:t xml:space="preserve">Remedial, recovery work to land or water systems over years </w:t>
            </w:r>
            <w:r w:rsidRPr="00C030BE">
              <w:rPr>
                <w:rFonts w:cs="Arial"/>
                <w:sz w:val="16"/>
                <w:szCs w:val="16"/>
                <w:lang w:eastAsia="zh-CN"/>
              </w:rPr>
              <w:br/>
              <w:t>(~5-10 years).</w:t>
            </w:r>
          </w:p>
        </w:tc>
        <w:tc>
          <w:tcPr>
            <w:tcW w:w="2499" w:type="dxa"/>
            <w:shd w:val="clear" w:color="auto" w:fill="F2F2F2"/>
          </w:tcPr>
          <w:p w14:paraId="0BCC3CA5" w14:textId="77777777" w:rsidR="00136A5A" w:rsidRPr="00C030BE" w:rsidRDefault="00136A5A" w:rsidP="00136A5A">
            <w:pPr>
              <w:rPr>
                <w:rFonts w:cs="Arial"/>
                <w:snapToGrid w:val="0"/>
                <w:color w:val="000000"/>
                <w:sz w:val="16"/>
                <w:szCs w:val="16"/>
              </w:rPr>
            </w:pPr>
            <w:r w:rsidRPr="00C030BE">
              <w:rPr>
                <w:rFonts w:cs="Arial"/>
                <w:snapToGrid w:val="0"/>
                <w:color w:val="000000"/>
                <w:sz w:val="16"/>
                <w:szCs w:val="16"/>
              </w:rPr>
              <w:t>Significant impact on business reputation and/or national media exposure.</w:t>
            </w:r>
          </w:p>
          <w:p w14:paraId="353F4E53" w14:textId="77777777" w:rsidR="00136A5A" w:rsidRPr="00C030BE" w:rsidRDefault="00136A5A" w:rsidP="00136A5A">
            <w:pPr>
              <w:rPr>
                <w:rFonts w:cs="Arial"/>
                <w:snapToGrid w:val="0"/>
                <w:color w:val="000000"/>
                <w:sz w:val="16"/>
                <w:szCs w:val="16"/>
              </w:rPr>
            </w:pPr>
            <w:r w:rsidRPr="00C030BE">
              <w:rPr>
                <w:rFonts w:cs="Arial"/>
                <w:snapToGrid w:val="0"/>
                <w:color w:val="000000"/>
                <w:sz w:val="16"/>
                <w:szCs w:val="16"/>
              </w:rPr>
              <w:t>Significant regulatory intervention.</w:t>
            </w:r>
          </w:p>
          <w:p w14:paraId="58AC8B76" w14:textId="77777777" w:rsidR="00136A5A" w:rsidRPr="00C030BE" w:rsidRDefault="00136A5A" w:rsidP="00136A5A">
            <w:pPr>
              <w:rPr>
                <w:rFonts w:cs="Arial"/>
                <w:sz w:val="16"/>
                <w:szCs w:val="16"/>
              </w:rPr>
            </w:pPr>
            <w:r w:rsidRPr="00C030BE">
              <w:rPr>
                <w:rFonts w:cs="Arial"/>
                <w:snapToGrid w:val="0"/>
                <w:color w:val="000000"/>
                <w:sz w:val="16"/>
                <w:szCs w:val="16"/>
              </w:rPr>
              <w:t>O</w:t>
            </w:r>
            <w:r w:rsidRPr="00C030BE">
              <w:rPr>
                <w:rFonts w:cs="Arial"/>
                <w:color w:val="000000"/>
                <w:sz w:val="16"/>
                <w:szCs w:val="16"/>
                <w:lang w:eastAsia="zh-CN"/>
              </w:rPr>
              <w:t>perations ceased.</w:t>
            </w:r>
          </w:p>
        </w:tc>
        <w:tc>
          <w:tcPr>
            <w:tcW w:w="2409" w:type="dxa"/>
            <w:shd w:val="clear" w:color="auto" w:fill="F2F2F2"/>
          </w:tcPr>
          <w:p w14:paraId="6E6F0861" w14:textId="77777777" w:rsidR="00136A5A" w:rsidRPr="00C030BE" w:rsidRDefault="00136A5A" w:rsidP="00136A5A">
            <w:pPr>
              <w:rPr>
                <w:rFonts w:cs="Arial"/>
                <w:snapToGrid w:val="0"/>
                <w:color w:val="000000"/>
                <w:sz w:val="16"/>
                <w:szCs w:val="16"/>
              </w:rPr>
            </w:pPr>
            <w:r w:rsidRPr="00C030BE">
              <w:rPr>
                <w:rFonts w:cs="Arial"/>
                <w:snapToGrid w:val="0"/>
                <w:color w:val="000000"/>
                <w:sz w:val="16"/>
                <w:szCs w:val="16"/>
              </w:rPr>
              <w:t>Major structural failure/ damage/loss.</w:t>
            </w:r>
          </w:p>
          <w:p w14:paraId="34A15B43" w14:textId="77777777" w:rsidR="00136A5A" w:rsidRPr="00C030BE" w:rsidRDefault="00136A5A" w:rsidP="00136A5A">
            <w:pPr>
              <w:rPr>
                <w:rFonts w:cs="Arial"/>
                <w:snapToGrid w:val="0"/>
                <w:color w:val="000000"/>
                <w:sz w:val="16"/>
                <w:szCs w:val="16"/>
              </w:rPr>
            </w:pPr>
            <w:r w:rsidRPr="00C030BE">
              <w:rPr>
                <w:rFonts w:cs="Arial"/>
                <w:snapToGrid w:val="0"/>
                <w:color w:val="000000"/>
                <w:sz w:val="16"/>
                <w:szCs w:val="16"/>
              </w:rPr>
              <w:t>Financial loss &gt;$25 M.</w:t>
            </w:r>
          </w:p>
          <w:p w14:paraId="2D36F414" w14:textId="77777777" w:rsidR="00136A5A" w:rsidRPr="00C030BE" w:rsidRDefault="00136A5A" w:rsidP="00136A5A">
            <w:pPr>
              <w:rPr>
                <w:rFonts w:cs="Arial"/>
                <w:snapToGrid w:val="0"/>
                <w:color w:val="000000"/>
                <w:sz w:val="16"/>
                <w:szCs w:val="16"/>
              </w:rPr>
            </w:pPr>
            <w:r w:rsidRPr="00C030BE">
              <w:rPr>
                <w:rFonts w:cs="Arial"/>
                <w:snapToGrid w:val="0"/>
                <w:color w:val="000000"/>
                <w:sz w:val="16"/>
                <w:szCs w:val="16"/>
              </w:rPr>
              <w:t>Major litigation or prosecution with damages or fines of &gt;$25 M + significant costs.</w:t>
            </w:r>
          </w:p>
        </w:tc>
      </w:tr>
      <w:tr w:rsidR="00FD5486" w:rsidRPr="00C030BE" w14:paraId="08A3673B" w14:textId="77777777" w:rsidTr="00136A5A">
        <w:tc>
          <w:tcPr>
            <w:tcW w:w="1351" w:type="dxa"/>
            <w:shd w:val="clear" w:color="auto" w:fill="auto"/>
          </w:tcPr>
          <w:p w14:paraId="682168AD" w14:textId="77777777" w:rsidR="00136A5A" w:rsidRPr="00C030BE" w:rsidRDefault="00136A5A" w:rsidP="00136A5A">
            <w:pPr>
              <w:rPr>
                <w:rFonts w:cs="Arial"/>
                <w:sz w:val="16"/>
                <w:szCs w:val="16"/>
              </w:rPr>
            </w:pPr>
            <w:r w:rsidRPr="00C030BE">
              <w:rPr>
                <w:rFonts w:cs="Arial"/>
                <w:sz w:val="16"/>
                <w:szCs w:val="16"/>
              </w:rPr>
              <w:t>3. Moderate</w:t>
            </w:r>
          </w:p>
        </w:tc>
        <w:tc>
          <w:tcPr>
            <w:tcW w:w="2813" w:type="dxa"/>
            <w:shd w:val="clear" w:color="auto" w:fill="auto"/>
          </w:tcPr>
          <w:p w14:paraId="64B9ADEE" w14:textId="77777777" w:rsidR="00136A5A" w:rsidRPr="00C030BE" w:rsidRDefault="00136A5A" w:rsidP="00136A5A">
            <w:pPr>
              <w:rPr>
                <w:rFonts w:cs="Arial"/>
                <w:color w:val="000000"/>
                <w:sz w:val="16"/>
                <w:szCs w:val="16"/>
                <w:lang w:eastAsia="zh-CN"/>
              </w:rPr>
            </w:pPr>
            <w:r w:rsidRPr="00C030BE">
              <w:rPr>
                <w:rFonts w:cs="Arial"/>
                <w:color w:val="000000"/>
                <w:sz w:val="16"/>
                <w:szCs w:val="16"/>
                <w:lang w:eastAsia="zh-CN"/>
              </w:rPr>
              <w:t>Localised medium-term impacts to species or habitats of recognized conservation value or to local ecosystem function.</w:t>
            </w:r>
          </w:p>
          <w:p w14:paraId="425271AE" w14:textId="77777777" w:rsidR="00136A5A" w:rsidRPr="00C030BE" w:rsidRDefault="00136A5A" w:rsidP="00136A5A">
            <w:pPr>
              <w:rPr>
                <w:rFonts w:cs="Arial"/>
                <w:sz w:val="16"/>
                <w:szCs w:val="16"/>
              </w:rPr>
            </w:pPr>
            <w:r w:rsidRPr="00C030BE">
              <w:rPr>
                <w:rFonts w:cs="Arial"/>
                <w:color w:val="000000"/>
                <w:sz w:val="16"/>
                <w:szCs w:val="16"/>
                <w:lang w:eastAsia="zh-CN"/>
              </w:rPr>
              <w:t>Remedial, recovery work to land/water systems over months/year.</w:t>
            </w:r>
          </w:p>
        </w:tc>
        <w:tc>
          <w:tcPr>
            <w:tcW w:w="2499" w:type="dxa"/>
            <w:shd w:val="clear" w:color="auto" w:fill="auto"/>
          </w:tcPr>
          <w:p w14:paraId="6FE00177" w14:textId="77777777" w:rsidR="00136A5A" w:rsidRPr="00C030BE" w:rsidRDefault="00136A5A" w:rsidP="00136A5A">
            <w:pPr>
              <w:rPr>
                <w:rFonts w:cs="Arial"/>
                <w:snapToGrid w:val="0"/>
                <w:color w:val="000000"/>
                <w:sz w:val="16"/>
                <w:szCs w:val="16"/>
              </w:rPr>
            </w:pPr>
            <w:r w:rsidRPr="00C030BE">
              <w:rPr>
                <w:rFonts w:cs="Arial"/>
                <w:snapToGrid w:val="0"/>
                <w:color w:val="000000"/>
                <w:sz w:val="16"/>
                <w:szCs w:val="16"/>
              </w:rPr>
              <w:t>Moderate to small impact on business reputation.</w:t>
            </w:r>
          </w:p>
          <w:p w14:paraId="7FA52996" w14:textId="77777777" w:rsidR="00136A5A" w:rsidRPr="00C030BE" w:rsidRDefault="00136A5A" w:rsidP="00136A5A">
            <w:pPr>
              <w:rPr>
                <w:rFonts w:cs="Arial"/>
                <w:snapToGrid w:val="0"/>
                <w:color w:val="000000"/>
                <w:sz w:val="16"/>
                <w:szCs w:val="16"/>
              </w:rPr>
            </w:pPr>
            <w:r w:rsidRPr="00C030BE">
              <w:rPr>
                <w:rFonts w:cs="Arial"/>
                <w:snapToGrid w:val="0"/>
                <w:color w:val="000000"/>
                <w:sz w:val="16"/>
                <w:szCs w:val="16"/>
              </w:rPr>
              <w:t>Potential for state media exposure.</w:t>
            </w:r>
          </w:p>
          <w:p w14:paraId="7E396D54" w14:textId="77777777" w:rsidR="00136A5A" w:rsidRPr="00C030BE" w:rsidRDefault="00136A5A" w:rsidP="00136A5A">
            <w:pPr>
              <w:rPr>
                <w:rFonts w:cs="Arial"/>
                <w:sz w:val="16"/>
                <w:szCs w:val="16"/>
              </w:rPr>
            </w:pPr>
            <w:r w:rsidRPr="00C030BE">
              <w:rPr>
                <w:rFonts w:cs="Arial"/>
                <w:snapToGrid w:val="0"/>
                <w:color w:val="000000"/>
                <w:sz w:val="16"/>
                <w:szCs w:val="16"/>
              </w:rPr>
              <w:t>Significant breach of regulations, attracting regulatory intervention.</w:t>
            </w:r>
          </w:p>
        </w:tc>
        <w:tc>
          <w:tcPr>
            <w:tcW w:w="2409" w:type="dxa"/>
            <w:shd w:val="clear" w:color="auto" w:fill="auto"/>
          </w:tcPr>
          <w:p w14:paraId="7C2429DF" w14:textId="77777777" w:rsidR="00136A5A" w:rsidRPr="00C030BE" w:rsidRDefault="00136A5A" w:rsidP="00136A5A">
            <w:pPr>
              <w:rPr>
                <w:rFonts w:cs="Arial"/>
                <w:snapToGrid w:val="0"/>
                <w:color w:val="000000"/>
                <w:sz w:val="16"/>
                <w:szCs w:val="16"/>
              </w:rPr>
            </w:pPr>
            <w:r w:rsidRPr="00C030BE">
              <w:rPr>
                <w:rFonts w:cs="Arial"/>
                <w:snapToGrid w:val="0"/>
                <w:color w:val="000000"/>
                <w:sz w:val="16"/>
                <w:szCs w:val="16"/>
              </w:rPr>
              <w:t xml:space="preserve">Moderate structural failure/damage/loss. </w:t>
            </w:r>
          </w:p>
          <w:p w14:paraId="126741AE" w14:textId="77777777" w:rsidR="00136A5A" w:rsidRPr="00C030BE" w:rsidRDefault="00136A5A" w:rsidP="00136A5A">
            <w:pPr>
              <w:rPr>
                <w:rFonts w:cs="Arial"/>
                <w:snapToGrid w:val="0"/>
                <w:color w:val="000000"/>
                <w:sz w:val="16"/>
                <w:szCs w:val="16"/>
              </w:rPr>
            </w:pPr>
            <w:r w:rsidRPr="00C030BE">
              <w:rPr>
                <w:rFonts w:cs="Arial"/>
                <w:snapToGrid w:val="0"/>
                <w:color w:val="000000"/>
                <w:sz w:val="16"/>
                <w:szCs w:val="16"/>
              </w:rPr>
              <w:t>Financial loss &gt;$10 M.</w:t>
            </w:r>
          </w:p>
          <w:p w14:paraId="1E4F78D2" w14:textId="77777777" w:rsidR="00136A5A" w:rsidRPr="00C030BE" w:rsidRDefault="00136A5A" w:rsidP="00136A5A">
            <w:pPr>
              <w:widowControl w:val="0"/>
              <w:autoSpaceDE w:val="0"/>
              <w:autoSpaceDN w:val="0"/>
              <w:adjustRightInd w:val="0"/>
              <w:spacing w:line="240" w:lineRule="atLeast"/>
              <w:rPr>
                <w:rFonts w:cs="Arial"/>
                <w:snapToGrid w:val="0"/>
                <w:color w:val="000000"/>
                <w:sz w:val="16"/>
                <w:szCs w:val="16"/>
              </w:rPr>
            </w:pPr>
            <w:r w:rsidRPr="00C030BE">
              <w:rPr>
                <w:rFonts w:cs="Arial"/>
                <w:snapToGrid w:val="0"/>
                <w:color w:val="000000"/>
                <w:sz w:val="16"/>
                <w:szCs w:val="16"/>
              </w:rPr>
              <w:t>Litigation or prosecution costing &gt;$10 M.</w:t>
            </w:r>
          </w:p>
          <w:p w14:paraId="69DAC423" w14:textId="77777777" w:rsidR="00136A5A" w:rsidRPr="00C030BE" w:rsidRDefault="00136A5A" w:rsidP="00136A5A">
            <w:pPr>
              <w:rPr>
                <w:rFonts w:cs="Arial"/>
                <w:snapToGrid w:val="0"/>
                <w:color w:val="000000"/>
                <w:sz w:val="16"/>
                <w:szCs w:val="16"/>
              </w:rPr>
            </w:pPr>
            <w:r w:rsidRPr="00C030BE">
              <w:rPr>
                <w:rFonts w:cs="Arial"/>
                <w:snapToGrid w:val="0"/>
                <w:color w:val="000000"/>
                <w:sz w:val="16"/>
                <w:szCs w:val="16"/>
              </w:rPr>
              <w:t>Investigation by regulatory body.</w:t>
            </w:r>
          </w:p>
        </w:tc>
      </w:tr>
      <w:tr w:rsidR="00FD5486" w:rsidRPr="00C030BE" w14:paraId="718AF13F" w14:textId="77777777" w:rsidTr="00136A5A">
        <w:tc>
          <w:tcPr>
            <w:tcW w:w="1351" w:type="dxa"/>
            <w:shd w:val="clear" w:color="auto" w:fill="F2F2F2"/>
          </w:tcPr>
          <w:p w14:paraId="7FBC0737" w14:textId="77777777" w:rsidR="00136A5A" w:rsidRPr="00C030BE" w:rsidRDefault="00136A5A" w:rsidP="00136A5A">
            <w:pPr>
              <w:rPr>
                <w:rFonts w:cs="Arial"/>
                <w:sz w:val="16"/>
                <w:szCs w:val="16"/>
              </w:rPr>
            </w:pPr>
            <w:r w:rsidRPr="00C030BE">
              <w:rPr>
                <w:rFonts w:cs="Arial"/>
                <w:sz w:val="16"/>
                <w:szCs w:val="16"/>
              </w:rPr>
              <w:t>2. Minor</w:t>
            </w:r>
          </w:p>
        </w:tc>
        <w:tc>
          <w:tcPr>
            <w:tcW w:w="2813" w:type="dxa"/>
            <w:shd w:val="clear" w:color="auto" w:fill="F2F2F2"/>
          </w:tcPr>
          <w:p w14:paraId="6B6DBF71" w14:textId="77777777" w:rsidR="00136A5A" w:rsidRPr="00C030BE" w:rsidRDefault="00136A5A" w:rsidP="00136A5A">
            <w:pPr>
              <w:rPr>
                <w:rFonts w:cs="Arial"/>
                <w:color w:val="000000"/>
                <w:sz w:val="16"/>
                <w:szCs w:val="16"/>
                <w:lang w:eastAsia="zh-CN"/>
              </w:rPr>
            </w:pPr>
            <w:r w:rsidRPr="00C030BE">
              <w:rPr>
                <w:rFonts w:cs="Arial"/>
                <w:color w:val="000000"/>
                <w:sz w:val="16"/>
                <w:szCs w:val="16"/>
                <w:lang w:eastAsia="zh-CN"/>
              </w:rPr>
              <w:t>Localised short-term impacts to species/habitats of recognised conservation value but not affecting local ecosystem functioning.</w:t>
            </w:r>
          </w:p>
          <w:p w14:paraId="6C5632A2" w14:textId="77777777" w:rsidR="00136A5A" w:rsidRPr="00C030BE" w:rsidRDefault="00136A5A" w:rsidP="00136A5A">
            <w:pPr>
              <w:rPr>
                <w:rFonts w:cs="Arial"/>
                <w:color w:val="000000"/>
                <w:sz w:val="16"/>
                <w:szCs w:val="16"/>
                <w:lang w:eastAsia="zh-CN"/>
              </w:rPr>
            </w:pPr>
            <w:r w:rsidRPr="00C030BE">
              <w:rPr>
                <w:rFonts w:cs="Arial"/>
                <w:color w:val="000000"/>
                <w:sz w:val="16"/>
                <w:szCs w:val="16"/>
                <w:lang w:eastAsia="zh-CN"/>
              </w:rPr>
              <w:t>Remedial, recovery work to land, or water systems over days/weeks.</w:t>
            </w:r>
          </w:p>
          <w:p w14:paraId="41E14FF0" w14:textId="77777777" w:rsidR="00136A5A" w:rsidRPr="00C030BE" w:rsidRDefault="00136A5A" w:rsidP="00136A5A">
            <w:pPr>
              <w:rPr>
                <w:rFonts w:cs="Arial"/>
                <w:sz w:val="16"/>
                <w:szCs w:val="16"/>
              </w:rPr>
            </w:pPr>
            <w:r w:rsidRPr="00C030BE">
              <w:rPr>
                <w:rFonts w:cs="Arial"/>
                <w:color w:val="000000"/>
                <w:sz w:val="16"/>
                <w:szCs w:val="16"/>
                <w:lang w:eastAsia="zh-CN"/>
              </w:rPr>
              <w:t>No significant impacts to third parties.</w:t>
            </w:r>
          </w:p>
        </w:tc>
        <w:tc>
          <w:tcPr>
            <w:tcW w:w="2499" w:type="dxa"/>
            <w:shd w:val="clear" w:color="auto" w:fill="F2F2F2"/>
          </w:tcPr>
          <w:p w14:paraId="7BC470FE" w14:textId="77777777" w:rsidR="00136A5A" w:rsidRPr="00C030BE" w:rsidRDefault="00136A5A" w:rsidP="00136A5A">
            <w:pPr>
              <w:rPr>
                <w:rFonts w:cs="Arial"/>
                <w:snapToGrid w:val="0"/>
                <w:color w:val="000000"/>
                <w:sz w:val="16"/>
                <w:szCs w:val="16"/>
              </w:rPr>
            </w:pPr>
            <w:r w:rsidRPr="00C030BE">
              <w:rPr>
                <w:rFonts w:cs="Arial"/>
                <w:snapToGrid w:val="0"/>
                <w:color w:val="000000"/>
                <w:sz w:val="16"/>
                <w:szCs w:val="16"/>
              </w:rPr>
              <w:t>Some impact on business reputation and/or industry media exposure.</w:t>
            </w:r>
          </w:p>
          <w:p w14:paraId="3A2FB310" w14:textId="77777777" w:rsidR="00136A5A" w:rsidRPr="00C030BE" w:rsidRDefault="00136A5A" w:rsidP="00136A5A">
            <w:pPr>
              <w:rPr>
                <w:rFonts w:cs="Arial"/>
                <w:sz w:val="16"/>
                <w:szCs w:val="16"/>
              </w:rPr>
            </w:pPr>
            <w:r w:rsidRPr="00C030BE">
              <w:rPr>
                <w:rFonts w:cs="Arial"/>
                <w:snapToGrid w:val="0"/>
                <w:color w:val="000000"/>
                <w:sz w:val="16"/>
                <w:szCs w:val="16"/>
              </w:rPr>
              <w:t>Breach of regulations - event reportable to authorities.</w:t>
            </w:r>
          </w:p>
        </w:tc>
        <w:tc>
          <w:tcPr>
            <w:tcW w:w="2409" w:type="dxa"/>
            <w:shd w:val="clear" w:color="auto" w:fill="F2F2F2"/>
          </w:tcPr>
          <w:p w14:paraId="6D8FCC31" w14:textId="77777777" w:rsidR="00C030BE" w:rsidRPr="00491EC8" w:rsidRDefault="00C030BE" w:rsidP="00C030BE">
            <w:pPr>
              <w:spacing w:after="60"/>
              <w:rPr>
                <w:rFonts w:cs="Arial"/>
                <w:snapToGrid w:val="0"/>
                <w:color w:val="000000"/>
                <w:sz w:val="16"/>
                <w:szCs w:val="16"/>
                <w:lang w:eastAsia="en-US"/>
              </w:rPr>
            </w:pPr>
            <w:r w:rsidRPr="00491EC8">
              <w:rPr>
                <w:rFonts w:cs="Arial"/>
                <w:snapToGrid w:val="0"/>
                <w:color w:val="000000"/>
                <w:sz w:val="16"/>
                <w:szCs w:val="16"/>
                <w:lang w:eastAsia="en-US"/>
              </w:rPr>
              <w:t>Minor structural failure/damage/loss</w:t>
            </w:r>
          </w:p>
          <w:p w14:paraId="40995C07" w14:textId="77777777" w:rsidR="00C030BE" w:rsidRDefault="00C030BE" w:rsidP="00C030BE">
            <w:pPr>
              <w:spacing w:after="60"/>
              <w:rPr>
                <w:rFonts w:cs="Arial"/>
                <w:snapToGrid w:val="0"/>
                <w:color w:val="000000"/>
                <w:sz w:val="16"/>
                <w:szCs w:val="16"/>
                <w:lang w:eastAsia="en-US"/>
              </w:rPr>
            </w:pPr>
            <w:r w:rsidRPr="00491EC8">
              <w:rPr>
                <w:rFonts w:cs="Arial"/>
                <w:snapToGrid w:val="0"/>
                <w:color w:val="000000"/>
                <w:sz w:val="16"/>
                <w:szCs w:val="16"/>
                <w:lang w:eastAsia="en-US"/>
              </w:rPr>
              <w:t>Financial loss &gt;$5 m</w:t>
            </w:r>
            <w:r w:rsidRPr="00491EC8" w:rsidDel="00491EC8">
              <w:rPr>
                <w:rFonts w:cs="Arial"/>
                <w:snapToGrid w:val="0"/>
                <w:color w:val="000000"/>
                <w:sz w:val="16"/>
                <w:szCs w:val="16"/>
                <w:lang w:eastAsia="en-US"/>
              </w:rPr>
              <w:t xml:space="preserve"> </w:t>
            </w:r>
            <w:r w:rsidRPr="00491EC8">
              <w:rPr>
                <w:rFonts w:cs="Arial"/>
                <w:snapToGrid w:val="0"/>
                <w:color w:val="000000"/>
                <w:sz w:val="16"/>
                <w:szCs w:val="16"/>
                <w:lang w:eastAsia="en-US"/>
              </w:rPr>
              <w:t>Major breach of regulation with punitive fine</w:t>
            </w:r>
            <w:r>
              <w:rPr>
                <w:rFonts w:cs="Arial"/>
                <w:snapToGrid w:val="0"/>
                <w:color w:val="000000"/>
                <w:sz w:val="16"/>
                <w:szCs w:val="16"/>
                <w:lang w:eastAsia="en-US"/>
              </w:rPr>
              <w:t xml:space="preserve"> </w:t>
            </w:r>
          </w:p>
          <w:p w14:paraId="55AD39B0" w14:textId="566C457E" w:rsidR="00136A5A" w:rsidRPr="00C030BE" w:rsidRDefault="00C030BE" w:rsidP="00C030BE">
            <w:pPr>
              <w:rPr>
                <w:rFonts w:cs="Arial"/>
                <w:snapToGrid w:val="0"/>
                <w:color w:val="000000"/>
                <w:sz w:val="16"/>
                <w:szCs w:val="16"/>
              </w:rPr>
            </w:pPr>
            <w:r w:rsidRPr="00491EC8">
              <w:rPr>
                <w:rFonts w:cs="Arial"/>
                <w:snapToGrid w:val="0"/>
                <w:color w:val="000000"/>
                <w:sz w:val="16"/>
                <w:szCs w:val="16"/>
                <w:lang w:eastAsia="en-US"/>
              </w:rPr>
              <w:t>Involvement of Senior Management</w:t>
            </w:r>
            <w:r w:rsidR="00136A5A" w:rsidRPr="00C030BE">
              <w:rPr>
                <w:rFonts w:cs="Arial"/>
                <w:snapToGrid w:val="0"/>
                <w:color w:val="000000"/>
                <w:sz w:val="16"/>
                <w:szCs w:val="16"/>
              </w:rPr>
              <w:t>.</w:t>
            </w:r>
          </w:p>
        </w:tc>
      </w:tr>
      <w:tr w:rsidR="00FD5486" w:rsidRPr="00C030BE" w14:paraId="47792B62" w14:textId="77777777" w:rsidTr="00136A5A">
        <w:tc>
          <w:tcPr>
            <w:tcW w:w="1351" w:type="dxa"/>
            <w:shd w:val="clear" w:color="auto" w:fill="auto"/>
          </w:tcPr>
          <w:p w14:paraId="7A55F5B2" w14:textId="77777777" w:rsidR="00136A5A" w:rsidRPr="00C030BE" w:rsidRDefault="00136A5A" w:rsidP="00136A5A">
            <w:pPr>
              <w:rPr>
                <w:rFonts w:cs="Arial"/>
                <w:sz w:val="16"/>
                <w:szCs w:val="16"/>
              </w:rPr>
            </w:pPr>
            <w:r w:rsidRPr="00C030BE">
              <w:rPr>
                <w:rFonts w:cs="Arial"/>
                <w:sz w:val="16"/>
                <w:szCs w:val="16"/>
              </w:rPr>
              <w:lastRenderedPageBreak/>
              <w:t>1. Negligible</w:t>
            </w:r>
          </w:p>
        </w:tc>
        <w:tc>
          <w:tcPr>
            <w:tcW w:w="2813" w:type="dxa"/>
            <w:shd w:val="clear" w:color="auto" w:fill="auto"/>
          </w:tcPr>
          <w:p w14:paraId="4EBF9896" w14:textId="77777777" w:rsidR="00136A5A" w:rsidRPr="00C030BE" w:rsidRDefault="00136A5A" w:rsidP="00136A5A">
            <w:pPr>
              <w:rPr>
                <w:rFonts w:cs="Arial"/>
                <w:color w:val="000000"/>
                <w:sz w:val="16"/>
                <w:szCs w:val="16"/>
                <w:lang w:eastAsia="zh-CN"/>
              </w:rPr>
            </w:pPr>
            <w:r w:rsidRPr="00C030BE">
              <w:rPr>
                <w:rFonts w:cs="Arial"/>
                <w:color w:val="000000"/>
                <w:sz w:val="16"/>
                <w:szCs w:val="16"/>
                <w:lang w:eastAsia="zh-CN"/>
              </w:rPr>
              <w:t>Temporary localised impacts or disturbance to plants/animals.</w:t>
            </w:r>
          </w:p>
          <w:p w14:paraId="274D9420" w14:textId="77777777" w:rsidR="00136A5A" w:rsidRPr="00C030BE" w:rsidRDefault="00136A5A" w:rsidP="00136A5A">
            <w:pPr>
              <w:rPr>
                <w:rFonts w:cs="Arial"/>
                <w:sz w:val="16"/>
                <w:szCs w:val="16"/>
              </w:rPr>
            </w:pPr>
            <w:r w:rsidRPr="00C030BE">
              <w:rPr>
                <w:rFonts w:cs="Arial"/>
                <w:color w:val="000000"/>
                <w:sz w:val="16"/>
                <w:szCs w:val="16"/>
                <w:lang w:eastAsia="zh-CN"/>
              </w:rPr>
              <w:t>Nil to negligible remedial/recovery works on land/water systems.</w:t>
            </w:r>
          </w:p>
        </w:tc>
        <w:tc>
          <w:tcPr>
            <w:tcW w:w="2499" w:type="dxa"/>
            <w:shd w:val="clear" w:color="auto" w:fill="auto"/>
          </w:tcPr>
          <w:p w14:paraId="66385D19" w14:textId="77777777" w:rsidR="00136A5A" w:rsidRPr="00C030BE" w:rsidRDefault="00136A5A" w:rsidP="00136A5A">
            <w:pPr>
              <w:rPr>
                <w:rFonts w:cs="Arial"/>
                <w:snapToGrid w:val="0"/>
                <w:color w:val="000000"/>
                <w:sz w:val="16"/>
                <w:szCs w:val="16"/>
              </w:rPr>
            </w:pPr>
            <w:r w:rsidRPr="00C030BE">
              <w:rPr>
                <w:rFonts w:cs="Arial"/>
                <w:snapToGrid w:val="0"/>
                <w:color w:val="000000"/>
                <w:sz w:val="16"/>
                <w:szCs w:val="16"/>
              </w:rPr>
              <w:t>Minimal impact on business reputation.</w:t>
            </w:r>
          </w:p>
          <w:p w14:paraId="1B58813E" w14:textId="77777777" w:rsidR="00136A5A" w:rsidRPr="00C030BE" w:rsidRDefault="00136A5A" w:rsidP="00136A5A">
            <w:pPr>
              <w:rPr>
                <w:rFonts w:cs="Arial"/>
                <w:snapToGrid w:val="0"/>
                <w:color w:val="000000"/>
                <w:sz w:val="16"/>
                <w:szCs w:val="16"/>
              </w:rPr>
            </w:pPr>
            <w:r w:rsidRPr="00C030BE">
              <w:rPr>
                <w:rFonts w:cs="Arial"/>
                <w:snapToGrid w:val="0"/>
                <w:color w:val="000000"/>
                <w:sz w:val="16"/>
                <w:szCs w:val="16"/>
              </w:rPr>
              <w:t>Negligible media involvement.</w:t>
            </w:r>
          </w:p>
          <w:p w14:paraId="2D62F659" w14:textId="77777777" w:rsidR="00136A5A" w:rsidRPr="00C030BE" w:rsidRDefault="00136A5A" w:rsidP="00136A5A">
            <w:pPr>
              <w:rPr>
                <w:rFonts w:cs="Arial"/>
                <w:sz w:val="16"/>
                <w:szCs w:val="16"/>
              </w:rPr>
            </w:pPr>
            <w:r w:rsidRPr="00C030BE">
              <w:rPr>
                <w:rFonts w:cs="Arial"/>
                <w:snapToGrid w:val="0"/>
                <w:color w:val="000000"/>
                <w:sz w:val="16"/>
                <w:szCs w:val="16"/>
              </w:rPr>
              <w:t xml:space="preserve">No regulatory </w:t>
            </w:r>
            <w:r w:rsidRPr="00C030BE">
              <w:rPr>
                <w:rFonts w:cs="Arial"/>
                <w:sz w:val="16"/>
                <w:szCs w:val="16"/>
                <w:lang w:eastAsia="zh-CN"/>
              </w:rPr>
              <w:t>breaches or reporting.</w:t>
            </w:r>
          </w:p>
        </w:tc>
        <w:tc>
          <w:tcPr>
            <w:tcW w:w="2409" w:type="dxa"/>
            <w:shd w:val="clear" w:color="auto" w:fill="auto"/>
          </w:tcPr>
          <w:p w14:paraId="48919178" w14:textId="77777777" w:rsidR="00136A5A" w:rsidRPr="00C030BE" w:rsidRDefault="00136A5A" w:rsidP="00136A5A">
            <w:pPr>
              <w:rPr>
                <w:rFonts w:cs="Arial"/>
                <w:snapToGrid w:val="0"/>
                <w:color w:val="000000"/>
                <w:sz w:val="16"/>
                <w:szCs w:val="16"/>
              </w:rPr>
            </w:pPr>
            <w:r w:rsidRPr="00C030BE">
              <w:rPr>
                <w:rFonts w:cs="Arial"/>
                <w:snapToGrid w:val="0"/>
                <w:color w:val="000000"/>
                <w:sz w:val="16"/>
                <w:szCs w:val="16"/>
              </w:rPr>
              <w:t>Insignificant structural failure/damage/loss.</w:t>
            </w:r>
          </w:p>
          <w:p w14:paraId="138679F8" w14:textId="77777777" w:rsidR="00136A5A" w:rsidRPr="00C030BE" w:rsidRDefault="00136A5A" w:rsidP="00136A5A">
            <w:pPr>
              <w:rPr>
                <w:rFonts w:cs="Arial"/>
                <w:snapToGrid w:val="0"/>
                <w:color w:val="000000"/>
                <w:sz w:val="16"/>
                <w:szCs w:val="16"/>
              </w:rPr>
            </w:pPr>
            <w:r w:rsidRPr="00C030BE">
              <w:rPr>
                <w:rFonts w:cs="Arial"/>
                <w:snapToGrid w:val="0"/>
                <w:color w:val="000000"/>
                <w:sz w:val="16"/>
                <w:szCs w:val="16"/>
              </w:rPr>
              <w:t>Financial loss &lt;$5 m.</w:t>
            </w:r>
          </w:p>
          <w:p w14:paraId="2901DC9D" w14:textId="77777777" w:rsidR="00136A5A" w:rsidRPr="00C030BE" w:rsidRDefault="00136A5A" w:rsidP="00136A5A">
            <w:pPr>
              <w:rPr>
                <w:rFonts w:cs="Arial"/>
                <w:snapToGrid w:val="0"/>
                <w:color w:val="000000"/>
                <w:sz w:val="16"/>
                <w:szCs w:val="16"/>
              </w:rPr>
            </w:pPr>
            <w:r w:rsidRPr="00C030BE">
              <w:rPr>
                <w:rFonts w:cs="Arial"/>
                <w:snapToGrid w:val="0"/>
                <w:color w:val="000000"/>
                <w:sz w:val="16"/>
                <w:szCs w:val="16"/>
              </w:rPr>
              <w:t>Breach of regulation with investigation or report to specialist with possible prosecution and fine.</w:t>
            </w:r>
          </w:p>
        </w:tc>
      </w:tr>
    </w:tbl>
    <w:p w14:paraId="14DD3C54" w14:textId="77777777" w:rsidR="00B66D83" w:rsidRDefault="00B66D83" w:rsidP="00213285">
      <w:pPr>
        <w:pStyle w:val="Caption"/>
        <w:outlineLvl w:val="9"/>
        <w:rPr>
          <w:sz w:val="20"/>
          <w:szCs w:val="20"/>
        </w:rPr>
      </w:pPr>
      <w:bookmarkStart w:id="156" w:name="_Ref473374515"/>
    </w:p>
    <w:p w14:paraId="39684166" w14:textId="0E511F52" w:rsidR="00343B76" w:rsidRPr="00343B76" w:rsidRDefault="00C030BE" w:rsidP="00213285">
      <w:pPr>
        <w:pStyle w:val="Caption"/>
        <w:outlineLvl w:val="9"/>
        <w:rPr>
          <w:rFonts w:cs="Arial"/>
          <w:sz w:val="20"/>
          <w:szCs w:val="20"/>
        </w:rPr>
      </w:pPr>
      <w:bookmarkStart w:id="157" w:name="_Toc511032586"/>
      <w:r w:rsidRPr="00C030BE">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4</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2</w:t>
      </w:r>
      <w:r w:rsidR="00103328">
        <w:rPr>
          <w:sz w:val="20"/>
          <w:szCs w:val="20"/>
        </w:rPr>
        <w:fldChar w:fldCharType="end"/>
      </w:r>
      <w:bookmarkEnd w:id="156"/>
      <w:r w:rsidRPr="00C030BE">
        <w:rPr>
          <w:sz w:val="20"/>
          <w:szCs w:val="20"/>
        </w:rPr>
        <w:t>: Definition of likelihood</w:t>
      </w:r>
      <w:bookmarkEnd w:id="157"/>
    </w:p>
    <w:tbl>
      <w:tblPr>
        <w:tblW w:w="0" w:type="auto"/>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1820"/>
        <w:gridCol w:w="7105"/>
      </w:tblGrid>
      <w:tr w:rsidR="00FD5486" w:rsidRPr="00C030BE" w14:paraId="417223A2" w14:textId="77777777" w:rsidTr="00136A5A">
        <w:trPr>
          <w:tblHeader/>
        </w:trPr>
        <w:tc>
          <w:tcPr>
            <w:tcW w:w="1843" w:type="dxa"/>
            <w:tcBorders>
              <w:right w:val="single" w:sz="6" w:space="0" w:color="F2F2F2"/>
            </w:tcBorders>
            <w:shd w:val="clear" w:color="auto" w:fill="A6A6A6"/>
            <w:tcMar>
              <w:top w:w="142" w:type="dxa"/>
            </w:tcMar>
          </w:tcPr>
          <w:p w14:paraId="300063A0" w14:textId="77777777" w:rsidR="00136A5A" w:rsidRPr="00C030BE" w:rsidRDefault="00136A5A" w:rsidP="00136A5A">
            <w:pPr>
              <w:rPr>
                <w:rFonts w:cs="Arial"/>
                <w:b/>
                <w:sz w:val="16"/>
                <w:szCs w:val="16"/>
              </w:rPr>
            </w:pPr>
            <w:r w:rsidRPr="00C030BE">
              <w:rPr>
                <w:rFonts w:cs="Arial"/>
                <w:b/>
                <w:sz w:val="16"/>
                <w:szCs w:val="16"/>
              </w:rPr>
              <w:t>Likelihood</w:t>
            </w:r>
          </w:p>
        </w:tc>
        <w:tc>
          <w:tcPr>
            <w:tcW w:w="7269" w:type="dxa"/>
            <w:tcBorders>
              <w:left w:val="single" w:sz="6" w:space="0" w:color="F2F2F2"/>
            </w:tcBorders>
            <w:shd w:val="clear" w:color="auto" w:fill="A6A6A6"/>
            <w:tcMar>
              <w:top w:w="142" w:type="dxa"/>
            </w:tcMar>
          </w:tcPr>
          <w:p w14:paraId="19FAB157" w14:textId="77777777" w:rsidR="00136A5A" w:rsidRPr="00C030BE" w:rsidRDefault="00136A5A" w:rsidP="00136A5A">
            <w:pPr>
              <w:rPr>
                <w:rFonts w:cs="Arial"/>
                <w:b/>
                <w:sz w:val="16"/>
                <w:szCs w:val="16"/>
              </w:rPr>
            </w:pPr>
            <w:r w:rsidRPr="00C030BE">
              <w:rPr>
                <w:rFonts w:cs="Arial"/>
                <w:b/>
                <w:sz w:val="16"/>
                <w:szCs w:val="16"/>
              </w:rPr>
              <w:t>Description</w:t>
            </w:r>
          </w:p>
        </w:tc>
      </w:tr>
      <w:tr w:rsidR="00136A5A" w:rsidRPr="00C030BE" w14:paraId="653DAB27" w14:textId="77777777" w:rsidTr="00136A5A">
        <w:tc>
          <w:tcPr>
            <w:tcW w:w="1843" w:type="dxa"/>
            <w:shd w:val="clear" w:color="auto" w:fill="auto"/>
          </w:tcPr>
          <w:p w14:paraId="52CDCD33" w14:textId="77777777" w:rsidR="00136A5A" w:rsidRPr="00C030BE" w:rsidRDefault="00136A5A" w:rsidP="00136A5A">
            <w:pPr>
              <w:rPr>
                <w:rFonts w:cs="Arial"/>
                <w:sz w:val="16"/>
                <w:szCs w:val="16"/>
              </w:rPr>
            </w:pPr>
            <w:r w:rsidRPr="00C030BE">
              <w:rPr>
                <w:rFonts w:cs="Arial"/>
                <w:sz w:val="16"/>
                <w:szCs w:val="16"/>
              </w:rPr>
              <w:t>A.   Almost certain</w:t>
            </w:r>
          </w:p>
        </w:tc>
        <w:tc>
          <w:tcPr>
            <w:tcW w:w="7269" w:type="dxa"/>
            <w:shd w:val="clear" w:color="auto" w:fill="auto"/>
          </w:tcPr>
          <w:p w14:paraId="3C460514" w14:textId="46DFC098" w:rsidR="00136A5A" w:rsidRPr="006A7623" w:rsidRDefault="00136A5A" w:rsidP="00136A5A">
            <w:pPr>
              <w:rPr>
                <w:rFonts w:cs="Arial"/>
                <w:sz w:val="16"/>
                <w:szCs w:val="16"/>
              </w:rPr>
            </w:pPr>
            <w:r w:rsidRPr="006A7623">
              <w:rPr>
                <w:rFonts w:cs="Arial"/>
                <w:sz w:val="16"/>
                <w:szCs w:val="16"/>
              </w:rPr>
              <w:t xml:space="preserve">Common event, expected to occur in most circumstances within </w:t>
            </w:r>
            <w:r w:rsidR="006A7623" w:rsidRPr="006A7623">
              <w:rPr>
                <w:sz w:val="16"/>
                <w:szCs w:val="16"/>
              </w:rPr>
              <w:t>Cooper Energy</w:t>
            </w:r>
            <w:r w:rsidR="006A7623" w:rsidRPr="006A7623">
              <w:rPr>
                <w:rFonts w:cs="Arial"/>
                <w:sz w:val="16"/>
                <w:szCs w:val="16"/>
              </w:rPr>
              <w:t xml:space="preserve"> </w:t>
            </w:r>
            <w:r w:rsidRPr="006A7623">
              <w:rPr>
                <w:rFonts w:cs="Arial"/>
                <w:sz w:val="16"/>
                <w:szCs w:val="16"/>
              </w:rPr>
              <w:t>operations (i.e., several times a year).</w:t>
            </w:r>
          </w:p>
        </w:tc>
      </w:tr>
      <w:tr w:rsidR="00136A5A" w:rsidRPr="00C030BE" w14:paraId="23B408F8" w14:textId="77777777" w:rsidTr="00136A5A">
        <w:tc>
          <w:tcPr>
            <w:tcW w:w="1843" w:type="dxa"/>
            <w:shd w:val="clear" w:color="auto" w:fill="F2F2F2"/>
          </w:tcPr>
          <w:p w14:paraId="09DBDDAC" w14:textId="77777777" w:rsidR="00136A5A" w:rsidRPr="00C030BE" w:rsidRDefault="00136A5A" w:rsidP="00136A5A">
            <w:pPr>
              <w:rPr>
                <w:rFonts w:cs="Arial"/>
                <w:sz w:val="16"/>
                <w:szCs w:val="16"/>
              </w:rPr>
            </w:pPr>
            <w:r w:rsidRPr="00C030BE">
              <w:rPr>
                <w:rFonts w:cs="Arial"/>
                <w:sz w:val="16"/>
                <w:szCs w:val="16"/>
              </w:rPr>
              <w:t>B.   Likely</w:t>
            </w:r>
          </w:p>
        </w:tc>
        <w:tc>
          <w:tcPr>
            <w:tcW w:w="7269" w:type="dxa"/>
            <w:shd w:val="clear" w:color="auto" w:fill="F2F2F2"/>
          </w:tcPr>
          <w:p w14:paraId="52D3D58B" w14:textId="77777777" w:rsidR="00136A5A" w:rsidRPr="006A7623" w:rsidRDefault="00136A5A" w:rsidP="00136A5A">
            <w:pPr>
              <w:rPr>
                <w:rFonts w:cs="Arial"/>
                <w:sz w:val="16"/>
                <w:szCs w:val="16"/>
              </w:rPr>
            </w:pPr>
            <w:r w:rsidRPr="006A7623">
              <w:rPr>
                <w:rFonts w:cs="Arial"/>
                <w:sz w:val="16"/>
                <w:szCs w:val="16"/>
              </w:rPr>
              <w:t>Event likely to occur once or more during a campaign, ongoing operations or equipment design life.</w:t>
            </w:r>
          </w:p>
        </w:tc>
      </w:tr>
      <w:tr w:rsidR="00136A5A" w:rsidRPr="00C030BE" w14:paraId="4838170B" w14:textId="77777777" w:rsidTr="00136A5A">
        <w:tc>
          <w:tcPr>
            <w:tcW w:w="1843" w:type="dxa"/>
            <w:shd w:val="clear" w:color="auto" w:fill="auto"/>
          </w:tcPr>
          <w:p w14:paraId="4CC8D2E8" w14:textId="77777777" w:rsidR="00136A5A" w:rsidRPr="00C030BE" w:rsidRDefault="00136A5A" w:rsidP="00136A5A">
            <w:pPr>
              <w:rPr>
                <w:rFonts w:cs="Arial"/>
                <w:sz w:val="16"/>
                <w:szCs w:val="16"/>
              </w:rPr>
            </w:pPr>
            <w:r w:rsidRPr="00C030BE">
              <w:rPr>
                <w:rFonts w:cs="Arial"/>
                <w:sz w:val="16"/>
                <w:szCs w:val="16"/>
              </w:rPr>
              <w:t>C.   Possible</w:t>
            </w:r>
          </w:p>
        </w:tc>
        <w:tc>
          <w:tcPr>
            <w:tcW w:w="7269" w:type="dxa"/>
            <w:shd w:val="clear" w:color="auto" w:fill="auto"/>
          </w:tcPr>
          <w:p w14:paraId="4F4FECB1" w14:textId="77777777" w:rsidR="00136A5A" w:rsidRPr="006A7623" w:rsidRDefault="00136A5A" w:rsidP="00136A5A">
            <w:pPr>
              <w:rPr>
                <w:rFonts w:cs="Arial"/>
                <w:sz w:val="16"/>
                <w:szCs w:val="16"/>
              </w:rPr>
            </w:pPr>
            <w:r w:rsidRPr="006A7623">
              <w:rPr>
                <w:rFonts w:cs="Arial"/>
                <w:sz w:val="16"/>
                <w:szCs w:val="16"/>
              </w:rPr>
              <w:t>Infrequent event that may occur during a campaign, ongoing operations or equipment design life.</w:t>
            </w:r>
          </w:p>
        </w:tc>
      </w:tr>
      <w:tr w:rsidR="00136A5A" w:rsidRPr="00C030BE" w14:paraId="16A89A85" w14:textId="77777777" w:rsidTr="00136A5A">
        <w:tc>
          <w:tcPr>
            <w:tcW w:w="1843" w:type="dxa"/>
            <w:shd w:val="clear" w:color="auto" w:fill="F2F2F2"/>
          </w:tcPr>
          <w:p w14:paraId="2AD8EB8C" w14:textId="77777777" w:rsidR="00136A5A" w:rsidRPr="00C030BE" w:rsidRDefault="00136A5A" w:rsidP="00136A5A">
            <w:pPr>
              <w:rPr>
                <w:rFonts w:cs="Arial"/>
                <w:sz w:val="16"/>
                <w:szCs w:val="16"/>
              </w:rPr>
            </w:pPr>
            <w:r w:rsidRPr="00C030BE">
              <w:rPr>
                <w:rFonts w:cs="Arial"/>
                <w:sz w:val="16"/>
                <w:szCs w:val="16"/>
              </w:rPr>
              <w:t>D.   Unlikely</w:t>
            </w:r>
          </w:p>
        </w:tc>
        <w:tc>
          <w:tcPr>
            <w:tcW w:w="7269" w:type="dxa"/>
            <w:shd w:val="clear" w:color="auto" w:fill="F2F2F2"/>
          </w:tcPr>
          <w:p w14:paraId="5ED11893" w14:textId="59B2D2D5" w:rsidR="00136A5A" w:rsidRPr="006A7623" w:rsidRDefault="00136A5A" w:rsidP="00136A5A">
            <w:pPr>
              <w:rPr>
                <w:rFonts w:cs="Arial"/>
                <w:sz w:val="16"/>
                <w:szCs w:val="16"/>
              </w:rPr>
            </w:pPr>
            <w:r w:rsidRPr="006A7623">
              <w:rPr>
                <w:rFonts w:cs="Arial"/>
                <w:sz w:val="16"/>
                <w:szCs w:val="16"/>
              </w:rPr>
              <w:t xml:space="preserve">Unlikely event, but could occur at sometime within </w:t>
            </w:r>
            <w:r w:rsidR="006A7623" w:rsidRPr="006A7623">
              <w:rPr>
                <w:sz w:val="16"/>
                <w:szCs w:val="16"/>
              </w:rPr>
              <w:t>Cooper Energy</w:t>
            </w:r>
            <w:r w:rsidRPr="006A7623">
              <w:rPr>
                <w:rFonts w:cs="Arial"/>
                <w:sz w:val="16"/>
                <w:szCs w:val="16"/>
              </w:rPr>
              <w:t xml:space="preserve"> operations (has occurred previously in similar industry).</w:t>
            </w:r>
          </w:p>
        </w:tc>
      </w:tr>
      <w:tr w:rsidR="00136A5A" w:rsidRPr="00C030BE" w14:paraId="6D5BFD41" w14:textId="77777777" w:rsidTr="00136A5A">
        <w:tc>
          <w:tcPr>
            <w:tcW w:w="1843" w:type="dxa"/>
            <w:shd w:val="clear" w:color="auto" w:fill="auto"/>
          </w:tcPr>
          <w:p w14:paraId="5D3C8EFF" w14:textId="77777777" w:rsidR="00136A5A" w:rsidRPr="00C030BE" w:rsidRDefault="00136A5A" w:rsidP="00136A5A">
            <w:pPr>
              <w:rPr>
                <w:rFonts w:cs="Arial"/>
                <w:sz w:val="16"/>
                <w:szCs w:val="16"/>
              </w:rPr>
            </w:pPr>
            <w:r w:rsidRPr="00C030BE">
              <w:rPr>
                <w:rFonts w:cs="Arial"/>
                <w:sz w:val="16"/>
                <w:szCs w:val="16"/>
              </w:rPr>
              <w:t>E.   Remote</w:t>
            </w:r>
          </w:p>
        </w:tc>
        <w:tc>
          <w:tcPr>
            <w:tcW w:w="7269" w:type="dxa"/>
            <w:shd w:val="clear" w:color="auto" w:fill="auto"/>
          </w:tcPr>
          <w:p w14:paraId="7746ACB1" w14:textId="41E1F3AD" w:rsidR="00136A5A" w:rsidRPr="006A7623" w:rsidRDefault="00136A5A" w:rsidP="00C030BE">
            <w:pPr>
              <w:rPr>
                <w:rFonts w:cs="Arial"/>
                <w:sz w:val="16"/>
                <w:szCs w:val="16"/>
              </w:rPr>
            </w:pPr>
            <w:r w:rsidRPr="006A7623">
              <w:rPr>
                <w:rFonts w:cs="Arial"/>
                <w:snapToGrid w:val="0"/>
                <w:color w:val="000000"/>
                <w:sz w:val="16"/>
                <w:szCs w:val="16"/>
              </w:rPr>
              <w:t>Rare event</w:t>
            </w:r>
            <w:r w:rsidR="00C030BE" w:rsidRPr="006A7623">
              <w:rPr>
                <w:rFonts w:cs="Arial"/>
                <w:snapToGrid w:val="0"/>
                <w:color w:val="000000"/>
                <w:sz w:val="16"/>
                <w:szCs w:val="16"/>
              </w:rPr>
              <w:t>.</w:t>
            </w:r>
            <w:r w:rsidRPr="006A7623">
              <w:rPr>
                <w:rFonts w:cs="Arial"/>
                <w:snapToGrid w:val="0"/>
                <w:color w:val="000000"/>
                <w:sz w:val="16"/>
                <w:szCs w:val="16"/>
              </w:rPr>
              <w:t xml:space="preserve"> </w:t>
            </w:r>
            <w:r w:rsidR="00C030BE" w:rsidRPr="006A7623">
              <w:rPr>
                <w:rFonts w:cs="Arial"/>
                <w:snapToGrid w:val="0"/>
                <w:color w:val="000000"/>
                <w:sz w:val="16"/>
                <w:szCs w:val="16"/>
              </w:rPr>
              <w:t>M</w:t>
            </w:r>
            <w:r w:rsidRPr="006A7623">
              <w:rPr>
                <w:rFonts w:cs="Arial"/>
                <w:snapToGrid w:val="0"/>
                <w:color w:val="000000"/>
                <w:sz w:val="16"/>
                <w:szCs w:val="16"/>
              </w:rPr>
              <w:t xml:space="preserve">ay occur in exceptional circumstances of </w:t>
            </w:r>
            <w:r w:rsidR="006A7623" w:rsidRPr="006A7623">
              <w:rPr>
                <w:sz w:val="16"/>
                <w:szCs w:val="16"/>
              </w:rPr>
              <w:t>Cooper Energy</w:t>
            </w:r>
            <w:r w:rsidRPr="006A7623">
              <w:rPr>
                <w:rFonts w:cs="Arial"/>
                <w:snapToGrid w:val="0"/>
                <w:color w:val="000000"/>
                <w:sz w:val="16"/>
                <w:szCs w:val="16"/>
              </w:rPr>
              <w:t xml:space="preserve"> operations (not heard of in recent similar industry history).</w:t>
            </w:r>
          </w:p>
        </w:tc>
      </w:tr>
    </w:tbl>
    <w:p w14:paraId="3A9B5507" w14:textId="77777777" w:rsidR="007B5F01" w:rsidRDefault="007B5F01" w:rsidP="00213285">
      <w:pPr>
        <w:pStyle w:val="BodyText"/>
      </w:pPr>
    </w:p>
    <w:p w14:paraId="5CECACC2" w14:textId="6435DFAA" w:rsidR="00697B57" w:rsidRPr="006A7623" w:rsidRDefault="00C030BE" w:rsidP="00213285">
      <w:pPr>
        <w:pStyle w:val="Caption"/>
        <w:outlineLvl w:val="9"/>
        <w:rPr>
          <w:rFonts w:cs="Arial"/>
          <w:sz w:val="20"/>
          <w:szCs w:val="20"/>
        </w:rPr>
      </w:pPr>
      <w:bookmarkStart w:id="158" w:name="_Ref473374460"/>
      <w:bookmarkStart w:id="159" w:name="_Toc511032587"/>
      <w:r w:rsidRPr="006A7623">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4</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3</w:t>
      </w:r>
      <w:r w:rsidR="00103328">
        <w:rPr>
          <w:sz w:val="20"/>
          <w:szCs w:val="20"/>
        </w:rPr>
        <w:fldChar w:fldCharType="end"/>
      </w:r>
      <w:bookmarkEnd w:id="158"/>
      <w:r w:rsidRPr="006A7623">
        <w:rPr>
          <w:sz w:val="20"/>
          <w:szCs w:val="20"/>
        </w:rPr>
        <w:t xml:space="preserve">: </w:t>
      </w:r>
      <w:r w:rsidR="006A7623" w:rsidRPr="006A7623">
        <w:rPr>
          <w:sz w:val="20"/>
          <w:szCs w:val="20"/>
        </w:rPr>
        <w:t>Cooper Energy</w:t>
      </w:r>
      <w:r w:rsidRPr="006A7623">
        <w:rPr>
          <w:sz w:val="20"/>
          <w:szCs w:val="20"/>
        </w:rPr>
        <w:t xml:space="preserve"> Qualitative Risk Matrix</w:t>
      </w:r>
      <w:bookmarkEnd w:id="159"/>
    </w:p>
    <w:tbl>
      <w:tblPr>
        <w:tblW w:w="9453"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73"/>
        <w:gridCol w:w="1616"/>
        <w:gridCol w:w="1616"/>
        <w:gridCol w:w="1616"/>
        <w:gridCol w:w="1616"/>
        <w:gridCol w:w="1616"/>
      </w:tblGrid>
      <w:tr w:rsidR="00463F30" w:rsidRPr="00B5626C" w14:paraId="6D01BEA6" w14:textId="77777777" w:rsidTr="00A30937">
        <w:trPr>
          <w:trHeight w:val="20"/>
        </w:trPr>
        <w:tc>
          <w:tcPr>
            <w:tcW w:w="1373" w:type="dxa"/>
            <w:vAlign w:val="center"/>
          </w:tcPr>
          <w:p w14:paraId="56638C7F" w14:textId="77777777" w:rsidR="00463F30" w:rsidRPr="003B331F" w:rsidRDefault="00463F30" w:rsidP="00A30937">
            <w:pPr>
              <w:spacing w:before="60" w:after="60"/>
              <w:jc w:val="center"/>
              <w:rPr>
                <w:rFonts w:cs="Arial"/>
                <w:b/>
                <w:snapToGrid w:val="0"/>
                <w:color w:val="FF0000"/>
                <w:sz w:val="20"/>
                <w:szCs w:val="20"/>
              </w:rPr>
            </w:pPr>
            <w:r w:rsidRPr="003B331F">
              <w:rPr>
                <w:rFonts w:cs="Arial"/>
                <w:b/>
                <w:snapToGrid w:val="0"/>
                <w:color w:val="FF0000"/>
                <w:sz w:val="20"/>
                <w:szCs w:val="20"/>
              </w:rPr>
              <w:t>LIKELIHOOD</w:t>
            </w:r>
          </w:p>
        </w:tc>
        <w:tc>
          <w:tcPr>
            <w:tcW w:w="1616" w:type="dxa"/>
            <w:shd w:val="clear" w:color="auto" w:fill="F2F2F2" w:themeFill="background1" w:themeFillShade="F2"/>
            <w:vAlign w:val="center"/>
          </w:tcPr>
          <w:p w14:paraId="4411B8F5" w14:textId="77777777" w:rsidR="00463F30" w:rsidRPr="003B331F" w:rsidRDefault="00463F30" w:rsidP="00A30937">
            <w:pPr>
              <w:spacing w:before="60" w:after="60"/>
              <w:jc w:val="center"/>
              <w:rPr>
                <w:rFonts w:cs="Arial"/>
                <w:b/>
                <w:snapToGrid w:val="0"/>
                <w:color w:val="000000"/>
                <w:sz w:val="20"/>
                <w:szCs w:val="20"/>
              </w:rPr>
            </w:pPr>
            <w:r w:rsidRPr="003B331F">
              <w:rPr>
                <w:rFonts w:cs="Arial"/>
                <w:b/>
                <w:snapToGrid w:val="0"/>
                <w:color w:val="000000"/>
                <w:sz w:val="20"/>
                <w:szCs w:val="20"/>
              </w:rPr>
              <w:t>1</w:t>
            </w:r>
          </w:p>
        </w:tc>
        <w:tc>
          <w:tcPr>
            <w:tcW w:w="1616" w:type="dxa"/>
            <w:shd w:val="clear" w:color="auto" w:fill="F2F2F2" w:themeFill="background1" w:themeFillShade="F2"/>
            <w:vAlign w:val="center"/>
          </w:tcPr>
          <w:p w14:paraId="76F15A27" w14:textId="77777777" w:rsidR="00463F30" w:rsidRPr="003B331F" w:rsidRDefault="00463F30" w:rsidP="00A30937">
            <w:pPr>
              <w:spacing w:before="60" w:after="60"/>
              <w:jc w:val="center"/>
              <w:rPr>
                <w:rFonts w:cs="Arial"/>
                <w:b/>
                <w:snapToGrid w:val="0"/>
                <w:color w:val="000000"/>
                <w:sz w:val="20"/>
                <w:szCs w:val="20"/>
              </w:rPr>
            </w:pPr>
            <w:r w:rsidRPr="003B331F">
              <w:rPr>
                <w:rFonts w:cs="Arial"/>
                <w:b/>
                <w:snapToGrid w:val="0"/>
                <w:color w:val="000000"/>
                <w:sz w:val="20"/>
                <w:szCs w:val="20"/>
              </w:rPr>
              <w:t>2</w:t>
            </w:r>
          </w:p>
        </w:tc>
        <w:tc>
          <w:tcPr>
            <w:tcW w:w="1616" w:type="dxa"/>
            <w:shd w:val="clear" w:color="auto" w:fill="F2F2F2" w:themeFill="background1" w:themeFillShade="F2"/>
            <w:vAlign w:val="center"/>
          </w:tcPr>
          <w:p w14:paraId="241C917E" w14:textId="77777777" w:rsidR="00463F30" w:rsidRPr="003B331F" w:rsidRDefault="00463F30" w:rsidP="00A30937">
            <w:pPr>
              <w:spacing w:before="60" w:after="60"/>
              <w:jc w:val="center"/>
              <w:rPr>
                <w:rFonts w:cs="Arial"/>
                <w:b/>
                <w:snapToGrid w:val="0"/>
                <w:color w:val="000000" w:themeColor="text1"/>
                <w:sz w:val="20"/>
                <w:szCs w:val="20"/>
              </w:rPr>
            </w:pPr>
            <w:r w:rsidRPr="003B331F">
              <w:rPr>
                <w:rFonts w:cs="Arial"/>
                <w:b/>
                <w:snapToGrid w:val="0"/>
                <w:color w:val="000000" w:themeColor="text1"/>
                <w:sz w:val="20"/>
                <w:szCs w:val="20"/>
              </w:rPr>
              <w:t>3</w:t>
            </w:r>
          </w:p>
        </w:tc>
        <w:tc>
          <w:tcPr>
            <w:tcW w:w="1616" w:type="dxa"/>
            <w:shd w:val="clear" w:color="auto" w:fill="F2F2F2" w:themeFill="background1" w:themeFillShade="F2"/>
            <w:vAlign w:val="center"/>
          </w:tcPr>
          <w:p w14:paraId="7706440B" w14:textId="77777777" w:rsidR="00463F30" w:rsidRPr="003B331F" w:rsidRDefault="00463F30" w:rsidP="00A30937">
            <w:pPr>
              <w:spacing w:before="60" w:after="60"/>
              <w:jc w:val="center"/>
              <w:rPr>
                <w:rFonts w:cs="Arial"/>
                <w:b/>
                <w:snapToGrid w:val="0"/>
                <w:color w:val="000000" w:themeColor="text1"/>
                <w:sz w:val="20"/>
                <w:szCs w:val="20"/>
              </w:rPr>
            </w:pPr>
            <w:r w:rsidRPr="003B331F">
              <w:rPr>
                <w:rFonts w:cs="Arial"/>
                <w:b/>
                <w:snapToGrid w:val="0"/>
                <w:color w:val="000000" w:themeColor="text1"/>
                <w:sz w:val="20"/>
                <w:szCs w:val="20"/>
              </w:rPr>
              <w:t>4</w:t>
            </w:r>
          </w:p>
        </w:tc>
        <w:tc>
          <w:tcPr>
            <w:tcW w:w="1616" w:type="dxa"/>
            <w:shd w:val="clear" w:color="auto" w:fill="F2F2F2" w:themeFill="background1" w:themeFillShade="F2"/>
            <w:vAlign w:val="center"/>
          </w:tcPr>
          <w:p w14:paraId="466D5FD1" w14:textId="77777777" w:rsidR="00463F30" w:rsidRPr="003B331F" w:rsidRDefault="00463F30" w:rsidP="00A30937">
            <w:pPr>
              <w:spacing w:before="60" w:after="60"/>
              <w:jc w:val="center"/>
              <w:rPr>
                <w:rFonts w:cs="Arial"/>
                <w:b/>
                <w:snapToGrid w:val="0"/>
                <w:color w:val="000000" w:themeColor="text1"/>
                <w:sz w:val="20"/>
                <w:szCs w:val="20"/>
              </w:rPr>
            </w:pPr>
            <w:r w:rsidRPr="003B331F">
              <w:rPr>
                <w:rFonts w:cs="Arial"/>
                <w:b/>
                <w:snapToGrid w:val="0"/>
                <w:color w:val="000000" w:themeColor="text1"/>
                <w:sz w:val="20"/>
                <w:szCs w:val="20"/>
              </w:rPr>
              <w:t>5</w:t>
            </w:r>
          </w:p>
        </w:tc>
      </w:tr>
      <w:tr w:rsidR="00463F30" w:rsidRPr="00064927" w14:paraId="566A905D" w14:textId="77777777" w:rsidTr="00A30937">
        <w:trPr>
          <w:trHeight w:val="20"/>
        </w:trPr>
        <w:tc>
          <w:tcPr>
            <w:tcW w:w="1373" w:type="dxa"/>
            <w:shd w:val="clear" w:color="auto" w:fill="F2F2F2" w:themeFill="background1" w:themeFillShade="F2"/>
            <w:vAlign w:val="center"/>
          </w:tcPr>
          <w:p w14:paraId="76FBCB74" w14:textId="77777777" w:rsidR="00463F30" w:rsidRPr="003B331F" w:rsidRDefault="00463F30" w:rsidP="00A30937">
            <w:pPr>
              <w:spacing w:before="20" w:after="20"/>
              <w:jc w:val="center"/>
              <w:rPr>
                <w:rFonts w:cs="Arial"/>
                <w:b/>
                <w:snapToGrid w:val="0"/>
                <w:color w:val="000000"/>
                <w:sz w:val="20"/>
                <w:szCs w:val="20"/>
              </w:rPr>
            </w:pPr>
            <w:r w:rsidRPr="003B331F">
              <w:rPr>
                <w:rFonts w:cs="Arial"/>
                <w:b/>
                <w:color w:val="17365D" w:themeColor="text2" w:themeShade="BF"/>
                <w:sz w:val="20"/>
                <w:szCs w:val="20"/>
              </w:rPr>
              <w:t>Almost Certain</w:t>
            </w:r>
          </w:p>
        </w:tc>
        <w:tc>
          <w:tcPr>
            <w:tcW w:w="1616" w:type="dxa"/>
            <w:shd w:val="clear" w:color="auto" w:fill="FFFF00"/>
            <w:vAlign w:val="center"/>
          </w:tcPr>
          <w:p w14:paraId="34B929BC" w14:textId="77777777" w:rsidR="00463F30" w:rsidRPr="003B331F" w:rsidRDefault="00463F30" w:rsidP="00A30937">
            <w:pPr>
              <w:spacing w:before="20" w:after="20"/>
              <w:jc w:val="center"/>
              <w:rPr>
                <w:rFonts w:cs="Arial"/>
                <w:b/>
                <w:snapToGrid w:val="0"/>
                <w:color w:val="000000"/>
                <w:sz w:val="20"/>
                <w:szCs w:val="20"/>
              </w:rPr>
            </w:pPr>
            <w:r w:rsidRPr="003B331F">
              <w:rPr>
                <w:rFonts w:cs="Arial"/>
                <w:b/>
                <w:snapToGrid w:val="0"/>
                <w:color w:val="000000"/>
                <w:sz w:val="20"/>
                <w:szCs w:val="20"/>
              </w:rPr>
              <w:t>M</w:t>
            </w:r>
          </w:p>
        </w:tc>
        <w:tc>
          <w:tcPr>
            <w:tcW w:w="1616" w:type="dxa"/>
            <w:shd w:val="clear" w:color="auto" w:fill="FFFF00"/>
            <w:vAlign w:val="center"/>
          </w:tcPr>
          <w:p w14:paraId="3E82F03B" w14:textId="77777777" w:rsidR="00463F30" w:rsidRPr="003B331F" w:rsidRDefault="00463F30" w:rsidP="00A30937">
            <w:pPr>
              <w:spacing w:before="20" w:after="20"/>
              <w:jc w:val="center"/>
              <w:rPr>
                <w:rFonts w:cs="Arial"/>
                <w:b/>
                <w:snapToGrid w:val="0"/>
                <w:color w:val="000000"/>
                <w:sz w:val="20"/>
                <w:szCs w:val="20"/>
              </w:rPr>
            </w:pPr>
            <w:r w:rsidRPr="003B331F">
              <w:rPr>
                <w:rFonts w:cs="Arial"/>
                <w:b/>
                <w:snapToGrid w:val="0"/>
                <w:color w:val="000000"/>
                <w:sz w:val="20"/>
                <w:szCs w:val="20"/>
              </w:rPr>
              <w:t>M</w:t>
            </w:r>
          </w:p>
        </w:tc>
        <w:tc>
          <w:tcPr>
            <w:tcW w:w="1616" w:type="dxa"/>
            <w:shd w:val="clear" w:color="auto" w:fill="FF0000"/>
            <w:vAlign w:val="center"/>
          </w:tcPr>
          <w:p w14:paraId="4046E698" w14:textId="77777777" w:rsidR="00463F30" w:rsidRPr="003B331F" w:rsidRDefault="00463F30" w:rsidP="00A30937">
            <w:pPr>
              <w:spacing w:before="20" w:after="20"/>
              <w:jc w:val="center"/>
              <w:rPr>
                <w:rFonts w:cs="Arial"/>
                <w:b/>
                <w:snapToGrid w:val="0"/>
                <w:color w:val="FFFFFF" w:themeColor="background1"/>
                <w:sz w:val="20"/>
                <w:szCs w:val="20"/>
              </w:rPr>
            </w:pPr>
            <w:r w:rsidRPr="003B331F">
              <w:rPr>
                <w:rFonts w:cs="Arial"/>
                <w:b/>
                <w:snapToGrid w:val="0"/>
                <w:color w:val="FFFFFF" w:themeColor="background1"/>
                <w:sz w:val="20"/>
                <w:szCs w:val="20"/>
              </w:rPr>
              <w:t>H</w:t>
            </w:r>
          </w:p>
        </w:tc>
        <w:tc>
          <w:tcPr>
            <w:tcW w:w="1616" w:type="dxa"/>
            <w:shd w:val="clear" w:color="auto" w:fill="FF0000"/>
            <w:vAlign w:val="center"/>
          </w:tcPr>
          <w:p w14:paraId="7B0922EB" w14:textId="77777777" w:rsidR="00463F30" w:rsidRPr="003B331F" w:rsidRDefault="00463F30" w:rsidP="00A30937">
            <w:pPr>
              <w:spacing w:before="20" w:after="20"/>
              <w:jc w:val="center"/>
              <w:rPr>
                <w:rFonts w:cs="Arial"/>
                <w:b/>
                <w:snapToGrid w:val="0"/>
                <w:color w:val="FFFFFF" w:themeColor="background1"/>
                <w:sz w:val="20"/>
                <w:szCs w:val="20"/>
              </w:rPr>
            </w:pPr>
            <w:r w:rsidRPr="003B331F">
              <w:rPr>
                <w:rFonts w:cs="Arial"/>
                <w:b/>
                <w:snapToGrid w:val="0"/>
                <w:color w:val="FFFFFF" w:themeColor="background1"/>
                <w:sz w:val="20"/>
                <w:szCs w:val="20"/>
              </w:rPr>
              <w:t>H</w:t>
            </w:r>
          </w:p>
        </w:tc>
        <w:tc>
          <w:tcPr>
            <w:tcW w:w="1616" w:type="dxa"/>
            <w:shd w:val="clear" w:color="auto" w:fill="FF0000"/>
            <w:vAlign w:val="center"/>
          </w:tcPr>
          <w:p w14:paraId="288D7913" w14:textId="77777777" w:rsidR="00463F30" w:rsidRPr="003B331F" w:rsidRDefault="00463F30" w:rsidP="00A30937">
            <w:pPr>
              <w:spacing w:before="20" w:after="20"/>
              <w:jc w:val="center"/>
              <w:rPr>
                <w:rFonts w:cs="Arial"/>
                <w:b/>
                <w:snapToGrid w:val="0"/>
                <w:color w:val="FFFFFF" w:themeColor="background1"/>
                <w:sz w:val="20"/>
                <w:szCs w:val="20"/>
              </w:rPr>
            </w:pPr>
            <w:r w:rsidRPr="003B331F">
              <w:rPr>
                <w:rFonts w:cs="Arial"/>
                <w:b/>
                <w:snapToGrid w:val="0"/>
                <w:color w:val="FFFFFF" w:themeColor="background1"/>
                <w:sz w:val="20"/>
                <w:szCs w:val="20"/>
              </w:rPr>
              <w:t>H</w:t>
            </w:r>
          </w:p>
        </w:tc>
      </w:tr>
      <w:tr w:rsidR="00463F30" w:rsidRPr="00064927" w14:paraId="1A9F3BE0" w14:textId="77777777" w:rsidTr="00A30937">
        <w:trPr>
          <w:trHeight w:val="20"/>
        </w:trPr>
        <w:tc>
          <w:tcPr>
            <w:tcW w:w="1373" w:type="dxa"/>
            <w:shd w:val="clear" w:color="auto" w:fill="F2F2F2" w:themeFill="background1" w:themeFillShade="F2"/>
            <w:vAlign w:val="center"/>
          </w:tcPr>
          <w:p w14:paraId="51311E0B" w14:textId="77777777" w:rsidR="00463F30" w:rsidRPr="003B331F" w:rsidRDefault="00463F30" w:rsidP="00A30937">
            <w:pPr>
              <w:spacing w:before="20" w:after="20"/>
              <w:jc w:val="center"/>
              <w:rPr>
                <w:rFonts w:cs="Arial"/>
                <w:b/>
                <w:snapToGrid w:val="0"/>
                <w:color w:val="000000"/>
                <w:sz w:val="20"/>
                <w:szCs w:val="20"/>
              </w:rPr>
            </w:pPr>
            <w:r w:rsidRPr="003B331F">
              <w:rPr>
                <w:rFonts w:cs="Arial"/>
                <w:b/>
                <w:color w:val="17365D" w:themeColor="text2" w:themeShade="BF"/>
                <w:sz w:val="20"/>
                <w:szCs w:val="20"/>
              </w:rPr>
              <w:t>Likely</w:t>
            </w:r>
          </w:p>
        </w:tc>
        <w:tc>
          <w:tcPr>
            <w:tcW w:w="1616" w:type="dxa"/>
            <w:shd w:val="clear" w:color="auto" w:fill="FFFF00"/>
            <w:vAlign w:val="center"/>
          </w:tcPr>
          <w:p w14:paraId="645A792A" w14:textId="77777777" w:rsidR="00463F30" w:rsidRPr="003B331F" w:rsidRDefault="00463F30" w:rsidP="00A30937">
            <w:pPr>
              <w:spacing w:before="20" w:after="20"/>
              <w:jc w:val="center"/>
              <w:rPr>
                <w:rFonts w:cs="Arial"/>
                <w:b/>
                <w:snapToGrid w:val="0"/>
                <w:color w:val="000000"/>
                <w:sz w:val="20"/>
                <w:szCs w:val="20"/>
              </w:rPr>
            </w:pPr>
            <w:r w:rsidRPr="003B331F">
              <w:rPr>
                <w:rFonts w:cs="Arial"/>
                <w:b/>
                <w:snapToGrid w:val="0"/>
                <w:color w:val="000000"/>
                <w:sz w:val="20"/>
                <w:szCs w:val="20"/>
              </w:rPr>
              <w:t>M</w:t>
            </w:r>
          </w:p>
        </w:tc>
        <w:tc>
          <w:tcPr>
            <w:tcW w:w="1616" w:type="dxa"/>
            <w:shd w:val="clear" w:color="auto" w:fill="FFFF00"/>
            <w:vAlign w:val="center"/>
          </w:tcPr>
          <w:p w14:paraId="7DE7330B" w14:textId="77777777" w:rsidR="00463F30" w:rsidRPr="003B331F" w:rsidRDefault="00463F30" w:rsidP="00A30937">
            <w:pPr>
              <w:spacing w:before="20" w:after="20"/>
              <w:jc w:val="center"/>
              <w:rPr>
                <w:rFonts w:cs="Arial"/>
                <w:b/>
                <w:snapToGrid w:val="0"/>
                <w:color w:val="000000"/>
                <w:sz w:val="20"/>
                <w:szCs w:val="20"/>
              </w:rPr>
            </w:pPr>
            <w:r w:rsidRPr="003B331F">
              <w:rPr>
                <w:rFonts w:cs="Arial"/>
                <w:b/>
                <w:snapToGrid w:val="0"/>
                <w:color w:val="000000"/>
                <w:sz w:val="20"/>
                <w:szCs w:val="20"/>
              </w:rPr>
              <w:t>M</w:t>
            </w:r>
          </w:p>
        </w:tc>
        <w:tc>
          <w:tcPr>
            <w:tcW w:w="1616" w:type="dxa"/>
            <w:shd w:val="clear" w:color="auto" w:fill="FFFF00"/>
            <w:vAlign w:val="center"/>
          </w:tcPr>
          <w:p w14:paraId="299E37B1" w14:textId="77777777" w:rsidR="00463F30" w:rsidRPr="003B331F" w:rsidRDefault="00463F30" w:rsidP="00A30937">
            <w:pPr>
              <w:spacing w:before="20" w:after="20"/>
              <w:jc w:val="center"/>
              <w:rPr>
                <w:rFonts w:cs="Arial"/>
                <w:b/>
                <w:snapToGrid w:val="0"/>
                <w:color w:val="000000"/>
                <w:sz w:val="20"/>
                <w:szCs w:val="20"/>
              </w:rPr>
            </w:pPr>
            <w:r w:rsidRPr="003B331F">
              <w:rPr>
                <w:rFonts w:cs="Arial"/>
                <w:b/>
                <w:snapToGrid w:val="0"/>
                <w:color w:val="000000"/>
                <w:sz w:val="20"/>
                <w:szCs w:val="20"/>
              </w:rPr>
              <w:t>M</w:t>
            </w:r>
          </w:p>
        </w:tc>
        <w:tc>
          <w:tcPr>
            <w:tcW w:w="1616" w:type="dxa"/>
            <w:shd w:val="clear" w:color="auto" w:fill="FF0000"/>
            <w:vAlign w:val="center"/>
          </w:tcPr>
          <w:p w14:paraId="35CB3D2B" w14:textId="77777777" w:rsidR="00463F30" w:rsidRPr="003B331F" w:rsidRDefault="00463F30" w:rsidP="00A30937">
            <w:pPr>
              <w:spacing w:before="20" w:after="20"/>
              <w:jc w:val="center"/>
              <w:rPr>
                <w:rFonts w:cs="Arial"/>
                <w:b/>
                <w:snapToGrid w:val="0"/>
                <w:color w:val="FFFFFF" w:themeColor="background1"/>
                <w:sz w:val="20"/>
                <w:szCs w:val="20"/>
              </w:rPr>
            </w:pPr>
            <w:r w:rsidRPr="003B331F">
              <w:rPr>
                <w:rFonts w:cs="Arial"/>
                <w:b/>
                <w:snapToGrid w:val="0"/>
                <w:color w:val="FFFFFF" w:themeColor="background1"/>
                <w:sz w:val="20"/>
                <w:szCs w:val="20"/>
              </w:rPr>
              <w:t>H</w:t>
            </w:r>
          </w:p>
        </w:tc>
        <w:tc>
          <w:tcPr>
            <w:tcW w:w="1616" w:type="dxa"/>
            <w:shd w:val="clear" w:color="auto" w:fill="FF0000"/>
            <w:vAlign w:val="center"/>
          </w:tcPr>
          <w:p w14:paraId="50F6797B" w14:textId="77777777" w:rsidR="00463F30" w:rsidRPr="003B331F" w:rsidRDefault="00463F30" w:rsidP="00A30937">
            <w:pPr>
              <w:spacing w:before="20" w:after="20"/>
              <w:jc w:val="center"/>
              <w:rPr>
                <w:rFonts w:cs="Arial"/>
                <w:b/>
                <w:snapToGrid w:val="0"/>
                <w:color w:val="FFFFFF" w:themeColor="background1"/>
                <w:sz w:val="20"/>
                <w:szCs w:val="20"/>
              </w:rPr>
            </w:pPr>
            <w:r w:rsidRPr="003B331F">
              <w:rPr>
                <w:rFonts w:cs="Arial"/>
                <w:b/>
                <w:snapToGrid w:val="0"/>
                <w:color w:val="FFFFFF" w:themeColor="background1"/>
                <w:sz w:val="20"/>
                <w:szCs w:val="20"/>
              </w:rPr>
              <w:t>H</w:t>
            </w:r>
          </w:p>
        </w:tc>
      </w:tr>
      <w:tr w:rsidR="00463F30" w:rsidRPr="00064927" w14:paraId="60EA20FB" w14:textId="77777777" w:rsidTr="00A30937">
        <w:trPr>
          <w:trHeight w:val="20"/>
        </w:trPr>
        <w:tc>
          <w:tcPr>
            <w:tcW w:w="1373" w:type="dxa"/>
            <w:shd w:val="clear" w:color="auto" w:fill="F2F2F2" w:themeFill="background1" w:themeFillShade="F2"/>
            <w:vAlign w:val="center"/>
          </w:tcPr>
          <w:p w14:paraId="69C8D232" w14:textId="77777777" w:rsidR="00463F30" w:rsidRPr="003B331F" w:rsidRDefault="00463F30" w:rsidP="00A30937">
            <w:pPr>
              <w:spacing w:before="20" w:after="20"/>
              <w:jc w:val="center"/>
              <w:rPr>
                <w:rFonts w:cs="Arial"/>
                <w:b/>
                <w:snapToGrid w:val="0"/>
                <w:color w:val="000000"/>
                <w:sz w:val="20"/>
                <w:szCs w:val="20"/>
              </w:rPr>
            </w:pPr>
            <w:r w:rsidRPr="003B331F">
              <w:rPr>
                <w:rFonts w:cs="Arial"/>
                <w:b/>
                <w:snapToGrid w:val="0"/>
                <w:color w:val="000000"/>
                <w:sz w:val="20"/>
                <w:szCs w:val="20"/>
              </w:rPr>
              <w:t>Possible</w:t>
            </w:r>
          </w:p>
        </w:tc>
        <w:tc>
          <w:tcPr>
            <w:tcW w:w="1616" w:type="dxa"/>
            <w:shd w:val="clear" w:color="auto" w:fill="33FF00"/>
            <w:vAlign w:val="center"/>
          </w:tcPr>
          <w:p w14:paraId="5834AF7D" w14:textId="77777777" w:rsidR="00463F30" w:rsidRPr="003B331F" w:rsidRDefault="00463F30" w:rsidP="00A30937">
            <w:pPr>
              <w:spacing w:before="20" w:after="20"/>
              <w:jc w:val="center"/>
              <w:rPr>
                <w:rFonts w:cs="Arial"/>
                <w:b/>
                <w:snapToGrid w:val="0"/>
                <w:color w:val="000000"/>
                <w:sz w:val="20"/>
                <w:szCs w:val="20"/>
              </w:rPr>
            </w:pPr>
            <w:r w:rsidRPr="003B331F">
              <w:rPr>
                <w:rFonts w:cs="Arial"/>
                <w:b/>
                <w:snapToGrid w:val="0"/>
                <w:color w:val="000000"/>
                <w:sz w:val="20"/>
                <w:szCs w:val="20"/>
              </w:rPr>
              <w:t>L</w:t>
            </w:r>
          </w:p>
        </w:tc>
        <w:tc>
          <w:tcPr>
            <w:tcW w:w="1616" w:type="dxa"/>
            <w:shd w:val="clear" w:color="auto" w:fill="FFFF00"/>
            <w:vAlign w:val="center"/>
          </w:tcPr>
          <w:p w14:paraId="783D3AC1" w14:textId="77777777" w:rsidR="00463F30" w:rsidRPr="003B331F" w:rsidRDefault="00463F30" w:rsidP="00A30937">
            <w:pPr>
              <w:spacing w:before="20" w:after="20"/>
              <w:jc w:val="center"/>
              <w:rPr>
                <w:rFonts w:cs="Arial"/>
                <w:b/>
                <w:snapToGrid w:val="0"/>
                <w:color w:val="000000"/>
                <w:sz w:val="20"/>
                <w:szCs w:val="20"/>
              </w:rPr>
            </w:pPr>
            <w:r w:rsidRPr="003B331F">
              <w:rPr>
                <w:rFonts w:cs="Arial"/>
                <w:b/>
                <w:snapToGrid w:val="0"/>
                <w:color w:val="000000"/>
                <w:sz w:val="20"/>
                <w:szCs w:val="20"/>
              </w:rPr>
              <w:t>M</w:t>
            </w:r>
          </w:p>
        </w:tc>
        <w:tc>
          <w:tcPr>
            <w:tcW w:w="1616" w:type="dxa"/>
            <w:shd w:val="clear" w:color="auto" w:fill="FFFF00"/>
            <w:vAlign w:val="center"/>
          </w:tcPr>
          <w:p w14:paraId="6003F0FA" w14:textId="77777777" w:rsidR="00463F30" w:rsidRPr="003B331F" w:rsidRDefault="00463F30" w:rsidP="00A30937">
            <w:pPr>
              <w:spacing w:before="20" w:after="20"/>
              <w:jc w:val="center"/>
              <w:rPr>
                <w:rFonts w:cs="Arial"/>
                <w:b/>
                <w:snapToGrid w:val="0"/>
                <w:color w:val="000000"/>
                <w:sz w:val="20"/>
                <w:szCs w:val="20"/>
              </w:rPr>
            </w:pPr>
            <w:r w:rsidRPr="003B331F">
              <w:rPr>
                <w:rFonts w:cs="Arial"/>
                <w:b/>
                <w:snapToGrid w:val="0"/>
                <w:color w:val="000000"/>
                <w:sz w:val="20"/>
                <w:szCs w:val="20"/>
              </w:rPr>
              <w:t>M</w:t>
            </w:r>
          </w:p>
        </w:tc>
        <w:tc>
          <w:tcPr>
            <w:tcW w:w="1616" w:type="dxa"/>
            <w:shd w:val="clear" w:color="auto" w:fill="FF0000"/>
            <w:vAlign w:val="center"/>
          </w:tcPr>
          <w:p w14:paraId="12409232" w14:textId="77777777" w:rsidR="00463F30" w:rsidRPr="003B331F" w:rsidRDefault="00463F30" w:rsidP="00A30937">
            <w:pPr>
              <w:spacing w:before="20" w:after="20"/>
              <w:jc w:val="center"/>
              <w:rPr>
                <w:rFonts w:cs="Arial"/>
                <w:b/>
                <w:snapToGrid w:val="0"/>
                <w:color w:val="000000"/>
                <w:sz w:val="20"/>
                <w:szCs w:val="20"/>
              </w:rPr>
            </w:pPr>
            <w:r w:rsidRPr="009F7B8C">
              <w:rPr>
                <w:rFonts w:cs="Arial"/>
                <w:b/>
                <w:snapToGrid w:val="0"/>
                <w:color w:val="FFFFFF" w:themeColor="background1"/>
                <w:sz w:val="20"/>
                <w:szCs w:val="20"/>
              </w:rPr>
              <w:t>H</w:t>
            </w:r>
          </w:p>
        </w:tc>
        <w:tc>
          <w:tcPr>
            <w:tcW w:w="1616" w:type="dxa"/>
            <w:shd w:val="clear" w:color="auto" w:fill="FF0000"/>
            <w:vAlign w:val="center"/>
          </w:tcPr>
          <w:p w14:paraId="523546CE" w14:textId="77777777" w:rsidR="00463F30" w:rsidRPr="003B331F" w:rsidRDefault="00463F30" w:rsidP="00A30937">
            <w:pPr>
              <w:spacing w:before="20" w:after="20"/>
              <w:jc w:val="center"/>
              <w:rPr>
                <w:rFonts w:cs="Arial"/>
                <w:b/>
                <w:snapToGrid w:val="0"/>
                <w:color w:val="FFFFFF" w:themeColor="background1"/>
                <w:sz w:val="20"/>
                <w:szCs w:val="20"/>
              </w:rPr>
            </w:pPr>
            <w:r w:rsidRPr="003B331F">
              <w:rPr>
                <w:rFonts w:cs="Arial"/>
                <w:b/>
                <w:snapToGrid w:val="0"/>
                <w:color w:val="FFFFFF" w:themeColor="background1"/>
                <w:sz w:val="20"/>
                <w:szCs w:val="20"/>
              </w:rPr>
              <w:t>H</w:t>
            </w:r>
          </w:p>
        </w:tc>
      </w:tr>
      <w:tr w:rsidR="00463F30" w:rsidRPr="00064927" w14:paraId="51ED6671" w14:textId="77777777" w:rsidTr="00A30937">
        <w:trPr>
          <w:trHeight w:val="20"/>
        </w:trPr>
        <w:tc>
          <w:tcPr>
            <w:tcW w:w="1373" w:type="dxa"/>
            <w:shd w:val="clear" w:color="auto" w:fill="F2F2F2" w:themeFill="background1" w:themeFillShade="F2"/>
            <w:vAlign w:val="center"/>
          </w:tcPr>
          <w:p w14:paraId="1100165A" w14:textId="77777777" w:rsidR="00463F30" w:rsidRPr="003B331F" w:rsidRDefault="00463F30" w:rsidP="00A30937">
            <w:pPr>
              <w:spacing w:before="20" w:after="20"/>
              <w:jc w:val="center"/>
              <w:rPr>
                <w:rFonts w:cs="Arial"/>
                <w:b/>
                <w:snapToGrid w:val="0"/>
                <w:color w:val="000000"/>
                <w:sz w:val="20"/>
                <w:szCs w:val="20"/>
              </w:rPr>
            </w:pPr>
            <w:r w:rsidRPr="003B331F">
              <w:rPr>
                <w:rFonts w:cs="Arial"/>
                <w:b/>
                <w:snapToGrid w:val="0"/>
                <w:color w:val="000000"/>
                <w:sz w:val="20"/>
                <w:szCs w:val="20"/>
              </w:rPr>
              <w:t>Unlikely</w:t>
            </w:r>
          </w:p>
        </w:tc>
        <w:tc>
          <w:tcPr>
            <w:tcW w:w="1616" w:type="dxa"/>
            <w:shd w:val="clear" w:color="auto" w:fill="33FF00"/>
            <w:vAlign w:val="center"/>
          </w:tcPr>
          <w:p w14:paraId="4B663404" w14:textId="77777777" w:rsidR="00463F30" w:rsidRPr="003B331F" w:rsidRDefault="00463F30" w:rsidP="00A30937">
            <w:pPr>
              <w:spacing w:before="20" w:after="20"/>
              <w:jc w:val="center"/>
              <w:rPr>
                <w:rFonts w:cs="Arial"/>
                <w:b/>
                <w:snapToGrid w:val="0"/>
                <w:color w:val="000000"/>
                <w:sz w:val="20"/>
                <w:szCs w:val="20"/>
              </w:rPr>
            </w:pPr>
            <w:r w:rsidRPr="003B331F">
              <w:rPr>
                <w:rFonts w:cs="Arial"/>
                <w:b/>
                <w:snapToGrid w:val="0"/>
                <w:color w:val="000000"/>
                <w:sz w:val="20"/>
                <w:szCs w:val="20"/>
              </w:rPr>
              <w:t>L</w:t>
            </w:r>
          </w:p>
        </w:tc>
        <w:tc>
          <w:tcPr>
            <w:tcW w:w="1616" w:type="dxa"/>
            <w:shd w:val="clear" w:color="auto" w:fill="33FF00"/>
            <w:vAlign w:val="center"/>
          </w:tcPr>
          <w:p w14:paraId="2AE65592" w14:textId="77777777" w:rsidR="00463F30" w:rsidRPr="003B331F" w:rsidRDefault="00463F30" w:rsidP="00A30937">
            <w:pPr>
              <w:spacing w:before="20" w:after="20"/>
              <w:jc w:val="center"/>
              <w:rPr>
                <w:rFonts w:cs="Arial"/>
                <w:b/>
                <w:snapToGrid w:val="0"/>
                <w:color w:val="000000"/>
                <w:sz w:val="20"/>
                <w:szCs w:val="20"/>
              </w:rPr>
            </w:pPr>
            <w:r w:rsidRPr="003B331F">
              <w:rPr>
                <w:rFonts w:cs="Arial"/>
                <w:b/>
                <w:snapToGrid w:val="0"/>
                <w:color w:val="000000"/>
                <w:sz w:val="20"/>
                <w:szCs w:val="20"/>
              </w:rPr>
              <w:t>L</w:t>
            </w:r>
          </w:p>
        </w:tc>
        <w:tc>
          <w:tcPr>
            <w:tcW w:w="1616" w:type="dxa"/>
            <w:shd w:val="clear" w:color="auto" w:fill="FFFF00"/>
            <w:vAlign w:val="center"/>
          </w:tcPr>
          <w:p w14:paraId="616D8CE4" w14:textId="77777777" w:rsidR="00463F30" w:rsidRPr="003B331F" w:rsidRDefault="00463F30" w:rsidP="00A30937">
            <w:pPr>
              <w:spacing w:before="20" w:after="20"/>
              <w:jc w:val="center"/>
              <w:rPr>
                <w:rFonts w:cs="Arial"/>
                <w:b/>
                <w:snapToGrid w:val="0"/>
                <w:color w:val="000000"/>
                <w:sz w:val="20"/>
                <w:szCs w:val="20"/>
              </w:rPr>
            </w:pPr>
            <w:r w:rsidRPr="003B331F">
              <w:rPr>
                <w:rFonts w:cs="Arial"/>
                <w:b/>
                <w:snapToGrid w:val="0"/>
                <w:color w:val="000000"/>
                <w:sz w:val="20"/>
                <w:szCs w:val="20"/>
              </w:rPr>
              <w:t>M</w:t>
            </w:r>
          </w:p>
        </w:tc>
        <w:tc>
          <w:tcPr>
            <w:tcW w:w="1616" w:type="dxa"/>
            <w:shd w:val="clear" w:color="auto" w:fill="FFFF00"/>
            <w:vAlign w:val="center"/>
          </w:tcPr>
          <w:p w14:paraId="42C2F247" w14:textId="77777777" w:rsidR="00463F30" w:rsidRPr="003B331F" w:rsidRDefault="00463F30" w:rsidP="00A30937">
            <w:pPr>
              <w:spacing w:before="20" w:after="20"/>
              <w:jc w:val="center"/>
              <w:rPr>
                <w:rFonts w:cs="Arial"/>
                <w:b/>
                <w:snapToGrid w:val="0"/>
                <w:color w:val="000000"/>
                <w:sz w:val="20"/>
                <w:szCs w:val="20"/>
              </w:rPr>
            </w:pPr>
            <w:r w:rsidRPr="003B331F">
              <w:rPr>
                <w:rFonts w:cs="Arial"/>
                <w:b/>
                <w:snapToGrid w:val="0"/>
                <w:color w:val="000000"/>
                <w:sz w:val="20"/>
                <w:szCs w:val="20"/>
              </w:rPr>
              <w:t>M</w:t>
            </w:r>
          </w:p>
        </w:tc>
        <w:tc>
          <w:tcPr>
            <w:tcW w:w="1616" w:type="dxa"/>
            <w:shd w:val="clear" w:color="auto" w:fill="FF0000"/>
            <w:vAlign w:val="center"/>
          </w:tcPr>
          <w:p w14:paraId="4BD55367" w14:textId="77777777" w:rsidR="00463F30" w:rsidRPr="003B331F" w:rsidRDefault="00463F30" w:rsidP="00A30937">
            <w:pPr>
              <w:spacing w:before="20" w:after="20"/>
              <w:jc w:val="center"/>
              <w:rPr>
                <w:rFonts w:cs="Arial"/>
                <w:b/>
                <w:snapToGrid w:val="0"/>
                <w:color w:val="FFFFFF" w:themeColor="background1"/>
                <w:sz w:val="20"/>
                <w:szCs w:val="20"/>
              </w:rPr>
            </w:pPr>
            <w:r w:rsidRPr="003B331F">
              <w:rPr>
                <w:rFonts w:cs="Arial"/>
                <w:b/>
                <w:snapToGrid w:val="0"/>
                <w:color w:val="FFFFFF" w:themeColor="background1"/>
                <w:sz w:val="20"/>
                <w:szCs w:val="20"/>
              </w:rPr>
              <w:t>H</w:t>
            </w:r>
          </w:p>
        </w:tc>
      </w:tr>
      <w:tr w:rsidR="00463F30" w:rsidRPr="00064927" w14:paraId="22095243" w14:textId="77777777" w:rsidTr="00A30937">
        <w:trPr>
          <w:trHeight w:val="20"/>
        </w:trPr>
        <w:tc>
          <w:tcPr>
            <w:tcW w:w="1373" w:type="dxa"/>
            <w:shd w:val="clear" w:color="auto" w:fill="F2F2F2" w:themeFill="background1" w:themeFillShade="F2"/>
            <w:vAlign w:val="center"/>
          </w:tcPr>
          <w:p w14:paraId="1B7FD698" w14:textId="77777777" w:rsidR="00463F30" w:rsidRPr="003B331F" w:rsidRDefault="00463F30" w:rsidP="00A30937">
            <w:pPr>
              <w:spacing w:before="20" w:after="20"/>
              <w:jc w:val="center"/>
              <w:rPr>
                <w:rFonts w:cs="Arial"/>
                <w:b/>
                <w:snapToGrid w:val="0"/>
                <w:color w:val="000000"/>
                <w:sz w:val="20"/>
                <w:szCs w:val="20"/>
              </w:rPr>
            </w:pPr>
            <w:r w:rsidRPr="003B331F">
              <w:rPr>
                <w:rFonts w:cs="Arial"/>
                <w:b/>
                <w:snapToGrid w:val="0"/>
                <w:color w:val="000000"/>
                <w:sz w:val="20"/>
                <w:szCs w:val="20"/>
              </w:rPr>
              <w:t>Remote</w:t>
            </w:r>
          </w:p>
        </w:tc>
        <w:tc>
          <w:tcPr>
            <w:tcW w:w="1616" w:type="dxa"/>
            <w:shd w:val="clear" w:color="auto" w:fill="66FF00"/>
            <w:vAlign w:val="center"/>
          </w:tcPr>
          <w:p w14:paraId="12583B05" w14:textId="77777777" w:rsidR="00463F30" w:rsidRPr="003B331F" w:rsidRDefault="00463F30" w:rsidP="00A30937">
            <w:pPr>
              <w:spacing w:before="20" w:after="20"/>
              <w:jc w:val="center"/>
              <w:rPr>
                <w:rFonts w:cs="Arial"/>
                <w:b/>
                <w:snapToGrid w:val="0"/>
                <w:color w:val="000000"/>
                <w:sz w:val="20"/>
                <w:szCs w:val="20"/>
              </w:rPr>
            </w:pPr>
            <w:r w:rsidRPr="003B331F">
              <w:rPr>
                <w:rFonts w:cs="Arial"/>
                <w:b/>
                <w:snapToGrid w:val="0"/>
                <w:color w:val="000000"/>
                <w:sz w:val="20"/>
                <w:szCs w:val="20"/>
              </w:rPr>
              <w:t>L</w:t>
            </w:r>
          </w:p>
        </w:tc>
        <w:tc>
          <w:tcPr>
            <w:tcW w:w="1616" w:type="dxa"/>
            <w:shd w:val="clear" w:color="auto" w:fill="66FF00"/>
            <w:vAlign w:val="center"/>
          </w:tcPr>
          <w:p w14:paraId="5DDCF253" w14:textId="77777777" w:rsidR="00463F30" w:rsidRPr="003B331F" w:rsidRDefault="00463F30" w:rsidP="00A30937">
            <w:pPr>
              <w:spacing w:before="20" w:after="20"/>
              <w:jc w:val="center"/>
              <w:rPr>
                <w:rFonts w:cs="Arial"/>
                <w:b/>
                <w:snapToGrid w:val="0"/>
                <w:color w:val="000000"/>
                <w:sz w:val="20"/>
                <w:szCs w:val="20"/>
              </w:rPr>
            </w:pPr>
            <w:r w:rsidRPr="003B331F">
              <w:rPr>
                <w:rFonts w:cs="Arial"/>
                <w:b/>
                <w:snapToGrid w:val="0"/>
                <w:color w:val="000000"/>
                <w:sz w:val="20"/>
                <w:szCs w:val="20"/>
              </w:rPr>
              <w:t>L</w:t>
            </w:r>
          </w:p>
        </w:tc>
        <w:tc>
          <w:tcPr>
            <w:tcW w:w="1616" w:type="dxa"/>
            <w:shd w:val="clear" w:color="auto" w:fill="66FF00"/>
            <w:vAlign w:val="center"/>
          </w:tcPr>
          <w:p w14:paraId="00494D3F" w14:textId="77777777" w:rsidR="00463F30" w:rsidRPr="003B331F" w:rsidRDefault="00463F30" w:rsidP="00A30937">
            <w:pPr>
              <w:spacing w:before="20" w:after="20"/>
              <w:jc w:val="center"/>
              <w:rPr>
                <w:rFonts w:cs="Arial"/>
                <w:b/>
                <w:snapToGrid w:val="0"/>
                <w:color w:val="000000"/>
                <w:sz w:val="20"/>
                <w:szCs w:val="20"/>
              </w:rPr>
            </w:pPr>
            <w:r w:rsidRPr="003B331F">
              <w:rPr>
                <w:rFonts w:cs="Arial"/>
                <w:b/>
                <w:snapToGrid w:val="0"/>
                <w:color w:val="000000"/>
                <w:sz w:val="20"/>
                <w:szCs w:val="20"/>
              </w:rPr>
              <w:t>L</w:t>
            </w:r>
          </w:p>
        </w:tc>
        <w:tc>
          <w:tcPr>
            <w:tcW w:w="1616" w:type="dxa"/>
            <w:shd w:val="clear" w:color="auto" w:fill="FFFF00"/>
            <w:vAlign w:val="center"/>
          </w:tcPr>
          <w:p w14:paraId="17251D5E" w14:textId="77777777" w:rsidR="00463F30" w:rsidRPr="003B331F" w:rsidRDefault="00463F30" w:rsidP="00A30937">
            <w:pPr>
              <w:spacing w:before="20" w:after="20"/>
              <w:jc w:val="center"/>
              <w:rPr>
                <w:rFonts w:cs="Arial"/>
                <w:b/>
                <w:snapToGrid w:val="0"/>
                <w:color w:val="000000"/>
                <w:sz w:val="20"/>
                <w:szCs w:val="20"/>
              </w:rPr>
            </w:pPr>
            <w:r w:rsidRPr="003B331F">
              <w:rPr>
                <w:rFonts w:cs="Arial"/>
                <w:b/>
                <w:snapToGrid w:val="0"/>
                <w:color w:val="000000"/>
                <w:sz w:val="20"/>
                <w:szCs w:val="20"/>
              </w:rPr>
              <w:t>M</w:t>
            </w:r>
          </w:p>
        </w:tc>
        <w:tc>
          <w:tcPr>
            <w:tcW w:w="1616" w:type="dxa"/>
            <w:shd w:val="clear" w:color="auto" w:fill="FFFF00"/>
            <w:vAlign w:val="center"/>
          </w:tcPr>
          <w:p w14:paraId="05E44A76" w14:textId="77777777" w:rsidR="00463F30" w:rsidRPr="003B331F" w:rsidRDefault="00463F30" w:rsidP="00A30937">
            <w:pPr>
              <w:spacing w:before="20" w:after="20"/>
              <w:jc w:val="center"/>
              <w:rPr>
                <w:rFonts w:cs="Arial"/>
                <w:b/>
                <w:snapToGrid w:val="0"/>
                <w:color w:val="000000"/>
                <w:sz w:val="20"/>
                <w:szCs w:val="20"/>
              </w:rPr>
            </w:pPr>
            <w:r w:rsidRPr="003B331F">
              <w:rPr>
                <w:rFonts w:cs="Arial"/>
                <w:b/>
                <w:snapToGrid w:val="0"/>
                <w:color w:val="000000"/>
                <w:sz w:val="20"/>
                <w:szCs w:val="20"/>
              </w:rPr>
              <w:t>M</w:t>
            </w:r>
          </w:p>
        </w:tc>
      </w:tr>
    </w:tbl>
    <w:p w14:paraId="3A28F3BF" w14:textId="77777777" w:rsidR="00463F30" w:rsidRDefault="00463F30" w:rsidP="00C030BE">
      <w:pPr>
        <w:pStyle w:val="BodyText13"/>
      </w:pPr>
    </w:p>
    <w:p w14:paraId="6E93F62D" w14:textId="788A72D3" w:rsidR="00697B57" w:rsidRPr="00343B76" w:rsidRDefault="00C030BE" w:rsidP="00213285">
      <w:pPr>
        <w:pStyle w:val="Caption"/>
        <w:outlineLvl w:val="9"/>
        <w:rPr>
          <w:rFonts w:cs="Arial"/>
          <w:sz w:val="20"/>
          <w:szCs w:val="20"/>
        </w:rPr>
      </w:pPr>
      <w:bookmarkStart w:id="160" w:name="_Ref473374466"/>
      <w:bookmarkStart w:id="161" w:name="_Toc511032588"/>
      <w:r w:rsidRPr="00C030BE">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4</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4</w:t>
      </w:r>
      <w:r w:rsidR="00103328">
        <w:rPr>
          <w:sz w:val="20"/>
          <w:szCs w:val="20"/>
        </w:rPr>
        <w:fldChar w:fldCharType="end"/>
      </w:r>
      <w:bookmarkEnd w:id="160"/>
      <w:r w:rsidRPr="00C030BE">
        <w:rPr>
          <w:sz w:val="20"/>
          <w:szCs w:val="20"/>
        </w:rPr>
        <w:t>: ALARP Determination for consequence and risk</w:t>
      </w:r>
      <w:bookmarkEnd w:id="161"/>
      <w:r w:rsidRPr="00C030BE">
        <w:rPr>
          <w:sz w:val="20"/>
          <w:szCs w:val="20"/>
        </w:rPr>
        <w:t xml:space="preserve"> </w:t>
      </w:r>
    </w:p>
    <w:tbl>
      <w:tblPr>
        <w:tblW w:w="8635" w:type="dxa"/>
        <w:tblInd w:w="36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CellMar>
          <w:left w:w="85" w:type="dxa"/>
          <w:right w:w="85" w:type="dxa"/>
        </w:tblCellMar>
        <w:tblLook w:val="04A0" w:firstRow="1" w:lastRow="0" w:firstColumn="1" w:lastColumn="0" w:noHBand="0" w:noVBand="1"/>
      </w:tblPr>
      <w:tblGrid>
        <w:gridCol w:w="1560"/>
        <w:gridCol w:w="1440"/>
        <w:gridCol w:w="1111"/>
        <w:gridCol w:w="1185"/>
        <w:gridCol w:w="993"/>
        <w:gridCol w:w="56"/>
        <w:gridCol w:w="2290"/>
      </w:tblGrid>
      <w:tr w:rsidR="00FD5486" w:rsidRPr="00FD5486" w14:paraId="499C07A2" w14:textId="77777777" w:rsidTr="00E439A6">
        <w:trPr>
          <w:tblHeader/>
        </w:trPr>
        <w:tc>
          <w:tcPr>
            <w:tcW w:w="1560" w:type="dxa"/>
            <w:vMerge w:val="restart"/>
            <w:tcBorders>
              <w:right w:val="single" w:sz="6" w:space="0" w:color="F2F2F2"/>
            </w:tcBorders>
            <w:shd w:val="clear" w:color="auto" w:fill="BFBFBF"/>
            <w:tcMar>
              <w:top w:w="142" w:type="dxa"/>
            </w:tcMar>
            <w:vAlign w:val="center"/>
          </w:tcPr>
          <w:p w14:paraId="780FC1C2" w14:textId="382BFDA5" w:rsidR="00697B57" w:rsidRPr="00FD5486" w:rsidRDefault="00343B76" w:rsidP="00136A5A">
            <w:pPr>
              <w:pStyle w:val="BodyText"/>
              <w:ind w:left="0"/>
              <w:jc w:val="center"/>
              <w:rPr>
                <w:rFonts w:cs="Arial"/>
                <w:b/>
                <w:sz w:val="18"/>
                <w:szCs w:val="18"/>
              </w:rPr>
            </w:pPr>
            <w:r>
              <w:rPr>
                <w:rFonts w:cs="Arial"/>
                <w:b/>
                <w:sz w:val="18"/>
                <w:szCs w:val="18"/>
              </w:rPr>
              <w:t>Impact</w:t>
            </w:r>
          </w:p>
        </w:tc>
        <w:tc>
          <w:tcPr>
            <w:tcW w:w="1440" w:type="dxa"/>
            <w:tcBorders>
              <w:left w:val="single" w:sz="6" w:space="0" w:color="F2F2F2"/>
              <w:right w:val="single" w:sz="6" w:space="0" w:color="F2F2F2"/>
            </w:tcBorders>
            <w:shd w:val="clear" w:color="auto" w:fill="C2D69B"/>
            <w:tcMar>
              <w:top w:w="142" w:type="dxa"/>
            </w:tcMar>
          </w:tcPr>
          <w:p w14:paraId="0F89209F" w14:textId="77777777" w:rsidR="00697B57" w:rsidRPr="00FD5486" w:rsidRDefault="00697B57" w:rsidP="00FD5486">
            <w:pPr>
              <w:pStyle w:val="BodyText"/>
              <w:spacing w:after="60"/>
              <w:ind w:left="0"/>
              <w:jc w:val="center"/>
              <w:rPr>
                <w:rFonts w:cs="Arial"/>
                <w:sz w:val="18"/>
                <w:szCs w:val="18"/>
              </w:rPr>
            </w:pPr>
            <w:r w:rsidRPr="00FD5486">
              <w:rPr>
                <w:rFonts w:cs="Arial"/>
                <w:sz w:val="18"/>
                <w:szCs w:val="18"/>
              </w:rPr>
              <w:t>Negligible</w:t>
            </w:r>
          </w:p>
        </w:tc>
        <w:tc>
          <w:tcPr>
            <w:tcW w:w="1111" w:type="dxa"/>
            <w:tcBorders>
              <w:left w:val="single" w:sz="6" w:space="0" w:color="F2F2F2"/>
              <w:right w:val="single" w:sz="6" w:space="0" w:color="F2F2F2"/>
            </w:tcBorders>
            <w:shd w:val="clear" w:color="auto" w:fill="FFC000"/>
            <w:tcMar>
              <w:top w:w="142" w:type="dxa"/>
            </w:tcMar>
          </w:tcPr>
          <w:p w14:paraId="1AB53208" w14:textId="77777777" w:rsidR="00697B57" w:rsidRPr="00FD5486" w:rsidRDefault="00697B57" w:rsidP="00FD5486">
            <w:pPr>
              <w:pStyle w:val="BodyText"/>
              <w:spacing w:after="60"/>
              <w:ind w:left="0"/>
              <w:jc w:val="center"/>
              <w:rPr>
                <w:rFonts w:cs="Arial"/>
                <w:sz w:val="18"/>
                <w:szCs w:val="18"/>
              </w:rPr>
            </w:pPr>
            <w:r w:rsidRPr="00FD5486">
              <w:rPr>
                <w:rFonts w:cs="Arial"/>
                <w:sz w:val="18"/>
                <w:szCs w:val="18"/>
              </w:rPr>
              <w:t>Minor</w:t>
            </w:r>
          </w:p>
        </w:tc>
        <w:tc>
          <w:tcPr>
            <w:tcW w:w="1185" w:type="dxa"/>
            <w:tcBorders>
              <w:left w:val="single" w:sz="6" w:space="0" w:color="F2F2F2"/>
              <w:right w:val="single" w:sz="6" w:space="0" w:color="F2F2F2"/>
            </w:tcBorders>
            <w:shd w:val="clear" w:color="auto" w:fill="FFC000"/>
            <w:tcMar>
              <w:top w:w="142" w:type="dxa"/>
            </w:tcMar>
          </w:tcPr>
          <w:p w14:paraId="344D0E36" w14:textId="77777777" w:rsidR="00697B57" w:rsidRPr="00FD5486" w:rsidRDefault="00697B57" w:rsidP="00FD5486">
            <w:pPr>
              <w:pStyle w:val="BodyText"/>
              <w:spacing w:after="60"/>
              <w:ind w:left="0"/>
              <w:jc w:val="center"/>
              <w:rPr>
                <w:rFonts w:cs="Arial"/>
                <w:sz w:val="18"/>
                <w:szCs w:val="18"/>
              </w:rPr>
            </w:pPr>
            <w:r w:rsidRPr="00FD5486">
              <w:rPr>
                <w:rFonts w:cs="Arial"/>
                <w:sz w:val="18"/>
                <w:szCs w:val="18"/>
              </w:rPr>
              <w:t>Significant</w:t>
            </w:r>
          </w:p>
        </w:tc>
        <w:tc>
          <w:tcPr>
            <w:tcW w:w="1049" w:type="dxa"/>
            <w:gridSpan w:val="2"/>
            <w:tcBorders>
              <w:left w:val="single" w:sz="6" w:space="0" w:color="F2F2F2"/>
              <w:right w:val="single" w:sz="6" w:space="0" w:color="F2F2F2"/>
            </w:tcBorders>
            <w:shd w:val="clear" w:color="auto" w:fill="FFC000"/>
            <w:tcMar>
              <w:top w:w="142" w:type="dxa"/>
            </w:tcMar>
          </w:tcPr>
          <w:p w14:paraId="0B26F507" w14:textId="77777777" w:rsidR="00697B57" w:rsidRPr="00FD5486" w:rsidRDefault="00697B57" w:rsidP="00FD5486">
            <w:pPr>
              <w:pStyle w:val="BodyText"/>
              <w:spacing w:after="60"/>
              <w:ind w:left="0"/>
              <w:jc w:val="center"/>
              <w:rPr>
                <w:rFonts w:cs="Arial"/>
                <w:sz w:val="18"/>
                <w:szCs w:val="18"/>
              </w:rPr>
            </w:pPr>
            <w:r w:rsidRPr="00FD5486">
              <w:rPr>
                <w:rFonts w:cs="Arial"/>
                <w:sz w:val="18"/>
                <w:szCs w:val="18"/>
              </w:rPr>
              <w:t>Major</w:t>
            </w:r>
          </w:p>
        </w:tc>
        <w:tc>
          <w:tcPr>
            <w:tcW w:w="2290" w:type="dxa"/>
            <w:tcBorders>
              <w:left w:val="single" w:sz="6" w:space="0" w:color="F2F2F2"/>
            </w:tcBorders>
            <w:shd w:val="clear" w:color="auto" w:fill="FF0000"/>
            <w:tcMar>
              <w:top w:w="142" w:type="dxa"/>
            </w:tcMar>
          </w:tcPr>
          <w:p w14:paraId="7092C4FD" w14:textId="77777777" w:rsidR="00697B57" w:rsidRPr="00FD5486" w:rsidRDefault="00697B57" w:rsidP="00FD5486">
            <w:pPr>
              <w:pStyle w:val="BodyText"/>
              <w:spacing w:after="60"/>
              <w:ind w:left="0"/>
              <w:jc w:val="center"/>
              <w:rPr>
                <w:rFonts w:cs="Arial"/>
                <w:color w:val="FFFFFF"/>
                <w:sz w:val="18"/>
                <w:szCs w:val="18"/>
              </w:rPr>
            </w:pPr>
            <w:r w:rsidRPr="00FD5486">
              <w:rPr>
                <w:rFonts w:cs="Arial"/>
                <w:color w:val="FFFFFF"/>
                <w:sz w:val="18"/>
                <w:szCs w:val="18"/>
              </w:rPr>
              <w:t>Critical</w:t>
            </w:r>
          </w:p>
        </w:tc>
      </w:tr>
      <w:tr w:rsidR="00FD5486" w:rsidRPr="00FD5486" w14:paraId="2FF409AA" w14:textId="77777777" w:rsidTr="002C2368">
        <w:tc>
          <w:tcPr>
            <w:tcW w:w="1560" w:type="dxa"/>
            <w:vMerge/>
            <w:shd w:val="clear" w:color="auto" w:fill="BFBFBF"/>
            <w:vAlign w:val="center"/>
          </w:tcPr>
          <w:p w14:paraId="01DDB715" w14:textId="77777777" w:rsidR="00697B57" w:rsidRPr="00FD5486" w:rsidRDefault="00697B57" w:rsidP="00136A5A">
            <w:pPr>
              <w:pStyle w:val="BodyText"/>
              <w:ind w:left="0"/>
              <w:jc w:val="center"/>
              <w:rPr>
                <w:rFonts w:cs="Arial"/>
                <w:b/>
                <w:sz w:val="18"/>
                <w:szCs w:val="18"/>
              </w:rPr>
            </w:pPr>
          </w:p>
        </w:tc>
        <w:tc>
          <w:tcPr>
            <w:tcW w:w="1440" w:type="dxa"/>
            <w:shd w:val="clear" w:color="auto" w:fill="auto"/>
            <w:vAlign w:val="center"/>
          </w:tcPr>
          <w:p w14:paraId="31C56351" w14:textId="77777777" w:rsidR="00697B57" w:rsidRPr="00FD5486" w:rsidRDefault="00697B57" w:rsidP="00136A5A">
            <w:pPr>
              <w:pStyle w:val="BodyText"/>
              <w:ind w:left="0"/>
              <w:jc w:val="center"/>
              <w:rPr>
                <w:rFonts w:cs="Arial"/>
                <w:sz w:val="18"/>
                <w:szCs w:val="18"/>
              </w:rPr>
            </w:pPr>
            <w:r w:rsidRPr="00FD5486">
              <w:rPr>
                <w:rFonts w:cs="Arial"/>
                <w:sz w:val="18"/>
                <w:szCs w:val="18"/>
              </w:rPr>
              <w:t>Broadly acceptable</w:t>
            </w:r>
          </w:p>
        </w:tc>
        <w:tc>
          <w:tcPr>
            <w:tcW w:w="3345" w:type="dxa"/>
            <w:gridSpan w:val="4"/>
            <w:shd w:val="clear" w:color="auto" w:fill="auto"/>
            <w:vAlign w:val="center"/>
          </w:tcPr>
          <w:p w14:paraId="7C7FE73A" w14:textId="77777777" w:rsidR="00697B57" w:rsidRPr="00FD5486" w:rsidRDefault="00697B57" w:rsidP="00136A5A">
            <w:pPr>
              <w:pStyle w:val="BodyText"/>
              <w:ind w:left="0"/>
              <w:jc w:val="center"/>
              <w:rPr>
                <w:rFonts w:cs="Arial"/>
                <w:sz w:val="18"/>
                <w:szCs w:val="18"/>
              </w:rPr>
            </w:pPr>
            <w:r w:rsidRPr="00FD5486">
              <w:rPr>
                <w:rFonts w:cs="Arial"/>
                <w:sz w:val="18"/>
                <w:szCs w:val="18"/>
              </w:rPr>
              <w:t>Tolerable if ALARP</w:t>
            </w:r>
          </w:p>
        </w:tc>
        <w:tc>
          <w:tcPr>
            <w:tcW w:w="2290" w:type="dxa"/>
            <w:shd w:val="clear" w:color="auto" w:fill="auto"/>
            <w:vAlign w:val="center"/>
          </w:tcPr>
          <w:p w14:paraId="51D693E1" w14:textId="77777777" w:rsidR="00697B57" w:rsidRPr="00FD5486" w:rsidRDefault="00697B57" w:rsidP="00136A5A">
            <w:pPr>
              <w:pStyle w:val="BodyText"/>
              <w:ind w:left="0"/>
              <w:jc w:val="center"/>
              <w:rPr>
                <w:rFonts w:cs="Arial"/>
                <w:sz w:val="18"/>
                <w:szCs w:val="18"/>
              </w:rPr>
            </w:pPr>
            <w:r w:rsidRPr="00FD5486">
              <w:rPr>
                <w:rFonts w:cs="Arial"/>
                <w:sz w:val="18"/>
                <w:szCs w:val="18"/>
              </w:rPr>
              <w:t>Intolerable</w:t>
            </w:r>
          </w:p>
        </w:tc>
      </w:tr>
      <w:tr w:rsidR="00DD7B68" w:rsidRPr="00FD5486" w14:paraId="47FDB1EA" w14:textId="77777777" w:rsidTr="00E439A6">
        <w:trPr>
          <w:trHeight w:val="254"/>
        </w:trPr>
        <w:tc>
          <w:tcPr>
            <w:tcW w:w="1560" w:type="dxa"/>
            <w:vMerge w:val="restart"/>
            <w:shd w:val="clear" w:color="auto" w:fill="BFBFBF"/>
            <w:vAlign w:val="center"/>
          </w:tcPr>
          <w:p w14:paraId="402379F4" w14:textId="5FB43BD5" w:rsidR="00DD7B68" w:rsidRPr="00FD5486" w:rsidRDefault="00DD7B68" w:rsidP="00DD7B68">
            <w:pPr>
              <w:pStyle w:val="BodyText"/>
              <w:ind w:left="0"/>
              <w:jc w:val="center"/>
              <w:rPr>
                <w:rFonts w:cs="Arial"/>
                <w:b/>
                <w:sz w:val="18"/>
                <w:szCs w:val="18"/>
              </w:rPr>
            </w:pPr>
            <w:r>
              <w:rPr>
                <w:rFonts w:cs="Arial"/>
                <w:b/>
                <w:sz w:val="18"/>
                <w:szCs w:val="18"/>
              </w:rPr>
              <w:t>Risk</w:t>
            </w:r>
          </w:p>
        </w:tc>
        <w:tc>
          <w:tcPr>
            <w:tcW w:w="1440" w:type="dxa"/>
            <w:shd w:val="clear" w:color="auto" w:fill="C2D69B"/>
            <w:vAlign w:val="center"/>
          </w:tcPr>
          <w:p w14:paraId="2C0A4C26" w14:textId="77777777" w:rsidR="00DD7B68" w:rsidRPr="00FD5486" w:rsidRDefault="00DD7B68" w:rsidP="00DD7B68">
            <w:pPr>
              <w:pStyle w:val="BodyText"/>
              <w:spacing w:before="60" w:after="60"/>
              <w:ind w:left="0"/>
              <w:jc w:val="center"/>
              <w:rPr>
                <w:rFonts w:cs="Arial"/>
                <w:sz w:val="18"/>
                <w:szCs w:val="18"/>
              </w:rPr>
            </w:pPr>
            <w:r w:rsidRPr="00FD5486">
              <w:rPr>
                <w:rFonts w:cs="Arial"/>
                <w:sz w:val="18"/>
                <w:szCs w:val="18"/>
              </w:rPr>
              <w:t>Low</w:t>
            </w:r>
          </w:p>
        </w:tc>
        <w:tc>
          <w:tcPr>
            <w:tcW w:w="3289" w:type="dxa"/>
            <w:gridSpan w:val="3"/>
            <w:shd w:val="clear" w:color="auto" w:fill="FFC000"/>
            <w:vAlign w:val="center"/>
          </w:tcPr>
          <w:p w14:paraId="558D8FC6" w14:textId="7C6FAEEA" w:rsidR="00DD7B68" w:rsidRPr="00FD5486" w:rsidRDefault="00DD7B68" w:rsidP="00E439A6">
            <w:pPr>
              <w:pStyle w:val="BodyText"/>
              <w:ind w:left="0"/>
              <w:jc w:val="center"/>
              <w:rPr>
                <w:rFonts w:cs="Arial"/>
                <w:sz w:val="18"/>
                <w:szCs w:val="18"/>
              </w:rPr>
            </w:pPr>
            <w:r w:rsidRPr="00FD5486">
              <w:rPr>
                <w:rFonts w:cs="Arial"/>
                <w:sz w:val="18"/>
                <w:szCs w:val="18"/>
              </w:rPr>
              <w:t>Medium</w:t>
            </w:r>
          </w:p>
        </w:tc>
        <w:tc>
          <w:tcPr>
            <w:tcW w:w="2346" w:type="dxa"/>
            <w:gridSpan w:val="2"/>
            <w:shd w:val="clear" w:color="auto" w:fill="FF0000"/>
            <w:vAlign w:val="center"/>
          </w:tcPr>
          <w:p w14:paraId="70715CB0" w14:textId="091000C2" w:rsidR="00DD7B68" w:rsidRPr="00FD5486" w:rsidRDefault="00DD7B68" w:rsidP="00E439A6">
            <w:pPr>
              <w:pStyle w:val="BodyText"/>
              <w:ind w:left="0"/>
              <w:jc w:val="center"/>
              <w:rPr>
                <w:rFonts w:cs="Arial"/>
                <w:sz w:val="18"/>
                <w:szCs w:val="18"/>
              </w:rPr>
            </w:pPr>
            <w:r w:rsidRPr="00FD5486">
              <w:rPr>
                <w:rFonts w:cs="Arial"/>
                <w:color w:val="FFFFFF"/>
                <w:sz w:val="18"/>
                <w:szCs w:val="18"/>
              </w:rPr>
              <w:t>High</w:t>
            </w:r>
          </w:p>
        </w:tc>
      </w:tr>
      <w:tr w:rsidR="00DD7B68" w:rsidRPr="00FD5486" w14:paraId="187B2EA7" w14:textId="77777777" w:rsidTr="00DD7B68">
        <w:tc>
          <w:tcPr>
            <w:tcW w:w="1560" w:type="dxa"/>
            <w:vMerge/>
            <w:shd w:val="clear" w:color="auto" w:fill="BFBFBF"/>
          </w:tcPr>
          <w:p w14:paraId="6A9F4016" w14:textId="77777777" w:rsidR="00DD7B68" w:rsidRPr="00FD5486" w:rsidRDefault="00DD7B68" w:rsidP="00DD7B68">
            <w:pPr>
              <w:pStyle w:val="BodyText"/>
              <w:ind w:left="0"/>
              <w:rPr>
                <w:rFonts w:cs="Arial"/>
                <w:sz w:val="18"/>
                <w:szCs w:val="18"/>
              </w:rPr>
            </w:pPr>
          </w:p>
        </w:tc>
        <w:tc>
          <w:tcPr>
            <w:tcW w:w="1440" w:type="dxa"/>
            <w:shd w:val="clear" w:color="auto" w:fill="auto"/>
            <w:vAlign w:val="center"/>
          </w:tcPr>
          <w:p w14:paraId="7A6A8346" w14:textId="77777777" w:rsidR="00DD7B68" w:rsidRPr="00FD5486" w:rsidRDefault="00DD7B68" w:rsidP="00DD7B68">
            <w:pPr>
              <w:pStyle w:val="BodyText"/>
              <w:ind w:left="0"/>
              <w:jc w:val="center"/>
              <w:rPr>
                <w:rFonts w:cs="Arial"/>
                <w:sz w:val="18"/>
                <w:szCs w:val="18"/>
              </w:rPr>
            </w:pPr>
            <w:r w:rsidRPr="00FD5486">
              <w:rPr>
                <w:rFonts w:cs="Arial"/>
                <w:sz w:val="18"/>
                <w:szCs w:val="18"/>
              </w:rPr>
              <w:t>Broadly acceptable</w:t>
            </w:r>
          </w:p>
        </w:tc>
        <w:tc>
          <w:tcPr>
            <w:tcW w:w="3289" w:type="dxa"/>
            <w:gridSpan w:val="3"/>
            <w:shd w:val="clear" w:color="auto" w:fill="auto"/>
            <w:vAlign w:val="center"/>
          </w:tcPr>
          <w:p w14:paraId="633B1B39" w14:textId="77777777" w:rsidR="00DD7B68" w:rsidRPr="00FD5486" w:rsidRDefault="00DD7B68" w:rsidP="00DD7B68">
            <w:pPr>
              <w:pStyle w:val="BodyText"/>
              <w:ind w:left="0"/>
              <w:jc w:val="center"/>
              <w:rPr>
                <w:rFonts w:cs="Arial"/>
                <w:sz w:val="18"/>
                <w:szCs w:val="18"/>
              </w:rPr>
            </w:pPr>
            <w:r w:rsidRPr="00FD5486">
              <w:rPr>
                <w:rFonts w:cs="Arial"/>
                <w:sz w:val="18"/>
                <w:szCs w:val="18"/>
              </w:rPr>
              <w:t>Tolerable if ALARP</w:t>
            </w:r>
          </w:p>
        </w:tc>
        <w:tc>
          <w:tcPr>
            <w:tcW w:w="2346" w:type="dxa"/>
            <w:gridSpan w:val="2"/>
            <w:shd w:val="clear" w:color="auto" w:fill="auto"/>
            <w:vAlign w:val="center"/>
          </w:tcPr>
          <w:p w14:paraId="5488A051" w14:textId="1F10F571" w:rsidR="00DD7B68" w:rsidRPr="00FD5486" w:rsidRDefault="00DD7B68" w:rsidP="00DD7B68">
            <w:pPr>
              <w:pStyle w:val="BodyText"/>
              <w:ind w:left="0"/>
              <w:rPr>
                <w:rFonts w:cs="Arial"/>
                <w:sz w:val="18"/>
                <w:szCs w:val="18"/>
              </w:rPr>
            </w:pPr>
            <w:r w:rsidRPr="00FD5486">
              <w:rPr>
                <w:rFonts w:cs="Arial"/>
                <w:sz w:val="18"/>
                <w:szCs w:val="18"/>
              </w:rPr>
              <w:t>Intolerable</w:t>
            </w:r>
          </w:p>
        </w:tc>
      </w:tr>
    </w:tbl>
    <w:p w14:paraId="6E193D38" w14:textId="77777777" w:rsidR="004C017B" w:rsidRDefault="004C017B" w:rsidP="00213285">
      <w:pPr>
        <w:pStyle w:val="BodyText"/>
      </w:pPr>
    </w:p>
    <w:p w14:paraId="0CA5B1E7" w14:textId="66B361CD" w:rsidR="00697B57" w:rsidRPr="00343B76" w:rsidRDefault="00C030BE" w:rsidP="00213285">
      <w:pPr>
        <w:pStyle w:val="Caption"/>
        <w:outlineLvl w:val="9"/>
        <w:rPr>
          <w:rFonts w:cs="Arial"/>
          <w:sz w:val="20"/>
          <w:szCs w:val="20"/>
        </w:rPr>
      </w:pPr>
      <w:bookmarkStart w:id="162" w:name="_Ref473374499"/>
      <w:bookmarkStart w:id="163" w:name="_Toc511032589"/>
      <w:r w:rsidRPr="00C030BE">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4</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5</w:t>
      </w:r>
      <w:r w:rsidR="00103328">
        <w:rPr>
          <w:sz w:val="20"/>
          <w:szCs w:val="20"/>
        </w:rPr>
        <w:fldChar w:fldCharType="end"/>
      </w:r>
      <w:bookmarkEnd w:id="162"/>
      <w:r w:rsidRPr="00C030BE">
        <w:rPr>
          <w:sz w:val="20"/>
          <w:szCs w:val="20"/>
        </w:rPr>
        <w:t>: Management response to impact and risk determination</w:t>
      </w:r>
      <w:bookmarkEnd w:id="163"/>
    </w:p>
    <w:tbl>
      <w:tblPr>
        <w:tblW w:w="9072" w:type="dxa"/>
        <w:tblInd w:w="1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418"/>
        <w:gridCol w:w="7654"/>
      </w:tblGrid>
      <w:tr w:rsidR="00F05B04" w:rsidRPr="00C030BE" w14:paraId="35B89F41" w14:textId="77777777" w:rsidTr="002C2368">
        <w:tc>
          <w:tcPr>
            <w:tcW w:w="1418" w:type="dxa"/>
            <w:shd w:val="clear" w:color="auto" w:fill="BFBFBF"/>
          </w:tcPr>
          <w:p w14:paraId="4BA69CF8" w14:textId="77777777" w:rsidR="00697B57" w:rsidRPr="00C030BE" w:rsidRDefault="00697B57" w:rsidP="00697B57">
            <w:pPr>
              <w:spacing w:before="120"/>
              <w:jc w:val="center"/>
              <w:rPr>
                <w:rFonts w:cs="Arial"/>
                <w:b/>
                <w:sz w:val="16"/>
                <w:szCs w:val="16"/>
              </w:rPr>
            </w:pPr>
            <w:r w:rsidRPr="00C030BE">
              <w:rPr>
                <w:rFonts w:cs="Arial"/>
                <w:b/>
                <w:sz w:val="16"/>
                <w:szCs w:val="16"/>
              </w:rPr>
              <w:t>Category</w:t>
            </w:r>
          </w:p>
        </w:tc>
        <w:tc>
          <w:tcPr>
            <w:tcW w:w="7654" w:type="dxa"/>
            <w:shd w:val="clear" w:color="auto" w:fill="BFBFBF"/>
          </w:tcPr>
          <w:p w14:paraId="51E0BCD2" w14:textId="77777777" w:rsidR="00697B57" w:rsidRPr="00C030BE" w:rsidRDefault="00697B57" w:rsidP="00697B57">
            <w:pPr>
              <w:spacing w:before="120"/>
              <w:jc w:val="center"/>
              <w:rPr>
                <w:rFonts w:cs="Arial"/>
                <w:b/>
                <w:sz w:val="16"/>
                <w:szCs w:val="16"/>
              </w:rPr>
            </w:pPr>
            <w:r w:rsidRPr="00C030BE">
              <w:rPr>
                <w:rFonts w:cs="Arial"/>
                <w:b/>
                <w:sz w:val="16"/>
                <w:szCs w:val="16"/>
              </w:rPr>
              <w:t>Description &amp; Response</w:t>
            </w:r>
          </w:p>
        </w:tc>
      </w:tr>
      <w:tr w:rsidR="00F05B04" w:rsidRPr="00C030BE" w14:paraId="14B18BCA" w14:textId="77777777" w:rsidTr="00F05B04">
        <w:tc>
          <w:tcPr>
            <w:tcW w:w="1418" w:type="dxa"/>
            <w:shd w:val="clear" w:color="auto" w:fill="FF0000"/>
            <w:vAlign w:val="center"/>
          </w:tcPr>
          <w:p w14:paraId="06C247B9" w14:textId="77777777" w:rsidR="00697B57" w:rsidRPr="00C030BE" w:rsidRDefault="00697B57" w:rsidP="00697B57">
            <w:pPr>
              <w:tabs>
                <w:tab w:val="left" w:pos="1769"/>
              </w:tabs>
              <w:spacing w:before="40" w:after="40"/>
              <w:jc w:val="center"/>
              <w:rPr>
                <w:rFonts w:cs="Arial"/>
                <w:b/>
                <w:sz w:val="16"/>
                <w:szCs w:val="16"/>
              </w:rPr>
            </w:pPr>
            <w:r w:rsidRPr="00C030BE">
              <w:rPr>
                <w:rFonts w:cs="Arial"/>
                <w:b/>
                <w:color w:val="FFFFFF"/>
                <w:sz w:val="16"/>
                <w:szCs w:val="16"/>
              </w:rPr>
              <w:t>High</w:t>
            </w:r>
          </w:p>
        </w:tc>
        <w:tc>
          <w:tcPr>
            <w:tcW w:w="7654" w:type="dxa"/>
            <w:shd w:val="clear" w:color="auto" w:fill="auto"/>
          </w:tcPr>
          <w:p w14:paraId="66464624" w14:textId="77777777" w:rsidR="00F05B04" w:rsidRPr="00C030BE" w:rsidRDefault="00697B57" w:rsidP="00697B57">
            <w:pPr>
              <w:spacing w:before="40" w:after="40"/>
              <w:rPr>
                <w:rFonts w:cs="Arial"/>
                <w:color w:val="000000"/>
                <w:sz w:val="16"/>
                <w:szCs w:val="16"/>
              </w:rPr>
            </w:pPr>
            <w:r w:rsidRPr="00C030BE">
              <w:rPr>
                <w:rFonts w:cs="Arial"/>
                <w:b/>
                <w:color w:val="000000"/>
                <w:sz w:val="16"/>
                <w:szCs w:val="16"/>
              </w:rPr>
              <w:t>Intolerable risk</w:t>
            </w:r>
            <w:r w:rsidRPr="00C030BE">
              <w:rPr>
                <w:rFonts w:cs="Arial"/>
                <w:color w:val="000000"/>
                <w:sz w:val="16"/>
                <w:szCs w:val="16"/>
              </w:rPr>
              <w:t xml:space="preserve"> (in particular at level A5 MAE) - U</w:t>
            </w:r>
            <w:r w:rsidRPr="00C030BE">
              <w:rPr>
                <w:rFonts w:cs="Arial"/>
                <w:color w:val="000000"/>
                <w:spacing w:val="1"/>
                <w:sz w:val="16"/>
                <w:szCs w:val="16"/>
              </w:rPr>
              <w:t>r</w:t>
            </w:r>
            <w:r w:rsidRPr="00C030BE">
              <w:rPr>
                <w:rFonts w:cs="Arial"/>
                <w:color w:val="000000"/>
                <w:sz w:val="16"/>
                <w:szCs w:val="16"/>
              </w:rPr>
              <w:t>g</w:t>
            </w:r>
            <w:r w:rsidRPr="00C030BE">
              <w:rPr>
                <w:rFonts w:cs="Arial"/>
                <w:color w:val="000000"/>
                <w:spacing w:val="-1"/>
                <w:sz w:val="16"/>
                <w:szCs w:val="16"/>
              </w:rPr>
              <w:t>e</w:t>
            </w:r>
            <w:r w:rsidRPr="00C030BE">
              <w:rPr>
                <w:rFonts w:cs="Arial"/>
                <w:color w:val="000000"/>
                <w:sz w:val="16"/>
                <w:szCs w:val="16"/>
              </w:rPr>
              <w:t>nt</w:t>
            </w:r>
            <w:r w:rsidRPr="00C030BE">
              <w:rPr>
                <w:rFonts w:cs="Arial"/>
                <w:color w:val="000000"/>
                <w:spacing w:val="-3"/>
                <w:sz w:val="16"/>
                <w:szCs w:val="16"/>
              </w:rPr>
              <w:t xml:space="preserve"> Executive </w:t>
            </w:r>
            <w:r w:rsidRPr="00C030BE">
              <w:rPr>
                <w:rFonts w:cs="Arial"/>
                <w:bCs/>
                <w:color w:val="000000"/>
                <w:spacing w:val="4"/>
                <w:sz w:val="16"/>
                <w:szCs w:val="16"/>
              </w:rPr>
              <w:t>M</w:t>
            </w:r>
            <w:r w:rsidRPr="00C030BE">
              <w:rPr>
                <w:rFonts w:cs="Arial"/>
                <w:bCs/>
                <w:color w:val="000000"/>
                <w:sz w:val="16"/>
                <w:szCs w:val="16"/>
              </w:rPr>
              <w:t>anagement</w:t>
            </w:r>
            <w:r w:rsidRPr="00C030BE">
              <w:rPr>
                <w:rFonts w:cs="Arial"/>
                <w:bCs/>
                <w:color w:val="000000"/>
                <w:spacing w:val="-10"/>
                <w:sz w:val="16"/>
                <w:szCs w:val="16"/>
              </w:rPr>
              <w:t xml:space="preserve"> </w:t>
            </w:r>
            <w:r w:rsidRPr="00C030BE">
              <w:rPr>
                <w:rFonts w:cs="Arial"/>
                <w:color w:val="000000"/>
                <w:sz w:val="16"/>
                <w:szCs w:val="16"/>
              </w:rPr>
              <w:t>a</w:t>
            </w:r>
            <w:r w:rsidRPr="00C030BE">
              <w:rPr>
                <w:rFonts w:cs="Arial"/>
                <w:color w:val="000000"/>
                <w:spacing w:val="1"/>
                <w:sz w:val="16"/>
                <w:szCs w:val="16"/>
              </w:rPr>
              <w:t>c</w:t>
            </w:r>
            <w:r w:rsidRPr="00C030BE">
              <w:rPr>
                <w:rFonts w:cs="Arial"/>
                <w:color w:val="000000"/>
                <w:sz w:val="16"/>
                <w:szCs w:val="16"/>
              </w:rPr>
              <w:t>t</w:t>
            </w:r>
            <w:r w:rsidRPr="00C030BE">
              <w:rPr>
                <w:rFonts w:cs="Arial"/>
                <w:color w:val="000000"/>
                <w:spacing w:val="1"/>
                <w:sz w:val="16"/>
                <w:szCs w:val="16"/>
              </w:rPr>
              <w:t>i</w:t>
            </w:r>
            <w:r w:rsidRPr="00C030BE">
              <w:rPr>
                <w:rFonts w:cs="Arial"/>
                <w:color w:val="000000"/>
                <w:sz w:val="16"/>
                <w:szCs w:val="16"/>
              </w:rPr>
              <w:t>on</w:t>
            </w:r>
            <w:r w:rsidRPr="00C030BE">
              <w:rPr>
                <w:rFonts w:cs="Arial"/>
                <w:color w:val="000000"/>
                <w:spacing w:val="-4"/>
                <w:sz w:val="16"/>
                <w:szCs w:val="16"/>
              </w:rPr>
              <w:t xml:space="preserve"> </w:t>
            </w:r>
            <w:r w:rsidRPr="00C030BE">
              <w:rPr>
                <w:rFonts w:cs="Arial"/>
                <w:color w:val="000000"/>
                <w:spacing w:val="-1"/>
                <w:sz w:val="16"/>
                <w:szCs w:val="16"/>
              </w:rPr>
              <w:t>i</w:t>
            </w:r>
            <w:r w:rsidRPr="00C030BE">
              <w:rPr>
                <w:rFonts w:cs="Arial"/>
                <w:color w:val="000000"/>
                <w:spacing w:val="2"/>
                <w:sz w:val="16"/>
                <w:szCs w:val="16"/>
              </w:rPr>
              <w:t>m</w:t>
            </w:r>
            <w:r w:rsidRPr="00C030BE">
              <w:rPr>
                <w:rFonts w:cs="Arial"/>
                <w:color w:val="000000"/>
                <w:spacing w:val="4"/>
                <w:sz w:val="16"/>
                <w:szCs w:val="16"/>
              </w:rPr>
              <w:t>m</w:t>
            </w:r>
            <w:r w:rsidRPr="00C030BE">
              <w:rPr>
                <w:rFonts w:cs="Arial"/>
                <w:color w:val="000000"/>
                <w:sz w:val="16"/>
                <w:szCs w:val="16"/>
              </w:rPr>
              <w:t>e</w:t>
            </w:r>
            <w:r w:rsidRPr="00C030BE">
              <w:rPr>
                <w:rFonts w:cs="Arial"/>
                <w:color w:val="000000"/>
                <w:spacing w:val="-1"/>
                <w:sz w:val="16"/>
                <w:szCs w:val="16"/>
              </w:rPr>
              <w:t>di</w:t>
            </w:r>
            <w:r w:rsidRPr="00C030BE">
              <w:rPr>
                <w:rFonts w:cs="Arial"/>
                <w:color w:val="000000"/>
                <w:sz w:val="16"/>
                <w:szCs w:val="16"/>
              </w:rPr>
              <w:t>at</w:t>
            </w:r>
            <w:r w:rsidRPr="00C030BE">
              <w:rPr>
                <w:rFonts w:cs="Arial"/>
                <w:color w:val="000000"/>
                <w:spacing w:val="-1"/>
                <w:sz w:val="16"/>
                <w:szCs w:val="16"/>
              </w:rPr>
              <w:t>e</w:t>
            </w:r>
            <w:r w:rsidRPr="00C030BE">
              <w:rPr>
                <w:rFonts w:cs="Arial"/>
                <w:color w:val="000000"/>
                <w:spacing w:val="4"/>
                <w:sz w:val="16"/>
                <w:szCs w:val="16"/>
              </w:rPr>
              <w:t>l</w:t>
            </w:r>
            <w:r w:rsidRPr="00C030BE">
              <w:rPr>
                <w:rFonts w:cs="Arial"/>
                <w:color w:val="000000"/>
                <w:sz w:val="16"/>
                <w:szCs w:val="16"/>
              </w:rPr>
              <w:t>y</w:t>
            </w:r>
            <w:r w:rsidRPr="00C030BE">
              <w:rPr>
                <w:rFonts w:cs="Arial"/>
                <w:color w:val="000000"/>
                <w:spacing w:val="-12"/>
                <w:sz w:val="16"/>
                <w:szCs w:val="16"/>
              </w:rPr>
              <w:t xml:space="preserve"> </w:t>
            </w:r>
            <w:r w:rsidRPr="00C030BE">
              <w:rPr>
                <w:rFonts w:cs="Arial"/>
                <w:color w:val="000000"/>
                <w:sz w:val="16"/>
                <w:szCs w:val="16"/>
              </w:rPr>
              <w:t>re</w:t>
            </w:r>
            <w:r w:rsidRPr="00C030BE">
              <w:rPr>
                <w:rFonts w:cs="Arial"/>
                <w:color w:val="000000"/>
                <w:spacing w:val="-1"/>
                <w:sz w:val="16"/>
                <w:szCs w:val="16"/>
              </w:rPr>
              <w:t>q</w:t>
            </w:r>
            <w:r w:rsidRPr="00C030BE">
              <w:rPr>
                <w:rFonts w:cs="Arial"/>
                <w:color w:val="000000"/>
                <w:sz w:val="16"/>
                <w:szCs w:val="16"/>
              </w:rPr>
              <w:t>u</w:t>
            </w:r>
            <w:r w:rsidRPr="00C030BE">
              <w:rPr>
                <w:rFonts w:cs="Arial"/>
                <w:color w:val="000000"/>
                <w:spacing w:val="-1"/>
                <w:sz w:val="16"/>
                <w:szCs w:val="16"/>
              </w:rPr>
              <w:t>i</w:t>
            </w:r>
            <w:r w:rsidRPr="00C030BE">
              <w:rPr>
                <w:rFonts w:cs="Arial"/>
                <w:color w:val="000000"/>
                <w:spacing w:val="3"/>
                <w:sz w:val="16"/>
                <w:szCs w:val="16"/>
              </w:rPr>
              <w:t>r</w:t>
            </w:r>
            <w:r w:rsidRPr="00C030BE">
              <w:rPr>
                <w:rFonts w:cs="Arial"/>
                <w:color w:val="000000"/>
                <w:sz w:val="16"/>
                <w:szCs w:val="16"/>
              </w:rPr>
              <w:t>e</w:t>
            </w:r>
            <w:r w:rsidRPr="00C030BE">
              <w:rPr>
                <w:rFonts w:cs="Arial"/>
                <w:color w:val="000000"/>
                <w:spacing w:val="-1"/>
                <w:sz w:val="16"/>
                <w:szCs w:val="16"/>
              </w:rPr>
              <w:t>d</w:t>
            </w:r>
            <w:r w:rsidRPr="00C030BE">
              <w:rPr>
                <w:rFonts w:cs="Arial"/>
                <w:color w:val="000000"/>
                <w:sz w:val="16"/>
                <w:szCs w:val="16"/>
              </w:rPr>
              <w:t>,</w:t>
            </w:r>
            <w:r w:rsidRPr="00C030BE">
              <w:rPr>
                <w:rFonts w:cs="Arial"/>
                <w:color w:val="000000"/>
                <w:spacing w:val="-6"/>
                <w:sz w:val="16"/>
                <w:szCs w:val="16"/>
              </w:rPr>
              <w:t xml:space="preserve"> operations not t</w:t>
            </w:r>
            <w:r w:rsidRPr="00C030BE">
              <w:rPr>
                <w:rFonts w:cs="Arial"/>
                <w:color w:val="000000"/>
                <w:sz w:val="16"/>
                <w:szCs w:val="16"/>
              </w:rPr>
              <w:t>o</w:t>
            </w:r>
            <w:r w:rsidRPr="00C030BE">
              <w:rPr>
                <w:rFonts w:cs="Arial"/>
                <w:color w:val="000000"/>
                <w:spacing w:val="-3"/>
                <w:sz w:val="16"/>
                <w:szCs w:val="16"/>
              </w:rPr>
              <w:t xml:space="preserve"> </w:t>
            </w:r>
            <w:r w:rsidRPr="00C030BE">
              <w:rPr>
                <w:rFonts w:cs="Arial"/>
                <w:color w:val="000000"/>
                <w:sz w:val="16"/>
                <w:szCs w:val="16"/>
              </w:rPr>
              <w:t>p</w:t>
            </w:r>
            <w:r w:rsidRPr="00C030BE">
              <w:rPr>
                <w:rFonts w:cs="Arial"/>
                <w:color w:val="000000"/>
                <w:spacing w:val="3"/>
                <w:sz w:val="16"/>
                <w:szCs w:val="16"/>
              </w:rPr>
              <w:t>r</w:t>
            </w:r>
            <w:r w:rsidRPr="00C030BE">
              <w:rPr>
                <w:rFonts w:cs="Arial"/>
                <w:color w:val="000000"/>
                <w:sz w:val="16"/>
                <w:szCs w:val="16"/>
              </w:rPr>
              <w:t>o</w:t>
            </w:r>
            <w:r w:rsidRPr="00C030BE">
              <w:rPr>
                <w:rFonts w:cs="Arial"/>
                <w:color w:val="000000"/>
                <w:spacing w:val="1"/>
                <w:sz w:val="16"/>
                <w:szCs w:val="16"/>
              </w:rPr>
              <w:t>c</w:t>
            </w:r>
            <w:r w:rsidRPr="00C030BE">
              <w:rPr>
                <w:rFonts w:cs="Arial"/>
                <w:color w:val="000000"/>
                <w:sz w:val="16"/>
                <w:szCs w:val="16"/>
              </w:rPr>
              <w:t>e</w:t>
            </w:r>
            <w:r w:rsidRPr="00C030BE">
              <w:rPr>
                <w:rFonts w:cs="Arial"/>
                <w:color w:val="000000"/>
                <w:spacing w:val="-1"/>
                <w:sz w:val="16"/>
                <w:szCs w:val="16"/>
              </w:rPr>
              <w:t>e</w:t>
            </w:r>
            <w:r w:rsidRPr="00C030BE">
              <w:rPr>
                <w:rFonts w:cs="Arial"/>
                <w:color w:val="000000"/>
                <w:sz w:val="16"/>
                <w:szCs w:val="16"/>
              </w:rPr>
              <w:t>d</w:t>
            </w:r>
            <w:r w:rsidRPr="00C030BE">
              <w:rPr>
                <w:rFonts w:cs="Arial"/>
                <w:color w:val="000000"/>
                <w:spacing w:val="-5"/>
                <w:sz w:val="16"/>
                <w:szCs w:val="16"/>
              </w:rPr>
              <w:t xml:space="preserve"> </w:t>
            </w:r>
            <w:r w:rsidRPr="00C030BE">
              <w:rPr>
                <w:rFonts w:cs="Arial"/>
                <w:color w:val="000000"/>
                <w:spacing w:val="2"/>
                <w:sz w:val="16"/>
                <w:szCs w:val="16"/>
              </w:rPr>
              <w:t>w</w:t>
            </w:r>
            <w:r w:rsidRPr="00C030BE">
              <w:rPr>
                <w:rFonts w:cs="Arial"/>
                <w:color w:val="000000"/>
                <w:spacing w:val="-1"/>
                <w:sz w:val="16"/>
                <w:szCs w:val="16"/>
              </w:rPr>
              <w:t>i</w:t>
            </w:r>
            <w:r w:rsidRPr="00C030BE">
              <w:rPr>
                <w:rFonts w:cs="Arial"/>
                <w:color w:val="000000"/>
                <w:sz w:val="16"/>
                <w:szCs w:val="16"/>
              </w:rPr>
              <w:t>th</w:t>
            </w:r>
            <w:r w:rsidRPr="00C030BE">
              <w:rPr>
                <w:rFonts w:cs="Arial"/>
                <w:color w:val="000000"/>
                <w:spacing w:val="1"/>
                <w:sz w:val="16"/>
                <w:szCs w:val="16"/>
              </w:rPr>
              <w:t>o</w:t>
            </w:r>
            <w:r w:rsidRPr="00C030BE">
              <w:rPr>
                <w:rFonts w:cs="Arial"/>
                <w:color w:val="000000"/>
                <w:sz w:val="16"/>
                <w:szCs w:val="16"/>
              </w:rPr>
              <w:t xml:space="preserve">ut Executive </w:t>
            </w:r>
            <w:r w:rsidRPr="00C030BE">
              <w:rPr>
                <w:rFonts w:cs="Arial"/>
                <w:bCs/>
                <w:color w:val="000000"/>
                <w:spacing w:val="4"/>
                <w:sz w:val="16"/>
                <w:szCs w:val="16"/>
              </w:rPr>
              <w:t>M</w:t>
            </w:r>
            <w:r w:rsidRPr="00C030BE">
              <w:rPr>
                <w:rFonts w:cs="Arial"/>
                <w:bCs/>
                <w:color w:val="000000"/>
                <w:sz w:val="16"/>
                <w:szCs w:val="16"/>
              </w:rPr>
              <w:t>anagement</w:t>
            </w:r>
            <w:r w:rsidRPr="00C030BE">
              <w:rPr>
                <w:rFonts w:cs="Arial"/>
                <w:bCs/>
                <w:color w:val="000000"/>
                <w:spacing w:val="-10"/>
                <w:sz w:val="16"/>
                <w:szCs w:val="16"/>
              </w:rPr>
              <w:t xml:space="preserve"> </w:t>
            </w:r>
            <w:r w:rsidRPr="00C030BE">
              <w:rPr>
                <w:rFonts w:cs="Arial"/>
                <w:color w:val="000000"/>
                <w:spacing w:val="2"/>
                <w:sz w:val="16"/>
                <w:szCs w:val="16"/>
              </w:rPr>
              <w:t>o</w:t>
            </w:r>
            <w:r w:rsidRPr="00C030BE">
              <w:rPr>
                <w:rFonts w:cs="Arial"/>
                <w:color w:val="000000"/>
                <w:spacing w:val="-1"/>
                <w:sz w:val="16"/>
                <w:szCs w:val="16"/>
              </w:rPr>
              <w:t>v</w:t>
            </w:r>
            <w:r w:rsidRPr="00C030BE">
              <w:rPr>
                <w:rFonts w:cs="Arial"/>
                <w:color w:val="000000"/>
                <w:sz w:val="16"/>
                <w:szCs w:val="16"/>
              </w:rPr>
              <w:t>er</w:t>
            </w:r>
            <w:r w:rsidRPr="00C030BE">
              <w:rPr>
                <w:rFonts w:cs="Arial"/>
                <w:color w:val="000000"/>
                <w:spacing w:val="4"/>
                <w:sz w:val="16"/>
                <w:szCs w:val="16"/>
              </w:rPr>
              <w:t>s</w:t>
            </w:r>
            <w:r w:rsidRPr="00C030BE">
              <w:rPr>
                <w:rFonts w:cs="Arial"/>
                <w:color w:val="000000"/>
                <w:spacing w:val="-1"/>
                <w:sz w:val="16"/>
                <w:szCs w:val="16"/>
              </w:rPr>
              <w:t>i</w:t>
            </w:r>
            <w:r w:rsidRPr="00C030BE">
              <w:rPr>
                <w:rFonts w:cs="Arial"/>
                <w:color w:val="000000"/>
                <w:sz w:val="16"/>
                <w:szCs w:val="16"/>
              </w:rPr>
              <w:t>g</w:t>
            </w:r>
            <w:r w:rsidRPr="00C030BE">
              <w:rPr>
                <w:rFonts w:cs="Arial"/>
                <w:color w:val="000000"/>
                <w:spacing w:val="-1"/>
                <w:sz w:val="16"/>
                <w:szCs w:val="16"/>
              </w:rPr>
              <w:t>h</w:t>
            </w:r>
            <w:r w:rsidRPr="00C030BE">
              <w:rPr>
                <w:rFonts w:cs="Arial"/>
                <w:color w:val="000000"/>
                <w:sz w:val="16"/>
                <w:szCs w:val="16"/>
              </w:rPr>
              <w:t>t</w:t>
            </w:r>
            <w:r w:rsidRPr="00C030BE">
              <w:rPr>
                <w:rFonts w:cs="Arial"/>
                <w:color w:val="000000"/>
                <w:spacing w:val="-6"/>
                <w:sz w:val="16"/>
                <w:szCs w:val="16"/>
              </w:rPr>
              <w:t xml:space="preserve"> </w:t>
            </w:r>
            <w:r w:rsidR="00F05B04" w:rsidRPr="00C030BE">
              <w:rPr>
                <w:rFonts w:cs="Arial"/>
                <w:color w:val="000000"/>
                <w:spacing w:val="-6"/>
                <w:sz w:val="16"/>
                <w:szCs w:val="16"/>
              </w:rPr>
              <w:t>and</w:t>
            </w:r>
            <w:r w:rsidRPr="00C030BE">
              <w:rPr>
                <w:rFonts w:cs="Arial"/>
                <w:color w:val="000000"/>
                <w:spacing w:val="-3"/>
                <w:sz w:val="16"/>
                <w:szCs w:val="16"/>
              </w:rPr>
              <w:t xml:space="preserve"> </w:t>
            </w:r>
            <w:r w:rsidRPr="00C030BE">
              <w:rPr>
                <w:rFonts w:cs="Arial"/>
                <w:color w:val="000000"/>
                <w:sz w:val="16"/>
                <w:szCs w:val="16"/>
              </w:rPr>
              <w:t>a</w:t>
            </w:r>
            <w:r w:rsidRPr="00C030BE">
              <w:rPr>
                <w:rFonts w:cs="Arial"/>
                <w:color w:val="000000"/>
                <w:spacing w:val="1"/>
                <w:sz w:val="16"/>
                <w:szCs w:val="16"/>
              </w:rPr>
              <w:t>p</w:t>
            </w:r>
            <w:r w:rsidRPr="00C030BE">
              <w:rPr>
                <w:rFonts w:cs="Arial"/>
                <w:color w:val="000000"/>
                <w:sz w:val="16"/>
                <w:szCs w:val="16"/>
              </w:rPr>
              <w:t>p</w:t>
            </w:r>
            <w:r w:rsidRPr="00C030BE">
              <w:rPr>
                <w:rFonts w:cs="Arial"/>
                <w:color w:val="000000"/>
                <w:spacing w:val="1"/>
                <w:sz w:val="16"/>
                <w:szCs w:val="16"/>
              </w:rPr>
              <w:t>r</w:t>
            </w:r>
            <w:r w:rsidRPr="00C030BE">
              <w:rPr>
                <w:rFonts w:cs="Arial"/>
                <w:color w:val="000000"/>
                <w:spacing w:val="2"/>
                <w:sz w:val="16"/>
                <w:szCs w:val="16"/>
              </w:rPr>
              <w:t>o</w:t>
            </w:r>
            <w:r w:rsidRPr="00C030BE">
              <w:rPr>
                <w:rFonts w:cs="Arial"/>
                <w:color w:val="000000"/>
                <w:spacing w:val="-1"/>
                <w:sz w:val="16"/>
                <w:szCs w:val="16"/>
              </w:rPr>
              <w:t>v</w:t>
            </w:r>
            <w:r w:rsidRPr="00C030BE">
              <w:rPr>
                <w:rFonts w:cs="Arial"/>
                <w:color w:val="000000"/>
                <w:sz w:val="16"/>
                <w:szCs w:val="16"/>
              </w:rPr>
              <w:t>a</w:t>
            </w:r>
            <w:r w:rsidRPr="00C030BE">
              <w:rPr>
                <w:rFonts w:cs="Arial"/>
                <w:color w:val="000000"/>
                <w:spacing w:val="1"/>
                <w:sz w:val="16"/>
                <w:szCs w:val="16"/>
              </w:rPr>
              <w:t>l</w:t>
            </w:r>
            <w:r w:rsidRPr="00C030BE">
              <w:rPr>
                <w:rFonts w:cs="Arial"/>
                <w:color w:val="000000"/>
                <w:sz w:val="16"/>
                <w:szCs w:val="16"/>
              </w:rPr>
              <w:t xml:space="preserve">.  </w:t>
            </w:r>
          </w:p>
          <w:p w14:paraId="30FDCD4A" w14:textId="77777777" w:rsidR="00F05B04" w:rsidRPr="00C030BE" w:rsidRDefault="00697B57" w:rsidP="00697B57">
            <w:pPr>
              <w:spacing w:before="40" w:after="40"/>
              <w:rPr>
                <w:rFonts w:cs="Arial"/>
                <w:sz w:val="16"/>
                <w:szCs w:val="16"/>
              </w:rPr>
            </w:pPr>
            <w:r w:rsidRPr="00C030BE">
              <w:rPr>
                <w:rFonts w:cs="Arial"/>
                <w:sz w:val="16"/>
                <w:szCs w:val="16"/>
              </w:rPr>
              <w:t xml:space="preserve">Unless specific corrective action(s) taken, possible curtailment of operations, isolate activity or task.  </w:t>
            </w:r>
          </w:p>
          <w:p w14:paraId="13B94D2D" w14:textId="77777777" w:rsidR="00697B57" w:rsidRPr="00C030BE" w:rsidRDefault="00697B57" w:rsidP="00697B57">
            <w:pPr>
              <w:spacing w:before="40" w:after="40"/>
              <w:rPr>
                <w:rFonts w:cs="Arial"/>
                <w:color w:val="000000"/>
                <w:sz w:val="16"/>
                <w:szCs w:val="16"/>
              </w:rPr>
            </w:pPr>
            <w:r w:rsidRPr="00C030BE">
              <w:rPr>
                <w:rFonts w:cs="Arial"/>
                <w:color w:val="000000"/>
                <w:sz w:val="16"/>
                <w:szCs w:val="16"/>
                <w:u w:val="single"/>
                <w:lang w:eastAsia="zh-CN"/>
              </w:rPr>
              <w:lastRenderedPageBreak/>
              <w:t xml:space="preserve">Of material interest to the Board, </w:t>
            </w:r>
            <w:r w:rsidRPr="00C030BE">
              <w:rPr>
                <w:rFonts w:cs="Arial"/>
                <w:sz w:val="16"/>
                <w:szCs w:val="16"/>
              </w:rPr>
              <w:t xml:space="preserve">Board advised of corrective action, project does not continue or commence without the support of the </w:t>
            </w:r>
            <w:r w:rsidRPr="00C030BE">
              <w:rPr>
                <w:rFonts w:cs="Arial"/>
                <w:color w:val="000000"/>
                <w:sz w:val="16"/>
                <w:szCs w:val="16"/>
              </w:rPr>
              <w:t>Board.</w:t>
            </w:r>
          </w:p>
          <w:p w14:paraId="46D28127" w14:textId="77777777" w:rsidR="00697B57" w:rsidRPr="00C030BE" w:rsidRDefault="00697B57" w:rsidP="00697B57">
            <w:pPr>
              <w:spacing w:before="60" w:after="60"/>
              <w:rPr>
                <w:rFonts w:cs="Arial"/>
                <w:sz w:val="16"/>
                <w:szCs w:val="16"/>
              </w:rPr>
            </w:pPr>
            <w:r w:rsidRPr="00C030BE">
              <w:rPr>
                <w:rFonts w:cs="Arial"/>
                <w:color w:val="000000"/>
                <w:sz w:val="16"/>
                <w:szCs w:val="16"/>
                <w:u w:val="single"/>
              </w:rPr>
              <w:t>Notification</w:t>
            </w:r>
            <w:r w:rsidRPr="00C030BE">
              <w:rPr>
                <w:rFonts w:cs="Arial"/>
                <w:color w:val="000000"/>
                <w:sz w:val="16"/>
                <w:szCs w:val="16"/>
              </w:rPr>
              <w:t xml:space="preserve">: </w:t>
            </w:r>
            <w:r w:rsidRPr="00C030BE">
              <w:rPr>
                <w:rFonts w:cs="Arial"/>
                <w:sz w:val="16"/>
                <w:szCs w:val="16"/>
              </w:rPr>
              <w:t>Board of Directors (notified by Managing Director)</w:t>
            </w:r>
            <w:r w:rsidR="00F05B04" w:rsidRPr="00C030BE">
              <w:rPr>
                <w:rFonts w:cs="Arial"/>
                <w:sz w:val="16"/>
                <w:szCs w:val="16"/>
              </w:rPr>
              <w:t>.</w:t>
            </w:r>
          </w:p>
        </w:tc>
      </w:tr>
      <w:tr w:rsidR="00F05B04" w:rsidRPr="00C030BE" w14:paraId="537E68A9" w14:textId="77777777" w:rsidTr="00F05B04">
        <w:tc>
          <w:tcPr>
            <w:tcW w:w="1418" w:type="dxa"/>
            <w:shd w:val="clear" w:color="auto" w:fill="FFC000"/>
            <w:vAlign w:val="center"/>
          </w:tcPr>
          <w:p w14:paraId="7A4C76F5" w14:textId="77777777" w:rsidR="00697B57" w:rsidRPr="00C030BE" w:rsidRDefault="00697B57" w:rsidP="00697B57">
            <w:pPr>
              <w:tabs>
                <w:tab w:val="left" w:pos="1769"/>
              </w:tabs>
              <w:jc w:val="center"/>
              <w:rPr>
                <w:rFonts w:cs="Arial"/>
                <w:b/>
                <w:sz w:val="16"/>
                <w:szCs w:val="16"/>
              </w:rPr>
            </w:pPr>
            <w:r w:rsidRPr="00C030BE">
              <w:rPr>
                <w:rFonts w:cs="Arial"/>
                <w:b/>
                <w:sz w:val="16"/>
                <w:szCs w:val="16"/>
              </w:rPr>
              <w:lastRenderedPageBreak/>
              <w:t>Medium</w:t>
            </w:r>
          </w:p>
        </w:tc>
        <w:tc>
          <w:tcPr>
            <w:tcW w:w="7654" w:type="dxa"/>
            <w:shd w:val="clear" w:color="auto" w:fill="auto"/>
          </w:tcPr>
          <w:p w14:paraId="627C8625" w14:textId="77777777" w:rsidR="00F05B04" w:rsidRPr="00C030BE" w:rsidRDefault="00697B57" w:rsidP="00697B57">
            <w:pPr>
              <w:rPr>
                <w:rFonts w:cs="Arial"/>
                <w:color w:val="000000"/>
                <w:spacing w:val="-4"/>
                <w:sz w:val="16"/>
                <w:szCs w:val="16"/>
              </w:rPr>
            </w:pPr>
            <w:r w:rsidRPr="00C030BE">
              <w:rPr>
                <w:rFonts w:cs="Arial"/>
                <w:b/>
                <w:sz w:val="16"/>
                <w:szCs w:val="16"/>
              </w:rPr>
              <w:t>Tolerable if ALARP</w:t>
            </w:r>
            <w:r w:rsidRPr="00C030BE">
              <w:rPr>
                <w:rFonts w:cs="Arial"/>
                <w:sz w:val="16"/>
                <w:szCs w:val="16"/>
              </w:rPr>
              <w:t>, if all reasonably practicable risk reduction measures have been implemented</w:t>
            </w:r>
            <w:r w:rsidR="00F05B04" w:rsidRPr="00C030BE">
              <w:rPr>
                <w:rFonts w:cs="Arial"/>
                <w:sz w:val="16"/>
                <w:szCs w:val="16"/>
              </w:rPr>
              <w:t>.</w:t>
            </w:r>
            <w:r w:rsidRPr="00C030BE">
              <w:rPr>
                <w:rFonts w:cs="Arial"/>
                <w:color w:val="000000"/>
                <w:spacing w:val="-4"/>
                <w:sz w:val="16"/>
                <w:szCs w:val="16"/>
              </w:rPr>
              <w:t xml:space="preserve"> </w:t>
            </w:r>
          </w:p>
          <w:p w14:paraId="5E331E12" w14:textId="77777777" w:rsidR="00697B57" w:rsidRPr="00C030BE" w:rsidRDefault="00F05B04" w:rsidP="00697B57">
            <w:pPr>
              <w:rPr>
                <w:rFonts w:cs="Arial"/>
                <w:sz w:val="16"/>
                <w:szCs w:val="16"/>
              </w:rPr>
            </w:pPr>
            <w:r w:rsidRPr="00C030BE">
              <w:rPr>
                <w:rFonts w:cs="Arial"/>
                <w:color w:val="000000"/>
                <w:spacing w:val="-4"/>
                <w:sz w:val="16"/>
                <w:szCs w:val="16"/>
              </w:rPr>
              <w:t>L</w:t>
            </w:r>
            <w:r w:rsidR="00697B57" w:rsidRPr="00C030BE">
              <w:rPr>
                <w:rFonts w:cs="Arial"/>
                <w:color w:val="000000"/>
                <w:sz w:val="16"/>
                <w:szCs w:val="16"/>
              </w:rPr>
              <w:t>o</w:t>
            </w:r>
            <w:r w:rsidR="00697B57" w:rsidRPr="00C030BE">
              <w:rPr>
                <w:rFonts w:cs="Arial"/>
                <w:color w:val="000000"/>
                <w:spacing w:val="1"/>
                <w:sz w:val="16"/>
                <w:szCs w:val="16"/>
              </w:rPr>
              <w:t>c</w:t>
            </w:r>
            <w:r w:rsidR="00697B57" w:rsidRPr="00C030BE">
              <w:rPr>
                <w:rFonts w:cs="Arial"/>
                <w:color w:val="000000"/>
                <w:spacing w:val="2"/>
                <w:sz w:val="16"/>
                <w:szCs w:val="16"/>
              </w:rPr>
              <w:t>a</w:t>
            </w:r>
            <w:r w:rsidR="00697B57" w:rsidRPr="00C030BE">
              <w:rPr>
                <w:rFonts w:cs="Arial"/>
                <w:color w:val="000000"/>
                <w:sz w:val="16"/>
                <w:szCs w:val="16"/>
              </w:rPr>
              <w:t>l</w:t>
            </w:r>
            <w:r w:rsidR="00697B57" w:rsidRPr="00C030BE">
              <w:rPr>
                <w:rFonts w:cs="Arial"/>
                <w:color w:val="000000"/>
                <w:spacing w:val="-5"/>
                <w:sz w:val="16"/>
                <w:szCs w:val="16"/>
              </w:rPr>
              <w:t xml:space="preserve"> Senior M</w:t>
            </w:r>
            <w:r w:rsidR="00697B57" w:rsidRPr="00C030BE">
              <w:rPr>
                <w:rFonts w:cs="Arial"/>
                <w:color w:val="000000"/>
                <w:sz w:val="16"/>
                <w:szCs w:val="16"/>
              </w:rPr>
              <w:t>a</w:t>
            </w:r>
            <w:r w:rsidR="00697B57" w:rsidRPr="00C030BE">
              <w:rPr>
                <w:rFonts w:cs="Arial"/>
                <w:color w:val="000000"/>
                <w:spacing w:val="-1"/>
                <w:sz w:val="16"/>
                <w:szCs w:val="16"/>
              </w:rPr>
              <w:t>n</w:t>
            </w:r>
            <w:r w:rsidR="00697B57" w:rsidRPr="00C030BE">
              <w:rPr>
                <w:rFonts w:cs="Arial"/>
                <w:color w:val="000000"/>
                <w:sz w:val="16"/>
                <w:szCs w:val="16"/>
              </w:rPr>
              <w:t>a</w:t>
            </w:r>
            <w:r w:rsidR="00697B57" w:rsidRPr="00C030BE">
              <w:rPr>
                <w:rFonts w:cs="Arial"/>
                <w:color w:val="000000"/>
                <w:spacing w:val="1"/>
                <w:sz w:val="16"/>
                <w:szCs w:val="16"/>
              </w:rPr>
              <w:t>g</w:t>
            </w:r>
            <w:r w:rsidR="00697B57" w:rsidRPr="00C030BE">
              <w:rPr>
                <w:rFonts w:cs="Arial"/>
                <w:color w:val="000000"/>
                <w:sz w:val="16"/>
                <w:szCs w:val="16"/>
              </w:rPr>
              <w:t>e</w:t>
            </w:r>
            <w:r w:rsidR="00697B57" w:rsidRPr="00C030BE">
              <w:rPr>
                <w:rFonts w:cs="Arial"/>
                <w:color w:val="000000"/>
                <w:spacing w:val="4"/>
                <w:sz w:val="16"/>
                <w:szCs w:val="16"/>
              </w:rPr>
              <w:t>m</w:t>
            </w:r>
            <w:r w:rsidR="00697B57" w:rsidRPr="00C030BE">
              <w:rPr>
                <w:rFonts w:cs="Arial"/>
                <w:color w:val="000000"/>
                <w:sz w:val="16"/>
                <w:szCs w:val="16"/>
              </w:rPr>
              <w:t>e</w:t>
            </w:r>
            <w:r w:rsidR="00697B57" w:rsidRPr="00C030BE">
              <w:rPr>
                <w:rFonts w:cs="Arial"/>
                <w:color w:val="000000"/>
                <w:spacing w:val="-1"/>
                <w:sz w:val="16"/>
                <w:szCs w:val="16"/>
              </w:rPr>
              <w:t>n</w:t>
            </w:r>
            <w:r w:rsidR="00697B57" w:rsidRPr="00C030BE">
              <w:rPr>
                <w:rFonts w:cs="Arial"/>
                <w:color w:val="000000"/>
                <w:sz w:val="16"/>
                <w:szCs w:val="16"/>
              </w:rPr>
              <w:t>t</w:t>
            </w:r>
            <w:r w:rsidR="00697B57" w:rsidRPr="00C030BE">
              <w:rPr>
                <w:rFonts w:cs="Arial"/>
                <w:color w:val="000000"/>
                <w:spacing w:val="-12"/>
                <w:sz w:val="16"/>
                <w:szCs w:val="16"/>
              </w:rPr>
              <w:t xml:space="preserve"> </w:t>
            </w:r>
            <w:r w:rsidR="00697B57" w:rsidRPr="00C030BE">
              <w:rPr>
                <w:rFonts w:cs="Arial"/>
                <w:color w:val="000000"/>
                <w:sz w:val="16"/>
                <w:szCs w:val="16"/>
              </w:rPr>
              <w:t>re</w:t>
            </w:r>
            <w:r w:rsidR="00697B57" w:rsidRPr="00C030BE">
              <w:rPr>
                <w:rFonts w:cs="Arial"/>
                <w:color w:val="000000"/>
                <w:spacing w:val="1"/>
                <w:sz w:val="16"/>
                <w:szCs w:val="16"/>
              </w:rPr>
              <w:t>s</w:t>
            </w:r>
            <w:r w:rsidR="00697B57" w:rsidRPr="00C030BE">
              <w:rPr>
                <w:rFonts w:cs="Arial"/>
                <w:color w:val="000000"/>
                <w:sz w:val="16"/>
                <w:szCs w:val="16"/>
              </w:rPr>
              <w:t>p</w:t>
            </w:r>
            <w:r w:rsidR="00697B57" w:rsidRPr="00C030BE">
              <w:rPr>
                <w:rFonts w:cs="Arial"/>
                <w:color w:val="000000"/>
                <w:spacing w:val="-1"/>
                <w:sz w:val="16"/>
                <w:szCs w:val="16"/>
              </w:rPr>
              <w:t>o</w:t>
            </w:r>
            <w:r w:rsidR="00697B57" w:rsidRPr="00C030BE">
              <w:rPr>
                <w:rFonts w:cs="Arial"/>
                <w:color w:val="000000"/>
                <w:sz w:val="16"/>
                <w:szCs w:val="16"/>
              </w:rPr>
              <w:t>n</w:t>
            </w:r>
            <w:r w:rsidR="00697B57" w:rsidRPr="00C030BE">
              <w:rPr>
                <w:rFonts w:cs="Arial"/>
                <w:color w:val="000000"/>
                <w:spacing w:val="1"/>
                <w:sz w:val="16"/>
                <w:szCs w:val="16"/>
              </w:rPr>
              <w:t>s</w:t>
            </w:r>
            <w:r w:rsidR="00697B57" w:rsidRPr="00C030BE">
              <w:rPr>
                <w:rFonts w:cs="Arial"/>
                <w:color w:val="000000"/>
                <w:spacing w:val="-1"/>
                <w:sz w:val="16"/>
                <w:szCs w:val="16"/>
              </w:rPr>
              <w:t>i</w:t>
            </w:r>
            <w:r w:rsidR="00697B57" w:rsidRPr="00C030BE">
              <w:rPr>
                <w:rFonts w:cs="Arial"/>
                <w:color w:val="000000"/>
                <w:spacing w:val="2"/>
                <w:sz w:val="16"/>
                <w:szCs w:val="16"/>
              </w:rPr>
              <w:t>b</w:t>
            </w:r>
            <w:r w:rsidR="00697B57" w:rsidRPr="00C030BE">
              <w:rPr>
                <w:rFonts w:cs="Arial"/>
                <w:color w:val="000000"/>
                <w:spacing w:val="-1"/>
                <w:sz w:val="16"/>
                <w:szCs w:val="16"/>
              </w:rPr>
              <w:t>i</w:t>
            </w:r>
            <w:r w:rsidR="00697B57" w:rsidRPr="00C030BE">
              <w:rPr>
                <w:rFonts w:cs="Arial"/>
                <w:color w:val="000000"/>
                <w:spacing w:val="1"/>
                <w:sz w:val="16"/>
                <w:szCs w:val="16"/>
              </w:rPr>
              <w:t>l</w:t>
            </w:r>
            <w:r w:rsidR="00697B57" w:rsidRPr="00C030BE">
              <w:rPr>
                <w:rFonts w:cs="Arial"/>
                <w:color w:val="000000"/>
                <w:spacing w:val="-1"/>
                <w:sz w:val="16"/>
                <w:szCs w:val="16"/>
              </w:rPr>
              <w:t>i</w:t>
            </w:r>
            <w:r w:rsidR="00697B57" w:rsidRPr="00C030BE">
              <w:rPr>
                <w:rFonts w:cs="Arial"/>
                <w:color w:val="000000"/>
                <w:spacing w:val="4"/>
                <w:sz w:val="16"/>
                <w:szCs w:val="16"/>
              </w:rPr>
              <w:t>t</w:t>
            </w:r>
            <w:r w:rsidR="00697B57" w:rsidRPr="00C030BE">
              <w:rPr>
                <w:rFonts w:cs="Arial"/>
                <w:color w:val="000000"/>
                <w:sz w:val="16"/>
                <w:szCs w:val="16"/>
              </w:rPr>
              <w:t>y</w:t>
            </w:r>
            <w:r w:rsidRPr="00C030BE">
              <w:rPr>
                <w:rFonts w:cs="Arial"/>
                <w:color w:val="000000"/>
                <w:sz w:val="16"/>
                <w:szCs w:val="16"/>
              </w:rPr>
              <w:t xml:space="preserve"> and</w:t>
            </w:r>
            <w:r w:rsidR="00697B57" w:rsidRPr="00C030BE">
              <w:rPr>
                <w:rFonts w:cs="Arial"/>
                <w:color w:val="000000"/>
                <w:spacing w:val="-3"/>
                <w:sz w:val="16"/>
                <w:szCs w:val="16"/>
              </w:rPr>
              <w:t xml:space="preserve"> </w:t>
            </w:r>
            <w:r w:rsidR="00697B57" w:rsidRPr="00C030BE">
              <w:rPr>
                <w:rFonts w:cs="Arial"/>
                <w:color w:val="000000"/>
                <w:spacing w:val="1"/>
                <w:sz w:val="16"/>
                <w:szCs w:val="16"/>
              </w:rPr>
              <w:t>a</w:t>
            </w:r>
            <w:r w:rsidR="00697B57" w:rsidRPr="00C030BE">
              <w:rPr>
                <w:rFonts w:cs="Arial"/>
                <w:color w:val="000000"/>
                <w:spacing w:val="2"/>
                <w:sz w:val="16"/>
                <w:szCs w:val="16"/>
              </w:rPr>
              <w:t>p</w:t>
            </w:r>
            <w:r w:rsidR="00697B57" w:rsidRPr="00C030BE">
              <w:rPr>
                <w:rFonts w:cs="Arial"/>
                <w:color w:val="000000"/>
                <w:sz w:val="16"/>
                <w:szCs w:val="16"/>
              </w:rPr>
              <w:t>pro</w:t>
            </w:r>
            <w:r w:rsidR="00697B57" w:rsidRPr="00C030BE">
              <w:rPr>
                <w:rFonts w:cs="Arial"/>
                <w:color w:val="000000"/>
                <w:spacing w:val="-1"/>
                <w:sz w:val="16"/>
                <w:szCs w:val="16"/>
              </w:rPr>
              <w:t>v</w:t>
            </w:r>
            <w:r w:rsidR="00697B57" w:rsidRPr="00C030BE">
              <w:rPr>
                <w:rFonts w:cs="Arial"/>
                <w:color w:val="000000"/>
                <w:spacing w:val="2"/>
                <w:sz w:val="16"/>
                <w:szCs w:val="16"/>
              </w:rPr>
              <w:t>a</w:t>
            </w:r>
            <w:r w:rsidR="00697B57" w:rsidRPr="00C030BE">
              <w:rPr>
                <w:rFonts w:cs="Arial"/>
                <w:color w:val="000000"/>
                <w:sz w:val="16"/>
                <w:szCs w:val="16"/>
              </w:rPr>
              <w:t>l</w:t>
            </w:r>
            <w:r w:rsidR="00697B57" w:rsidRPr="00C030BE">
              <w:rPr>
                <w:rFonts w:cs="Arial"/>
                <w:color w:val="000000"/>
                <w:spacing w:val="-7"/>
                <w:sz w:val="16"/>
                <w:szCs w:val="16"/>
              </w:rPr>
              <w:t xml:space="preserve"> </w:t>
            </w:r>
            <w:r w:rsidR="00697B57" w:rsidRPr="00C030BE">
              <w:rPr>
                <w:rFonts w:cs="Arial"/>
                <w:color w:val="000000"/>
                <w:spacing w:val="-1"/>
                <w:sz w:val="16"/>
                <w:szCs w:val="16"/>
              </w:rPr>
              <w:t>i</w:t>
            </w:r>
            <w:r w:rsidR="00697B57" w:rsidRPr="00C030BE">
              <w:rPr>
                <w:rFonts w:cs="Arial"/>
                <w:color w:val="000000"/>
                <w:sz w:val="16"/>
                <w:szCs w:val="16"/>
              </w:rPr>
              <w:t>s re</w:t>
            </w:r>
            <w:r w:rsidR="00697B57" w:rsidRPr="00C030BE">
              <w:rPr>
                <w:rFonts w:cs="Arial"/>
                <w:color w:val="000000"/>
                <w:spacing w:val="-1"/>
                <w:sz w:val="16"/>
                <w:szCs w:val="16"/>
              </w:rPr>
              <w:t>q</w:t>
            </w:r>
            <w:r w:rsidR="00697B57" w:rsidRPr="00C030BE">
              <w:rPr>
                <w:rFonts w:cs="Arial"/>
                <w:color w:val="000000"/>
                <w:spacing w:val="2"/>
                <w:sz w:val="16"/>
                <w:szCs w:val="16"/>
              </w:rPr>
              <w:t>u</w:t>
            </w:r>
            <w:r w:rsidR="00697B57" w:rsidRPr="00C030BE">
              <w:rPr>
                <w:rFonts w:cs="Arial"/>
                <w:color w:val="000000"/>
                <w:spacing w:val="-1"/>
                <w:sz w:val="16"/>
                <w:szCs w:val="16"/>
              </w:rPr>
              <w:t>i</w:t>
            </w:r>
            <w:r w:rsidR="00697B57" w:rsidRPr="00C030BE">
              <w:rPr>
                <w:rFonts w:cs="Arial"/>
                <w:color w:val="000000"/>
                <w:spacing w:val="1"/>
                <w:sz w:val="16"/>
                <w:szCs w:val="16"/>
              </w:rPr>
              <w:t>r</w:t>
            </w:r>
            <w:r w:rsidR="00697B57" w:rsidRPr="00C030BE">
              <w:rPr>
                <w:rFonts w:cs="Arial"/>
                <w:color w:val="000000"/>
                <w:sz w:val="16"/>
                <w:szCs w:val="16"/>
              </w:rPr>
              <w:t>e</w:t>
            </w:r>
            <w:r w:rsidR="00697B57" w:rsidRPr="00C030BE">
              <w:rPr>
                <w:rFonts w:cs="Arial"/>
                <w:color w:val="000000"/>
                <w:spacing w:val="-1"/>
                <w:sz w:val="16"/>
                <w:szCs w:val="16"/>
              </w:rPr>
              <w:t>d,</w:t>
            </w:r>
            <w:r w:rsidR="00697B57" w:rsidRPr="00C030BE">
              <w:rPr>
                <w:rFonts w:cs="Arial"/>
                <w:color w:val="000000"/>
                <w:sz w:val="16"/>
                <w:szCs w:val="16"/>
              </w:rPr>
              <w:t xml:space="preserve"> i</w:t>
            </w:r>
            <w:r w:rsidR="00697B57" w:rsidRPr="00C030BE">
              <w:rPr>
                <w:rFonts w:cs="Arial"/>
                <w:sz w:val="16"/>
                <w:szCs w:val="16"/>
              </w:rPr>
              <w:t xml:space="preserve">f </w:t>
            </w:r>
            <w:r w:rsidR="00697B57" w:rsidRPr="00C030BE">
              <w:rPr>
                <w:rFonts w:cs="Arial"/>
                <w:spacing w:val="-2"/>
                <w:sz w:val="16"/>
                <w:szCs w:val="16"/>
              </w:rPr>
              <w:t>n</w:t>
            </w:r>
            <w:r w:rsidR="00697B57" w:rsidRPr="00C030BE">
              <w:rPr>
                <w:rFonts w:cs="Arial"/>
                <w:sz w:val="16"/>
                <w:szCs w:val="16"/>
              </w:rPr>
              <w:t>ot</w:t>
            </w:r>
            <w:r w:rsidR="00697B57" w:rsidRPr="00C030BE">
              <w:rPr>
                <w:rFonts w:cs="Arial"/>
                <w:spacing w:val="-1"/>
                <w:sz w:val="16"/>
                <w:szCs w:val="16"/>
              </w:rPr>
              <w:t xml:space="preserve"> yet </w:t>
            </w:r>
            <w:r w:rsidR="00697B57" w:rsidRPr="00C030BE">
              <w:rPr>
                <w:rFonts w:cs="Arial"/>
                <w:sz w:val="16"/>
                <w:szCs w:val="16"/>
              </w:rPr>
              <w:t>ALARP,</w:t>
            </w:r>
            <w:r w:rsidR="00697B57" w:rsidRPr="00C030BE">
              <w:rPr>
                <w:rFonts w:cs="Arial"/>
                <w:spacing w:val="-5"/>
                <w:sz w:val="16"/>
                <w:szCs w:val="16"/>
              </w:rPr>
              <w:t xml:space="preserve"> </w:t>
            </w:r>
            <w:r w:rsidR="00697B57" w:rsidRPr="00C030BE">
              <w:rPr>
                <w:rFonts w:cs="Arial"/>
                <w:spacing w:val="2"/>
                <w:sz w:val="16"/>
                <w:szCs w:val="16"/>
              </w:rPr>
              <w:t>i</w:t>
            </w:r>
            <w:r w:rsidR="00697B57" w:rsidRPr="00C030BE">
              <w:rPr>
                <w:rFonts w:cs="Arial"/>
                <w:sz w:val="16"/>
                <w:szCs w:val="16"/>
              </w:rPr>
              <w:t>mprove</w:t>
            </w:r>
            <w:r w:rsidR="00697B57" w:rsidRPr="00C030BE">
              <w:rPr>
                <w:rFonts w:cs="Arial"/>
                <w:spacing w:val="-5"/>
                <w:sz w:val="16"/>
                <w:szCs w:val="16"/>
              </w:rPr>
              <w:t xml:space="preserve"> </w:t>
            </w:r>
            <w:r w:rsidR="00697B57" w:rsidRPr="00C030BE">
              <w:rPr>
                <w:rFonts w:cs="Arial"/>
                <w:sz w:val="16"/>
                <w:szCs w:val="16"/>
              </w:rPr>
              <w:t>e</w:t>
            </w:r>
            <w:r w:rsidR="00697B57" w:rsidRPr="00C030BE">
              <w:rPr>
                <w:rFonts w:cs="Arial"/>
                <w:spacing w:val="-2"/>
                <w:sz w:val="16"/>
                <w:szCs w:val="16"/>
              </w:rPr>
              <w:t>x</w:t>
            </w:r>
            <w:r w:rsidR="00697B57" w:rsidRPr="00C030BE">
              <w:rPr>
                <w:rFonts w:cs="Arial"/>
                <w:spacing w:val="2"/>
                <w:sz w:val="16"/>
                <w:szCs w:val="16"/>
              </w:rPr>
              <w:t>i</w:t>
            </w:r>
            <w:r w:rsidR="00697B57" w:rsidRPr="00C030BE">
              <w:rPr>
                <w:rFonts w:cs="Arial"/>
                <w:sz w:val="16"/>
                <w:szCs w:val="16"/>
              </w:rPr>
              <w:t>st</w:t>
            </w:r>
            <w:r w:rsidR="00697B57" w:rsidRPr="00C030BE">
              <w:rPr>
                <w:rFonts w:cs="Arial"/>
                <w:spacing w:val="2"/>
                <w:sz w:val="16"/>
                <w:szCs w:val="16"/>
              </w:rPr>
              <w:t>i</w:t>
            </w:r>
            <w:r w:rsidR="00697B57" w:rsidRPr="00C030BE">
              <w:rPr>
                <w:rFonts w:cs="Arial"/>
                <w:spacing w:val="-2"/>
                <w:sz w:val="16"/>
                <w:szCs w:val="16"/>
              </w:rPr>
              <w:t>n</w:t>
            </w:r>
            <w:r w:rsidR="00697B57" w:rsidRPr="00C030BE">
              <w:rPr>
                <w:rFonts w:cs="Arial"/>
                <w:sz w:val="16"/>
                <w:szCs w:val="16"/>
              </w:rPr>
              <w:t>g</w:t>
            </w:r>
            <w:r w:rsidR="00697B57" w:rsidRPr="00C030BE">
              <w:rPr>
                <w:rFonts w:cs="Arial"/>
                <w:spacing w:val="-4"/>
                <w:sz w:val="16"/>
                <w:szCs w:val="16"/>
              </w:rPr>
              <w:t xml:space="preserve"> </w:t>
            </w:r>
            <w:r w:rsidR="00697B57" w:rsidRPr="00C030BE">
              <w:rPr>
                <w:rFonts w:cs="Arial"/>
                <w:sz w:val="16"/>
                <w:szCs w:val="16"/>
              </w:rPr>
              <w:t>co</w:t>
            </w:r>
            <w:r w:rsidR="00697B57" w:rsidRPr="00C030BE">
              <w:rPr>
                <w:rFonts w:cs="Arial"/>
                <w:spacing w:val="-2"/>
                <w:sz w:val="16"/>
                <w:szCs w:val="16"/>
              </w:rPr>
              <w:t>n</w:t>
            </w:r>
            <w:r w:rsidR="00697B57" w:rsidRPr="00C030BE">
              <w:rPr>
                <w:rFonts w:cs="Arial"/>
                <w:sz w:val="16"/>
                <w:szCs w:val="16"/>
              </w:rPr>
              <w:t>tro</w:t>
            </w:r>
            <w:r w:rsidR="00697B57" w:rsidRPr="00C030BE">
              <w:rPr>
                <w:rFonts w:cs="Arial"/>
                <w:spacing w:val="2"/>
                <w:sz w:val="16"/>
                <w:szCs w:val="16"/>
              </w:rPr>
              <w:t>l</w:t>
            </w:r>
            <w:r w:rsidR="00697B57" w:rsidRPr="00C030BE">
              <w:rPr>
                <w:rFonts w:cs="Arial"/>
                <w:sz w:val="16"/>
                <w:szCs w:val="16"/>
              </w:rPr>
              <w:t>s</w:t>
            </w:r>
            <w:r w:rsidR="00697B57" w:rsidRPr="00C030BE">
              <w:rPr>
                <w:rFonts w:cs="Arial"/>
                <w:spacing w:val="-4"/>
                <w:sz w:val="16"/>
                <w:szCs w:val="16"/>
              </w:rPr>
              <w:t xml:space="preserve"> </w:t>
            </w:r>
            <w:r w:rsidRPr="00C030BE">
              <w:rPr>
                <w:rFonts w:cs="Arial"/>
                <w:spacing w:val="-4"/>
                <w:sz w:val="16"/>
                <w:szCs w:val="16"/>
              </w:rPr>
              <w:t>and</w:t>
            </w:r>
            <w:r w:rsidR="00697B57" w:rsidRPr="00C030BE">
              <w:rPr>
                <w:rFonts w:cs="Arial"/>
                <w:sz w:val="16"/>
                <w:szCs w:val="16"/>
              </w:rPr>
              <w:t>/or</w:t>
            </w:r>
            <w:r w:rsidR="00697B57" w:rsidRPr="00C030BE">
              <w:rPr>
                <w:rFonts w:cs="Arial"/>
                <w:spacing w:val="-4"/>
                <w:sz w:val="16"/>
                <w:szCs w:val="16"/>
              </w:rPr>
              <w:t xml:space="preserve"> </w:t>
            </w:r>
            <w:r w:rsidR="00697B57" w:rsidRPr="00C030BE">
              <w:rPr>
                <w:rFonts w:cs="Arial"/>
                <w:spacing w:val="2"/>
                <w:sz w:val="16"/>
                <w:szCs w:val="16"/>
              </w:rPr>
              <w:t>i</w:t>
            </w:r>
            <w:r w:rsidR="00697B57" w:rsidRPr="00C030BE">
              <w:rPr>
                <w:rFonts w:cs="Arial"/>
                <w:sz w:val="16"/>
                <w:szCs w:val="16"/>
              </w:rPr>
              <w:t>mp</w:t>
            </w:r>
            <w:r w:rsidR="00697B57" w:rsidRPr="00C030BE">
              <w:rPr>
                <w:rFonts w:cs="Arial"/>
                <w:spacing w:val="2"/>
                <w:sz w:val="16"/>
                <w:szCs w:val="16"/>
              </w:rPr>
              <w:t>l</w:t>
            </w:r>
            <w:r w:rsidR="00697B57" w:rsidRPr="00C030BE">
              <w:rPr>
                <w:rFonts w:cs="Arial"/>
                <w:sz w:val="16"/>
                <w:szCs w:val="16"/>
              </w:rPr>
              <w:t>eme</w:t>
            </w:r>
            <w:r w:rsidR="00697B57" w:rsidRPr="00C030BE">
              <w:rPr>
                <w:rFonts w:cs="Arial"/>
                <w:spacing w:val="-2"/>
                <w:sz w:val="16"/>
                <w:szCs w:val="16"/>
              </w:rPr>
              <w:t>n</w:t>
            </w:r>
            <w:r w:rsidR="00697B57" w:rsidRPr="00C030BE">
              <w:rPr>
                <w:rFonts w:cs="Arial"/>
                <w:sz w:val="16"/>
                <w:szCs w:val="16"/>
              </w:rPr>
              <w:t>t</w:t>
            </w:r>
            <w:r w:rsidR="00697B57" w:rsidRPr="00C030BE">
              <w:rPr>
                <w:rFonts w:cs="Arial"/>
                <w:spacing w:val="-6"/>
                <w:sz w:val="16"/>
                <w:szCs w:val="16"/>
              </w:rPr>
              <w:t xml:space="preserve"> </w:t>
            </w:r>
            <w:r w:rsidR="00697B57" w:rsidRPr="00C030BE">
              <w:rPr>
                <w:rFonts w:cs="Arial"/>
                <w:spacing w:val="-2"/>
                <w:sz w:val="16"/>
                <w:szCs w:val="16"/>
              </w:rPr>
              <w:t>n</w:t>
            </w:r>
            <w:r w:rsidR="00697B57" w:rsidRPr="00C030BE">
              <w:rPr>
                <w:rFonts w:cs="Arial"/>
                <w:sz w:val="16"/>
                <w:szCs w:val="16"/>
              </w:rPr>
              <w:t>ew</w:t>
            </w:r>
            <w:r w:rsidR="00697B57" w:rsidRPr="00C030BE">
              <w:rPr>
                <w:rFonts w:cs="Arial"/>
                <w:spacing w:val="-2"/>
                <w:sz w:val="16"/>
                <w:szCs w:val="16"/>
              </w:rPr>
              <w:t xml:space="preserve"> </w:t>
            </w:r>
            <w:r w:rsidR="00697B57" w:rsidRPr="00C030BE">
              <w:rPr>
                <w:rFonts w:cs="Arial"/>
                <w:sz w:val="16"/>
                <w:szCs w:val="16"/>
              </w:rPr>
              <w:t>co</w:t>
            </w:r>
            <w:r w:rsidR="00697B57" w:rsidRPr="00C030BE">
              <w:rPr>
                <w:rFonts w:cs="Arial"/>
                <w:spacing w:val="-2"/>
                <w:sz w:val="16"/>
                <w:szCs w:val="16"/>
              </w:rPr>
              <w:t>n</w:t>
            </w:r>
            <w:r w:rsidR="00697B57" w:rsidRPr="00C030BE">
              <w:rPr>
                <w:rFonts w:cs="Arial"/>
                <w:sz w:val="16"/>
                <w:szCs w:val="16"/>
              </w:rPr>
              <w:t>tro</w:t>
            </w:r>
            <w:r w:rsidR="00697B57" w:rsidRPr="00C030BE">
              <w:rPr>
                <w:rFonts w:cs="Arial"/>
                <w:spacing w:val="2"/>
                <w:sz w:val="16"/>
                <w:szCs w:val="16"/>
              </w:rPr>
              <w:t>l(s)</w:t>
            </w:r>
            <w:r w:rsidR="00697B57" w:rsidRPr="00C030BE">
              <w:rPr>
                <w:rFonts w:cs="Arial"/>
                <w:sz w:val="16"/>
                <w:szCs w:val="16"/>
              </w:rPr>
              <w:t xml:space="preserve"> operational planning, management responsibility </w:t>
            </w:r>
            <w:r w:rsidRPr="00C030BE">
              <w:rPr>
                <w:rFonts w:cs="Arial"/>
                <w:sz w:val="16"/>
                <w:szCs w:val="16"/>
              </w:rPr>
              <w:t>and</w:t>
            </w:r>
            <w:r w:rsidR="00697B57" w:rsidRPr="00C030BE">
              <w:rPr>
                <w:rFonts w:cs="Arial"/>
                <w:sz w:val="16"/>
                <w:szCs w:val="16"/>
              </w:rPr>
              <w:t xml:space="preserve"> actions must be specified, corrective &amp; preventative action plan required.</w:t>
            </w:r>
          </w:p>
          <w:p w14:paraId="6A157034" w14:textId="77777777" w:rsidR="00697B57" w:rsidRPr="00C030BE" w:rsidRDefault="00697B57" w:rsidP="00697B57">
            <w:pPr>
              <w:spacing w:before="60" w:after="60"/>
              <w:rPr>
                <w:rFonts w:cs="Arial"/>
                <w:sz w:val="16"/>
                <w:szCs w:val="16"/>
              </w:rPr>
            </w:pPr>
            <w:r w:rsidRPr="00C030BE">
              <w:rPr>
                <w:rFonts w:cs="Arial"/>
                <w:sz w:val="16"/>
                <w:szCs w:val="16"/>
                <w:u w:val="single"/>
              </w:rPr>
              <w:t>Notification</w:t>
            </w:r>
            <w:r w:rsidRPr="00C030BE">
              <w:rPr>
                <w:rFonts w:cs="Arial"/>
                <w:sz w:val="16"/>
                <w:szCs w:val="16"/>
              </w:rPr>
              <w:t>: Managing Director (notified by Executive Management)</w:t>
            </w:r>
            <w:r w:rsidR="00F05B04" w:rsidRPr="00C030BE">
              <w:rPr>
                <w:rFonts w:cs="Arial"/>
                <w:sz w:val="16"/>
                <w:szCs w:val="16"/>
              </w:rPr>
              <w:t>.</w:t>
            </w:r>
          </w:p>
        </w:tc>
      </w:tr>
      <w:tr w:rsidR="00F05B04" w:rsidRPr="00C030BE" w14:paraId="64B7E797" w14:textId="77777777" w:rsidTr="00F05B04">
        <w:tc>
          <w:tcPr>
            <w:tcW w:w="1418" w:type="dxa"/>
            <w:shd w:val="clear" w:color="auto" w:fill="92D050"/>
            <w:vAlign w:val="center"/>
          </w:tcPr>
          <w:p w14:paraId="3381F935" w14:textId="77777777" w:rsidR="00697B57" w:rsidRPr="00C030BE" w:rsidRDefault="00697B57" w:rsidP="00697B57">
            <w:pPr>
              <w:tabs>
                <w:tab w:val="left" w:pos="1769"/>
              </w:tabs>
              <w:jc w:val="center"/>
              <w:rPr>
                <w:rFonts w:cs="Arial"/>
                <w:b/>
                <w:sz w:val="16"/>
                <w:szCs w:val="16"/>
              </w:rPr>
            </w:pPr>
            <w:r w:rsidRPr="00C030BE">
              <w:rPr>
                <w:rFonts w:cs="Arial"/>
                <w:b/>
                <w:sz w:val="16"/>
                <w:szCs w:val="16"/>
              </w:rPr>
              <w:t>Low</w:t>
            </w:r>
          </w:p>
        </w:tc>
        <w:tc>
          <w:tcPr>
            <w:tcW w:w="7654" w:type="dxa"/>
            <w:shd w:val="clear" w:color="auto" w:fill="auto"/>
          </w:tcPr>
          <w:p w14:paraId="1C42299E" w14:textId="77777777" w:rsidR="00F05B04" w:rsidRPr="00C030BE" w:rsidRDefault="00697B57" w:rsidP="00697B57">
            <w:pPr>
              <w:rPr>
                <w:rFonts w:cs="Arial"/>
                <w:sz w:val="16"/>
                <w:szCs w:val="16"/>
              </w:rPr>
            </w:pPr>
            <w:r w:rsidRPr="00C030BE">
              <w:rPr>
                <w:rFonts w:cs="Arial"/>
                <w:b/>
                <w:sz w:val="16"/>
                <w:szCs w:val="16"/>
              </w:rPr>
              <w:t>Tolerable risk</w:t>
            </w:r>
            <w:r w:rsidRPr="00C030BE">
              <w:rPr>
                <w:rFonts w:cs="Arial"/>
                <w:sz w:val="16"/>
                <w:szCs w:val="16"/>
              </w:rPr>
              <w:t xml:space="preserve"> that can be managed by routine procedures; accept risk.  </w:t>
            </w:r>
          </w:p>
          <w:p w14:paraId="31435131" w14:textId="77777777" w:rsidR="00F05B04" w:rsidRPr="00C030BE" w:rsidRDefault="00697B57" w:rsidP="00697B57">
            <w:pPr>
              <w:rPr>
                <w:rFonts w:cs="Arial"/>
                <w:color w:val="000000"/>
                <w:sz w:val="16"/>
                <w:szCs w:val="16"/>
              </w:rPr>
            </w:pPr>
            <w:r w:rsidRPr="00C030BE">
              <w:rPr>
                <w:rFonts w:cs="Arial"/>
                <w:sz w:val="16"/>
                <w:szCs w:val="16"/>
              </w:rPr>
              <w:t>Senior Management/Supervisor decision required. Reporting &amp; decision making at management level.</w:t>
            </w:r>
            <w:r w:rsidRPr="00C030BE">
              <w:rPr>
                <w:rFonts w:cs="Arial"/>
                <w:color w:val="000000"/>
                <w:sz w:val="16"/>
                <w:szCs w:val="16"/>
              </w:rPr>
              <w:t xml:space="preserve">  </w:t>
            </w:r>
          </w:p>
          <w:p w14:paraId="7E8E8084" w14:textId="77777777" w:rsidR="00697B57" w:rsidRPr="00C030BE" w:rsidRDefault="00697B57" w:rsidP="00697B57">
            <w:pPr>
              <w:rPr>
                <w:rFonts w:cs="Arial"/>
                <w:color w:val="000000"/>
                <w:sz w:val="16"/>
                <w:szCs w:val="16"/>
              </w:rPr>
            </w:pPr>
            <w:r w:rsidRPr="00C030BE">
              <w:rPr>
                <w:rFonts w:cs="Arial"/>
                <w:color w:val="000000"/>
                <w:sz w:val="16"/>
                <w:szCs w:val="16"/>
              </w:rPr>
              <w:t>M</w:t>
            </w:r>
            <w:r w:rsidRPr="00C030BE">
              <w:rPr>
                <w:rFonts w:cs="Arial"/>
                <w:color w:val="000000"/>
                <w:spacing w:val="-1"/>
                <w:sz w:val="16"/>
                <w:szCs w:val="16"/>
              </w:rPr>
              <w:t>a</w:t>
            </w:r>
            <w:r w:rsidRPr="00C030BE">
              <w:rPr>
                <w:rFonts w:cs="Arial"/>
                <w:color w:val="000000"/>
                <w:sz w:val="16"/>
                <w:szCs w:val="16"/>
              </w:rPr>
              <w:t>n</w:t>
            </w:r>
            <w:r w:rsidRPr="00C030BE">
              <w:rPr>
                <w:rFonts w:cs="Arial"/>
                <w:color w:val="000000"/>
                <w:spacing w:val="-1"/>
                <w:sz w:val="16"/>
                <w:szCs w:val="16"/>
              </w:rPr>
              <w:t>a</w:t>
            </w:r>
            <w:r w:rsidRPr="00C030BE">
              <w:rPr>
                <w:rFonts w:cs="Arial"/>
                <w:color w:val="000000"/>
                <w:spacing w:val="2"/>
                <w:sz w:val="16"/>
                <w:szCs w:val="16"/>
              </w:rPr>
              <w:t>g</w:t>
            </w:r>
            <w:r w:rsidRPr="00C030BE">
              <w:rPr>
                <w:rFonts w:cs="Arial"/>
                <w:color w:val="000000"/>
                <w:sz w:val="16"/>
                <w:szCs w:val="16"/>
              </w:rPr>
              <w:t>ed</w:t>
            </w:r>
            <w:r w:rsidRPr="00C030BE">
              <w:rPr>
                <w:rFonts w:cs="Arial"/>
                <w:color w:val="000000"/>
                <w:spacing w:val="-7"/>
                <w:sz w:val="16"/>
                <w:szCs w:val="16"/>
              </w:rPr>
              <w:t xml:space="preserve"> </w:t>
            </w:r>
            <w:r w:rsidRPr="00C030BE">
              <w:rPr>
                <w:rFonts w:cs="Arial"/>
                <w:color w:val="000000"/>
                <w:spacing w:val="2"/>
                <w:sz w:val="16"/>
                <w:szCs w:val="16"/>
              </w:rPr>
              <w:t>b</w:t>
            </w:r>
            <w:r w:rsidRPr="00C030BE">
              <w:rPr>
                <w:rFonts w:cs="Arial"/>
                <w:color w:val="000000"/>
                <w:sz w:val="16"/>
                <w:szCs w:val="16"/>
              </w:rPr>
              <w:t>y</w:t>
            </w:r>
            <w:r w:rsidRPr="00C030BE">
              <w:rPr>
                <w:rFonts w:cs="Arial"/>
                <w:color w:val="000000"/>
                <w:spacing w:val="-6"/>
                <w:sz w:val="16"/>
                <w:szCs w:val="16"/>
              </w:rPr>
              <w:t xml:space="preserve"> </w:t>
            </w:r>
            <w:r w:rsidRPr="00C030BE">
              <w:rPr>
                <w:rFonts w:cs="Arial"/>
                <w:color w:val="000000"/>
                <w:sz w:val="16"/>
                <w:szCs w:val="16"/>
              </w:rPr>
              <w:t>r</w:t>
            </w:r>
            <w:r w:rsidRPr="00C030BE">
              <w:rPr>
                <w:rFonts w:cs="Arial"/>
                <w:color w:val="000000"/>
                <w:spacing w:val="2"/>
                <w:sz w:val="16"/>
                <w:szCs w:val="16"/>
              </w:rPr>
              <w:t>o</w:t>
            </w:r>
            <w:r w:rsidRPr="00C030BE">
              <w:rPr>
                <w:rFonts w:cs="Arial"/>
                <w:color w:val="000000"/>
                <w:sz w:val="16"/>
                <w:szCs w:val="16"/>
              </w:rPr>
              <w:t>u</w:t>
            </w:r>
            <w:r w:rsidRPr="00C030BE">
              <w:rPr>
                <w:rFonts w:cs="Arial"/>
                <w:color w:val="000000"/>
                <w:spacing w:val="2"/>
                <w:sz w:val="16"/>
                <w:szCs w:val="16"/>
              </w:rPr>
              <w:t>t</w:t>
            </w:r>
            <w:r w:rsidRPr="00C030BE">
              <w:rPr>
                <w:rFonts w:cs="Arial"/>
                <w:color w:val="000000"/>
                <w:spacing w:val="-1"/>
                <w:sz w:val="16"/>
                <w:szCs w:val="16"/>
              </w:rPr>
              <w:t>i</w:t>
            </w:r>
            <w:r w:rsidRPr="00C030BE">
              <w:rPr>
                <w:rFonts w:cs="Arial"/>
                <w:color w:val="000000"/>
                <w:sz w:val="16"/>
                <w:szCs w:val="16"/>
              </w:rPr>
              <w:t>ne</w:t>
            </w:r>
            <w:r w:rsidRPr="00C030BE">
              <w:rPr>
                <w:rFonts w:cs="Arial"/>
                <w:color w:val="000000"/>
                <w:spacing w:val="-5"/>
                <w:sz w:val="16"/>
                <w:szCs w:val="16"/>
              </w:rPr>
              <w:t xml:space="preserve"> </w:t>
            </w:r>
            <w:r w:rsidR="00F05B04" w:rsidRPr="00C030BE">
              <w:rPr>
                <w:rFonts w:cs="Arial"/>
                <w:sz w:val="16"/>
                <w:szCs w:val="16"/>
              </w:rPr>
              <w:t>Standard Operating Procedures</w:t>
            </w:r>
            <w:r w:rsidR="00F05B04" w:rsidRPr="00C030BE">
              <w:rPr>
                <w:rFonts w:cs="Arial"/>
                <w:color w:val="000000"/>
                <w:spacing w:val="-5"/>
                <w:sz w:val="16"/>
                <w:szCs w:val="16"/>
              </w:rPr>
              <w:t xml:space="preserve"> (</w:t>
            </w:r>
            <w:r w:rsidRPr="00C030BE">
              <w:rPr>
                <w:rFonts w:cs="Arial"/>
                <w:color w:val="000000"/>
                <w:spacing w:val="-1"/>
                <w:sz w:val="16"/>
                <w:szCs w:val="16"/>
              </w:rPr>
              <w:t>S</w:t>
            </w:r>
            <w:r w:rsidRPr="00C030BE">
              <w:rPr>
                <w:rFonts w:cs="Arial"/>
                <w:color w:val="000000"/>
                <w:spacing w:val="1"/>
                <w:sz w:val="16"/>
                <w:szCs w:val="16"/>
              </w:rPr>
              <w:t>O</w:t>
            </w:r>
            <w:r w:rsidRPr="00C030BE">
              <w:rPr>
                <w:rFonts w:cs="Arial"/>
                <w:color w:val="000000"/>
                <w:spacing w:val="-1"/>
                <w:sz w:val="16"/>
                <w:szCs w:val="16"/>
              </w:rPr>
              <w:t>P</w:t>
            </w:r>
            <w:r w:rsidRPr="00C030BE">
              <w:rPr>
                <w:rFonts w:cs="Arial"/>
                <w:color w:val="000000"/>
                <w:sz w:val="16"/>
                <w:szCs w:val="16"/>
              </w:rPr>
              <w:t>s</w:t>
            </w:r>
            <w:r w:rsidR="00F05B04" w:rsidRPr="00C030BE">
              <w:rPr>
                <w:rFonts w:cs="Arial"/>
                <w:color w:val="000000"/>
                <w:sz w:val="16"/>
                <w:szCs w:val="16"/>
              </w:rPr>
              <w:t>) and</w:t>
            </w:r>
            <w:r w:rsidRPr="00C030BE">
              <w:rPr>
                <w:rFonts w:cs="Arial"/>
                <w:color w:val="000000"/>
                <w:spacing w:val="-4"/>
                <w:sz w:val="16"/>
                <w:szCs w:val="16"/>
              </w:rPr>
              <w:t xml:space="preserve"> </w:t>
            </w:r>
            <w:r w:rsidRPr="00C030BE">
              <w:rPr>
                <w:rFonts w:cs="Arial"/>
                <w:color w:val="000000"/>
                <w:spacing w:val="2"/>
                <w:sz w:val="16"/>
                <w:szCs w:val="16"/>
              </w:rPr>
              <w:t>o</w:t>
            </w:r>
            <w:r w:rsidRPr="00C030BE">
              <w:rPr>
                <w:rFonts w:cs="Arial"/>
                <w:color w:val="000000"/>
                <w:sz w:val="16"/>
                <w:szCs w:val="16"/>
              </w:rPr>
              <w:t>n</w:t>
            </w:r>
            <w:r w:rsidRPr="00C030BE">
              <w:rPr>
                <w:rFonts w:cs="Arial"/>
                <w:color w:val="000000"/>
                <w:spacing w:val="1"/>
                <w:sz w:val="16"/>
                <w:szCs w:val="16"/>
              </w:rPr>
              <w:t>s</w:t>
            </w:r>
            <w:r w:rsidRPr="00C030BE">
              <w:rPr>
                <w:rFonts w:cs="Arial"/>
                <w:color w:val="000000"/>
                <w:spacing w:val="-1"/>
                <w:sz w:val="16"/>
                <w:szCs w:val="16"/>
              </w:rPr>
              <w:t>i</w:t>
            </w:r>
            <w:r w:rsidRPr="00C030BE">
              <w:rPr>
                <w:rFonts w:cs="Arial"/>
                <w:color w:val="000000"/>
                <w:sz w:val="16"/>
                <w:szCs w:val="16"/>
              </w:rPr>
              <w:t>te</w:t>
            </w:r>
            <w:r w:rsidRPr="00C030BE">
              <w:rPr>
                <w:rFonts w:cs="Arial"/>
                <w:color w:val="000000"/>
                <w:spacing w:val="-3"/>
                <w:sz w:val="16"/>
                <w:szCs w:val="16"/>
              </w:rPr>
              <w:t xml:space="preserve"> </w:t>
            </w:r>
            <w:r w:rsidRPr="00C030BE">
              <w:rPr>
                <w:rFonts w:cs="Arial"/>
                <w:color w:val="000000"/>
                <w:spacing w:val="4"/>
                <w:sz w:val="16"/>
                <w:szCs w:val="16"/>
              </w:rPr>
              <w:t>m</w:t>
            </w:r>
            <w:r w:rsidRPr="00C030BE">
              <w:rPr>
                <w:rFonts w:cs="Arial"/>
                <w:color w:val="000000"/>
                <w:sz w:val="16"/>
                <w:szCs w:val="16"/>
              </w:rPr>
              <w:t>a</w:t>
            </w:r>
            <w:r w:rsidRPr="00C030BE">
              <w:rPr>
                <w:rFonts w:cs="Arial"/>
                <w:color w:val="000000"/>
                <w:spacing w:val="-1"/>
                <w:sz w:val="16"/>
                <w:szCs w:val="16"/>
              </w:rPr>
              <w:t>n</w:t>
            </w:r>
            <w:r w:rsidRPr="00C030BE">
              <w:rPr>
                <w:rFonts w:cs="Arial"/>
                <w:color w:val="000000"/>
                <w:sz w:val="16"/>
                <w:szCs w:val="16"/>
              </w:rPr>
              <w:t>a</w:t>
            </w:r>
            <w:r w:rsidRPr="00C030BE">
              <w:rPr>
                <w:rFonts w:cs="Arial"/>
                <w:color w:val="000000"/>
                <w:spacing w:val="-1"/>
                <w:sz w:val="16"/>
                <w:szCs w:val="16"/>
              </w:rPr>
              <w:t>g</w:t>
            </w:r>
            <w:r w:rsidRPr="00C030BE">
              <w:rPr>
                <w:rFonts w:cs="Arial"/>
                <w:color w:val="000000"/>
                <w:sz w:val="16"/>
                <w:szCs w:val="16"/>
              </w:rPr>
              <w:t>e</w:t>
            </w:r>
            <w:r w:rsidRPr="00C030BE">
              <w:rPr>
                <w:rFonts w:cs="Arial"/>
                <w:color w:val="000000"/>
                <w:spacing w:val="2"/>
                <w:sz w:val="16"/>
                <w:szCs w:val="16"/>
              </w:rPr>
              <w:t>m</w:t>
            </w:r>
            <w:r w:rsidRPr="00C030BE">
              <w:rPr>
                <w:rFonts w:cs="Arial"/>
                <w:color w:val="000000"/>
                <w:sz w:val="16"/>
                <w:szCs w:val="16"/>
              </w:rPr>
              <w:t>e</w:t>
            </w:r>
            <w:r w:rsidRPr="00C030BE">
              <w:rPr>
                <w:rFonts w:cs="Arial"/>
                <w:color w:val="000000"/>
                <w:spacing w:val="-1"/>
                <w:sz w:val="16"/>
                <w:szCs w:val="16"/>
              </w:rPr>
              <w:t>n</w:t>
            </w:r>
            <w:r w:rsidRPr="00C030BE">
              <w:rPr>
                <w:rFonts w:cs="Arial"/>
                <w:color w:val="000000"/>
                <w:sz w:val="16"/>
                <w:szCs w:val="16"/>
              </w:rPr>
              <w:t>t</w:t>
            </w:r>
            <w:r w:rsidRPr="00C030BE">
              <w:rPr>
                <w:rFonts w:cs="Arial"/>
                <w:color w:val="000000"/>
                <w:spacing w:val="-12"/>
                <w:sz w:val="16"/>
                <w:szCs w:val="16"/>
              </w:rPr>
              <w:t xml:space="preserve"> </w:t>
            </w:r>
            <w:r w:rsidRPr="00C030BE">
              <w:rPr>
                <w:rFonts w:cs="Arial"/>
                <w:color w:val="000000"/>
                <w:sz w:val="16"/>
                <w:szCs w:val="16"/>
              </w:rPr>
              <w:t>re</w:t>
            </w:r>
            <w:r w:rsidRPr="00C030BE">
              <w:rPr>
                <w:rFonts w:cs="Arial"/>
                <w:color w:val="000000"/>
                <w:spacing w:val="1"/>
                <w:sz w:val="16"/>
                <w:szCs w:val="16"/>
              </w:rPr>
              <w:t>s</w:t>
            </w:r>
            <w:r w:rsidRPr="00C030BE">
              <w:rPr>
                <w:rFonts w:cs="Arial"/>
                <w:color w:val="000000"/>
                <w:sz w:val="16"/>
                <w:szCs w:val="16"/>
              </w:rPr>
              <w:t>p</w:t>
            </w:r>
            <w:r w:rsidRPr="00C030BE">
              <w:rPr>
                <w:rFonts w:cs="Arial"/>
                <w:color w:val="000000"/>
                <w:spacing w:val="1"/>
                <w:sz w:val="16"/>
                <w:szCs w:val="16"/>
              </w:rPr>
              <w:t>o</w:t>
            </w:r>
            <w:r w:rsidRPr="00C030BE">
              <w:rPr>
                <w:rFonts w:cs="Arial"/>
                <w:color w:val="000000"/>
                <w:sz w:val="16"/>
                <w:szCs w:val="16"/>
              </w:rPr>
              <w:t>n</w:t>
            </w:r>
            <w:r w:rsidRPr="00C030BE">
              <w:rPr>
                <w:rFonts w:cs="Arial"/>
                <w:color w:val="000000"/>
                <w:spacing w:val="1"/>
                <w:sz w:val="16"/>
                <w:szCs w:val="16"/>
              </w:rPr>
              <w:t>s</w:t>
            </w:r>
            <w:r w:rsidRPr="00C030BE">
              <w:rPr>
                <w:rFonts w:cs="Arial"/>
                <w:color w:val="000000"/>
                <w:spacing w:val="-1"/>
                <w:sz w:val="16"/>
                <w:szCs w:val="16"/>
              </w:rPr>
              <w:t>i</w:t>
            </w:r>
            <w:r w:rsidRPr="00C030BE">
              <w:rPr>
                <w:rFonts w:cs="Arial"/>
                <w:color w:val="000000"/>
                <w:spacing w:val="2"/>
                <w:sz w:val="16"/>
                <w:szCs w:val="16"/>
              </w:rPr>
              <w:t>b</w:t>
            </w:r>
            <w:r w:rsidRPr="00C030BE">
              <w:rPr>
                <w:rFonts w:cs="Arial"/>
                <w:color w:val="000000"/>
                <w:spacing w:val="-1"/>
                <w:sz w:val="16"/>
                <w:szCs w:val="16"/>
              </w:rPr>
              <w:t>i</w:t>
            </w:r>
            <w:r w:rsidRPr="00C030BE">
              <w:rPr>
                <w:rFonts w:cs="Arial"/>
                <w:color w:val="000000"/>
                <w:spacing w:val="1"/>
                <w:sz w:val="16"/>
                <w:szCs w:val="16"/>
              </w:rPr>
              <w:t>l</w:t>
            </w:r>
            <w:r w:rsidRPr="00C030BE">
              <w:rPr>
                <w:rFonts w:cs="Arial"/>
                <w:color w:val="000000"/>
                <w:spacing w:val="-1"/>
                <w:sz w:val="16"/>
                <w:szCs w:val="16"/>
              </w:rPr>
              <w:t>i</w:t>
            </w:r>
            <w:r w:rsidRPr="00C030BE">
              <w:rPr>
                <w:rFonts w:cs="Arial"/>
                <w:color w:val="000000"/>
                <w:spacing w:val="4"/>
                <w:sz w:val="16"/>
                <w:szCs w:val="16"/>
              </w:rPr>
              <w:t>t</w:t>
            </w:r>
            <w:r w:rsidRPr="00C030BE">
              <w:rPr>
                <w:rFonts w:cs="Arial"/>
                <w:color w:val="000000"/>
                <w:sz w:val="16"/>
                <w:szCs w:val="16"/>
              </w:rPr>
              <w:t>y,</w:t>
            </w:r>
            <w:r w:rsidRPr="00C030BE">
              <w:rPr>
                <w:rFonts w:cs="Arial"/>
                <w:color w:val="000000"/>
                <w:spacing w:val="-4"/>
                <w:sz w:val="16"/>
                <w:szCs w:val="16"/>
              </w:rPr>
              <w:t xml:space="preserve"> </w:t>
            </w:r>
            <w:r w:rsidRPr="00C030BE">
              <w:rPr>
                <w:rFonts w:cs="Arial"/>
                <w:color w:val="000000"/>
                <w:spacing w:val="2"/>
                <w:sz w:val="16"/>
                <w:szCs w:val="16"/>
              </w:rPr>
              <w:t>a</w:t>
            </w:r>
            <w:r w:rsidRPr="00C030BE">
              <w:rPr>
                <w:rFonts w:cs="Arial"/>
                <w:color w:val="000000"/>
                <w:sz w:val="16"/>
                <w:szCs w:val="16"/>
              </w:rPr>
              <w:t>p</w:t>
            </w:r>
            <w:r w:rsidRPr="00C030BE">
              <w:rPr>
                <w:rFonts w:cs="Arial"/>
                <w:color w:val="000000"/>
                <w:spacing w:val="-1"/>
                <w:sz w:val="16"/>
                <w:szCs w:val="16"/>
              </w:rPr>
              <w:t>p</w:t>
            </w:r>
            <w:r w:rsidRPr="00C030BE">
              <w:rPr>
                <w:rFonts w:cs="Arial"/>
                <w:color w:val="000000"/>
                <w:spacing w:val="1"/>
                <w:sz w:val="16"/>
                <w:szCs w:val="16"/>
              </w:rPr>
              <w:t>r</w:t>
            </w:r>
            <w:r w:rsidRPr="00C030BE">
              <w:rPr>
                <w:rFonts w:cs="Arial"/>
                <w:color w:val="000000"/>
                <w:spacing w:val="2"/>
                <w:sz w:val="16"/>
                <w:szCs w:val="16"/>
              </w:rPr>
              <w:t>o</w:t>
            </w:r>
            <w:r w:rsidRPr="00C030BE">
              <w:rPr>
                <w:rFonts w:cs="Arial"/>
                <w:color w:val="000000"/>
                <w:spacing w:val="-1"/>
                <w:sz w:val="16"/>
                <w:szCs w:val="16"/>
              </w:rPr>
              <w:t>v</w:t>
            </w:r>
            <w:r w:rsidRPr="00C030BE">
              <w:rPr>
                <w:rFonts w:cs="Arial"/>
                <w:color w:val="000000"/>
                <w:spacing w:val="2"/>
                <w:sz w:val="16"/>
                <w:szCs w:val="16"/>
              </w:rPr>
              <w:t>a</w:t>
            </w:r>
            <w:r w:rsidR="00F05B04" w:rsidRPr="00C030BE">
              <w:rPr>
                <w:rFonts w:cs="Arial"/>
                <w:color w:val="000000"/>
                <w:spacing w:val="-1"/>
                <w:sz w:val="16"/>
                <w:szCs w:val="16"/>
              </w:rPr>
              <w:t>l and</w:t>
            </w:r>
            <w:r w:rsidRPr="00C030BE">
              <w:rPr>
                <w:rFonts w:cs="Arial"/>
                <w:color w:val="000000"/>
                <w:spacing w:val="-1"/>
                <w:sz w:val="16"/>
                <w:szCs w:val="16"/>
              </w:rPr>
              <w:t xml:space="preserve"> monitoring</w:t>
            </w:r>
            <w:r w:rsidRPr="00C030BE">
              <w:rPr>
                <w:rFonts w:cs="Arial"/>
                <w:color w:val="000000"/>
                <w:sz w:val="16"/>
                <w:szCs w:val="16"/>
              </w:rPr>
              <w:t>.</w:t>
            </w:r>
          </w:p>
          <w:p w14:paraId="3BE53F3D" w14:textId="77777777" w:rsidR="00697B57" w:rsidRPr="00C030BE" w:rsidRDefault="00697B57" w:rsidP="00F05B04">
            <w:pPr>
              <w:spacing w:before="60" w:after="60"/>
              <w:rPr>
                <w:rFonts w:cs="Arial"/>
                <w:sz w:val="16"/>
                <w:szCs w:val="16"/>
              </w:rPr>
            </w:pPr>
            <w:r w:rsidRPr="00C030BE">
              <w:rPr>
                <w:rFonts w:cs="Arial"/>
                <w:color w:val="000000"/>
                <w:sz w:val="16"/>
                <w:szCs w:val="16"/>
                <w:u w:val="single"/>
              </w:rPr>
              <w:t>Notification</w:t>
            </w:r>
            <w:r w:rsidRPr="00C030BE">
              <w:rPr>
                <w:rFonts w:cs="Arial"/>
                <w:color w:val="000000"/>
                <w:sz w:val="16"/>
                <w:szCs w:val="16"/>
              </w:rPr>
              <w:t xml:space="preserve">: </w:t>
            </w:r>
            <w:r w:rsidRPr="00C030BE">
              <w:rPr>
                <w:rFonts w:cs="Arial"/>
                <w:sz w:val="16"/>
                <w:szCs w:val="16"/>
              </w:rPr>
              <w:t>Executive Manager (notified by Manager/Sup</w:t>
            </w:r>
            <w:r w:rsidR="00F05B04" w:rsidRPr="00C030BE">
              <w:rPr>
                <w:rFonts w:cs="Arial"/>
                <w:sz w:val="16"/>
                <w:szCs w:val="16"/>
              </w:rPr>
              <w:t>erintendent</w:t>
            </w:r>
            <w:r w:rsidRPr="00C030BE">
              <w:rPr>
                <w:rFonts w:cs="Arial"/>
                <w:sz w:val="16"/>
                <w:szCs w:val="16"/>
              </w:rPr>
              <w:t>/S</w:t>
            </w:r>
            <w:r w:rsidR="00F05B04" w:rsidRPr="00C030BE">
              <w:rPr>
                <w:rFonts w:cs="Arial"/>
                <w:sz w:val="16"/>
                <w:szCs w:val="16"/>
              </w:rPr>
              <w:t>u</w:t>
            </w:r>
            <w:r w:rsidRPr="00C030BE">
              <w:rPr>
                <w:rFonts w:cs="Arial"/>
                <w:sz w:val="16"/>
                <w:szCs w:val="16"/>
              </w:rPr>
              <w:t>p</w:t>
            </w:r>
            <w:r w:rsidR="00F05B04" w:rsidRPr="00C030BE">
              <w:rPr>
                <w:rFonts w:cs="Arial"/>
                <w:sz w:val="16"/>
                <w:szCs w:val="16"/>
              </w:rPr>
              <w:t>er</w:t>
            </w:r>
            <w:r w:rsidRPr="00C030BE">
              <w:rPr>
                <w:rFonts w:cs="Arial"/>
                <w:sz w:val="16"/>
                <w:szCs w:val="16"/>
              </w:rPr>
              <w:t>v</w:t>
            </w:r>
            <w:r w:rsidR="00F05B04" w:rsidRPr="00C030BE">
              <w:rPr>
                <w:rFonts w:cs="Arial"/>
                <w:sz w:val="16"/>
                <w:szCs w:val="16"/>
              </w:rPr>
              <w:t>iso</w:t>
            </w:r>
            <w:r w:rsidRPr="00C030BE">
              <w:rPr>
                <w:rFonts w:cs="Arial"/>
                <w:sz w:val="16"/>
                <w:szCs w:val="16"/>
              </w:rPr>
              <w:t>r)</w:t>
            </w:r>
            <w:r w:rsidR="00F05B04" w:rsidRPr="00C030BE">
              <w:rPr>
                <w:rFonts w:cs="Arial"/>
                <w:sz w:val="16"/>
                <w:szCs w:val="16"/>
              </w:rPr>
              <w:t>.</w:t>
            </w:r>
          </w:p>
        </w:tc>
      </w:tr>
    </w:tbl>
    <w:p w14:paraId="63309639" w14:textId="77777777" w:rsidR="00803899" w:rsidRDefault="00803899" w:rsidP="000D1D69">
      <w:pPr>
        <w:pStyle w:val="Content2"/>
        <w:spacing w:before="120"/>
        <w:ind w:left="567"/>
        <w:jc w:val="left"/>
        <w:rPr>
          <w:rFonts w:ascii="Arial" w:eastAsia="SimSun" w:hAnsi="Arial" w:cs="Times New Roman"/>
          <w:kern w:val="2"/>
          <w:sz w:val="20"/>
          <w:szCs w:val="20"/>
          <w:lang w:val="en-AU" w:eastAsia="en-AU"/>
        </w:rPr>
      </w:pPr>
    </w:p>
    <w:p w14:paraId="00A13168" w14:textId="77777777" w:rsidR="00EA3DDF" w:rsidRDefault="00EA3DDF" w:rsidP="000D1D69">
      <w:pPr>
        <w:pStyle w:val="Content2"/>
        <w:spacing w:before="120"/>
        <w:ind w:left="567"/>
        <w:jc w:val="left"/>
        <w:rPr>
          <w:rFonts w:ascii="Arial" w:eastAsia="SimSun" w:hAnsi="Arial" w:cs="Times New Roman"/>
          <w:kern w:val="2"/>
          <w:sz w:val="20"/>
          <w:szCs w:val="20"/>
          <w:lang w:val="en-AU" w:eastAsia="en-AU"/>
        </w:rPr>
      </w:pPr>
    </w:p>
    <w:p w14:paraId="317ADE4B" w14:textId="2FD29B57" w:rsidR="00697B57" w:rsidRDefault="00DC2C7B" w:rsidP="00697B57">
      <w:pPr>
        <w:pStyle w:val="BodyText"/>
        <w:spacing w:before="120"/>
        <w:ind w:left="1418"/>
        <w:jc w:val="center"/>
      </w:pPr>
      <w:r>
        <w:rPr>
          <w:noProof/>
          <w:lang w:val="en-GB" w:eastAsia="en-GB"/>
        </w:rPr>
        <w:drawing>
          <wp:inline distT="0" distB="0" distL="0" distR="0" wp14:anchorId="4DC61DFC" wp14:editId="3A88DEA8">
            <wp:extent cx="4478655" cy="2751455"/>
            <wp:effectExtent l="0" t="0" r="0" b="0"/>
            <wp:docPr id="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478655" cy="2751455"/>
                    </a:xfrm>
                    <a:prstGeom prst="rect">
                      <a:avLst/>
                    </a:prstGeom>
                    <a:noFill/>
                    <a:ln>
                      <a:noFill/>
                    </a:ln>
                  </pic:spPr>
                </pic:pic>
              </a:graphicData>
            </a:graphic>
          </wp:inline>
        </w:drawing>
      </w:r>
    </w:p>
    <w:p w14:paraId="7ECDAE1E" w14:textId="2D040D43" w:rsidR="00C030BE" w:rsidRDefault="00C030BE" w:rsidP="00213285">
      <w:pPr>
        <w:pStyle w:val="Caption"/>
        <w:outlineLvl w:val="9"/>
        <w:rPr>
          <w:sz w:val="20"/>
          <w:szCs w:val="20"/>
        </w:rPr>
      </w:pPr>
      <w:bookmarkStart w:id="164" w:name="_Ref473374555"/>
      <w:bookmarkStart w:id="165" w:name="_Toc510779255"/>
      <w:r w:rsidRPr="00C030BE">
        <w:rPr>
          <w:sz w:val="20"/>
          <w:szCs w:val="20"/>
        </w:rPr>
        <w:t xml:space="preserve">Figure </w:t>
      </w:r>
      <w:r w:rsidR="00D3458F">
        <w:rPr>
          <w:sz w:val="20"/>
          <w:szCs w:val="20"/>
        </w:rPr>
        <w:fldChar w:fldCharType="begin"/>
      </w:r>
      <w:r w:rsidR="00D3458F">
        <w:rPr>
          <w:sz w:val="20"/>
          <w:szCs w:val="20"/>
        </w:rPr>
        <w:instrText xml:space="preserve"> STYLEREF 1 \s </w:instrText>
      </w:r>
      <w:r w:rsidR="00D3458F">
        <w:rPr>
          <w:sz w:val="20"/>
          <w:szCs w:val="20"/>
        </w:rPr>
        <w:fldChar w:fldCharType="separate"/>
      </w:r>
      <w:r w:rsidR="00CC4C35">
        <w:rPr>
          <w:noProof/>
          <w:sz w:val="20"/>
          <w:szCs w:val="20"/>
        </w:rPr>
        <w:t>4</w:t>
      </w:r>
      <w:r w:rsidR="00D3458F">
        <w:rPr>
          <w:sz w:val="20"/>
          <w:szCs w:val="20"/>
        </w:rPr>
        <w:fldChar w:fldCharType="end"/>
      </w:r>
      <w:r w:rsidR="00D3458F">
        <w:rPr>
          <w:sz w:val="20"/>
          <w:szCs w:val="20"/>
        </w:rPr>
        <w:noBreakHyphen/>
      </w:r>
      <w:r w:rsidR="00D3458F">
        <w:rPr>
          <w:sz w:val="20"/>
          <w:szCs w:val="20"/>
        </w:rPr>
        <w:fldChar w:fldCharType="begin"/>
      </w:r>
      <w:r w:rsidR="00D3458F">
        <w:rPr>
          <w:sz w:val="20"/>
          <w:szCs w:val="20"/>
        </w:rPr>
        <w:instrText xml:space="preserve"> SEQ Figure \* ARABIC \s 1 </w:instrText>
      </w:r>
      <w:r w:rsidR="00D3458F">
        <w:rPr>
          <w:sz w:val="20"/>
          <w:szCs w:val="20"/>
        </w:rPr>
        <w:fldChar w:fldCharType="separate"/>
      </w:r>
      <w:r w:rsidR="00CC4C35">
        <w:rPr>
          <w:noProof/>
          <w:sz w:val="20"/>
          <w:szCs w:val="20"/>
        </w:rPr>
        <w:t>3</w:t>
      </w:r>
      <w:r w:rsidR="00D3458F">
        <w:rPr>
          <w:sz w:val="20"/>
          <w:szCs w:val="20"/>
        </w:rPr>
        <w:fldChar w:fldCharType="end"/>
      </w:r>
      <w:bookmarkEnd w:id="164"/>
      <w:r w:rsidRPr="00C030BE">
        <w:rPr>
          <w:sz w:val="20"/>
          <w:szCs w:val="20"/>
        </w:rPr>
        <w:t>: Impact and risk ‘uncertainty decision-making framework</w:t>
      </w:r>
      <w:bookmarkEnd w:id="165"/>
    </w:p>
    <w:p w14:paraId="4E94BB89" w14:textId="77777777" w:rsidR="00B66D83" w:rsidRPr="00E439A6" w:rsidRDefault="00B66D83" w:rsidP="00E439A6">
      <w:pPr>
        <w:pStyle w:val="Heading2"/>
        <w:rPr>
          <w:b w:val="0"/>
        </w:rPr>
      </w:pPr>
      <w:bookmarkStart w:id="166" w:name="_Toc512862472"/>
      <w:r w:rsidRPr="00E439A6">
        <w:t>ALARP Criteria</w:t>
      </w:r>
      <w:bookmarkEnd w:id="166"/>
    </w:p>
    <w:p w14:paraId="3AEB4F8F" w14:textId="255E36D1" w:rsidR="00B66D83" w:rsidRDefault="00B66D83" w:rsidP="00B66D83">
      <w:pPr>
        <w:pStyle w:val="BodyText"/>
        <w:spacing w:after="0"/>
        <w:rPr>
          <w:szCs w:val="20"/>
        </w:rPr>
      </w:pPr>
      <w:r w:rsidRPr="00B66D83">
        <w:rPr>
          <w:szCs w:val="20"/>
        </w:rPr>
        <w:t>The ALARP model adopted for this assessment is dependent upon the:</w:t>
      </w:r>
    </w:p>
    <w:p w14:paraId="2A69C26C" w14:textId="77777777" w:rsidR="00B66D83" w:rsidRPr="00B66D83" w:rsidRDefault="00B66D83" w:rsidP="00B66D83">
      <w:pPr>
        <w:pStyle w:val="BodyText"/>
        <w:spacing w:after="0"/>
        <w:rPr>
          <w:szCs w:val="20"/>
        </w:rPr>
      </w:pPr>
    </w:p>
    <w:p w14:paraId="6EC828E6" w14:textId="142DE04D" w:rsidR="004C017B" w:rsidRDefault="00B66D83" w:rsidP="00E439A6">
      <w:pPr>
        <w:pStyle w:val="BodyText"/>
        <w:numPr>
          <w:ilvl w:val="0"/>
          <w:numId w:val="54"/>
        </w:numPr>
        <w:rPr>
          <w:szCs w:val="20"/>
        </w:rPr>
      </w:pPr>
      <w:r w:rsidRPr="00B66D83">
        <w:rPr>
          <w:szCs w:val="20"/>
        </w:rPr>
        <w:t>Residual impact or risk level (provided in Figure 5-3). For higher level impact and risk</w:t>
      </w:r>
      <w:r w:rsidR="004C017B">
        <w:rPr>
          <w:szCs w:val="20"/>
        </w:rPr>
        <w:t xml:space="preserve"> </w:t>
      </w:r>
      <w:r w:rsidRPr="004C017B">
        <w:rPr>
          <w:szCs w:val="20"/>
        </w:rPr>
        <w:t>residuals ALARP assessments consider options for alternative (replacement) controls;</w:t>
      </w:r>
      <w:r w:rsidR="004C017B">
        <w:rPr>
          <w:szCs w:val="20"/>
        </w:rPr>
        <w:t xml:space="preserve"> </w:t>
      </w:r>
      <w:r w:rsidRPr="004C017B">
        <w:rPr>
          <w:szCs w:val="20"/>
        </w:rPr>
        <w:t>additional controls to reduce the environmental impact/risk; and improvements to already</w:t>
      </w:r>
      <w:r w:rsidR="004C017B" w:rsidRPr="004C017B">
        <w:rPr>
          <w:szCs w:val="20"/>
        </w:rPr>
        <w:t xml:space="preserve"> </w:t>
      </w:r>
      <w:r w:rsidRPr="00B66D83">
        <w:rPr>
          <w:szCs w:val="20"/>
        </w:rPr>
        <w:t>adopted controls to increase their effectiveness.</w:t>
      </w:r>
    </w:p>
    <w:p w14:paraId="5A5A7402" w14:textId="1482BAFD" w:rsidR="00B66D83" w:rsidRPr="003A0A98" w:rsidRDefault="00B66D83" w:rsidP="00E439A6">
      <w:pPr>
        <w:pStyle w:val="BodyText"/>
        <w:numPr>
          <w:ilvl w:val="0"/>
          <w:numId w:val="54"/>
        </w:numPr>
        <w:rPr>
          <w:szCs w:val="20"/>
        </w:rPr>
      </w:pPr>
      <w:r w:rsidRPr="00B66D83">
        <w:rPr>
          <w:szCs w:val="20"/>
        </w:rPr>
        <w:t>Uncertainty in impact/risk (shown diagrammatically in Figure 5-4). Based upon the level of</w:t>
      </w:r>
      <w:r w:rsidR="004C017B">
        <w:rPr>
          <w:szCs w:val="20"/>
        </w:rPr>
        <w:t xml:space="preserve"> </w:t>
      </w:r>
      <w:r w:rsidRPr="004C017B">
        <w:rPr>
          <w:szCs w:val="20"/>
        </w:rPr>
        <w:t>uncertainty associated with the assessment of impact or risk, the following framework,</w:t>
      </w:r>
      <w:r w:rsidR="004C017B">
        <w:rPr>
          <w:szCs w:val="20"/>
        </w:rPr>
        <w:t xml:space="preserve"> </w:t>
      </w:r>
      <w:r w:rsidRPr="004C017B">
        <w:rPr>
          <w:szCs w:val="20"/>
        </w:rPr>
        <w:t>adapted from the Guidance on Risk Related Decision Making (Oil &amp; Gas UK, 2014)</w:t>
      </w:r>
      <w:r w:rsidR="004C017B">
        <w:rPr>
          <w:szCs w:val="20"/>
        </w:rPr>
        <w:t xml:space="preserve"> </w:t>
      </w:r>
      <w:r w:rsidRPr="004C017B">
        <w:rPr>
          <w:szCs w:val="20"/>
        </w:rPr>
        <w:t>provides the decision-making framework to establish ALARP. This framework provides</w:t>
      </w:r>
      <w:r w:rsidR="004C017B">
        <w:rPr>
          <w:szCs w:val="20"/>
        </w:rPr>
        <w:t xml:space="preserve"> </w:t>
      </w:r>
      <w:r w:rsidRPr="004C017B">
        <w:rPr>
          <w:szCs w:val="20"/>
        </w:rPr>
        <w:t>appropriate tools, commensurate to the level of uncertainty or novelty associated with the</w:t>
      </w:r>
      <w:r w:rsidR="004C017B">
        <w:rPr>
          <w:szCs w:val="20"/>
        </w:rPr>
        <w:t xml:space="preserve"> </w:t>
      </w:r>
      <w:r w:rsidRPr="004C017B">
        <w:rPr>
          <w:szCs w:val="20"/>
        </w:rPr>
        <w:t>impact or risk (referred to as the Decision Type A, B or C). The decision type is selected</w:t>
      </w:r>
      <w:r w:rsidR="004C017B">
        <w:rPr>
          <w:szCs w:val="20"/>
        </w:rPr>
        <w:t xml:space="preserve"> </w:t>
      </w:r>
      <w:r w:rsidRPr="004C017B">
        <w:rPr>
          <w:szCs w:val="20"/>
        </w:rPr>
        <w:t>based on an informed decision around the uncertainty of the risk. Decision types and</w:t>
      </w:r>
      <w:r w:rsidR="004C017B">
        <w:rPr>
          <w:szCs w:val="20"/>
        </w:rPr>
        <w:t xml:space="preserve"> </w:t>
      </w:r>
      <w:r w:rsidRPr="004C017B">
        <w:rPr>
          <w:szCs w:val="20"/>
        </w:rPr>
        <w:t>methodologies to establish ALARP are outlined in Table 5-6.</w:t>
      </w:r>
    </w:p>
    <w:p w14:paraId="2DEE779C" w14:textId="77777777" w:rsidR="00B66D83" w:rsidRPr="00B66D83" w:rsidRDefault="00B66D83" w:rsidP="00230BCE">
      <w:pPr>
        <w:spacing w:before="120"/>
        <w:outlineLvl w:val="9"/>
      </w:pPr>
    </w:p>
    <w:p w14:paraId="30D29503" w14:textId="5A7A7FFC" w:rsidR="00697B57" w:rsidRPr="003B7B14" w:rsidRDefault="00C030BE" w:rsidP="00213285">
      <w:pPr>
        <w:pStyle w:val="Caption"/>
        <w:outlineLvl w:val="9"/>
        <w:rPr>
          <w:sz w:val="20"/>
          <w:szCs w:val="20"/>
        </w:rPr>
      </w:pPr>
      <w:bookmarkStart w:id="167" w:name="_Ref473374450"/>
      <w:bookmarkStart w:id="168" w:name="_Toc511032590"/>
      <w:r w:rsidRPr="00C030BE">
        <w:rPr>
          <w:sz w:val="20"/>
          <w:szCs w:val="20"/>
        </w:rPr>
        <w:lastRenderedPageBreak/>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4</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6</w:t>
      </w:r>
      <w:r w:rsidR="00103328">
        <w:rPr>
          <w:sz w:val="20"/>
          <w:szCs w:val="20"/>
        </w:rPr>
        <w:fldChar w:fldCharType="end"/>
      </w:r>
      <w:bookmarkEnd w:id="167"/>
      <w:r w:rsidRPr="00C030BE">
        <w:rPr>
          <w:sz w:val="20"/>
          <w:szCs w:val="20"/>
        </w:rPr>
        <w:t>: ALARP decision-making based upon level of uncertainty</w:t>
      </w:r>
      <w:bookmarkEnd w:id="168"/>
    </w:p>
    <w:tbl>
      <w:tblPr>
        <w:tblW w:w="0" w:type="auto"/>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988"/>
        <w:gridCol w:w="3057"/>
        <w:gridCol w:w="4880"/>
      </w:tblGrid>
      <w:tr w:rsidR="000D1D69" w:rsidRPr="00C030BE" w14:paraId="315D2CBC" w14:textId="77777777" w:rsidTr="007E025C">
        <w:trPr>
          <w:cantSplit/>
          <w:tblHeader/>
        </w:trPr>
        <w:tc>
          <w:tcPr>
            <w:tcW w:w="993" w:type="dxa"/>
            <w:tcBorders>
              <w:right w:val="single" w:sz="6" w:space="0" w:color="F2F2F2"/>
            </w:tcBorders>
            <w:shd w:val="clear" w:color="auto" w:fill="A6A6A6"/>
            <w:tcMar>
              <w:top w:w="142" w:type="dxa"/>
            </w:tcMar>
          </w:tcPr>
          <w:p w14:paraId="19AB5A86" w14:textId="77777777" w:rsidR="000D1D69" w:rsidRPr="00C030BE" w:rsidRDefault="000D1D69" w:rsidP="002C2368">
            <w:pPr>
              <w:pStyle w:val="BodyText"/>
              <w:spacing w:before="120"/>
              <w:ind w:left="0"/>
              <w:jc w:val="center"/>
              <w:rPr>
                <w:rFonts w:cs="Arial"/>
                <w:b/>
                <w:sz w:val="16"/>
                <w:szCs w:val="16"/>
              </w:rPr>
            </w:pPr>
            <w:r w:rsidRPr="00C030BE">
              <w:rPr>
                <w:rFonts w:cs="Arial"/>
                <w:b/>
                <w:sz w:val="16"/>
                <w:szCs w:val="16"/>
              </w:rPr>
              <w:t>Decision type</w:t>
            </w:r>
          </w:p>
        </w:tc>
        <w:tc>
          <w:tcPr>
            <w:tcW w:w="3118" w:type="dxa"/>
            <w:tcBorders>
              <w:left w:val="single" w:sz="6" w:space="0" w:color="F2F2F2"/>
              <w:right w:val="single" w:sz="6" w:space="0" w:color="F2F2F2"/>
            </w:tcBorders>
            <w:shd w:val="clear" w:color="auto" w:fill="A6A6A6"/>
            <w:tcMar>
              <w:top w:w="142" w:type="dxa"/>
            </w:tcMar>
          </w:tcPr>
          <w:p w14:paraId="5DBC96A0" w14:textId="77777777" w:rsidR="000D1D69" w:rsidRPr="00C030BE" w:rsidRDefault="000D1D69" w:rsidP="002C2368">
            <w:pPr>
              <w:pStyle w:val="BodyText"/>
              <w:spacing w:before="120"/>
              <w:ind w:left="0"/>
              <w:rPr>
                <w:rFonts w:cs="Arial"/>
                <w:b/>
                <w:sz w:val="16"/>
                <w:szCs w:val="16"/>
              </w:rPr>
            </w:pPr>
            <w:r w:rsidRPr="00C030BE">
              <w:rPr>
                <w:rFonts w:cs="Arial"/>
                <w:b/>
                <w:sz w:val="16"/>
                <w:szCs w:val="16"/>
              </w:rPr>
              <w:t>Description</w:t>
            </w:r>
          </w:p>
        </w:tc>
        <w:tc>
          <w:tcPr>
            <w:tcW w:w="5001" w:type="dxa"/>
            <w:tcBorders>
              <w:left w:val="single" w:sz="6" w:space="0" w:color="F2F2F2"/>
            </w:tcBorders>
            <w:shd w:val="clear" w:color="auto" w:fill="A6A6A6"/>
            <w:tcMar>
              <w:top w:w="142" w:type="dxa"/>
            </w:tcMar>
          </w:tcPr>
          <w:p w14:paraId="26EB7110" w14:textId="77777777" w:rsidR="000D1D69" w:rsidRPr="00C030BE" w:rsidRDefault="000D1D69" w:rsidP="002C2368">
            <w:pPr>
              <w:pStyle w:val="BodyText"/>
              <w:spacing w:before="120"/>
              <w:ind w:left="0"/>
              <w:jc w:val="center"/>
              <w:rPr>
                <w:rFonts w:cs="Arial"/>
                <w:b/>
                <w:sz w:val="16"/>
                <w:szCs w:val="16"/>
              </w:rPr>
            </w:pPr>
            <w:r w:rsidRPr="00C030BE">
              <w:rPr>
                <w:rFonts w:cs="Arial"/>
                <w:b/>
                <w:sz w:val="16"/>
                <w:szCs w:val="16"/>
              </w:rPr>
              <w:t>Decision-making tools</w:t>
            </w:r>
          </w:p>
        </w:tc>
      </w:tr>
      <w:tr w:rsidR="000D1D69" w:rsidRPr="00C030BE" w14:paraId="3EFF468A" w14:textId="77777777" w:rsidTr="007E025C">
        <w:trPr>
          <w:cantSplit/>
        </w:trPr>
        <w:tc>
          <w:tcPr>
            <w:tcW w:w="993" w:type="dxa"/>
            <w:shd w:val="clear" w:color="auto" w:fill="auto"/>
          </w:tcPr>
          <w:p w14:paraId="5E89EB6E" w14:textId="77777777" w:rsidR="000D1D69" w:rsidRPr="00C030BE" w:rsidRDefault="000D1D69" w:rsidP="002C2368">
            <w:pPr>
              <w:pStyle w:val="BodyText"/>
              <w:spacing w:before="120"/>
              <w:ind w:left="0"/>
              <w:jc w:val="center"/>
              <w:rPr>
                <w:rFonts w:cs="Arial"/>
                <w:sz w:val="16"/>
                <w:szCs w:val="16"/>
              </w:rPr>
            </w:pPr>
            <w:r w:rsidRPr="00C030BE">
              <w:rPr>
                <w:rFonts w:cs="Arial"/>
                <w:sz w:val="16"/>
                <w:szCs w:val="16"/>
              </w:rPr>
              <w:t>A</w:t>
            </w:r>
          </w:p>
        </w:tc>
        <w:tc>
          <w:tcPr>
            <w:tcW w:w="3118" w:type="dxa"/>
            <w:shd w:val="clear" w:color="auto" w:fill="auto"/>
          </w:tcPr>
          <w:p w14:paraId="6C19D192" w14:textId="77777777" w:rsidR="000D1D69" w:rsidRPr="00C030BE" w:rsidRDefault="000D1D69" w:rsidP="002C2368">
            <w:pPr>
              <w:pStyle w:val="BodyText"/>
              <w:spacing w:before="120"/>
              <w:ind w:left="0"/>
              <w:rPr>
                <w:rFonts w:cs="Arial"/>
                <w:sz w:val="16"/>
                <w:szCs w:val="16"/>
              </w:rPr>
            </w:pPr>
            <w:r w:rsidRPr="00C030BE">
              <w:rPr>
                <w:rFonts w:cs="Arial"/>
                <w:sz w:val="16"/>
                <w:szCs w:val="16"/>
              </w:rPr>
              <w:t>Risks classified as a Decision Type A are well-understood and established practice</w:t>
            </w:r>
          </w:p>
        </w:tc>
        <w:tc>
          <w:tcPr>
            <w:tcW w:w="5001" w:type="dxa"/>
            <w:shd w:val="clear" w:color="auto" w:fill="auto"/>
          </w:tcPr>
          <w:p w14:paraId="3589BC7C" w14:textId="77777777" w:rsidR="000D1D69" w:rsidRPr="00C030BE" w:rsidRDefault="000D1D69" w:rsidP="002C2368">
            <w:pPr>
              <w:pStyle w:val="BodyText"/>
              <w:spacing w:before="60" w:after="60"/>
              <w:ind w:left="0"/>
              <w:rPr>
                <w:rFonts w:cs="Arial"/>
                <w:sz w:val="16"/>
                <w:szCs w:val="16"/>
              </w:rPr>
            </w:pPr>
            <w:r w:rsidRPr="00C030BE">
              <w:rPr>
                <w:rFonts w:cs="Arial"/>
                <w:b/>
                <w:sz w:val="16"/>
                <w:szCs w:val="16"/>
              </w:rPr>
              <w:t>Legislation, codes and standards:</w:t>
            </w:r>
            <w:r w:rsidRPr="00C030BE">
              <w:rPr>
                <w:rFonts w:cs="Arial"/>
                <w:sz w:val="16"/>
                <w:szCs w:val="16"/>
              </w:rPr>
              <w:t xml:space="preserve"> Identifies the requirements of legislation, codes and standards that are to be complied with for the activity.</w:t>
            </w:r>
          </w:p>
          <w:p w14:paraId="0010B100" w14:textId="77777777" w:rsidR="000D1D69" w:rsidRPr="00C030BE" w:rsidRDefault="000D1D69" w:rsidP="002C2368">
            <w:pPr>
              <w:pStyle w:val="BodyText"/>
              <w:spacing w:before="60" w:after="60"/>
              <w:ind w:left="0"/>
              <w:rPr>
                <w:rFonts w:cs="Arial"/>
                <w:sz w:val="16"/>
                <w:szCs w:val="16"/>
              </w:rPr>
            </w:pPr>
            <w:r w:rsidRPr="00C030BE">
              <w:rPr>
                <w:rFonts w:cs="Arial"/>
                <w:b/>
                <w:sz w:val="16"/>
                <w:szCs w:val="16"/>
              </w:rPr>
              <w:t>Good Industry Practice</w:t>
            </w:r>
            <w:r w:rsidRPr="00C030BE">
              <w:rPr>
                <w:rFonts w:cs="Arial"/>
                <w:sz w:val="16"/>
                <w:szCs w:val="16"/>
              </w:rPr>
              <w:t>: Identifies further engineering control standards and guidelines that may be applied over and above that required to meet the legislation, codes and standards.</w:t>
            </w:r>
          </w:p>
          <w:p w14:paraId="1B62F936" w14:textId="77777777" w:rsidR="000D1D69" w:rsidRPr="00C030BE" w:rsidRDefault="000D1D69" w:rsidP="002C2368">
            <w:pPr>
              <w:pStyle w:val="BodyText"/>
              <w:spacing w:before="120"/>
              <w:ind w:left="0"/>
              <w:rPr>
                <w:rFonts w:cs="Arial"/>
                <w:sz w:val="16"/>
                <w:szCs w:val="16"/>
              </w:rPr>
            </w:pPr>
            <w:r w:rsidRPr="00C030BE">
              <w:rPr>
                <w:rFonts w:cs="Arial"/>
                <w:b/>
                <w:sz w:val="16"/>
                <w:szCs w:val="16"/>
              </w:rPr>
              <w:t>Professional Judgement</w:t>
            </w:r>
            <w:r w:rsidRPr="00C030BE">
              <w:rPr>
                <w:rFonts w:cs="Arial"/>
                <w:sz w:val="16"/>
                <w:szCs w:val="16"/>
              </w:rPr>
              <w:t>: Uses relevant personnel with the knowledge and experience to identify alternative controls. When formulating control measures for each environmental impact or risk, the ‘Hierarchy of Controls’ philosophy, which is a system used in the industry to identify effective controls to minimise or eliminate exposure to impacts or risks, is applied.</w:t>
            </w:r>
          </w:p>
        </w:tc>
      </w:tr>
      <w:tr w:rsidR="000D1D69" w:rsidRPr="00C030BE" w14:paraId="53BF8269" w14:textId="77777777" w:rsidTr="007E025C">
        <w:trPr>
          <w:cantSplit/>
        </w:trPr>
        <w:tc>
          <w:tcPr>
            <w:tcW w:w="993" w:type="dxa"/>
            <w:shd w:val="clear" w:color="auto" w:fill="F2F2F2"/>
          </w:tcPr>
          <w:p w14:paraId="6241ECE7" w14:textId="77777777" w:rsidR="000D1D69" w:rsidRPr="00C030BE" w:rsidRDefault="000D1D69" w:rsidP="002C2368">
            <w:pPr>
              <w:pStyle w:val="BodyText"/>
              <w:spacing w:before="120"/>
              <w:ind w:left="0"/>
              <w:jc w:val="center"/>
              <w:rPr>
                <w:rFonts w:cs="Arial"/>
                <w:sz w:val="16"/>
                <w:szCs w:val="16"/>
              </w:rPr>
            </w:pPr>
            <w:r w:rsidRPr="00C030BE">
              <w:rPr>
                <w:rFonts w:cs="Arial"/>
                <w:sz w:val="16"/>
                <w:szCs w:val="16"/>
              </w:rPr>
              <w:t>B</w:t>
            </w:r>
          </w:p>
        </w:tc>
        <w:tc>
          <w:tcPr>
            <w:tcW w:w="3118" w:type="dxa"/>
            <w:shd w:val="clear" w:color="auto" w:fill="F2F2F2"/>
          </w:tcPr>
          <w:p w14:paraId="162A52C8" w14:textId="77777777" w:rsidR="000D1D69" w:rsidRPr="00C030BE" w:rsidRDefault="000D1D69" w:rsidP="002C2368">
            <w:pPr>
              <w:pStyle w:val="BodyText"/>
              <w:spacing w:before="120"/>
              <w:ind w:left="0"/>
              <w:rPr>
                <w:rFonts w:cs="Arial"/>
                <w:sz w:val="16"/>
                <w:szCs w:val="16"/>
              </w:rPr>
            </w:pPr>
            <w:r w:rsidRPr="00C030BE">
              <w:rPr>
                <w:rFonts w:cs="Arial"/>
                <w:sz w:val="16"/>
                <w:szCs w:val="16"/>
              </w:rPr>
              <w:t>Risks classified as a Decision Type B are typically in areas of increased environmental sensitivity with some stakeholder concerns. These risks may deviate from established practice or have some life-cycle implications and therefore require further analysis using the following tools in addition to those described for a Decision Type A.</w:t>
            </w:r>
          </w:p>
        </w:tc>
        <w:tc>
          <w:tcPr>
            <w:tcW w:w="5001" w:type="dxa"/>
            <w:shd w:val="clear" w:color="auto" w:fill="F2F2F2"/>
          </w:tcPr>
          <w:p w14:paraId="70B6759B" w14:textId="77777777" w:rsidR="000D1D69" w:rsidRPr="00C030BE" w:rsidRDefault="000D1D69" w:rsidP="002C2368">
            <w:pPr>
              <w:pStyle w:val="BodyText"/>
              <w:spacing w:before="60" w:after="60"/>
              <w:ind w:left="0"/>
              <w:rPr>
                <w:rFonts w:cs="Arial"/>
                <w:sz w:val="16"/>
                <w:szCs w:val="16"/>
              </w:rPr>
            </w:pPr>
            <w:r w:rsidRPr="00C030BE">
              <w:rPr>
                <w:rFonts w:cs="Arial"/>
                <w:b/>
                <w:sz w:val="16"/>
                <w:szCs w:val="16"/>
              </w:rPr>
              <w:t>Risk-based tools such as cost based analysis or modelling:</w:t>
            </w:r>
            <w:r w:rsidRPr="00C030BE">
              <w:rPr>
                <w:rFonts w:cs="Arial"/>
                <w:sz w:val="16"/>
                <w:szCs w:val="16"/>
              </w:rPr>
              <w:t xml:space="preserve"> Assesses the results of probabilistic analyses such as modelling, quantitative risk assessment and/or cost benefit analysis to support the selection of control measures identified during the risk assessment process.</w:t>
            </w:r>
          </w:p>
          <w:p w14:paraId="22CAA8EE" w14:textId="1D092E22" w:rsidR="000D1D69" w:rsidRPr="00C030BE" w:rsidRDefault="000D1D69" w:rsidP="002C5701">
            <w:pPr>
              <w:pStyle w:val="BodyText"/>
              <w:spacing w:before="120"/>
              <w:ind w:left="0"/>
              <w:rPr>
                <w:rFonts w:cs="Arial"/>
                <w:sz w:val="16"/>
                <w:szCs w:val="16"/>
              </w:rPr>
            </w:pPr>
            <w:r w:rsidRPr="00C030BE">
              <w:rPr>
                <w:rFonts w:cs="Arial"/>
                <w:b/>
                <w:sz w:val="16"/>
                <w:szCs w:val="16"/>
              </w:rPr>
              <w:t>Company values:</w:t>
            </w:r>
            <w:r w:rsidRPr="00C030BE">
              <w:rPr>
                <w:rFonts w:cs="Arial"/>
                <w:sz w:val="16"/>
                <w:szCs w:val="16"/>
              </w:rPr>
              <w:t xml:space="preserve"> Identifies values identified in Cooper’s HSE</w:t>
            </w:r>
            <w:r w:rsidR="002C5701" w:rsidRPr="00C030BE">
              <w:rPr>
                <w:rFonts w:cs="Arial"/>
                <w:sz w:val="16"/>
                <w:szCs w:val="16"/>
              </w:rPr>
              <w:t>C</w:t>
            </w:r>
            <w:r w:rsidRPr="00C030BE">
              <w:rPr>
                <w:rFonts w:cs="Arial"/>
                <w:sz w:val="16"/>
                <w:szCs w:val="16"/>
              </w:rPr>
              <w:t xml:space="preserve"> Policy.</w:t>
            </w:r>
          </w:p>
        </w:tc>
      </w:tr>
      <w:tr w:rsidR="000D1D69" w:rsidRPr="00C030BE" w14:paraId="0E5CA7BA" w14:textId="77777777" w:rsidTr="007E025C">
        <w:trPr>
          <w:cantSplit/>
        </w:trPr>
        <w:tc>
          <w:tcPr>
            <w:tcW w:w="993" w:type="dxa"/>
            <w:shd w:val="clear" w:color="auto" w:fill="auto"/>
          </w:tcPr>
          <w:p w14:paraId="74FAC8B6" w14:textId="77777777" w:rsidR="000D1D69" w:rsidRPr="00C030BE" w:rsidRDefault="000D1D69" w:rsidP="002C2368">
            <w:pPr>
              <w:pStyle w:val="BodyText"/>
              <w:spacing w:before="120"/>
              <w:ind w:left="0"/>
              <w:jc w:val="center"/>
              <w:rPr>
                <w:rFonts w:cs="Arial"/>
                <w:sz w:val="16"/>
                <w:szCs w:val="16"/>
              </w:rPr>
            </w:pPr>
            <w:r w:rsidRPr="00C030BE">
              <w:rPr>
                <w:rFonts w:cs="Arial"/>
                <w:sz w:val="16"/>
                <w:szCs w:val="16"/>
              </w:rPr>
              <w:t>C</w:t>
            </w:r>
          </w:p>
        </w:tc>
        <w:tc>
          <w:tcPr>
            <w:tcW w:w="3118" w:type="dxa"/>
            <w:shd w:val="clear" w:color="auto" w:fill="auto"/>
          </w:tcPr>
          <w:p w14:paraId="53F2F4C3" w14:textId="77777777" w:rsidR="000D1D69" w:rsidRPr="00C030BE" w:rsidRDefault="000D1D69" w:rsidP="002C2368">
            <w:pPr>
              <w:pStyle w:val="BodyText"/>
              <w:spacing w:before="120"/>
              <w:ind w:left="0"/>
              <w:rPr>
                <w:rFonts w:cs="Arial"/>
                <w:sz w:val="16"/>
                <w:szCs w:val="16"/>
              </w:rPr>
            </w:pPr>
            <w:r w:rsidRPr="00C030BE">
              <w:rPr>
                <w:rFonts w:cs="Arial"/>
                <w:sz w:val="16"/>
                <w:szCs w:val="16"/>
              </w:rPr>
              <w:t>Risks classified as a Decision Type C will typically have significant risks related to environmental performance. The risks may result in significant environmental impact; significant project risk/ exposure; or may elicit strong stakeholder awareness and negative perception. For these risks, in addition to Decision Type A and B tools, company and societal values need to be considered by undertaking broader internal and external stakeholder consultation as part of the risk assessment process.</w:t>
            </w:r>
          </w:p>
        </w:tc>
        <w:tc>
          <w:tcPr>
            <w:tcW w:w="5001" w:type="dxa"/>
            <w:shd w:val="clear" w:color="auto" w:fill="auto"/>
          </w:tcPr>
          <w:p w14:paraId="2AA4C66A" w14:textId="77777777" w:rsidR="000D1D69" w:rsidRPr="00C030BE" w:rsidRDefault="000D1D69" w:rsidP="002C2368">
            <w:pPr>
              <w:pStyle w:val="BodyText"/>
              <w:spacing w:before="120"/>
              <w:ind w:left="0"/>
              <w:rPr>
                <w:rFonts w:cs="Arial"/>
                <w:sz w:val="16"/>
                <w:szCs w:val="16"/>
              </w:rPr>
            </w:pPr>
            <w:r w:rsidRPr="00C030BE">
              <w:rPr>
                <w:rFonts w:cs="Arial"/>
                <w:b/>
                <w:sz w:val="16"/>
                <w:szCs w:val="16"/>
              </w:rPr>
              <w:t>Societal Values:</w:t>
            </w:r>
            <w:r w:rsidRPr="00C030BE">
              <w:rPr>
                <w:rFonts w:cs="Arial"/>
                <w:sz w:val="16"/>
                <w:szCs w:val="16"/>
              </w:rPr>
              <w:t xml:space="preserve"> Identifies the views, concerns and perceptions of relevant stakeholders and addresses relevant stakeholder concerns as gathered through consultation.</w:t>
            </w:r>
          </w:p>
        </w:tc>
      </w:tr>
    </w:tbl>
    <w:p w14:paraId="6926DC12" w14:textId="77777777" w:rsidR="00B66D83" w:rsidRDefault="00B66D83" w:rsidP="00213285">
      <w:pPr>
        <w:pStyle w:val="Caption"/>
        <w:outlineLvl w:val="9"/>
        <w:rPr>
          <w:sz w:val="20"/>
          <w:szCs w:val="20"/>
        </w:rPr>
      </w:pPr>
      <w:bookmarkStart w:id="169" w:name="_Ref473374436"/>
    </w:p>
    <w:p w14:paraId="6806A840" w14:textId="1811B1B6" w:rsidR="00F37ACB" w:rsidRPr="003B7B14" w:rsidRDefault="00160AF3" w:rsidP="00213285">
      <w:pPr>
        <w:pStyle w:val="Caption"/>
        <w:outlineLvl w:val="9"/>
        <w:rPr>
          <w:sz w:val="20"/>
          <w:szCs w:val="20"/>
        </w:rPr>
      </w:pPr>
      <w:bookmarkStart w:id="170" w:name="_Toc511032591"/>
      <w:r w:rsidRPr="00E415F5">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4</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7</w:t>
      </w:r>
      <w:r w:rsidR="00103328">
        <w:rPr>
          <w:sz w:val="20"/>
          <w:szCs w:val="20"/>
        </w:rPr>
        <w:fldChar w:fldCharType="end"/>
      </w:r>
      <w:bookmarkEnd w:id="169"/>
      <w:r w:rsidRPr="00E415F5">
        <w:rPr>
          <w:sz w:val="20"/>
          <w:szCs w:val="20"/>
        </w:rPr>
        <w:t xml:space="preserve">: </w:t>
      </w:r>
      <w:r w:rsidR="00E415F5" w:rsidRPr="00E415F5">
        <w:rPr>
          <w:sz w:val="20"/>
          <w:szCs w:val="20"/>
        </w:rPr>
        <w:t>Cooper Energy</w:t>
      </w:r>
      <w:r w:rsidRPr="00E415F5">
        <w:rPr>
          <w:sz w:val="20"/>
          <w:szCs w:val="20"/>
        </w:rPr>
        <w:t xml:space="preserve"> acceptability</w:t>
      </w:r>
      <w:r w:rsidRPr="00160AF3">
        <w:rPr>
          <w:sz w:val="20"/>
          <w:szCs w:val="20"/>
        </w:rPr>
        <w:t xml:space="preserve"> criteria</w:t>
      </w:r>
      <w:bookmarkEnd w:id="170"/>
    </w:p>
    <w:tbl>
      <w:tblPr>
        <w:tblW w:w="0" w:type="auto"/>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1687"/>
        <w:gridCol w:w="3873"/>
        <w:gridCol w:w="3365"/>
      </w:tblGrid>
      <w:tr w:rsidR="00F37ACB" w:rsidRPr="00160AF3" w14:paraId="02AE732C" w14:textId="77777777" w:rsidTr="007E025C">
        <w:trPr>
          <w:cantSplit/>
          <w:tblHeader/>
        </w:trPr>
        <w:tc>
          <w:tcPr>
            <w:tcW w:w="1701" w:type="dxa"/>
            <w:tcBorders>
              <w:right w:val="single" w:sz="6" w:space="0" w:color="F2F2F2"/>
            </w:tcBorders>
            <w:shd w:val="clear" w:color="auto" w:fill="A6A6A6"/>
            <w:tcMar>
              <w:top w:w="142" w:type="dxa"/>
            </w:tcMar>
          </w:tcPr>
          <w:p w14:paraId="6271976F" w14:textId="77777777" w:rsidR="00F37ACB" w:rsidRPr="00160AF3" w:rsidRDefault="00F37ACB" w:rsidP="003B7B14">
            <w:pPr>
              <w:pStyle w:val="Tableheading-small"/>
              <w:rPr>
                <w:rFonts w:cs="Arial"/>
                <w:sz w:val="16"/>
                <w:szCs w:val="16"/>
              </w:rPr>
            </w:pPr>
            <w:r w:rsidRPr="00160AF3">
              <w:rPr>
                <w:rFonts w:cs="Arial"/>
                <w:sz w:val="16"/>
                <w:szCs w:val="16"/>
              </w:rPr>
              <w:t>Test</w:t>
            </w:r>
          </w:p>
        </w:tc>
        <w:tc>
          <w:tcPr>
            <w:tcW w:w="3969" w:type="dxa"/>
            <w:tcBorders>
              <w:left w:val="single" w:sz="6" w:space="0" w:color="F2F2F2"/>
              <w:right w:val="single" w:sz="6" w:space="0" w:color="F2F2F2"/>
            </w:tcBorders>
            <w:shd w:val="clear" w:color="auto" w:fill="A6A6A6"/>
            <w:tcMar>
              <w:top w:w="142" w:type="dxa"/>
            </w:tcMar>
          </w:tcPr>
          <w:p w14:paraId="3ACB64A7" w14:textId="77777777" w:rsidR="00F37ACB" w:rsidRPr="00160AF3" w:rsidRDefault="00F37ACB" w:rsidP="003B7B14">
            <w:pPr>
              <w:pStyle w:val="Tableheading-small"/>
              <w:rPr>
                <w:rFonts w:cs="Arial"/>
                <w:sz w:val="16"/>
                <w:szCs w:val="16"/>
              </w:rPr>
            </w:pPr>
            <w:r w:rsidRPr="00160AF3">
              <w:rPr>
                <w:rFonts w:cs="Arial"/>
                <w:sz w:val="16"/>
                <w:szCs w:val="16"/>
              </w:rPr>
              <w:t>Question</w:t>
            </w:r>
          </w:p>
        </w:tc>
        <w:tc>
          <w:tcPr>
            <w:tcW w:w="3442" w:type="dxa"/>
            <w:tcBorders>
              <w:left w:val="single" w:sz="6" w:space="0" w:color="F2F2F2"/>
            </w:tcBorders>
            <w:shd w:val="clear" w:color="auto" w:fill="A6A6A6"/>
            <w:tcMar>
              <w:top w:w="142" w:type="dxa"/>
            </w:tcMar>
          </w:tcPr>
          <w:p w14:paraId="27E120A7" w14:textId="77777777" w:rsidR="00F37ACB" w:rsidRPr="00160AF3" w:rsidRDefault="00F37ACB" w:rsidP="003B7B14">
            <w:pPr>
              <w:pStyle w:val="Tableheading-small"/>
              <w:rPr>
                <w:rFonts w:cs="Arial"/>
                <w:sz w:val="16"/>
                <w:szCs w:val="16"/>
              </w:rPr>
            </w:pPr>
            <w:r w:rsidRPr="00160AF3">
              <w:rPr>
                <w:rFonts w:cs="Arial"/>
                <w:sz w:val="16"/>
                <w:szCs w:val="16"/>
              </w:rPr>
              <w:t>Acceptability demonstrated</w:t>
            </w:r>
          </w:p>
        </w:tc>
      </w:tr>
      <w:tr w:rsidR="00F37ACB" w:rsidRPr="00160AF3" w14:paraId="6F5C3F72" w14:textId="77777777" w:rsidTr="007E025C">
        <w:trPr>
          <w:cantSplit/>
        </w:trPr>
        <w:tc>
          <w:tcPr>
            <w:tcW w:w="1701" w:type="dxa"/>
            <w:shd w:val="clear" w:color="auto" w:fill="auto"/>
          </w:tcPr>
          <w:p w14:paraId="798523EA" w14:textId="77777777" w:rsidR="00F37ACB" w:rsidRPr="00E415F5" w:rsidRDefault="00F37ACB" w:rsidP="00F37ACB">
            <w:pPr>
              <w:pStyle w:val="Tableheading-small"/>
              <w:rPr>
                <w:rFonts w:cs="Arial"/>
                <w:b w:val="0"/>
                <w:sz w:val="16"/>
                <w:szCs w:val="16"/>
              </w:rPr>
            </w:pPr>
            <w:r w:rsidRPr="00E415F5">
              <w:rPr>
                <w:rFonts w:eastAsia="Verdana" w:cs="Arial"/>
                <w:b w:val="0"/>
                <w:sz w:val="16"/>
                <w:szCs w:val="16"/>
              </w:rPr>
              <w:t>Policy compliance</w:t>
            </w:r>
          </w:p>
        </w:tc>
        <w:tc>
          <w:tcPr>
            <w:tcW w:w="3969" w:type="dxa"/>
            <w:shd w:val="clear" w:color="auto" w:fill="auto"/>
          </w:tcPr>
          <w:p w14:paraId="03BFCC6A" w14:textId="7F31ABF6" w:rsidR="00F37ACB" w:rsidRPr="00E415F5" w:rsidRDefault="00F37ACB" w:rsidP="00E415F5">
            <w:pPr>
              <w:pStyle w:val="Tableheading-small"/>
              <w:rPr>
                <w:rFonts w:cs="Arial"/>
                <w:b w:val="0"/>
                <w:sz w:val="16"/>
                <w:szCs w:val="16"/>
              </w:rPr>
            </w:pPr>
            <w:r w:rsidRPr="00E415F5">
              <w:rPr>
                <w:rFonts w:eastAsia="Verdana" w:cs="Arial"/>
                <w:b w:val="0"/>
                <w:sz w:val="16"/>
                <w:szCs w:val="16"/>
              </w:rPr>
              <w:t xml:space="preserve">Is the proposed management of the risk or impact aligned with </w:t>
            </w:r>
            <w:r w:rsidR="00E415F5" w:rsidRPr="00E415F5">
              <w:rPr>
                <w:b w:val="0"/>
                <w:sz w:val="16"/>
                <w:szCs w:val="16"/>
              </w:rPr>
              <w:t>Cooper Energy</w:t>
            </w:r>
            <w:r w:rsidRPr="00E415F5">
              <w:rPr>
                <w:rFonts w:eastAsia="Verdana" w:cs="Arial"/>
                <w:b w:val="0"/>
                <w:sz w:val="16"/>
                <w:szCs w:val="16"/>
              </w:rPr>
              <w:t>’s HSE</w:t>
            </w:r>
            <w:r w:rsidR="009F45EA" w:rsidRPr="00E415F5">
              <w:rPr>
                <w:rFonts w:eastAsia="Verdana" w:cs="Arial"/>
                <w:b w:val="0"/>
                <w:sz w:val="16"/>
                <w:szCs w:val="16"/>
              </w:rPr>
              <w:t>C</w:t>
            </w:r>
            <w:r w:rsidRPr="00E415F5">
              <w:rPr>
                <w:rFonts w:eastAsia="Verdana" w:cs="Arial"/>
                <w:b w:val="0"/>
                <w:sz w:val="16"/>
                <w:szCs w:val="16"/>
              </w:rPr>
              <w:t xml:space="preserve"> Policy?</w:t>
            </w:r>
          </w:p>
        </w:tc>
        <w:tc>
          <w:tcPr>
            <w:tcW w:w="3442" w:type="dxa"/>
            <w:shd w:val="clear" w:color="auto" w:fill="auto"/>
          </w:tcPr>
          <w:p w14:paraId="7011A10C" w14:textId="77777777" w:rsidR="00F37ACB" w:rsidRPr="00E415F5" w:rsidRDefault="00F37ACB" w:rsidP="00F37ACB">
            <w:pPr>
              <w:pStyle w:val="Tableheading-small"/>
              <w:rPr>
                <w:rFonts w:cs="Arial"/>
                <w:b w:val="0"/>
                <w:sz w:val="16"/>
                <w:szCs w:val="16"/>
              </w:rPr>
            </w:pPr>
            <w:r w:rsidRPr="00E415F5">
              <w:rPr>
                <w:rFonts w:eastAsia="Verdana" w:cs="Arial"/>
                <w:b w:val="0"/>
                <w:sz w:val="16"/>
                <w:szCs w:val="16"/>
              </w:rPr>
              <w:t xml:space="preserve">The impact or risk must be compliant with the objectives of the company’s policies. </w:t>
            </w:r>
          </w:p>
        </w:tc>
      </w:tr>
      <w:tr w:rsidR="00F37ACB" w:rsidRPr="00160AF3" w14:paraId="15BA247D" w14:textId="77777777" w:rsidTr="007E025C">
        <w:trPr>
          <w:cantSplit/>
        </w:trPr>
        <w:tc>
          <w:tcPr>
            <w:tcW w:w="1701" w:type="dxa"/>
            <w:shd w:val="clear" w:color="auto" w:fill="F2F2F2"/>
          </w:tcPr>
          <w:p w14:paraId="40FADC72" w14:textId="77777777" w:rsidR="00F37ACB" w:rsidRPr="00E415F5" w:rsidRDefault="00F37ACB" w:rsidP="00F37ACB">
            <w:pPr>
              <w:pStyle w:val="Tableheading-small"/>
              <w:rPr>
                <w:rFonts w:cs="Arial"/>
                <w:b w:val="0"/>
                <w:sz w:val="16"/>
                <w:szCs w:val="16"/>
              </w:rPr>
            </w:pPr>
            <w:r w:rsidRPr="00E415F5">
              <w:rPr>
                <w:rFonts w:eastAsia="Verdana" w:cs="Arial"/>
                <w:b w:val="0"/>
                <w:sz w:val="16"/>
                <w:szCs w:val="16"/>
              </w:rPr>
              <w:t>Management System Compliance</w:t>
            </w:r>
          </w:p>
        </w:tc>
        <w:tc>
          <w:tcPr>
            <w:tcW w:w="3969" w:type="dxa"/>
            <w:shd w:val="clear" w:color="auto" w:fill="F2F2F2"/>
          </w:tcPr>
          <w:p w14:paraId="72E7C7C5" w14:textId="4DD5EF51" w:rsidR="00F37ACB" w:rsidRPr="00E415F5" w:rsidRDefault="00F37ACB" w:rsidP="009F45EA">
            <w:pPr>
              <w:pStyle w:val="Tableheading-small"/>
              <w:rPr>
                <w:rFonts w:cs="Arial"/>
                <w:b w:val="0"/>
                <w:sz w:val="16"/>
                <w:szCs w:val="16"/>
              </w:rPr>
            </w:pPr>
            <w:r w:rsidRPr="00E415F5">
              <w:rPr>
                <w:rFonts w:eastAsia="Verdana" w:cs="Arial"/>
                <w:b w:val="0"/>
                <w:sz w:val="16"/>
                <w:szCs w:val="16"/>
              </w:rPr>
              <w:t>Is the proposed management of the impact or risk aligned with the HSE</w:t>
            </w:r>
            <w:r w:rsidR="009F45EA" w:rsidRPr="00E415F5">
              <w:rPr>
                <w:rFonts w:eastAsia="Verdana" w:cs="Arial"/>
                <w:b w:val="0"/>
                <w:sz w:val="16"/>
                <w:szCs w:val="16"/>
              </w:rPr>
              <w:t>C</w:t>
            </w:r>
            <w:r w:rsidRPr="00E415F5">
              <w:rPr>
                <w:rFonts w:eastAsia="Verdana" w:cs="Arial"/>
                <w:b w:val="0"/>
                <w:sz w:val="16"/>
                <w:szCs w:val="16"/>
              </w:rPr>
              <w:t xml:space="preserve"> Management System?</w:t>
            </w:r>
          </w:p>
        </w:tc>
        <w:tc>
          <w:tcPr>
            <w:tcW w:w="3442" w:type="dxa"/>
            <w:shd w:val="clear" w:color="auto" w:fill="F2F2F2"/>
          </w:tcPr>
          <w:p w14:paraId="40E7BFE9" w14:textId="234AC7CD" w:rsidR="00F37ACB" w:rsidRPr="00E415F5" w:rsidRDefault="00F37ACB" w:rsidP="009F45EA">
            <w:pPr>
              <w:pStyle w:val="Tableheading-small"/>
              <w:rPr>
                <w:rFonts w:cs="Arial"/>
                <w:b w:val="0"/>
                <w:sz w:val="16"/>
                <w:szCs w:val="16"/>
              </w:rPr>
            </w:pPr>
            <w:r w:rsidRPr="00E415F5">
              <w:rPr>
                <w:rFonts w:eastAsia="Verdana" w:cs="Arial"/>
                <w:b w:val="0"/>
                <w:sz w:val="16"/>
                <w:szCs w:val="16"/>
              </w:rPr>
              <w:t>Where specific procedures and work instructions are in place for management of the impact and risk in question, acceptability is demonstrated.</w:t>
            </w:r>
          </w:p>
        </w:tc>
      </w:tr>
      <w:tr w:rsidR="00F37ACB" w:rsidRPr="00160AF3" w14:paraId="078FC82D" w14:textId="77777777" w:rsidTr="007E025C">
        <w:trPr>
          <w:cantSplit/>
        </w:trPr>
        <w:tc>
          <w:tcPr>
            <w:tcW w:w="1701" w:type="dxa"/>
            <w:shd w:val="clear" w:color="auto" w:fill="auto"/>
          </w:tcPr>
          <w:p w14:paraId="211696E5" w14:textId="27B4A185" w:rsidR="00F37ACB" w:rsidRPr="00E415F5" w:rsidRDefault="00F37ACB" w:rsidP="009F45EA">
            <w:pPr>
              <w:pStyle w:val="Tableheading-small"/>
              <w:rPr>
                <w:rFonts w:cs="Arial"/>
                <w:b w:val="0"/>
                <w:sz w:val="16"/>
                <w:szCs w:val="16"/>
              </w:rPr>
            </w:pPr>
            <w:r w:rsidRPr="00E415F5">
              <w:rPr>
                <w:rFonts w:eastAsia="Verdana" w:cs="Arial"/>
                <w:b w:val="0"/>
                <w:sz w:val="16"/>
                <w:szCs w:val="16"/>
              </w:rPr>
              <w:t>Commonwealth</w:t>
            </w:r>
            <w:r w:rsidR="009F45EA" w:rsidRPr="00E415F5">
              <w:rPr>
                <w:rFonts w:eastAsia="Verdana" w:cs="Arial"/>
                <w:b w:val="0"/>
                <w:sz w:val="16"/>
                <w:szCs w:val="16"/>
              </w:rPr>
              <w:t xml:space="preserve"> and State legislative criteria</w:t>
            </w:r>
          </w:p>
        </w:tc>
        <w:tc>
          <w:tcPr>
            <w:tcW w:w="3969" w:type="dxa"/>
            <w:shd w:val="clear" w:color="auto" w:fill="auto"/>
          </w:tcPr>
          <w:p w14:paraId="7AA78D9A" w14:textId="4B380407" w:rsidR="00F37ACB" w:rsidRPr="00E415F5" w:rsidRDefault="00F37ACB" w:rsidP="009F45EA">
            <w:pPr>
              <w:pStyle w:val="Tableheading-small"/>
              <w:rPr>
                <w:rFonts w:cs="Arial"/>
                <w:b w:val="0"/>
                <w:sz w:val="16"/>
                <w:szCs w:val="16"/>
              </w:rPr>
            </w:pPr>
            <w:r w:rsidRPr="00E415F5">
              <w:rPr>
                <w:rFonts w:eastAsia="Verdana" w:cs="Arial"/>
                <w:b w:val="0"/>
                <w:sz w:val="16"/>
                <w:szCs w:val="16"/>
              </w:rPr>
              <w:t>Is the impact or risk or impact being managed in accordance with existing Australian</w:t>
            </w:r>
            <w:r w:rsidR="009F45EA" w:rsidRPr="00E415F5">
              <w:rPr>
                <w:rFonts w:eastAsia="Verdana" w:cs="Arial"/>
                <w:b w:val="0"/>
                <w:sz w:val="16"/>
                <w:szCs w:val="16"/>
              </w:rPr>
              <w:t>, State and/</w:t>
            </w:r>
            <w:r w:rsidRPr="00E415F5">
              <w:rPr>
                <w:rFonts w:eastAsia="Verdana" w:cs="Arial"/>
                <w:b w:val="0"/>
                <w:sz w:val="16"/>
                <w:szCs w:val="16"/>
              </w:rPr>
              <w:t>or international laws?</w:t>
            </w:r>
          </w:p>
        </w:tc>
        <w:tc>
          <w:tcPr>
            <w:tcW w:w="3442" w:type="dxa"/>
            <w:shd w:val="clear" w:color="auto" w:fill="auto"/>
          </w:tcPr>
          <w:p w14:paraId="08F058EA" w14:textId="3EFF62ED" w:rsidR="00F37ACB" w:rsidRPr="00E415F5" w:rsidRDefault="00F37ACB" w:rsidP="009F45EA">
            <w:pPr>
              <w:pStyle w:val="Tableheading-small"/>
              <w:rPr>
                <w:rFonts w:cs="Arial"/>
                <w:b w:val="0"/>
                <w:sz w:val="16"/>
                <w:szCs w:val="16"/>
              </w:rPr>
            </w:pPr>
            <w:r w:rsidRPr="00E415F5">
              <w:rPr>
                <w:rFonts w:eastAsia="Verdana" w:cs="Arial"/>
                <w:b w:val="0"/>
                <w:sz w:val="16"/>
                <w:szCs w:val="16"/>
              </w:rPr>
              <w:t>Compliance with specific laws is demonstrated.</w:t>
            </w:r>
          </w:p>
        </w:tc>
      </w:tr>
      <w:tr w:rsidR="00F37ACB" w:rsidRPr="00160AF3" w14:paraId="22714949" w14:textId="77777777" w:rsidTr="007E025C">
        <w:trPr>
          <w:cantSplit/>
        </w:trPr>
        <w:tc>
          <w:tcPr>
            <w:tcW w:w="1701" w:type="dxa"/>
            <w:shd w:val="clear" w:color="auto" w:fill="F2F2F2"/>
          </w:tcPr>
          <w:p w14:paraId="31FF1E8C" w14:textId="7683CD6E" w:rsidR="00F37ACB" w:rsidRPr="00E415F5" w:rsidRDefault="00F37ACB" w:rsidP="009F45EA">
            <w:pPr>
              <w:pStyle w:val="Tableheading-small"/>
              <w:rPr>
                <w:rFonts w:cs="Arial"/>
                <w:b w:val="0"/>
                <w:sz w:val="16"/>
                <w:szCs w:val="16"/>
              </w:rPr>
            </w:pPr>
            <w:r w:rsidRPr="00E415F5">
              <w:rPr>
                <w:rFonts w:eastAsia="Verdana" w:cs="Arial"/>
                <w:b w:val="0"/>
                <w:sz w:val="16"/>
                <w:szCs w:val="16"/>
              </w:rPr>
              <w:t xml:space="preserve">Stakeholder </w:t>
            </w:r>
            <w:r w:rsidR="009F45EA" w:rsidRPr="00E415F5">
              <w:rPr>
                <w:rFonts w:eastAsia="Verdana" w:cs="Arial"/>
                <w:b w:val="0"/>
                <w:sz w:val="16"/>
                <w:szCs w:val="16"/>
              </w:rPr>
              <w:t>expectations</w:t>
            </w:r>
          </w:p>
        </w:tc>
        <w:tc>
          <w:tcPr>
            <w:tcW w:w="3969" w:type="dxa"/>
            <w:shd w:val="clear" w:color="auto" w:fill="F2F2F2"/>
          </w:tcPr>
          <w:p w14:paraId="23439D2E" w14:textId="77777777" w:rsidR="00F37ACB" w:rsidRPr="00E415F5" w:rsidRDefault="00F37ACB" w:rsidP="002C2368">
            <w:pPr>
              <w:pStyle w:val="Tableheading-small"/>
              <w:rPr>
                <w:rFonts w:eastAsia="Verdana" w:cs="Arial"/>
                <w:b w:val="0"/>
                <w:sz w:val="16"/>
                <w:szCs w:val="16"/>
              </w:rPr>
            </w:pPr>
            <w:r w:rsidRPr="00E415F5">
              <w:rPr>
                <w:rFonts w:eastAsia="Verdana" w:cs="Arial"/>
                <w:b w:val="0"/>
                <w:sz w:val="16"/>
                <w:szCs w:val="16"/>
              </w:rPr>
              <w:t>Have stakeholders raised any objections or claims about adverse impacts associated with the activity, and if so, have merits of the objection been assessed?</w:t>
            </w:r>
          </w:p>
          <w:p w14:paraId="73F1A9A7" w14:textId="77777777" w:rsidR="00F37ACB" w:rsidRPr="00E415F5" w:rsidRDefault="00F37ACB" w:rsidP="00F37ACB">
            <w:pPr>
              <w:pStyle w:val="Tableheading-small"/>
              <w:rPr>
                <w:rFonts w:eastAsia="Verdana" w:cs="Arial"/>
                <w:b w:val="0"/>
                <w:sz w:val="16"/>
                <w:szCs w:val="16"/>
              </w:rPr>
            </w:pPr>
            <w:r w:rsidRPr="00E415F5">
              <w:rPr>
                <w:rFonts w:eastAsia="Verdana" w:cs="Arial"/>
                <w:b w:val="0"/>
                <w:sz w:val="16"/>
                <w:szCs w:val="16"/>
              </w:rPr>
              <w:t>For those objections and claims with merit, have measures been put in place to manage those concerns?</w:t>
            </w:r>
          </w:p>
        </w:tc>
        <w:tc>
          <w:tcPr>
            <w:tcW w:w="3442" w:type="dxa"/>
            <w:shd w:val="clear" w:color="auto" w:fill="F2F2F2"/>
          </w:tcPr>
          <w:p w14:paraId="19065180" w14:textId="77777777" w:rsidR="00F37ACB" w:rsidRPr="00E415F5" w:rsidRDefault="00F37ACB" w:rsidP="00F37ACB">
            <w:pPr>
              <w:pStyle w:val="Tableheading-small"/>
              <w:rPr>
                <w:rFonts w:cs="Arial"/>
                <w:b w:val="0"/>
                <w:sz w:val="16"/>
                <w:szCs w:val="16"/>
              </w:rPr>
            </w:pPr>
            <w:r w:rsidRPr="00E415F5">
              <w:rPr>
                <w:rFonts w:eastAsia="Verdana" w:cs="Arial"/>
                <w:b w:val="0"/>
                <w:sz w:val="16"/>
                <w:szCs w:val="16"/>
              </w:rPr>
              <w:t xml:space="preserve">Stakeholder concerns must have been adequately responded to and closed out. </w:t>
            </w:r>
          </w:p>
        </w:tc>
      </w:tr>
      <w:tr w:rsidR="00F37ACB" w:rsidRPr="00160AF3" w14:paraId="2A1F4EA1" w14:textId="77777777" w:rsidTr="007E025C">
        <w:trPr>
          <w:cantSplit/>
        </w:trPr>
        <w:tc>
          <w:tcPr>
            <w:tcW w:w="1701" w:type="dxa"/>
            <w:shd w:val="clear" w:color="auto" w:fill="auto"/>
          </w:tcPr>
          <w:p w14:paraId="6F152852" w14:textId="77777777" w:rsidR="00F37ACB" w:rsidRPr="00E415F5" w:rsidRDefault="00F37ACB" w:rsidP="00F37ACB">
            <w:pPr>
              <w:pStyle w:val="Tableheading-small"/>
              <w:rPr>
                <w:rFonts w:cs="Arial"/>
                <w:b w:val="0"/>
                <w:sz w:val="16"/>
                <w:szCs w:val="16"/>
              </w:rPr>
            </w:pPr>
            <w:r w:rsidRPr="00E415F5">
              <w:rPr>
                <w:rFonts w:eastAsia="Verdana" w:cs="Arial"/>
                <w:b w:val="0"/>
                <w:sz w:val="16"/>
                <w:szCs w:val="16"/>
              </w:rPr>
              <w:lastRenderedPageBreak/>
              <w:t>Environmental context</w:t>
            </w:r>
          </w:p>
        </w:tc>
        <w:tc>
          <w:tcPr>
            <w:tcW w:w="3969" w:type="dxa"/>
            <w:shd w:val="clear" w:color="auto" w:fill="auto"/>
          </w:tcPr>
          <w:p w14:paraId="6682E487" w14:textId="77777777" w:rsidR="00F37ACB" w:rsidRPr="00E415F5" w:rsidRDefault="00F37ACB" w:rsidP="00F37ACB">
            <w:pPr>
              <w:pStyle w:val="Tableheading-small"/>
              <w:rPr>
                <w:rFonts w:eastAsia="Verdana" w:cs="Arial"/>
                <w:b w:val="0"/>
                <w:sz w:val="16"/>
                <w:szCs w:val="16"/>
              </w:rPr>
            </w:pPr>
            <w:r w:rsidRPr="00E415F5">
              <w:rPr>
                <w:rFonts w:eastAsia="Verdana" w:cs="Arial"/>
                <w:b w:val="0"/>
                <w:sz w:val="16"/>
                <w:szCs w:val="16"/>
              </w:rPr>
              <w:t>Is the impact or risk being managed pursuant to the nature of the receiving environment (e.g., sensitive or unique environmental features generally require more management measures to protect them than environments widely represented in a region)?</w:t>
            </w:r>
          </w:p>
          <w:p w14:paraId="19B8B17A" w14:textId="4686055B" w:rsidR="009F45EA" w:rsidRPr="00E415F5" w:rsidRDefault="009F45EA" w:rsidP="00F37ACB">
            <w:pPr>
              <w:pStyle w:val="Tableheading-small"/>
              <w:rPr>
                <w:rFonts w:cs="Arial"/>
                <w:b w:val="0"/>
                <w:sz w:val="16"/>
                <w:szCs w:val="16"/>
              </w:rPr>
            </w:pPr>
            <w:r w:rsidRPr="00E415F5">
              <w:rPr>
                <w:rFonts w:eastAsia="Verdana" w:cs="Arial"/>
                <w:b w:val="0"/>
                <w:sz w:val="16"/>
                <w:szCs w:val="16"/>
              </w:rPr>
              <w:t>Have applicable objectives and actions within marine reserve management plans, species recovery plans, threat abatement plans or conservation advices been addressed?</w:t>
            </w:r>
          </w:p>
        </w:tc>
        <w:tc>
          <w:tcPr>
            <w:tcW w:w="3442" w:type="dxa"/>
            <w:shd w:val="clear" w:color="auto" w:fill="auto"/>
          </w:tcPr>
          <w:p w14:paraId="1E8846A2" w14:textId="77777777" w:rsidR="00F37ACB" w:rsidRPr="00E415F5" w:rsidRDefault="00F37ACB" w:rsidP="00F37ACB">
            <w:pPr>
              <w:pStyle w:val="Tableheading-small"/>
              <w:rPr>
                <w:rFonts w:eastAsia="Verdana" w:cs="Arial"/>
                <w:b w:val="0"/>
                <w:sz w:val="16"/>
                <w:szCs w:val="16"/>
              </w:rPr>
            </w:pPr>
            <w:r w:rsidRPr="00E415F5">
              <w:rPr>
                <w:rFonts w:eastAsia="Verdana" w:cs="Arial"/>
                <w:b w:val="0"/>
                <w:sz w:val="16"/>
                <w:szCs w:val="16"/>
              </w:rPr>
              <w:t>The proposed impact or risk controls, performance outcomes and performance standards must be consistent with the nature of the receiving environment.</w:t>
            </w:r>
          </w:p>
          <w:p w14:paraId="5D7D4725" w14:textId="6D0A6EC5" w:rsidR="009F45EA" w:rsidRPr="00E415F5" w:rsidRDefault="009F45EA" w:rsidP="00F37ACB">
            <w:pPr>
              <w:pStyle w:val="Tableheading-small"/>
              <w:rPr>
                <w:rFonts w:cs="Arial"/>
                <w:b w:val="0"/>
                <w:sz w:val="16"/>
                <w:szCs w:val="16"/>
              </w:rPr>
            </w:pPr>
            <w:r w:rsidRPr="00E415F5">
              <w:rPr>
                <w:rFonts w:eastAsia="Verdana" w:cs="Arial"/>
                <w:b w:val="0"/>
                <w:sz w:val="16"/>
                <w:szCs w:val="16"/>
              </w:rPr>
              <w:t>Compliance with objectives and actions contained in relevant plans.</w:t>
            </w:r>
          </w:p>
        </w:tc>
      </w:tr>
      <w:tr w:rsidR="00F37ACB" w:rsidRPr="00160AF3" w14:paraId="79AC69EB" w14:textId="77777777" w:rsidTr="007E025C">
        <w:trPr>
          <w:cantSplit/>
        </w:trPr>
        <w:tc>
          <w:tcPr>
            <w:tcW w:w="1701" w:type="dxa"/>
            <w:shd w:val="clear" w:color="auto" w:fill="F2F2F2"/>
          </w:tcPr>
          <w:p w14:paraId="0E183774" w14:textId="21C1D6AE" w:rsidR="00F37ACB" w:rsidRPr="00E415F5" w:rsidRDefault="00F37ACB" w:rsidP="00F37ACB">
            <w:pPr>
              <w:pStyle w:val="Tableheading-small"/>
              <w:rPr>
                <w:rFonts w:cs="Arial"/>
                <w:b w:val="0"/>
                <w:sz w:val="16"/>
                <w:szCs w:val="16"/>
              </w:rPr>
            </w:pPr>
            <w:r w:rsidRPr="00E415F5">
              <w:rPr>
                <w:rFonts w:eastAsia="Verdana" w:cs="Arial"/>
                <w:b w:val="0"/>
                <w:sz w:val="16"/>
                <w:szCs w:val="16"/>
              </w:rPr>
              <w:t>Environmentally Sustainable Development (ESD) Principles</w:t>
            </w:r>
            <w:r w:rsidR="00472859" w:rsidRPr="00E415F5">
              <w:rPr>
                <w:rFonts w:eastAsia="Verdana" w:cs="Arial"/>
                <w:b w:val="0"/>
                <w:sz w:val="16"/>
                <w:szCs w:val="16"/>
              </w:rPr>
              <w:t xml:space="preserve"> (refer below)</w:t>
            </w:r>
          </w:p>
        </w:tc>
        <w:tc>
          <w:tcPr>
            <w:tcW w:w="3969" w:type="dxa"/>
            <w:shd w:val="clear" w:color="auto" w:fill="F2F2F2"/>
          </w:tcPr>
          <w:p w14:paraId="5214231F" w14:textId="5330F7B0" w:rsidR="00F37ACB" w:rsidRPr="00E415F5" w:rsidRDefault="00F37ACB" w:rsidP="00F37ACB">
            <w:pPr>
              <w:pStyle w:val="Tableheading-small"/>
              <w:rPr>
                <w:rFonts w:cs="Arial"/>
                <w:b w:val="0"/>
                <w:sz w:val="16"/>
                <w:szCs w:val="16"/>
              </w:rPr>
            </w:pPr>
            <w:r w:rsidRPr="00E415F5">
              <w:rPr>
                <w:rFonts w:eastAsia="Verdana" w:cs="Arial"/>
                <w:b w:val="0"/>
                <w:sz w:val="16"/>
                <w:szCs w:val="16"/>
              </w:rPr>
              <w:t xml:space="preserve">Does the proposed risk/impact comply with the APPEA Principles of Conduct (APPEA, 2008), requiring integration of ESD principles into company decision-making, and Government policy frameworks that integrate ESD principles into implementation </w:t>
            </w:r>
            <w:r w:rsidR="008A483F" w:rsidRPr="00E415F5">
              <w:rPr>
                <w:rFonts w:eastAsia="Verdana" w:cs="Arial"/>
                <w:b w:val="0"/>
                <w:sz w:val="16"/>
                <w:szCs w:val="16"/>
              </w:rPr>
              <w:t>strategies?</w:t>
            </w:r>
          </w:p>
        </w:tc>
        <w:tc>
          <w:tcPr>
            <w:tcW w:w="3442" w:type="dxa"/>
            <w:shd w:val="clear" w:color="auto" w:fill="F2F2F2"/>
          </w:tcPr>
          <w:p w14:paraId="69944F20" w14:textId="77777777" w:rsidR="00F37ACB" w:rsidRPr="00E415F5" w:rsidRDefault="00F37ACB" w:rsidP="00F37ACB">
            <w:pPr>
              <w:pStyle w:val="Tableheading-small"/>
              <w:rPr>
                <w:rFonts w:cs="Arial"/>
                <w:b w:val="0"/>
                <w:sz w:val="16"/>
                <w:szCs w:val="16"/>
              </w:rPr>
            </w:pPr>
            <w:r w:rsidRPr="00E415F5">
              <w:rPr>
                <w:rFonts w:eastAsia="Verdana" w:cs="Arial"/>
                <w:b w:val="0"/>
                <w:sz w:val="16"/>
                <w:szCs w:val="16"/>
              </w:rPr>
              <w:t>The overall operations are consistent with the APPEA Principles of Conduct and Commonwealth environmental strategy documents.</w:t>
            </w:r>
          </w:p>
        </w:tc>
      </w:tr>
      <w:tr w:rsidR="00F37ACB" w:rsidRPr="00160AF3" w14:paraId="36AAD7B8" w14:textId="77777777" w:rsidTr="007E025C">
        <w:trPr>
          <w:cantSplit/>
        </w:trPr>
        <w:tc>
          <w:tcPr>
            <w:tcW w:w="1701" w:type="dxa"/>
            <w:shd w:val="clear" w:color="auto" w:fill="auto"/>
          </w:tcPr>
          <w:p w14:paraId="666860C4" w14:textId="77777777" w:rsidR="00F37ACB" w:rsidRPr="00160AF3" w:rsidRDefault="00F37ACB" w:rsidP="00F37ACB">
            <w:pPr>
              <w:pStyle w:val="Tableheading-small"/>
              <w:rPr>
                <w:rFonts w:eastAsia="Verdana" w:cs="Arial"/>
                <w:b w:val="0"/>
                <w:sz w:val="16"/>
                <w:szCs w:val="16"/>
              </w:rPr>
            </w:pPr>
            <w:r w:rsidRPr="00160AF3">
              <w:rPr>
                <w:rFonts w:eastAsia="Verdana" w:cs="Arial"/>
                <w:b w:val="0"/>
                <w:sz w:val="16"/>
                <w:szCs w:val="16"/>
              </w:rPr>
              <w:t>Environmental impact &amp; risk (ALARP)</w:t>
            </w:r>
          </w:p>
        </w:tc>
        <w:tc>
          <w:tcPr>
            <w:tcW w:w="3969" w:type="dxa"/>
            <w:shd w:val="clear" w:color="auto" w:fill="auto"/>
          </w:tcPr>
          <w:p w14:paraId="4D553DE8" w14:textId="040EB4BA" w:rsidR="00F37ACB" w:rsidRPr="00160AF3" w:rsidRDefault="00472859" w:rsidP="00F37ACB">
            <w:pPr>
              <w:pStyle w:val="Tableheading-small"/>
              <w:rPr>
                <w:rFonts w:eastAsia="Verdana" w:cs="Arial"/>
                <w:b w:val="0"/>
                <w:sz w:val="16"/>
                <w:szCs w:val="16"/>
              </w:rPr>
            </w:pPr>
            <w:r w:rsidRPr="00160AF3">
              <w:rPr>
                <w:rFonts w:eastAsia="Verdana" w:cs="Arial"/>
                <w:b w:val="0"/>
                <w:sz w:val="16"/>
                <w:szCs w:val="16"/>
              </w:rPr>
              <w:t>Are</w:t>
            </w:r>
            <w:r w:rsidR="00F37ACB" w:rsidRPr="00160AF3">
              <w:rPr>
                <w:rFonts w:eastAsia="Verdana" w:cs="Arial"/>
                <w:b w:val="0"/>
                <w:sz w:val="16"/>
                <w:szCs w:val="16"/>
              </w:rPr>
              <w:t xml:space="preserve"> there any further reasonable and practicable controls that can be implemented to further reduce the impact or risk?</w:t>
            </w:r>
          </w:p>
        </w:tc>
        <w:tc>
          <w:tcPr>
            <w:tcW w:w="3442" w:type="dxa"/>
            <w:shd w:val="clear" w:color="auto" w:fill="auto"/>
          </w:tcPr>
          <w:p w14:paraId="5A34CD0A" w14:textId="160BB4C7" w:rsidR="00F37ACB" w:rsidRPr="00160AF3" w:rsidRDefault="00F37ACB" w:rsidP="00472859">
            <w:pPr>
              <w:pStyle w:val="Tableheading-small"/>
              <w:rPr>
                <w:rFonts w:eastAsia="Verdana" w:cs="Arial"/>
                <w:b w:val="0"/>
                <w:sz w:val="16"/>
                <w:szCs w:val="16"/>
              </w:rPr>
            </w:pPr>
            <w:r w:rsidRPr="00160AF3">
              <w:rPr>
                <w:rFonts w:eastAsia="Verdana" w:cs="Arial"/>
                <w:b w:val="0"/>
                <w:sz w:val="16"/>
                <w:szCs w:val="16"/>
              </w:rPr>
              <w:t>There is a consensus</w:t>
            </w:r>
            <w:r w:rsidR="00472859" w:rsidRPr="00160AF3">
              <w:rPr>
                <w:rFonts w:eastAsia="Verdana" w:cs="Arial"/>
                <w:b w:val="0"/>
                <w:sz w:val="16"/>
                <w:szCs w:val="16"/>
              </w:rPr>
              <w:t xml:space="preserve"> within Cooper</w:t>
            </w:r>
            <w:r w:rsidRPr="00160AF3">
              <w:rPr>
                <w:rFonts w:eastAsia="Verdana" w:cs="Arial"/>
                <w:b w:val="0"/>
                <w:sz w:val="16"/>
                <w:szCs w:val="16"/>
              </w:rPr>
              <w:t xml:space="preserve"> that residual risk has been demonstrated to ALARP.</w:t>
            </w:r>
          </w:p>
        </w:tc>
      </w:tr>
    </w:tbl>
    <w:p w14:paraId="53227493" w14:textId="77777777" w:rsidR="00F37ACB" w:rsidRDefault="00F37ACB" w:rsidP="00F37ACB">
      <w:pPr>
        <w:pStyle w:val="Tableheading-small"/>
        <w:jc w:val="center"/>
      </w:pPr>
    </w:p>
    <w:p w14:paraId="16D4A07C" w14:textId="77777777" w:rsidR="00E6702B" w:rsidRDefault="00F37ACB" w:rsidP="00F37ACB">
      <w:pPr>
        <w:pStyle w:val="Heading1"/>
      </w:pPr>
      <w:bookmarkStart w:id="171" w:name="_Toc512862473"/>
      <w:r>
        <w:lastRenderedPageBreak/>
        <w:t>Environmental Impact and Risk Assessment</w:t>
      </w:r>
      <w:bookmarkEnd w:id="171"/>
    </w:p>
    <w:p w14:paraId="761D7735" w14:textId="7D5DDF59" w:rsidR="00F37ACB" w:rsidRPr="00160AF3" w:rsidRDefault="00F37ACB" w:rsidP="00E415F5">
      <w:pPr>
        <w:pStyle w:val="BodyText"/>
        <w:ind w:left="432"/>
        <w:rPr>
          <w:szCs w:val="20"/>
          <w:lang w:eastAsia="en-US"/>
        </w:rPr>
      </w:pPr>
      <w:r w:rsidRPr="00160AF3">
        <w:rPr>
          <w:szCs w:val="20"/>
          <w:lang w:eastAsia="en-US"/>
        </w:rPr>
        <w:t xml:space="preserve">This </w:t>
      </w:r>
      <w:r w:rsidR="00160AF3" w:rsidRPr="00160AF3">
        <w:rPr>
          <w:szCs w:val="20"/>
          <w:lang w:eastAsia="en-US"/>
        </w:rPr>
        <w:t>section</w:t>
      </w:r>
      <w:r w:rsidRPr="00160AF3">
        <w:rPr>
          <w:szCs w:val="20"/>
          <w:lang w:eastAsia="en-US"/>
        </w:rPr>
        <w:t xml:space="preserve"> presents the evaluation of the environmental impact assessment (EIA) and environmental risk assessment (ERA) completed for the </w:t>
      </w:r>
      <w:r w:rsidR="00CA4ACB">
        <w:rPr>
          <w:szCs w:val="20"/>
          <w:lang w:eastAsia="en-US"/>
        </w:rPr>
        <w:t>CHN</w:t>
      </w:r>
      <w:r w:rsidRPr="00160AF3">
        <w:rPr>
          <w:szCs w:val="20"/>
          <w:lang w:eastAsia="en-US"/>
        </w:rPr>
        <w:t xml:space="preserve"> assets using the methodology described in </w:t>
      </w:r>
      <w:r w:rsidR="00BA0611">
        <w:rPr>
          <w:szCs w:val="20"/>
          <w:lang w:eastAsia="en-US"/>
        </w:rPr>
        <w:t>Section</w:t>
      </w:r>
      <w:r w:rsidRPr="00160AF3">
        <w:rPr>
          <w:szCs w:val="20"/>
          <w:lang w:eastAsia="en-US"/>
        </w:rPr>
        <w:t xml:space="preserve"> </w:t>
      </w:r>
      <w:r w:rsidR="006F0991" w:rsidRPr="00160AF3">
        <w:rPr>
          <w:szCs w:val="20"/>
          <w:lang w:eastAsia="en-US"/>
        </w:rPr>
        <w:t>6</w:t>
      </w:r>
      <w:r w:rsidRPr="00160AF3">
        <w:rPr>
          <w:szCs w:val="20"/>
          <w:lang w:eastAsia="en-US"/>
        </w:rPr>
        <w:t>, as required by OPGGS(E)</w:t>
      </w:r>
      <w:r w:rsidR="00A25420">
        <w:rPr>
          <w:szCs w:val="20"/>
          <w:lang w:eastAsia="en-US"/>
        </w:rPr>
        <w:t>R</w:t>
      </w:r>
      <w:r w:rsidRPr="00160AF3">
        <w:rPr>
          <w:szCs w:val="20"/>
          <w:lang w:eastAsia="en-US"/>
        </w:rPr>
        <w:t xml:space="preserve"> Regulation</w:t>
      </w:r>
      <w:r w:rsidR="006F0991" w:rsidRPr="00160AF3">
        <w:rPr>
          <w:szCs w:val="20"/>
          <w:lang w:eastAsia="en-US"/>
        </w:rPr>
        <w:t>s</w:t>
      </w:r>
      <w:r w:rsidRPr="00160AF3">
        <w:rPr>
          <w:szCs w:val="20"/>
          <w:lang w:eastAsia="en-US"/>
        </w:rPr>
        <w:t xml:space="preserve"> 13(5)</w:t>
      </w:r>
      <w:r w:rsidR="00A25420">
        <w:rPr>
          <w:szCs w:val="20"/>
          <w:lang w:eastAsia="en-US"/>
        </w:rPr>
        <w:t xml:space="preserve"> and 13</w:t>
      </w:r>
      <w:r w:rsidR="006F0991" w:rsidRPr="00160AF3">
        <w:rPr>
          <w:szCs w:val="20"/>
          <w:lang w:eastAsia="en-US"/>
        </w:rPr>
        <w:t>(6)</w:t>
      </w:r>
      <w:r w:rsidRPr="00160AF3">
        <w:rPr>
          <w:szCs w:val="20"/>
          <w:lang w:eastAsia="en-US"/>
        </w:rPr>
        <w:t xml:space="preserve"> and </w:t>
      </w:r>
      <w:r w:rsidR="00A25420">
        <w:rPr>
          <w:szCs w:val="20"/>
          <w:lang w:eastAsia="en-US"/>
        </w:rPr>
        <w:t xml:space="preserve">OPGGSR </w:t>
      </w:r>
      <w:r w:rsidRPr="00160AF3">
        <w:rPr>
          <w:szCs w:val="20"/>
          <w:lang w:eastAsia="en-US"/>
        </w:rPr>
        <w:t>Regulation 15(3)</w:t>
      </w:r>
      <w:r w:rsidR="00A25420">
        <w:rPr>
          <w:szCs w:val="20"/>
          <w:lang w:eastAsia="en-US"/>
        </w:rPr>
        <w:t xml:space="preserve"> and 15</w:t>
      </w:r>
      <w:r w:rsidR="006F0991" w:rsidRPr="00160AF3">
        <w:rPr>
          <w:szCs w:val="20"/>
          <w:lang w:eastAsia="en-US"/>
        </w:rPr>
        <w:t>(4)</w:t>
      </w:r>
      <w:r w:rsidRPr="00160AF3">
        <w:rPr>
          <w:szCs w:val="20"/>
          <w:lang w:eastAsia="en-US"/>
        </w:rPr>
        <w:t xml:space="preserve">. </w:t>
      </w:r>
    </w:p>
    <w:p w14:paraId="36D64634" w14:textId="6093F138" w:rsidR="00F37ACB" w:rsidRPr="00160AF3" w:rsidRDefault="00F37ACB" w:rsidP="00E415F5">
      <w:pPr>
        <w:pStyle w:val="BodyText"/>
        <w:ind w:left="432"/>
        <w:rPr>
          <w:szCs w:val="20"/>
          <w:lang w:eastAsia="en-US"/>
        </w:rPr>
      </w:pPr>
      <w:r w:rsidRPr="00160AF3">
        <w:rPr>
          <w:szCs w:val="20"/>
          <w:lang w:eastAsia="en-US"/>
        </w:rPr>
        <w:t xml:space="preserve">This </w:t>
      </w:r>
      <w:r w:rsidR="00160AF3" w:rsidRPr="00160AF3">
        <w:rPr>
          <w:szCs w:val="20"/>
          <w:lang w:eastAsia="en-US"/>
        </w:rPr>
        <w:t>section</w:t>
      </w:r>
      <w:r w:rsidRPr="00160AF3">
        <w:rPr>
          <w:szCs w:val="20"/>
          <w:lang w:eastAsia="en-US"/>
        </w:rPr>
        <w:t xml:space="preserve"> also presents the environmental performance outcomes, performance stan</w:t>
      </w:r>
      <w:r w:rsidR="00DF65D2" w:rsidRPr="00160AF3">
        <w:rPr>
          <w:szCs w:val="20"/>
          <w:lang w:eastAsia="en-US"/>
        </w:rPr>
        <w:t>dards and measurement criteria for each of the identified environmental hazards</w:t>
      </w:r>
      <w:r w:rsidRPr="00160AF3">
        <w:rPr>
          <w:szCs w:val="20"/>
          <w:lang w:eastAsia="en-US"/>
        </w:rPr>
        <w:t xml:space="preserve">. </w:t>
      </w:r>
      <w:r w:rsidR="00DF65D2" w:rsidRPr="00160AF3">
        <w:rPr>
          <w:szCs w:val="20"/>
        </w:rPr>
        <w:t xml:space="preserve">Where measurement criteria associated with </w:t>
      </w:r>
      <w:r w:rsidR="00DF65D2" w:rsidRPr="00160AF3">
        <w:rPr>
          <w:i/>
          <w:szCs w:val="20"/>
        </w:rPr>
        <w:t>performance outcomes or performance standards</w:t>
      </w:r>
      <w:r w:rsidR="00DF65D2" w:rsidRPr="00160AF3">
        <w:rPr>
          <w:szCs w:val="20"/>
        </w:rPr>
        <w:t xml:space="preserve"> are not met, a recordable incident is documented and will be reported to NOPSEMA or DEDJTR </w:t>
      </w:r>
      <w:r w:rsidR="00665C55">
        <w:rPr>
          <w:szCs w:val="20"/>
        </w:rPr>
        <w:t xml:space="preserve">ERR </w:t>
      </w:r>
      <w:r w:rsidR="00DF65D2" w:rsidRPr="00160AF3">
        <w:rPr>
          <w:szCs w:val="20"/>
        </w:rPr>
        <w:t xml:space="preserve">(see </w:t>
      </w:r>
      <w:r w:rsidR="00DF65D2" w:rsidRPr="00160AF3">
        <w:rPr>
          <w:szCs w:val="20"/>
          <w:highlight w:val="lightGray"/>
        </w:rPr>
        <w:t>Section 8.8</w:t>
      </w:r>
      <w:r w:rsidR="00DF65D2" w:rsidRPr="00160AF3">
        <w:rPr>
          <w:szCs w:val="20"/>
        </w:rPr>
        <w:t xml:space="preserve">). </w:t>
      </w:r>
      <w:r w:rsidRPr="00160AF3">
        <w:rPr>
          <w:szCs w:val="20"/>
          <w:lang w:eastAsia="en-US"/>
        </w:rPr>
        <w:t xml:space="preserve">The </w:t>
      </w:r>
      <w:r w:rsidR="00DF65D2" w:rsidRPr="00160AF3">
        <w:rPr>
          <w:szCs w:val="20"/>
          <w:lang w:eastAsia="en-US"/>
        </w:rPr>
        <w:t>following legislative and guideline definitions are used in this section</w:t>
      </w:r>
      <w:r w:rsidRPr="00160AF3">
        <w:rPr>
          <w:szCs w:val="20"/>
          <w:lang w:eastAsia="en-US"/>
        </w:rPr>
        <w:t xml:space="preserve">: </w:t>
      </w:r>
    </w:p>
    <w:p w14:paraId="554FFB20" w14:textId="51B030C8" w:rsidR="00F37ACB" w:rsidRPr="001313DC" w:rsidRDefault="00F37ACB" w:rsidP="0036080A">
      <w:pPr>
        <w:pStyle w:val="Bullet1"/>
        <w:numPr>
          <w:ilvl w:val="0"/>
          <w:numId w:val="40"/>
        </w:numPr>
      </w:pPr>
      <w:r w:rsidRPr="001313DC">
        <w:t xml:space="preserve">Environmental performance outcome </w:t>
      </w:r>
      <w:r w:rsidR="00DF65D2" w:rsidRPr="001313DC">
        <w:t xml:space="preserve">(EPO) </w:t>
      </w:r>
      <w:r w:rsidRPr="001313DC">
        <w:t>– a measureable level of performance required for the management of the environmental aspects of the activity to ensure the environmental impacts or risks will be of an acceptable level;</w:t>
      </w:r>
    </w:p>
    <w:p w14:paraId="7861EA57" w14:textId="485B5DF6" w:rsidR="00F37ACB" w:rsidRPr="001313DC" w:rsidRDefault="00F37ACB" w:rsidP="0036080A">
      <w:pPr>
        <w:pStyle w:val="Bullet1"/>
        <w:numPr>
          <w:ilvl w:val="0"/>
          <w:numId w:val="40"/>
        </w:numPr>
      </w:pPr>
      <w:r w:rsidRPr="001313DC">
        <w:t xml:space="preserve">Environmental performance standard </w:t>
      </w:r>
      <w:r w:rsidR="004B5BE4" w:rsidRPr="001313DC">
        <w:t>(EP</w:t>
      </w:r>
      <w:r w:rsidR="008023C2" w:rsidRPr="001313DC">
        <w:t>S</w:t>
      </w:r>
      <w:r w:rsidR="004B5BE4" w:rsidRPr="001313DC">
        <w:t xml:space="preserve">) </w:t>
      </w:r>
      <w:r w:rsidRPr="001313DC">
        <w:t>– a statement of performance required of an adopted control measure; and</w:t>
      </w:r>
    </w:p>
    <w:p w14:paraId="5F680523" w14:textId="34083CE0" w:rsidR="00F37ACB" w:rsidRPr="001313DC" w:rsidRDefault="00F37ACB" w:rsidP="0036080A">
      <w:pPr>
        <w:pStyle w:val="Bullet1"/>
        <w:numPr>
          <w:ilvl w:val="0"/>
          <w:numId w:val="40"/>
        </w:numPr>
      </w:pPr>
      <w:r w:rsidRPr="001313DC">
        <w:t xml:space="preserve">Measurement criteria – defines the measure by which environmental performance will be measured to determine whether the </w:t>
      </w:r>
      <w:r w:rsidR="004B5BE4" w:rsidRPr="001313DC">
        <w:t xml:space="preserve">EPO </w:t>
      </w:r>
      <w:r w:rsidRPr="001313DC">
        <w:t xml:space="preserve">has been met. </w:t>
      </w:r>
    </w:p>
    <w:p w14:paraId="349A0188" w14:textId="70497626" w:rsidR="00F37ACB" w:rsidRPr="00160AF3" w:rsidRDefault="00F37ACB" w:rsidP="00E415F5">
      <w:pPr>
        <w:pStyle w:val="BodyText"/>
        <w:ind w:left="547"/>
        <w:rPr>
          <w:szCs w:val="20"/>
          <w:lang w:eastAsia="en-US"/>
        </w:rPr>
      </w:pPr>
      <w:r w:rsidRPr="00160AF3">
        <w:rPr>
          <w:szCs w:val="20"/>
          <w:lang w:eastAsia="en-US"/>
        </w:rPr>
        <w:t xml:space="preserve">A summary of the residual rankings for all impacts and risks identified and assessed in this </w:t>
      </w:r>
      <w:r w:rsidR="00BA0611">
        <w:rPr>
          <w:szCs w:val="20"/>
          <w:lang w:eastAsia="en-US"/>
        </w:rPr>
        <w:t>Section</w:t>
      </w:r>
      <w:r w:rsidRPr="00160AF3">
        <w:rPr>
          <w:szCs w:val="20"/>
          <w:lang w:eastAsia="en-US"/>
        </w:rPr>
        <w:t xml:space="preserve"> are summarised in </w:t>
      </w:r>
      <w:r w:rsidR="00160AF3">
        <w:rPr>
          <w:color w:val="FF0000"/>
          <w:szCs w:val="20"/>
          <w:lang w:eastAsia="en-US"/>
        </w:rPr>
        <w:fldChar w:fldCharType="begin"/>
      </w:r>
      <w:r w:rsidR="00160AF3">
        <w:rPr>
          <w:szCs w:val="20"/>
          <w:lang w:eastAsia="en-US"/>
        </w:rPr>
        <w:instrText xml:space="preserve"> REF _Ref473374668 \h </w:instrText>
      </w:r>
      <w:r w:rsidR="00160AF3">
        <w:rPr>
          <w:color w:val="FF0000"/>
          <w:szCs w:val="20"/>
          <w:lang w:eastAsia="en-US"/>
        </w:rPr>
      </w:r>
      <w:r w:rsidR="00160AF3">
        <w:rPr>
          <w:color w:val="FF0000"/>
          <w:szCs w:val="20"/>
          <w:lang w:eastAsia="en-US"/>
        </w:rPr>
        <w:fldChar w:fldCharType="separate"/>
      </w:r>
      <w:r w:rsidR="00CC4C35" w:rsidRPr="00160AF3">
        <w:rPr>
          <w:szCs w:val="20"/>
        </w:rPr>
        <w:t xml:space="preserve">Table </w:t>
      </w:r>
      <w:r w:rsidR="00CC4C35">
        <w:rPr>
          <w:noProof/>
          <w:szCs w:val="20"/>
        </w:rPr>
        <w:t>5</w:t>
      </w:r>
      <w:r w:rsidR="00CC4C35">
        <w:rPr>
          <w:szCs w:val="20"/>
        </w:rPr>
        <w:noBreakHyphen/>
      </w:r>
      <w:r w:rsidR="00CC4C35">
        <w:rPr>
          <w:noProof/>
          <w:szCs w:val="20"/>
        </w:rPr>
        <w:t>1</w:t>
      </w:r>
      <w:r w:rsidR="00160AF3">
        <w:rPr>
          <w:color w:val="FF0000"/>
          <w:szCs w:val="20"/>
          <w:lang w:eastAsia="en-US"/>
        </w:rPr>
        <w:fldChar w:fldCharType="end"/>
      </w:r>
      <w:r w:rsidRPr="00160AF3">
        <w:rPr>
          <w:szCs w:val="20"/>
          <w:lang w:eastAsia="en-US"/>
        </w:rPr>
        <w:t xml:space="preserve">. </w:t>
      </w:r>
      <w:r w:rsidR="003D0C5D">
        <w:rPr>
          <w:szCs w:val="20"/>
          <w:lang w:eastAsia="en-US"/>
        </w:rPr>
        <w:t xml:space="preserve"> Note that many of these are not applicable to state water activities and so are not detailed further in the EP summary.</w:t>
      </w:r>
    </w:p>
    <w:p w14:paraId="133994E0" w14:textId="2E519156" w:rsidR="005204BB" w:rsidRPr="00042FC6" w:rsidRDefault="00160AF3" w:rsidP="00213285">
      <w:pPr>
        <w:pStyle w:val="Caption"/>
        <w:outlineLvl w:val="9"/>
        <w:rPr>
          <w:sz w:val="20"/>
          <w:szCs w:val="20"/>
        </w:rPr>
      </w:pPr>
      <w:bookmarkStart w:id="172" w:name="_Ref483510038"/>
      <w:bookmarkStart w:id="173" w:name="_Ref473374668"/>
      <w:bookmarkStart w:id="174" w:name="_Ref421196803"/>
      <w:bookmarkStart w:id="175" w:name="_Toc455992536"/>
      <w:bookmarkStart w:id="176" w:name="_Toc511032592"/>
      <w:r w:rsidRPr="00160AF3">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1</w:t>
      </w:r>
      <w:r w:rsidR="00103328">
        <w:rPr>
          <w:sz w:val="20"/>
          <w:szCs w:val="20"/>
        </w:rPr>
        <w:fldChar w:fldCharType="end"/>
      </w:r>
      <w:bookmarkEnd w:id="172"/>
      <w:bookmarkEnd w:id="173"/>
      <w:r w:rsidRPr="00160AF3">
        <w:rPr>
          <w:sz w:val="20"/>
          <w:szCs w:val="20"/>
        </w:rPr>
        <w:t xml:space="preserve">: </w:t>
      </w:r>
      <w:r w:rsidR="00BA0611">
        <w:rPr>
          <w:sz w:val="20"/>
          <w:szCs w:val="20"/>
        </w:rPr>
        <w:t>CHN</w:t>
      </w:r>
      <w:r w:rsidRPr="00160AF3">
        <w:rPr>
          <w:sz w:val="20"/>
          <w:szCs w:val="20"/>
        </w:rPr>
        <w:t xml:space="preserve"> assets operations and maintenance environmental impact and risk rankings summary</w:t>
      </w:r>
      <w:bookmarkEnd w:id="174"/>
      <w:bookmarkEnd w:id="175"/>
      <w:bookmarkEnd w:id="176"/>
    </w:p>
    <w:tbl>
      <w:tblPr>
        <w:tblStyle w:val="TableGrid"/>
        <w:tblW w:w="0" w:type="auto"/>
        <w:tblLook w:val="04A0" w:firstRow="1" w:lastRow="0" w:firstColumn="1" w:lastColumn="0" w:noHBand="0" w:noVBand="1"/>
      </w:tblPr>
      <w:tblGrid>
        <w:gridCol w:w="775"/>
        <w:gridCol w:w="5333"/>
        <w:gridCol w:w="1701"/>
      </w:tblGrid>
      <w:tr w:rsidR="003D0C5D" w:rsidRPr="00160AF3" w14:paraId="749E2085" w14:textId="77777777" w:rsidTr="003D0C5D">
        <w:trPr>
          <w:cnfStyle w:val="100000000000" w:firstRow="1" w:lastRow="0" w:firstColumn="0" w:lastColumn="0" w:oddVBand="0" w:evenVBand="0" w:oddHBand="0" w:evenHBand="0" w:firstRowFirstColumn="0" w:firstRowLastColumn="0" w:lastRowFirstColumn="0" w:lastRowLastColumn="0"/>
        </w:trPr>
        <w:tc>
          <w:tcPr>
            <w:tcW w:w="775" w:type="dxa"/>
          </w:tcPr>
          <w:p w14:paraId="2A83A240" w14:textId="2F24115B" w:rsidR="003D0C5D" w:rsidRPr="00160AF3" w:rsidRDefault="003D0C5D" w:rsidP="00160AF3">
            <w:pPr>
              <w:pStyle w:val="Tableheading-small"/>
              <w:spacing w:before="40" w:after="40"/>
              <w:jc w:val="center"/>
              <w:rPr>
                <w:b/>
                <w:sz w:val="16"/>
                <w:szCs w:val="16"/>
              </w:rPr>
            </w:pPr>
            <w:r w:rsidRPr="00160AF3">
              <w:rPr>
                <w:b/>
                <w:sz w:val="16"/>
                <w:szCs w:val="16"/>
              </w:rPr>
              <w:t>#</w:t>
            </w:r>
          </w:p>
        </w:tc>
        <w:tc>
          <w:tcPr>
            <w:tcW w:w="5333" w:type="dxa"/>
          </w:tcPr>
          <w:p w14:paraId="16F44D1D" w14:textId="15BAA5A1" w:rsidR="003D0C5D" w:rsidRPr="00160AF3" w:rsidRDefault="003D0C5D" w:rsidP="00160AF3">
            <w:pPr>
              <w:pStyle w:val="Tableheading-small"/>
              <w:spacing w:before="40" w:after="40"/>
              <w:jc w:val="center"/>
              <w:rPr>
                <w:b/>
                <w:sz w:val="16"/>
                <w:szCs w:val="16"/>
              </w:rPr>
            </w:pPr>
            <w:r w:rsidRPr="00160AF3">
              <w:rPr>
                <w:b/>
                <w:sz w:val="16"/>
                <w:szCs w:val="16"/>
              </w:rPr>
              <w:t>Environmental impact or risk</w:t>
            </w:r>
          </w:p>
        </w:tc>
        <w:tc>
          <w:tcPr>
            <w:tcW w:w="1701" w:type="dxa"/>
          </w:tcPr>
          <w:p w14:paraId="51A9A7FB" w14:textId="697868D7" w:rsidR="003D0C5D" w:rsidRPr="00160AF3" w:rsidRDefault="003D0C5D" w:rsidP="00160AF3">
            <w:pPr>
              <w:pStyle w:val="Tableheading-small"/>
              <w:spacing w:before="40" w:after="40"/>
              <w:jc w:val="center"/>
              <w:rPr>
                <w:b/>
                <w:sz w:val="16"/>
                <w:szCs w:val="16"/>
              </w:rPr>
            </w:pPr>
            <w:r w:rsidRPr="00160AF3">
              <w:rPr>
                <w:b/>
                <w:sz w:val="16"/>
                <w:szCs w:val="16"/>
              </w:rPr>
              <w:t>Residual impact or risk ranking</w:t>
            </w:r>
          </w:p>
        </w:tc>
      </w:tr>
      <w:tr w:rsidR="003D0C5D" w:rsidRPr="00160AF3" w14:paraId="3430D5ED" w14:textId="77777777" w:rsidTr="003D0C5D">
        <w:tc>
          <w:tcPr>
            <w:tcW w:w="775" w:type="dxa"/>
          </w:tcPr>
          <w:p w14:paraId="36D7130A" w14:textId="7275D1A3" w:rsidR="003D0C5D" w:rsidRPr="00160AF3" w:rsidRDefault="003D0C5D" w:rsidP="003D0C5D">
            <w:pPr>
              <w:pStyle w:val="Tableheading-small"/>
              <w:spacing w:before="40" w:after="40"/>
              <w:jc w:val="center"/>
              <w:rPr>
                <w:b w:val="0"/>
                <w:sz w:val="16"/>
                <w:szCs w:val="16"/>
              </w:rPr>
            </w:pPr>
            <w:r w:rsidRPr="00160AF3">
              <w:rPr>
                <w:sz w:val="16"/>
                <w:szCs w:val="16"/>
              </w:rPr>
              <w:t>Impacts</w:t>
            </w:r>
          </w:p>
        </w:tc>
        <w:tc>
          <w:tcPr>
            <w:tcW w:w="5333" w:type="dxa"/>
          </w:tcPr>
          <w:p w14:paraId="74024677" w14:textId="77777777" w:rsidR="003D0C5D" w:rsidRPr="00160AF3" w:rsidRDefault="003D0C5D" w:rsidP="003D0C5D">
            <w:pPr>
              <w:pStyle w:val="Tableheading-small"/>
              <w:spacing w:before="40" w:after="40"/>
              <w:rPr>
                <w:b w:val="0"/>
                <w:sz w:val="16"/>
                <w:szCs w:val="16"/>
              </w:rPr>
            </w:pPr>
          </w:p>
        </w:tc>
        <w:tc>
          <w:tcPr>
            <w:tcW w:w="1701" w:type="dxa"/>
            <w:shd w:val="clear" w:color="auto" w:fill="92D050"/>
          </w:tcPr>
          <w:p w14:paraId="027A9849" w14:textId="77777777" w:rsidR="003D0C5D" w:rsidRPr="00160AF3" w:rsidRDefault="003D0C5D" w:rsidP="003D0C5D">
            <w:pPr>
              <w:pStyle w:val="Tableheading-small"/>
              <w:spacing w:before="40" w:after="40"/>
              <w:jc w:val="center"/>
              <w:rPr>
                <w:b w:val="0"/>
                <w:sz w:val="16"/>
                <w:szCs w:val="16"/>
              </w:rPr>
            </w:pPr>
          </w:p>
        </w:tc>
      </w:tr>
      <w:tr w:rsidR="003D0C5D" w:rsidRPr="00160AF3" w14:paraId="67F801F3" w14:textId="77777777" w:rsidTr="003D0C5D">
        <w:trPr>
          <w:cnfStyle w:val="000000010000" w:firstRow="0" w:lastRow="0" w:firstColumn="0" w:lastColumn="0" w:oddVBand="0" w:evenVBand="0" w:oddHBand="0" w:evenHBand="1" w:firstRowFirstColumn="0" w:firstRowLastColumn="0" w:lastRowFirstColumn="0" w:lastRowLastColumn="0"/>
        </w:trPr>
        <w:tc>
          <w:tcPr>
            <w:tcW w:w="775" w:type="dxa"/>
          </w:tcPr>
          <w:p w14:paraId="62F944D2" w14:textId="4B983050" w:rsidR="003D0C5D" w:rsidRPr="00160AF3" w:rsidRDefault="003D0C5D" w:rsidP="003D0C5D">
            <w:pPr>
              <w:pStyle w:val="Tableheading-small"/>
              <w:spacing w:before="40" w:after="40"/>
              <w:jc w:val="center"/>
              <w:rPr>
                <w:b w:val="0"/>
                <w:sz w:val="16"/>
                <w:szCs w:val="16"/>
              </w:rPr>
            </w:pPr>
            <w:r w:rsidRPr="00160AF3">
              <w:rPr>
                <w:b w:val="0"/>
                <w:sz w:val="16"/>
                <w:szCs w:val="16"/>
              </w:rPr>
              <w:t>1</w:t>
            </w:r>
          </w:p>
        </w:tc>
        <w:tc>
          <w:tcPr>
            <w:tcW w:w="5333" w:type="dxa"/>
          </w:tcPr>
          <w:p w14:paraId="0FD2297F" w14:textId="27DB899E" w:rsidR="003D0C5D" w:rsidRPr="00160AF3" w:rsidRDefault="003D0C5D" w:rsidP="003D0C5D">
            <w:pPr>
              <w:pStyle w:val="Tableheading-small"/>
              <w:spacing w:before="40" w:after="40"/>
              <w:rPr>
                <w:b w:val="0"/>
                <w:sz w:val="16"/>
                <w:szCs w:val="16"/>
              </w:rPr>
            </w:pPr>
            <w:r w:rsidRPr="00160AF3">
              <w:rPr>
                <w:b w:val="0"/>
                <w:sz w:val="16"/>
                <w:szCs w:val="16"/>
              </w:rPr>
              <w:t>Discharge of hydraulic fluids</w:t>
            </w:r>
          </w:p>
        </w:tc>
        <w:tc>
          <w:tcPr>
            <w:tcW w:w="1701" w:type="dxa"/>
            <w:shd w:val="clear" w:color="auto" w:fill="92D050"/>
          </w:tcPr>
          <w:p w14:paraId="59B3F62D" w14:textId="14E4EEB7" w:rsidR="003D0C5D" w:rsidRPr="00160AF3" w:rsidRDefault="003D0C5D" w:rsidP="003D0C5D">
            <w:pPr>
              <w:pStyle w:val="Tableheading-small"/>
              <w:spacing w:before="40" w:after="40"/>
              <w:jc w:val="center"/>
              <w:rPr>
                <w:b w:val="0"/>
                <w:sz w:val="16"/>
                <w:szCs w:val="16"/>
              </w:rPr>
            </w:pPr>
            <w:r w:rsidRPr="00160AF3">
              <w:rPr>
                <w:b w:val="0"/>
                <w:sz w:val="16"/>
                <w:szCs w:val="16"/>
              </w:rPr>
              <w:t>Negligible</w:t>
            </w:r>
          </w:p>
        </w:tc>
      </w:tr>
      <w:tr w:rsidR="003D0C5D" w:rsidRPr="00160AF3" w14:paraId="220D27C1" w14:textId="77777777" w:rsidTr="003D0C5D">
        <w:tc>
          <w:tcPr>
            <w:tcW w:w="775" w:type="dxa"/>
          </w:tcPr>
          <w:p w14:paraId="306FACCE" w14:textId="45855433" w:rsidR="003D0C5D" w:rsidRPr="00160AF3" w:rsidRDefault="003D0C5D" w:rsidP="003D0C5D">
            <w:pPr>
              <w:pStyle w:val="Tableheading-small"/>
              <w:spacing w:before="40" w:after="40"/>
              <w:jc w:val="center"/>
              <w:rPr>
                <w:b w:val="0"/>
                <w:sz w:val="16"/>
                <w:szCs w:val="16"/>
              </w:rPr>
            </w:pPr>
            <w:r w:rsidRPr="00160AF3">
              <w:rPr>
                <w:b w:val="0"/>
                <w:sz w:val="16"/>
                <w:szCs w:val="16"/>
              </w:rPr>
              <w:t>3</w:t>
            </w:r>
          </w:p>
        </w:tc>
        <w:tc>
          <w:tcPr>
            <w:tcW w:w="5333" w:type="dxa"/>
          </w:tcPr>
          <w:p w14:paraId="47453965" w14:textId="445BE0A8" w:rsidR="003D0C5D" w:rsidRPr="00160AF3" w:rsidRDefault="003D0C5D" w:rsidP="003D0C5D">
            <w:pPr>
              <w:pStyle w:val="Tableheading-small"/>
              <w:spacing w:before="40" w:after="40"/>
              <w:rPr>
                <w:b w:val="0"/>
                <w:sz w:val="16"/>
                <w:szCs w:val="16"/>
              </w:rPr>
            </w:pPr>
            <w:r w:rsidRPr="00160AF3">
              <w:rPr>
                <w:b w:val="0"/>
                <w:sz w:val="16"/>
                <w:szCs w:val="16"/>
              </w:rPr>
              <w:t>Discharge of gas</w:t>
            </w:r>
          </w:p>
        </w:tc>
        <w:tc>
          <w:tcPr>
            <w:tcW w:w="1701" w:type="dxa"/>
            <w:shd w:val="clear" w:color="auto" w:fill="92D050"/>
          </w:tcPr>
          <w:p w14:paraId="3475B0D2" w14:textId="724B6B3F" w:rsidR="003D0C5D" w:rsidRPr="00160AF3" w:rsidRDefault="003D0C5D" w:rsidP="003D0C5D">
            <w:pPr>
              <w:pStyle w:val="Tableheading-small"/>
              <w:spacing w:before="40" w:after="40"/>
              <w:jc w:val="center"/>
              <w:rPr>
                <w:b w:val="0"/>
                <w:sz w:val="16"/>
                <w:szCs w:val="16"/>
              </w:rPr>
            </w:pPr>
            <w:r w:rsidRPr="00160AF3">
              <w:rPr>
                <w:b w:val="0"/>
                <w:sz w:val="16"/>
                <w:szCs w:val="16"/>
              </w:rPr>
              <w:t>Negligible</w:t>
            </w:r>
          </w:p>
        </w:tc>
      </w:tr>
      <w:tr w:rsidR="003D0C5D" w:rsidRPr="00160AF3" w14:paraId="554AD461" w14:textId="77777777" w:rsidTr="003D0C5D">
        <w:trPr>
          <w:cnfStyle w:val="000000010000" w:firstRow="0" w:lastRow="0" w:firstColumn="0" w:lastColumn="0" w:oddVBand="0" w:evenVBand="0" w:oddHBand="0" w:evenHBand="1" w:firstRowFirstColumn="0" w:firstRowLastColumn="0" w:lastRowFirstColumn="0" w:lastRowLastColumn="0"/>
        </w:trPr>
        <w:tc>
          <w:tcPr>
            <w:tcW w:w="775" w:type="dxa"/>
          </w:tcPr>
          <w:p w14:paraId="6DBAEB2E" w14:textId="26FBF661" w:rsidR="003D0C5D" w:rsidRPr="00160AF3" w:rsidRDefault="003D0C5D" w:rsidP="003D0C5D">
            <w:pPr>
              <w:pStyle w:val="Tableheading-small"/>
              <w:spacing w:before="40" w:after="40"/>
              <w:jc w:val="center"/>
              <w:rPr>
                <w:b w:val="0"/>
                <w:sz w:val="16"/>
                <w:szCs w:val="16"/>
              </w:rPr>
            </w:pPr>
            <w:r w:rsidRPr="00160AF3">
              <w:rPr>
                <w:b w:val="0"/>
                <w:sz w:val="16"/>
                <w:szCs w:val="16"/>
              </w:rPr>
              <w:t>4</w:t>
            </w:r>
          </w:p>
        </w:tc>
        <w:tc>
          <w:tcPr>
            <w:tcW w:w="5333" w:type="dxa"/>
          </w:tcPr>
          <w:p w14:paraId="36DD3C45" w14:textId="42D0123E" w:rsidR="003D0C5D" w:rsidRPr="00160AF3" w:rsidRDefault="003D0C5D" w:rsidP="003D0C5D">
            <w:pPr>
              <w:pStyle w:val="Tableheading-small"/>
              <w:spacing w:before="40" w:after="40"/>
              <w:rPr>
                <w:b w:val="0"/>
                <w:sz w:val="16"/>
                <w:szCs w:val="16"/>
              </w:rPr>
            </w:pPr>
            <w:r w:rsidRPr="00160AF3">
              <w:rPr>
                <w:b w:val="0"/>
                <w:sz w:val="16"/>
                <w:szCs w:val="16"/>
              </w:rPr>
              <w:t>Discharge of production chemicals</w:t>
            </w:r>
          </w:p>
        </w:tc>
        <w:tc>
          <w:tcPr>
            <w:tcW w:w="1701" w:type="dxa"/>
            <w:shd w:val="clear" w:color="auto" w:fill="92D050"/>
          </w:tcPr>
          <w:p w14:paraId="123D50A0" w14:textId="6E447981" w:rsidR="003D0C5D" w:rsidRPr="00160AF3" w:rsidRDefault="003D0C5D" w:rsidP="003D0C5D">
            <w:pPr>
              <w:pStyle w:val="Tableheading-small"/>
              <w:spacing w:before="40" w:after="40"/>
              <w:jc w:val="center"/>
              <w:rPr>
                <w:b w:val="0"/>
                <w:sz w:val="16"/>
                <w:szCs w:val="16"/>
              </w:rPr>
            </w:pPr>
            <w:r w:rsidRPr="00160AF3">
              <w:rPr>
                <w:b w:val="0"/>
                <w:sz w:val="16"/>
                <w:szCs w:val="16"/>
              </w:rPr>
              <w:t>Negligible</w:t>
            </w:r>
          </w:p>
        </w:tc>
      </w:tr>
      <w:tr w:rsidR="003D0C5D" w:rsidRPr="00160AF3" w14:paraId="28E60822" w14:textId="77777777" w:rsidTr="003D0C5D">
        <w:tc>
          <w:tcPr>
            <w:tcW w:w="775" w:type="dxa"/>
          </w:tcPr>
          <w:p w14:paraId="32C2674E" w14:textId="2B27B684" w:rsidR="003D0C5D" w:rsidRPr="00160AF3" w:rsidRDefault="003D0C5D" w:rsidP="003D0C5D">
            <w:pPr>
              <w:pStyle w:val="Tableheading-small"/>
              <w:spacing w:before="40" w:after="40"/>
              <w:jc w:val="center"/>
              <w:rPr>
                <w:b w:val="0"/>
                <w:sz w:val="16"/>
                <w:szCs w:val="16"/>
              </w:rPr>
            </w:pPr>
            <w:r w:rsidRPr="00160AF3">
              <w:rPr>
                <w:b w:val="0"/>
                <w:sz w:val="16"/>
                <w:szCs w:val="16"/>
              </w:rPr>
              <w:t>5</w:t>
            </w:r>
          </w:p>
        </w:tc>
        <w:tc>
          <w:tcPr>
            <w:tcW w:w="5333" w:type="dxa"/>
          </w:tcPr>
          <w:p w14:paraId="6701DB8C" w14:textId="4358BE53" w:rsidR="003D0C5D" w:rsidRPr="00160AF3" w:rsidRDefault="003D0C5D" w:rsidP="003D0C5D">
            <w:pPr>
              <w:pStyle w:val="Tableheading-small"/>
              <w:spacing w:before="40" w:after="40"/>
              <w:rPr>
                <w:b w:val="0"/>
                <w:sz w:val="16"/>
                <w:szCs w:val="16"/>
              </w:rPr>
            </w:pPr>
            <w:r w:rsidRPr="00160AF3">
              <w:rPr>
                <w:b w:val="0"/>
                <w:sz w:val="16"/>
                <w:szCs w:val="16"/>
              </w:rPr>
              <w:t>Removal of marine growth from subsea infrastructure</w:t>
            </w:r>
          </w:p>
        </w:tc>
        <w:tc>
          <w:tcPr>
            <w:tcW w:w="1701" w:type="dxa"/>
            <w:shd w:val="clear" w:color="auto" w:fill="92D050"/>
          </w:tcPr>
          <w:p w14:paraId="23E1CF9A" w14:textId="53F63323" w:rsidR="003D0C5D" w:rsidRPr="00160AF3" w:rsidRDefault="003D0C5D" w:rsidP="003D0C5D">
            <w:pPr>
              <w:pStyle w:val="Tableheading-small"/>
              <w:spacing w:before="40" w:after="40"/>
              <w:jc w:val="center"/>
              <w:rPr>
                <w:b w:val="0"/>
                <w:sz w:val="16"/>
                <w:szCs w:val="16"/>
              </w:rPr>
            </w:pPr>
            <w:r w:rsidRPr="00160AF3">
              <w:rPr>
                <w:b w:val="0"/>
                <w:sz w:val="16"/>
                <w:szCs w:val="16"/>
              </w:rPr>
              <w:t>Negligible</w:t>
            </w:r>
          </w:p>
        </w:tc>
      </w:tr>
      <w:tr w:rsidR="003D0C5D" w:rsidRPr="00160AF3" w14:paraId="00AE05E0" w14:textId="77777777" w:rsidTr="003D0C5D">
        <w:trPr>
          <w:cnfStyle w:val="000000010000" w:firstRow="0" w:lastRow="0" w:firstColumn="0" w:lastColumn="0" w:oddVBand="0" w:evenVBand="0" w:oddHBand="0" w:evenHBand="1" w:firstRowFirstColumn="0" w:firstRowLastColumn="0" w:lastRowFirstColumn="0" w:lastRowLastColumn="0"/>
        </w:trPr>
        <w:tc>
          <w:tcPr>
            <w:tcW w:w="775" w:type="dxa"/>
          </w:tcPr>
          <w:p w14:paraId="1BD2DB3E" w14:textId="2D91A02D" w:rsidR="003D0C5D" w:rsidRPr="00160AF3" w:rsidRDefault="003D0C5D" w:rsidP="003D0C5D">
            <w:pPr>
              <w:pStyle w:val="Tableheading-small"/>
              <w:spacing w:before="40" w:after="40"/>
              <w:jc w:val="center"/>
              <w:rPr>
                <w:b w:val="0"/>
                <w:sz w:val="16"/>
                <w:szCs w:val="16"/>
              </w:rPr>
            </w:pPr>
            <w:r w:rsidRPr="00160AF3">
              <w:rPr>
                <w:b w:val="0"/>
                <w:sz w:val="16"/>
                <w:szCs w:val="16"/>
              </w:rPr>
              <w:t>6</w:t>
            </w:r>
          </w:p>
        </w:tc>
        <w:tc>
          <w:tcPr>
            <w:tcW w:w="5333" w:type="dxa"/>
          </w:tcPr>
          <w:p w14:paraId="033199AB" w14:textId="29A924E3" w:rsidR="003D0C5D" w:rsidRPr="00160AF3" w:rsidRDefault="003D0C5D" w:rsidP="003D0C5D">
            <w:pPr>
              <w:pStyle w:val="Tableheading-small"/>
              <w:spacing w:before="40" w:after="40"/>
              <w:rPr>
                <w:b w:val="0"/>
                <w:sz w:val="16"/>
                <w:szCs w:val="16"/>
              </w:rPr>
            </w:pPr>
            <w:r w:rsidRPr="00160AF3">
              <w:rPr>
                <w:b w:val="0"/>
                <w:sz w:val="16"/>
                <w:szCs w:val="16"/>
              </w:rPr>
              <w:t>Underwater sound disturbance (vessel)</w:t>
            </w:r>
          </w:p>
        </w:tc>
        <w:tc>
          <w:tcPr>
            <w:tcW w:w="1701" w:type="dxa"/>
            <w:shd w:val="clear" w:color="auto" w:fill="FFFF00"/>
          </w:tcPr>
          <w:p w14:paraId="6C512965" w14:textId="51A66E7E" w:rsidR="003D0C5D" w:rsidRPr="00160AF3" w:rsidRDefault="003D0C5D" w:rsidP="003D0C5D">
            <w:pPr>
              <w:pStyle w:val="Tableheading-small"/>
              <w:spacing w:before="40" w:after="40"/>
              <w:jc w:val="center"/>
              <w:rPr>
                <w:b w:val="0"/>
                <w:sz w:val="16"/>
                <w:szCs w:val="16"/>
              </w:rPr>
            </w:pPr>
            <w:r>
              <w:rPr>
                <w:b w:val="0"/>
                <w:sz w:val="16"/>
                <w:szCs w:val="16"/>
              </w:rPr>
              <w:t>Minor</w:t>
            </w:r>
          </w:p>
        </w:tc>
      </w:tr>
      <w:tr w:rsidR="003D0C5D" w:rsidRPr="00160AF3" w14:paraId="421609BD" w14:textId="77777777" w:rsidTr="003D0C5D">
        <w:tc>
          <w:tcPr>
            <w:tcW w:w="775" w:type="dxa"/>
          </w:tcPr>
          <w:p w14:paraId="498D88DE" w14:textId="46BA96FE" w:rsidR="003D0C5D" w:rsidRPr="00160AF3" w:rsidRDefault="003D0C5D" w:rsidP="003D0C5D">
            <w:pPr>
              <w:pStyle w:val="Tableheading-small"/>
              <w:spacing w:before="40" w:after="40"/>
              <w:jc w:val="center"/>
              <w:rPr>
                <w:b w:val="0"/>
                <w:sz w:val="16"/>
                <w:szCs w:val="16"/>
              </w:rPr>
            </w:pPr>
            <w:r w:rsidRPr="00160AF3">
              <w:rPr>
                <w:b w:val="0"/>
                <w:sz w:val="16"/>
                <w:szCs w:val="16"/>
              </w:rPr>
              <w:t>7</w:t>
            </w:r>
          </w:p>
        </w:tc>
        <w:tc>
          <w:tcPr>
            <w:tcW w:w="5333" w:type="dxa"/>
          </w:tcPr>
          <w:p w14:paraId="55C88E81" w14:textId="2037E0DF" w:rsidR="003D0C5D" w:rsidRPr="00160AF3" w:rsidRDefault="003D0C5D" w:rsidP="003D0C5D">
            <w:pPr>
              <w:pStyle w:val="Tableheading-small"/>
              <w:spacing w:before="40" w:after="40"/>
              <w:rPr>
                <w:b w:val="0"/>
                <w:sz w:val="16"/>
                <w:szCs w:val="16"/>
              </w:rPr>
            </w:pPr>
            <w:r w:rsidRPr="00160AF3">
              <w:rPr>
                <w:b w:val="0"/>
                <w:sz w:val="16"/>
                <w:szCs w:val="16"/>
              </w:rPr>
              <w:t>Atmospheric emissions (vessel)</w:t>
            </w:r>
          </w:p>
        </w:tc>
        <w:tc>
          <w:tcPr>
            <w:tcW w:w="1701" w:type="dxa"/>
            <w:shd w:val="clear" w:color="auto" w:fill="92D050"/>
          </w:tcPr>
          <w:p w14:paraId="1B41B052" w14:textId="5E6A8E8C" w:rsidR="003D0C5D" w:rsidRPr="00160AF3" w:rsidRDefault="003D0C5D" w:rsidP="003D0C5D">
            <w:pPr>
              <w:pStyle w:val="Tableheading-small"/>
              <w:spacing w:before="40" w:after="40"/>
              <w:jc w:val="center"/>
              <w:rPr>
                <w:b w:val="0"/>
                <w:sz w:val="16"/>
                <w:szCs w:val="16"/>
              </w:rPr>
            </w:pPr>
            <w:r w:rsidRPr="00160AF3">
              <w:rPr>
                <w:b w:val="0"/>
                <w:sz w:val="16"/>
                <w:szCs w:val="16"/>
              </w:rPr>
              <w:t>Negligible</w:t>
            </w:r>
          </w:p>
        </w:tc>
      </w:tr>
      <w:tr w:rsidR="003D0C5D" w:rsidRPr="00160AF3" w14:paraId="7AE3139B" w14:textId="77777777" w:rsidTr="003D0C5D">
        <w:trPr>
          <w:cnfStyle w:val="000000010000" w:firstRow="0" w:lastRow="0" w:firstColumn="0" w:lastColumn="0" w:oddVBand="0" w:evenVBand="0" w:oddHBand="0" w:evenHBand="1" w:firstRowFirstColumn="0" w:firstRowLastColumn="0" w:lastRowFirstColumn="0" w:lastRowLastColumn="0"/>
        </w:trPr>
        <w:tc>
          <w:tcPr>
            <w:tcW w:w="775" w:type="dxa"/>
          </w:tcPr>
          <w:p w14:paraId="25E9DD68" w14:textId="7F3F7466" w:rsidR="003D0C5D" w:rsidRPr="00160AF3" w:rsidRDefault="003D0C5D" w:rsidP="003D0C5D">
            <w:pPr>
              <w:pStyle w:val="Tableheading-small"/>
              <w:spacing w:before="40" w:after="40"/>
              <w:jc w:val="center"/>
              <w:rPr>
                <w:b w:val="0"/>
                <w:sz w:val="16"/>
                <w:szCs w:val="16"/>
              </w:rPr>
            </w:pPr>
            <w:r w:rsidRPr="00160AF3">
              <w:rPr>
                <w:b w:val="0"/>
                <w:sz w:val="16"/>
                <w:szCs w:val="16"/>
              </w:rPr>
              <w:t>8</w:t>
            </w:r>
          </w:p>
        </w:tc>
        <w:tc>
          <w:tcPr>
            <w:tcW w:w="5333" w:type="dxa"/>
          </w:tcPr>
          <w:p w14:paraId="17DFAE95" w14:textId="1ABA8562" w:rsidR="003D0C5D" w:rsidRPr="00160AF3" w:rsidRDefault="003D0C5D" w:rsidP="003D0C5D">
            <w:pPr>
              <w:pStyle w:val="Tableheading-small"/>
              <w:spacing w:before="40" w:after="40"/>
              <w:rPr>
                <w:b w:val="0"/>
                <w:sz w:val="16"/>
                <w:szCs w:val="16"/>
              </w:rPr>
            </w:pPr>
            <w:r w:rsidRPr="00160AF3">
              <w:rPr>
                <w:b w:val="0"/>
                <w:sz w:val="16"/>
                <w:szCs w:val="16"/>
              </w:rPr>
              <w:t>Light emissions (vessel)</w:t>
            </w:r>
          </w:p>
        </w:tc>
        <w:tc>
          <w:tcPr>
            <w:tcW w:w="1701" w:type="dxa"/>
            <w:shd w:val="clear" w:color="auto" w:fill="92D050"/>
          </w:tcPr>
          <w:p w14:paraId="608F775D" w14:textId="38EB81C7" w:rsidR="003D0C5D" w:rsidRPr="00160AF3" w:rsidRDefault="003D0C5D" w:rsidP="003D0C5D">
            <w:pPr>
              <w:pStyle w:val="Tableheading-small"/>
              <w:spacing w:before="40" w:after="40"/>
              <w:jc w:val="center"/>
              <w:rPr>
                <w:b w:val="0"/>
                <w:sz w:val="16"/>
                <w:szCs w:val="16"/>
              </w:rPr>
            </w:pPr>
            <w:r w:rsidRPr="00160AF3">
              <w:rPr>
                <w:b w:val="0"/>
                <w:sz w:val="16"/>
                <w:szCs w:val="16"/>
              </w:rPr>
              <w:t>Negligible</w:t>
            </w:r>
          </w:p>
        </w:tc>
      </w:tr>
      <w:tr w:rsidR="003D0C5D" w:rsidRPr="00160AF3" w14:paraId="66C41E9F" w14:textId="77777777" w:rsidTr="003D0C5D">
        <w:tc>
          <w:tcPr>
            <w:tcW w:w="775" w:type="dxa"/>
          </w:tcPr>
          <w:p w14:paraId="22700CDE" w14:textId="695D2D70" w:rsidR="003D0C5D" w:rsidRPr="00160AF3" w:rsidRDefault="003D0C5D" w:rsidP="003D0C5D">
            <w:pPr>
              <w:pStyle w:val="Tableheading-small"/>
              <w:spacing w:before="40" w:after="40"/>
              <w:jc w:val="center"/>
              <w:rPr>
                <w:b w:val="0"/>
                <w:sz w:val="16"/>
                <w:szCs w:val="16"/>
              </w:rPr>
            </w:pPr>
            <w:r w:rsidRPr="00160AF3">
              <w:rPr>
                <w:b w:val="0"/>
                <w:sz w:val="16"/>
                <w:szCs w:val="16"/>
              </w:rPr>
              <w:t>9</w:t>
            </w:r>
          </w:p>
        </w:tc>
        <w:tc>
          <w:tcPr>
            <w:tcW w:w="5333" w:type="dxa"/>
          </w:tcPr>
          <w:p w14:paraId="3FAA5972" w14:textId="009BC730" w:rsidR="003D0C5D" w:rsidRPr="00160AF3" w:rsidRDefault="003D0C5D" w:rsidP="003D0C5D">
            <w:pPr>
              <w:pStyle w:val="Tableheading-small"/>
              <w:spacing w:before="40" w:after="40"/>
              <w:rPr>
                <w:b w:val="0"/>
                <w:sz w:val="16"/>
                <w:szCs w:val="16"/>
              </w:rPr>
            </w:pPr>
            <w:r w:rsidRPr="00160AF3">
              <w:rPr>
                <w:b w:val="0"/>
                <w:sz w:val="16"/>
                <w:szCs w:val="16"/>
              </w:rPr>
              <w:t>Treated sewage and grey water discharges (vessels)</w:t>
            </w:r>
          </w:p>
        </w:tc>
        <w:tc>
          <w:tcPr>
            <w:tcW w:w="1701" w:type="dxa"/>
            <w:shd w:val="clear" w:color="auto" w:fill="92D050"/>
          </w:tcPr>
          <w:p w14:paraId="0C13983D" w14:textId="3DDE7EDE" w:rsidR="003D0C5D" w:rsidRPr="00160AF3" w:rsidRDefault="003D0C5D" w:rsidP="003D0C5D">
            <w:pPr>
              <w:pStyle w:val="Tableheading-small"/>
              <w:spacing w:before="40" w:after="40"/>
              <w:jc w:val="center"/>
              <w:rPr>
                <w:b w:val="0"/>
                <w:sz w:val="16"/>
                <w:szCs w:val="16"/>
              </w:rPr>
            </w:pPr>
            <w:r w:rsidRPr="00160AF3">
              <w:rPr>
                <w:b w:val="0"/>
                <w:sz w:val="16"/>
                <w:szCs w:val="16"/>
              </w:rPr>
              <w:t>Negligible</w:t>
            </w:r>
          </w:p>
        </w:tc>
      </w:tr>
      <w:tr w:rsidR="003D0C5D" w:rsidRPr="00160AF3" w14:paraId="7A1B7E58" w14:textId="77777777" w:rsidTr="003D0C5D">
        <w:trPr>
          <w:cnfStyle w:val="000000010000" w:firstRow="0" w:lastRow="0" w:firstColumn="0" w:lastColumn="0" w:oddVBand="0" w:evenVBand="0" w:oddHBand="0" w:evenHBand="1" w:firstRowFirstColumn="0" w:firstRowLastColumn="0" w:lastRowFirstColumn="0" w:lastRowLastColumn="0"/>
        </w:trPr>
        <w:tc>
          <w:tcPr>
            <w:tcW w:w="775" w:type="dxa"/>
          </w:tcPr>
          <w:p w14:paraId="10086833" w14:textId="36A4FF03" w:rsidR="003D0C5D" w:rsidRPr="00160AF3" w:rsidRDefault="003D0C5D" w:rsidP="003D0C5D">
            <w:pPr>
              <w:pStyle w:val="Tableheading-small"/>
              <w:spacing w:before="40" w:after="40"/>
              <w:jc w:val="center"/>
              <w:rPr>
                <w:b w:val="0"/>
                <w:sz w:val="16"/>
                <w:szCs w:val="16"/>
              </w:rPr>
            </w:pPr>
            <w:r w:rsidRPr="00160AF3">
              <w:rPr>
                <w:b w:val="0"/>
                <w:sz w:val="16"/>
                <w:szCs w:val="16"/>
              </w:rPr>
              <w:t>10</w:t>
            </w:r>
          </w:p>
        </w:tc>
        <w:tc>
          <w:tcPr>
            <w:tcW w:w="5333" w:type="dxa"/>
          </w:tcPr>
          <w:p w14:paraId="2D921E0E" w14:textId="0CA11E05" w:rsidR="003D0C5D" w:rsidRPr="00160AF3" w:rsidRDefault="003D0C5D" w:rsidP="003D0C5D">
            <w:pPr>
              <w:pStyle w:val="Tableheading-small"/>
              <w:spacing w:before="40" w:after="40"/>
              <w:rPr>
                <w:b w:val="0"/>
                <w:sz w:val="16"/>
                <w:szCs w:val="16"/>
              </w:rPr>
            </w:pPr>
            <w:r w:rsidRPr="00160AF3">
              <w:rPr>
                <w:b w:val="0"/>
                <w:sz w:val="16"/>
                <w:szCs w:val="16"/>
              </w:rPr>
              <w:t>Cooling and brine water discharges (vessels)</w:t>
            </w:r>
          </w:p>
        </w:tc>
        <w:tc>
          <w:tcPr>
            <w:tcW w:w="1701" w:type="dxa"/>
            <w:shd w:val="clear" w:color="auto" w:fill="92D050"/>
          </w:tcPr>
          <w:p w14:paraId="31C8A981" w14:textId="1BB5E0BE" w:rsidR="003D0C5D" w:rsidRPr="00160AF3" w:rsidRDefault="003D0C5D" w:rsidP="003D0C5D">
            <w:pPr>
              <w:pStyle w:val="Tableheading-small"/>
              <w:spacing w:before="40" w:after="40"/>
              <w:jc w:val="center"/>
              <w:rPr>
                <w:b w:val="0"/>
                <w:sz w:val="16"/>
                <w:szCs w:val="16"/>
              </w:rPr>
            </w:pPr>
            <w:r w:rsidRPr="00160AF3">
              <w:rPr>
                <w:b w:val="0"/>
                <w:sz w:val="16"/>
                <w:szCs w:val="16"/>
              </w:rPr>
              <w:t>Negligible</w:t>
            </w:r>
          </w:p>
        </w:tc>
      </w:tr>
      <w:tr w:rsidR="003D0C5D" w:rsidRPr="00160AF3" w14:paraId="6F596774" w14:textId="77777777" w:rsidTr="003D0C5D">
        <w:tc>
          <w:tcPr>
            <w:tcW w:w="775" w:type="dxa"/>
          </w:tcPr>
          <w:p w14:paraId="3390B3D3" w14:textId="72D7E5A9" w:rsidR="003D0C5D" w:rsidRPr="00160AF3" w:rsidRDefault="003D0C5D" w:rsidP="003D0C5D">
            <w:pPr>
              <w:pStyle w:val="Tableheading-small"/>
              <w:spacing w:before="40" w:after="40"/>
              <w:jc w:val="center"/>
              <w:rPr>
                <w:b w:val="0"/>
                <w:sz w:val="16"/>
                <w:szCs w:val="16"/>
              </w:rPr>
            </w:pPr>
            <w:r w:rsidRPr="00160AF3">
              <w:rPr>
                <w:b w:val="0"/>
                <w:sz w:val="16"/>
                <w:szCs w:val="16"/>
              </w:rPr>
              <w:t>11</w:t>
            </w:r>
          </w:p>
        </w:tc>
        <w:tc>
          <w:tcPr>
            <w:tcW w:w="5333" w:type="dxa"/>
          </w:tcPr>
          <w:p w14:paraId="514F84CF" w14:textId="6B370EAD" w:rsidR="003D0C5D" w:rsidRPr="00160AF3" w:rsidRDefault="003D0C5D" w:rsidP="003D0C5D">
            <w:pPr>
              <w:pStyle w:val="Tableheading-small"/>
              <w:spacing w:before="40" w:after="40"/>
              <w:rPr>
                <w:b w:val="0"/>
                <w:sz w:val="16"/>
                <w:szCs w:val="16"/>
              </w:rPr>
            </w:pPr>
            <w:r w:rsidRPr="00160AF3">
              <w:rPr>
                <w:b w:val="0"/>
                <w:sz w:val="16"/>
                <w:szCs w:val="16"/>
              </w:rPr>
              <w:t>Putrescible waste discharges (vessels)</w:t>
            </w:r>
          </w:p>
        </w:tc>
        <w:tc>
          <w:tcPr>
            <w:tcW w:w="1701" w:type="dxa"/>
            <w:shd w:val="clear" w:color="auto" w:fill="92D050"/>
          </w:tcPr>
          <w:p w14:paraId="08E90B0B" w14:textId="2B7BA78D" w:rsidR="003D0C5D" w:rsidRPr="00160AF3" w:rsidRDefault="003D0C5D" w:rsidP="003D0C5D">
            <w:pPr>
              <w:pStyle w:val="Tableheading-small"/>
              <w:spacing w:before="40" w:after="40"/>
              <w:jc w:val="center"/>
              <w:rPr>
                <w:b w:val="0"/>
                <w:sz w:val="16"/>
                <w:szCs w:val="16"/>
              </w:rPr>
            </w:pPr>
            <w:r w:rsidRPr="00160AF3">
              <w:rPr>
                <w:b w:val="0"/>
                <w:sz w:val="16"/>
                <w:szCs w:val="16"/>
              </w:rPr>
              <w:t>Negligible</w:t>
            </w:r>
          </w:p>
        </w:tc>
      </w:tr>
      <w:tr w:rsidR="003D0C5D" w:rsidRPr="00160AF3" w14:paraId="5623C85A" w14:textId="77777777" w:rsidTr="003D0C5D">
        <w:trPr>
          <w:cnfStyle w:val="000000010000" w:firstRow="0" w:lastRow="0" w:firstColumn="0" w:lastColumn="0" w:oddVBand="0" w:evenVBand="0" w:oddHBand="0" w:evenHBand="1" w:firstRowFirstColumn="0" w:firstRowLastColumn="0" w:lastRowFirstColumn="0" w:lastRowLastColumn="0"/>
        </w:trPr>
        <w:tc>
          <w:tcPr>
            <w:tcW w:w="775" w:type="dxa"/>
          </w:tcPr>
          <w:p w14:paraId="01C69ECC" w14:textId="5F9280D9" w:rsidR="003D0C5D" w:rsidRPr="00160AF3" w:rsidRDefault="003D0C5D" w:rsidP="003D0C5D">
            <w:pPr>
              <w:pStyle w:val="Tableheading-small"/>
              <w:spacing w:before="40" w:after="40"/>
              <w:jc w:val="center"/>
              <w:rPr>
                <w:b w:val="0"/>
                <w:sz w:val="16"/>
                <w:szCs w:val="16"/>
              </w:rPr>
            </w:pPr>
            <w:r w:rsidRPr="00160AF3">
              <w:rPr>
                <w:b w:val="0"/>
                <w:sz w:val="16"/>
                <w:szCs w:val="16"/>
              </w:rPr>
              <w:t>12</w:t>
            </w:r>
          </w:p>
        </w:tc>
        <w:tc>
          <w:tcPr>
            <w:tcW w:w="5333" w:type="dxa"/>
          </w:tcPr>
          <w:p w14:paraId="3BC6A990" w14:textId="25D7F84B" w:rsidR="003D0C5D" w:rsidRPr="00160AF3" w:rsidRDefault="003D0C5D" w:rsidP="003D0C5D">
            <w:pPr>
              <w:pStyle w:val="Tableheading-small"/>
              <w:spacing w:before="40" w:after="40"/>
              <w:rPr>
                <w:b w:val="0"/>
                <w:sz w:val="16"/>
                <w:szCs w:val="16"/>
              </w:rPr>
            </w:pPr>
            <w:r w:rsidRPr="00160AF3">
              <w:rPr>
                <w:b w:val="0"/>
                <w:sz w:val="16"/>
                <w:szCs w:val="16"/>
              </w:rPr>
              <w:t>Bilge water discharges (vessels)</w:t>
            </w:r>
          </w:p>
        </w:tc>
        <w:tc>
          <w:tcPr>
            <w:tcW w:w="1701" w:type="dxa"/>
            <w:shd w:val="clear" w:color="auto" w:fill="92D050"/>
          </w:tcPr>
          <w:p w14:paraId="42FBEF9A" w14:textId="41D78D7C" w:rsidR="003D0C5D" w:rsidRPr="00160AF3" w:rsidRDefault="003D0C5D" w:rsidP="003D0C5D">
            <w:pPr>
              <w:pStyle w:val="Tableheading-small"/>
              <w:spacing w:before="40" w:after="40"/>
              <w:jc w:val="center"/>
              <w:rPr>
                <w:b w:val="0"/>
                <w:sz w:val="16"/>
                <w:szCs w:val="16"/>
              </w:rPr>
            </w:pPr>
            <w:r w:rsidRPr="00160AF3">
              <w:rPr>
                <w:b w:val="0"/>
                <w:sz w:val="16"/>
                <w:szCs w:val="16"/>
              </w:rPr>
              <w:t>Negligible</w:t>
            </w:r>
          </w:p>
        </w:tc>
      </w:tr>
      <w:tr w:rsidR="003D0C5D" w:rsidRPr="00160AF3" w14:paraId="1AB24E9F" w14:textId="77777777" w:rsidTr="003D0C5D">
        <w:tc>
          <w:tcPr>
            <w:tcW w:w="775" w:type="dxa"/>
          </w:tcPr>
          <w:p w14:paraId="7FFF70A2" w14:textId="4CB037BC" w:rsidR="003D0C5D" w:rsidRPr="003D0C5D" w:rsidRDefault="003D0C5D" w:rsidP="003D0C5D">
            <w:pPr>
              <w:pStyle w:val="Tableheading-small"/>
              <w:spacing w:before="40" w:after="40"/>
              <w:jc w:val="center"/>
              <w:rPr>
                <w:sz w:val="16"/>
                <w:szCs w:val="16"/>
              </w:rPr>
            </w:pPr>
            <w:r w:rsidRPr="003D0C5D">
              <w:rPr>
                <w:sz w:val="16"/>
                <w:szCs w:val="16"/>
              </w:rPr>
              <w:t>Risks</w:t>
            </w:r>
          </w:p>
        </w:tc>
        <w:tc>
          <w:tcPr>
            <w:tcW w:w="5333" w:type="dxa"/>
          </w:tcPr>
          <w:p w14:paraId="0590FB7B" w14:textId="0D88FF6C" w:rsidR="003D0C5D" w:rsidRPr="00160AF3" w:rsidRDefault="003D0C5D" w:rsidP="003D0C5D">
            <w:pPr>
              <w:pStyle w:val="Tableheading-small"/>
              <w:spacing w:before="40" w:after="40"/>
              <w:rPr>
                <w:b w:val="0"/>
                <w:sz w:val="16"/>
                <w:szCs w:val="16"/>
              </w:rPr>
            </w:pPr>
          </w:p>
        </w:tc>
        <w:tc>
          <w:tcPr>
            <w:tcW w:w="1701" w:type="dxa"/>
            <w:shd w:val="clear" w:color="auto" w:fill="92D050"/>
          </w:tcPr>
          <w:p w14:paraId="3EBE0428" w14:textId="262AF016" w:rsidR="003D0C5D" w:rsidRPr="00160AF3" w:rsidRDefault="003D0C5D" w:rsidP="003D0C5D">
            <w:pPr>
              <w:pStyle w:val="Tableheading-small"/>
              <w:spacing w:before="40" w:after="40"/>
              <w:jc w:val="center"/>
              <w:rPr>
                <w:b w:val="0"/>
                <w:sz w:val="16"/>
                <w:szCs w:val="16"/>
              </w:rPr>
            </w:pPr>
          </w:p>
        </w:tc>
      </w:tr>
      <w:tr w:rsidR="003D0C5D" w:rsidRPr="00160AF3" w14:paraId="6BA25B63" w14:textId="77777777" w:rsidTr="003D0C5D">
        <w:trPr>
          <w:cnfStyle w:val="000000010000" w:firstRow="0" w:lastRow="0" w:firstColumn="0" w:lastColumn="0" w:oddVBand="0" w:evenVBand="0" w:oddHBand="0" w:evenHBand="1" w:firstRowFirstColumn="0" w:firstRowLastColumn="0" w:lastRowFirstColumn="0" w:lastRowLastColumn="0"/>
        </w:trPr>
        <w:tc>
          <w:tcPr>
            <w:tcW w:w="775" w:type="dxa"/>
          </w:tcPr>
          <w:p w14:paraId="7ACDFBEE" w14:textId="1B24ACB8" w:rsidR="003D0C5D" w:rsidRPr="00160AF3" w:rsidRDefault="003D0C5D" w:rsidP="003D0C5D">
            <w:pPr>
              <w:pStyle w:val="Tableheading-small"/>
              <w:spacing w:before="40" w:after="40"/>
              <w:jc w:val="center"/>
              <w:rPr>
                <w:b w:val="0"/>
                <w:sz w:val="16"/>
                <w:szCs w:val="16"/>
              </w:rPr>
            </w:pPr>
            <w:r w:rsidRPr="00160AF3">
              <w:rPr>
                <w:b w:val="0"/>
                <w:sz w:val="16"/>
                <w:szCs w:val="16"/>
              </w:rPr>
              <w:t>13</w:t>
            </w:r>
          </w:p>
        </w:tc>
        <w:tc>
          <w:tcPr>
            <w:tcW w:w="5333" w:type="dxa"/>
          </w:tcPr>
          <w:p w14:paraId="4B46C1C3" w14:textId="6902DF8A" w:rsidR="003D0C5D" w:rsidRPr="00160AF3" w:rsidRDefault="003D0C5D" w:rsidP="003D0C5D">
            <w:pPr>
              <w:pStyle w:val="Tableheading-small"/>
              <w:spacing w:before="40" w:after="40"/>
              <w:rPr>
                <w:b w:val="0"/>
                <w:sz w:val="16"/>
                <w:szCs w:val="16"/>
              </w:rPr>
            </w:pPr>
            <w:r w:rsidRPr="00160AF3">
              <w:rPr>
                <w:b w:val="0"/>
                <w:sz w:val="16"/>
                <w:szCs w:val="16"/>
              </w:rPr>
              <w:t>Discharge of contaminated deck drainage (vessels)</w:t>
            </w:r>
          </w:p>
        </w:tc>
        <w:tc>
          <w:tcPr>
            <w:tcW w:w="1701" w:type="dxa"/>
            <w:shd w:val="clear" w:color="auto" w:fill="92D050"/>
          </w:tcPr>
          <w:p w14:paraId="0D40023B" w14:textId="66E8FA9D" w:rsidR="003D0C5D" w:rsidRDefault="003D0C5D" w:rsidP="003D0C5D">
            <w:pPr>
              <w:pStyle w:val="Tableheading-small"/>
              <w:spacing w:before="40" w:after="40"/>
              <w:jc w:val="center"/>
              <w:rPr>
                <w:b w:val="0"/>
                <w:sz w:val="16"/>
                <w:szCs w:val="16"/>
              </w:rPr>
            </w:pPr>
            <w:r>
              <w:rPr>
                <w:b w:val="0"/>
                <w:sz w:val="16"/>
                <w:szCs w:val="16"/>
              </w:rPr>
              <w:t>Low</w:t>
            </w:r>
          </w:p>
        </w:tc>
      </w:tr>
      <w:tr w:rsidR="003D0C5D" w:rsidRPr="00160AF3" w14:paraId="252C918F" w14:textId="77777777" w:rsidTr="003D0C5D">
        <w:tc>
          <w:tcPr>
            <w:tcW w:w="775" w:type="dxa"/>
          </w:tcPr>
          <w:p w14:paraId="396B5D94" w14:textId="29ACCFB7" w:rsidR="003D0C5D" w:rsidRPr="00160AF3" w:rsidRDefault="003D0C5D" w:rsidP="003D0C5D">
            <w:pPr>
              <w:pStyle w:val="Tableheading-small"/>
              <w:spacing w:before="40" w:after="40"/>
              <w:jc w:val="center"/>
              <w:rPr>
                <w:b w:val="0"/>
                <w:sz w:val="16"/>
                <w:szCs w:val="16"/>
              </w:rPr>
            </w:pPr>
            <w:r w:rsidRPr="00160AF3">
              <w:rPr>
                <w:b w:val="0"/>
                <w:sz w:val="16"/>
                <w:szCs w:val="16"/>
              </w:rPr>
              <w:t>14</w:t>
            </w:r>
          </w:p>
        </w:tc>
        <w:tc>
          <w:tcPr>
            <w:tcW w:w="5333" w:type="dxa"/>
          </w:tcPr>
          <w:p w14:paraId="66F1CEBB" w14:textId="52547AC6" w:rsidR="003D0C5D" w:rsidRPr="00160AF3" w:rsidRDefault="003D0C5D" w:rsidP="003D0C5D">
            <w:pPr>
              <w:pStyle w:val="Tableheading-small"/>
              <w:spacing w:before="40" w:after="40"/>
              <w:rPr>
                <w:b w:val="0"/>
                <w:sz w:val="16"/>
                <w:szCs w:val="16"/>
              </w:rPr>
            </w:pPr>
            <w:r>
              <w:rPr>
                <w:b w:val="0"/>
                <w:sz w:val="16"/>
                <w:szCs w:val="16"/>
              </w:rPr>
              <w:t>Production chemical release</w:t>
            </w:r>
          </w:p>
        </w:tc>
        <w:tc>
          <w:tcPr>
            <w:tcW w:w="1701" w:type="dxa"/>
            <w:shd w:val="clear" w:color="auto" w:fill="92D050"/>
          </w:tcPr>
          <w:p w14:paraId="16786E4F" w14:textId="4C126D68" w:rsidR="003D0C5D" w:rsidRPr="00160AF3" w:rsidRDefault="003D0C5D" w:rsidP="003D0C5D">
            <w:pPr>
              <w:pStyle w:val="Tableheading-small"/>
              <w:spacing w:before="40" w:after="40"/>
              <w:jc w:val="center"/>
              <w:rPr>
                <w:b w:val="0"/>
                <w:sz w:val="16"/>
                <w:szCs w:val="16"/>
              </w:rPr>
            </w:pPr>
            <w:r>
              <w:rPr>
                <w:b w:val="0"/>
                <w:sz w:val="16"/>
                <w:szCs w:val="16"/>
              </w:rPr>
              <w:t>Low</w:t>
            </w:r>
          </w:p>
        </w:tc>
      </w:tr>
      <w:tr w:rsidR="003D0C5D" w:rsidRPr="00160AF3" w14:paraId="0540B492" w14:textId="77777777" w:rsidTr="003D0C5D">
        <w:trPr>
          <w:cnfStyle w:val="000000010000" w:firstRow="0" w:lastRow="0" w:firstColumn="0" w:lastColumn="0" w:oddVBand="0" w:evenVBand="0" w:oddHBand="0" w:evenHBand="1" w:firstRowFirstColumn="0" w:firstRowLastColumn="0" w:lastRowFirstColumn="0" w:lastRowLastColumn="0"/>
        </w:trPr>
        <w:tc>
          <w:tcPr>
            <w:tcW w:w="775" w:type="dxa"/>
          </w:tcPr>
          <w:p w14:paraId="0810443A" w14:textId="7226E845" w:rsidR="003D0C5D" w:rsidRPr="00160AF3" w:rsidRDefault="003D0C5D" w:rsidP="003D0C5D">
            <w:pPr>
              <w:pStyle w:val="Tableheading-small"/>
              <w:spacing w:before="40" w:after="40"/>
              <w:jc w:val="center"/>
              <w:rPr>
                <w:b w:val="0"/>
                <w:sz w:val="16"/>
                <w:szCs w:val="16"/>
              </w:rPr>
            </w:pPr>
            <w:r w:rsidRPr="00160AF3">
              <w:rPr>
                <w:b w:val="0"/>
                <w:sz w:val="16"/>
                <w:szCs w:val="16"/>
              </w:rPr>
              <w:t>15</w:t>
            </w:r>
          </w:p>
        </w:tc>
        <w:tc>
          <w:tcPr>
            <w:tcW w:w="5333" w:type="dxa"/>
          </w:tcPr>
          <w:p w14:paraId="73161206" w14:textId="40AD12C3" w:rsidR="003D0C5D" w:rsidRPr="00160AF3" w:rsidRDefault="003D0C5D" w:rsidP="003D0C5D">
            <w:pPr>
              <w:pStyle w:val="Tableheading-small"/>
              <w:spacing w:before="40" w:after="40"/>
              <w:rPr>
                <w:b w:val="0"/>
                <w:sz w:val="16"/>
                <w:szCs w:val="16"/>
              </w:rPr>
            </w:pPr>
            <w:r w:rsidRPr="00160AF3">
              <w:rPr>
                <w:b w:val="0"/>
                <w:sz w:val="16"/>
                <w:szCs w:val="16"/>
              </w:rPr>
              <w:t>Displacement of third-party vessels (vessels)</w:t>
            </w:r>
          </w:p>
        </w:tc>
        <w:tc>
          <w:tcPr>
            <w:tcW w:w="1701" w:type="dxa"/>
            <w:shd w:val="clear" w:color="auto" w:fill="92D050"/>
          </w:tcPr>
          <w:p w14:paraId="14D33263" w14:textId="562B3EB0" w:rsidR="003D0C5D" w:rsidRPr="00160AF3" w:rsidRDefault="003D0C5D" w:rsidP="003D0C5D">
            <w:pPr>
              <w:pStyle w:val="Tableheading-small"/>
              <w:spacing w:before="40" w:after="40"/>
              <w:jc w:val="center"/>
              <w:rPr>
                <w:b w:val="0"/>
                <w:sz w:val="16"/>
                <w:szCs w:val="16"/>
              </w:rPr>
            </w:pPr>
            <w:r>
              <w:rPr>
                <w:b w:val="0"/>
                <w:sz w:val="16"/>
                <w:szCs w:val="16"/>
              </w:rPr>
              <w:t>Low</w:t>
            </w:r>
          </w:p>
        </w:tc>
      </w:tr>
      <w:tr w:rsidR="003D0C5D" w:rsidRPr="00160AF3" w14:paraId="5110E5B4" w14:textId="77777777" w:rsidTr="003D0C5D">
        <w:tc>
          <w:tcPr>
            <w:tcW w:w="775" w:type="dxa"/>
          </w:tcPr>
          <w:p w14:paraId="2F94CBA1" w14:textId="592804A4" w:rsidR="003D0C5D" w:rsidRPr="00160AF3" w:rsidRDefault="003D0C5D" w:rsidP="003D0C5D">
            <w:pPr>
              <w:pStyle w:val="Tableheading-small"/>
              <w:spacing w:before="40" w:after="40"/>
              <w:jc w:val="center"/>
              <w:rPr>
                <w:b w:val="0"/>
                <w:sz w:val="16"/>
                <w:szCs w:val="16"/>
              </w:rPr>
            </w:pPr>
            <w:r w:rsidRPr="00160AF3">
              <w:rPr>
                <w:b w:val="0"/>
                <w:sz w:val="16"/>
                <w:szCs w:val="16"/>
              </w:rPr>
              <w:t>16</w:t>
            </w:r>
          </w:p>
        </w:tc>
        <w:tc>
          <w:tcPr>
            <w:tcW w:w="5333" w:type="dxa"/>
          </w:tcPr>
          <w:p w14:paraId="7A54B1D5" w14:textId="5DBD10E5" w:rsidR="003D0C5D" w:rsidRPr="00160AF3" w:rsidRDefault="003D0C5D" w:rsidP="003D0C5D">
            <w:pPr>
              <w:pStyle w:val="Tableheading-small"/>
              <w:spacing w:before="40" w:after="40"/>
              <w:rPr>
                <w:b w:val="0"/>
                <w:sz w:val="16"/>
                <w:szCs w:val="16"/>
              </w:rPr>
            </w:pPr>
            <w:r w:rsidRPr="00160AF3">
              <w:rPr>
                <w:b w:val="0"/>
                <w:sz w:val="16"/>
                <w:szCs w:val="16"/>
              </w:rPr>
              <w:t>Introduction of invasive marine species (vessels)</w:t>
            </w:r>
          </w:p>
        </w:tc>
        <w:tc>
          <w:tcPr>
            <w:tcW w:w="1701" w:type="dxa"/>
            <w:shd w:val="clear" w:color="auto" w:fill="FFFF00"/>
          </w:tcPr>
          <w:p w14:paraId="4557B6E9" w14:textId="79FC1129" w:rsidR="003D0C5D" w:rsidRPr="00160AF3" w:rsidRDefault="003D0C5D" w:rsidP="003D0C5D">
            <w:pPr>
              <w:pStyle w:val="Tableheading-small"/>
              <w:spacing w:before="40" w:after="40"/>
              <w:jc w:val="center"/>
              <w:rPr>
                <w:b w:val="0"/>
                <w:sz w:val="16"/>
                <w:szCs w:val="16"/>
              </w:rPr>
            </w:pPr>
            <w:r>
              <w:rPr>
                <w:b w:val="0"/>
                <w:sz w:val="16"/>
                <w:szCs w:val="16"/>
              </w:rPr>
              <w:t>Medium</w:t>
            </w:r>
          </w:p>
        </w:tc>
      </w:tr>
      <w:tr w:rsidR="003D0C5D" w:rsidRPr="00160AF3" w14:paraId="0418C39D" w14:textId="77777777" w:rsidTr="003D0C5D">
        <w:trPr>
          <w:cnfStyle w:val="000000010000" w:firstRow="0" w:lastRow="0" w:firstColumn="0" w:lastColumn="0" w:oddVBand="0" w:evenVBand="0" w:oddHBand="0" w:evenHBand="1" w:firstRowFirstColumn="0" w:firstRowLastColumn="0" w:lastRowFirstColumn="0" w:lastRowLastColumn="0"/>
        </w:trPr>
        <w:tc>
          <w:tcPr>
            <w:tcW w:w="775" w:type="dxa"/>
          </w:tcPr>
          <w:p w14:paraId="65C5EEC7" w14:textId="11D482E9" w:rsidR="003D0C5D" w:rsidRPr="00160AF3" w:rsidRDefault="003D0C5D" w:rsidP="003D0C5D">
            <w:pPr>
              <w:pStyle w:val="Tableheading-small"/>
              <w:spacing w:before="40" w:after="40"/>
              <w:jc w:val="center"/>
              <w:rPr>
                <w:b w:val="0"/>
                <w:sz w:val="16"/>
                <w:szCs w:val="16"/>
              </w:rPr>
            </w:pPr>
            <w:r w:rsidRPr="00160AF3">
              <w:rPr>
                <w:b w:val="0"/>
                <w:sz w:val="16"/>
                <w:szCs w:val="16"/>
              </w:rPr>
              <w:t>17</w:t>
            </w:r>
          </w:p>
        </w:tc>
        <w:tc>
          <w:tcPr>
            <w:tcW w:w="5333" w:type="dxa"/>
          </w:tcPr>
          <w:p w14:paraId="75662CFE" w14:textId="78241005" w:rsidR="003D0C5D" w:rsidRPr="00160AF3" w:rsidRDefault="003D0C5D" w:rsidP="003D0C5D">
            <w:pPr>
              <w:pStyle w:val="Tableheading-small"/>
              <w:spacing w:before="40" w:after="40"/>
              <w:rPr>
                <w:b w:val="0"/>
                <w:sz w:val="16"/>
                <w:szCs w:val="16"/>
              </w:rPr>
            </w:pPr>
            <w:r w:rsidRPr="00160AF3">
              <w:rPr>
                <w:b w:val="0"/>
                <w:sz w:val="16"/>
                <w:szCs w:val="16"/>
              </w:rPr>
              <w:t>Vessel strike with megafauna (vessels)</w:t>
            </w:r>
          </w:p>
        </w:tc>
        <w:tc>
          <w:tcPr>
            <w:tcW w:w="1701" w:type="dxa"/>
            <w:shd w:val="clear" w:color="auto" w:fill="92D050"/>
          </w:tcPr>
          <w:p w14:paraId="01786DCB" w14:textId="5410DC40" w:rsidR="003D0C5D" w:rsidRPr="00160AF3" w:rsidRDefault="003D0C5D" w:rsidP="003D0C5D">
            <w:pPr>
              <w:pStyle w:val="Tableheading-small"/>
              <w:spacing w:before="40" w:after="40"/>
              <w:jc w:val="center"/>
              <w:rPr>
                <w:b w:val="0"/>
                <w:sz w:val="16"/>
                <w:szCs w:val="16"/>
              </w:rPr>
            </w:pPr>
            <w:r>
              <w:rPr>
                <w:b w:val="0"/>
                <w:sz w:val="16"/>
                <w:szCs w:val="16"/>
              </w:rPr>
              <w:t>Low</w:t>
            </w:r>
          </w:p>
        </w:tc>
      </w:tr>
      <w:tr w:rsidR="003D0C5D" w:rsidRPr="00160AF3" w14:paraId="2638A39A" w14:textId="77777777" w:rsidTr="003D0C5D">
        <w:tc>
          <w:tcPr>
            <w:tcW w:w="775" w:type="dxa"/>
          </w:tcPr>
          <w:p w14:paraId="70816AC1" w14:textId="70329D15" w:rsidR="003D0C5D" w:rsidRPr="00160AF3" w:rsidRDefault="003D0C5D" w:rsidP="003D0C5D">
            <w:pPr>
              <w:pStyle w:val="Tableheading-small"/>
              <w:spacing w:before="40" w:after="40"/>
              <w:jc w:val="center"/>
              <w:rPr>
                <w:b w:val="0"/>
                <w:sz w:val="16"/>
                <w:szCs w:val="16"/>
              </w:rPr>
            </w:pPr>
            <w:r w:rsidRPr="00160AF3">
              <w:rPr>
                <w:b w:val="0"/>
                <w:sz w:val="16"/>
                <w:szCs w:val="16"/>
              </w:rPr>
              <w:t>18</w:t>
            </w:r>
          </w:p>
        </w:tc>
        <w:tc>
          <w:tcPr>
            <w:tcW w:w="5333" w:type="dxa"/>
          </w:tcPr>
          <w:p w14:paraId="2FE95C09" w14:textId="5FF15232" w:rsidR="003D0C5D" w:rsidRPr="00160AF3" w:rsidRDefault="003D0C5D" w:rsidP="003D0C5D">
            <w:pPr>
              <w:pStyle w:val="Tableheading-small"/>
              <w:spacing w:before="40" w:after="40"/>
              <w:rPr>
                <w:b w:val="0"/>
                <w:sz w:val="16"/>
                <w:szCs w:val="16"/>
              </w:rPr>
            </w:pPr>
            <w:r w:rsidRPr="00160AF3">
              <w:rPr>
                <w:b w:val="0"/>
                <w:sz w:val="16"/>
                <w:szCs w:val="16"/>
              </w:rPr>
              <w:t>Accidental release of waste (vessels)</w:t>
            </w:r>
          </w:p>
        </w:tc>
        <w:tc>
          <w:tcPr>
            <w:tcW w:w="1701" w:type="dxa"/>
            <w:shd w:val="clear" w:color="auto" w:fill="92D050"/>
          </w:tcPr>
          <w:p w14:paraId="12E2EA06" w14:textId="25DE55D3" w:rsidR="003D0C5D" w:rsidRPr="00160AF3" w:rsidRDefault="003D0C5D" w:rsidP="003D0C5D">
            <w:pPr>
              <w:pStyle w:val="Tableheading-small"/>
              <w:spacing w:before="40" w:after="40"/>
              <w:jc w:val="center"/>
              <w:rPr>
                <w:b w:val="0"/>
                <w:sz w:val="16"/>
                <w:szCs w:val="16"/>
              </w:rPr>
            </w:pPr>
            <w:r>
              <w:rPr>
                <w:b w:val="0"/>
                <w:sz w:val="16"/>
                <w:szCs w:val="16"/>
              </w:rPr>
              <w:t>Low</w:t>
            </w:r>
          </w:p>
        </w:tc>
      </w:tr>
      <w:tr w:rsidR="003D0C5D" w:rsidRPr="00160AF3" w14:paraId="01A3C247" w14:textId="77777777" w:rsidTr="003D0C5D">
        <w:trPr>
          <w:cnfStyle w:val="000000010000" w:firstRow="0" w:lastRow="0" w:firstColumn="0" w:lastColumn="0" w:oddVBand="0" w:evenVBand="0" w:oddHBand="0" w:evenHBand="1" w:firstRowFirstColumn="0" w:firstRowLastColumn="0" w:lastRowFirstColumn="0" w:lastRowLastColumn="0"/>
        </w:trPr>
        <w:tc>
          <w:tcPr>
            <w:tcW w:w="775" w:type="dxa"/>
          </w:tcPr>
          <w:p w14:paraId="1DCC9E3E" w14:textId="0260CECD" w:rsidR="003D0C5D" w:rsidRPr="00160AF3" w:rsidRDefault="003D0C5D" w:rsidP="003D0C5D">
            <w:pPr>
              <w:pStyle w:val="Tableheading-small"/>
              <w:spacing w:before="40" w:after="40"/>
              <w:jc w:val="center"/>
              <w:rPr>
                <w:b w:val="0"/>
                <w:sz w:val="16"/>
                <w:szCs w:val="16"/>
              </w:rPr>
            </w:pPr>
            <w:r>
              <w:rPr>
                <w:b w:val="0"/>
                <w:sz w:val="16"/>
                <w:szCs w:val="16"/>
              </w:rPr>
              <w:t>19</w:t>
            </w:r>
          </w:p>
        </w:tc>
        <w:tc>
          <w:tcPr>
            <w:tcW w:w="5333" w:type="dxa"/>
          </w:tcPr>
          <w:p w14:paraId="4DDF70D0" w14:textId="09BD9DB6" w:rsidR="003D0C5D" w:rsidRPr="00160AF3" w:rsidRDefault="003D0C5D" w:rsidP="003D0C5D">
            <w:pPr>
              <w:pStyle w:val="Tableheading-small"/>
              <w:spacing w:before="40" w:after="40"/>
              <w:rPr>
                <w:b w:val="0"/>
                <w:sz w:val="16"/>
                <w:szCs w:val="16"/>
              </w:rPr>
            </w:pPr>
            <w:r>
              <w:rPr>
                <w:b w:val="0"/>
                <w:sz w:val="16"/>
                <w:szCs w:val="16"/>
              </w:rPr>
              <w:t>Loss of equipment to the marine environment</w:t>
            </w:r>
          </w:p>
        </w:tc>
        <w:tc>
          <w:tcPr>
            <w:tcW w:w="1701" w:type="dxa"/>
            <w:shd w:val="clear" w:color="auto" w:fill="92D050"/>
          </w:tcPr>
          <w:p w14:paraId="2C16CC2E" w14:textId="2F0EDFE2" w:rsidR="003D0C5D" w:rsidRDefault="003D0C5D" w:rsidP="003D0C5D">
            <w:pPr>
              <w:pStyle w:val="Tableheading-small"/>
              <w:spacing w:before="40" w:after="40"/>
              <w:jc w:val="center"/>
              <w:rPr>
                <w:b w:val="0"/>
                <w:sz w:val="16"/>
                <w:szCs w:val="16"/>
              </w:rPr>
            </w:pPr>
            <w:r>
              <w:rPr>
                <w:b w:val="0"/>
                <w:sz w:val="16"/>
                <w:szCs w:val="16"/>
              </w:rPr>
              <w:t>Low</w:t>
            </w:r>
          </w:p>
        </w:tc>
      </w:tr>
      <w:tr w:rsidR="003D0C5D" w:rsidRPr="00160AF3" w14:paraId="2368C01A" w14:textId="77777777" w:rsidTr="003D0C5D">
        <w:tc>
          <w:tcPr>
            <w:tcW w:w="775" w:type="dxa"/>
          </w:tcPr>
          <w:p w14:paraId="409B239E" w14:textId="15C133DE" w:rsidR="003D0C5D" w:rsidRPr="00160AF3" w:rsidRDefault="003D0C5D" w:rsidP="003D0C5D">
            <w:pPr>
              <w:pStyle w:val="Tableheading-small"/>
              <w:spacing w:before="40" w:after="40"/>
              <w:jc w:val="center"/>
              <w:rPr>
                <w:b w:val="0"/>
                <w:sz w:val="16"/>
                <w:szCs w:val="16"/>
              </w:rPr>
            </w:pPr>
            <w:r>
              <w:rPr>
                <w:b w:val="0"/>
                <w:sz w:val="16"/>
                <w:szCs w:val="16"/>
              </w:rPr>
              <w:t>20</w:t>
            </w:r>
          </w:p>
        </w:tc>
        <w:tc>
          <w:tcPr>
            <w:tcW w:w="5333" w:type="dxa"/>
          </w:tcPr>
          <w:p w14:paraId="1AB24C07" w14:textId="33FD4CBD" w:rsidR="003D0C5D" w:rsidRPr="00160AF3" w:rsidRDefault="003D0C5D" w:rsidP="003D0C5D">
            <w:pPr>
              <w:pStyle w:val="Tableheading-small"/>
              <w:spacing w:before="40" w:after="40"/>
              <w:rPr>
                <w:b w:val="0"/>
                <w:sz w:val="16"/>
                <w:szCs w:val="16"/>
              </w:rPr>
            </w:pPr>
            <w:r w:rsidRPr="00160AF3">
              <w:rPr>
                <w:b w:val="0"/>
                <w:sz w:val="16"/>
                <w:szCs w:val="16"/>
              </w:rPr>
              <w:t xml:space="preserve">Condensate spill </w:t>
            </w:r>
          </w:p>
        </w:tc>
        <w:tc>
          <w:tcPr>
            <w:tcW w:w="1701" w:type="dxa"/>
            <w:shd w:val="clear" w:color="auto" w:fill="92D050"/>
          </w:tcPr>
          <w:p w14:paraId="46D98FA6" w14:textId="5D8F3992" w:rsidR="003D0C5D" w:rsidRPr="00160AF3" w:rsidRDefault="003D0C5D" w:rsidP="003D0C5D">
            <w:pPr>
              <w:pStyle w:val="Tableheading-small"/>
              <w:spacing w:before="40" w:after="40"/>
              <w:jc w:val="center"/>
              <w:rPr>
                <w:b w:val="0"/>
                <w:sz w:val="16"/>
                <w:szCs w:val="16"/>
              </w:rPr>
            </w:pPr>
            <w:r>
              <w:rPr>
                <w:b w:val="0"/>
                <w:sz w:val="16"/>
                <w:szCs w:val="16"/>
              </w:rPr>
              <w:t>Low</w:t>
            </w:r>
          </w:p>
        </w:tc>
      </w:tr>
      <w:tr w:rsidR="003D0C5D" w:rsidRPr="00160AF3" w14:paraId="3F1A7D2E" w14:textId="77777777" w:rsidTr="003D0C5D">
        <w:trPr>
          <w:cnfStyle w:val="000000010000" w:firstRow="0" w:lastRow="0" w:firstColumn="0" w:lastColumn="0" w:oddVBand="0" w:evenVBand="0" w:oddHBand="0" w:evenHBand="1" w:firstRowFirstColumn="0" w:firstRowLastColumn="0" w:lastRowFirstColumn="0" w:lastRowLastColumn="0"/>
        </w:trPr>
        <w:tc>
          <w:tcPr>
            <w:tcW w:w="775" w:type="dxa"/>
          </w:tcPr>
          <w:p w14:paraId="02CD28BA" w14:textId="11FDFF86" w:rsidR="003D0C5D" w:rsidRPr="00160AF3" w:rsidRDefault="003D0C5D" w:rsidP="003D0C5D">
            <w:pPr>
              <w:pStyle w:val="Tableheading-small"/>
              <w:spacing w:before="40" w:after="40"/>
              <w:jc w:val="center"/>
              <w:rPr>
                <w:b w:val="0"/>
                <w:sz w:val="16"/>
                <w:szCs w:val="16"/>
              </w:rPr>
            </w:pPr>
            <w:r w:rsidRPr="00160AF3">
              <w:rPr>
                <w:b w:val="0"/>
                <w:sz w:val="16"/>
                <w:szCs w:val="16"/>
              </w:rPr>
              <w:t>2</w:t>
            </w:r>
            <w:r>
              <w:rPr>
                <w:b w:val="0"/>
                <w:sz w:val="16"/>
                <w:szCs w:val="16"/>
              </w:rPr>
              <w:t>1</w:t>
            </w:r>
          </w:p>
        </w:tc>
        <w:tc>
          <w:tcPr>
            <w:tcW w:w="5333" w:type="dxa"/>
          </w:tcPr>
          <w:p w14:paraId="13A00A0A" w14:textId="0CEBF6CB" w:rsidR="003D0C5D" w:rsidRPr="00160AF3" w:rsidRDefault="003D0C5D" w:rsidP="003D0C5D">
            <w:pPr>
              <w:pStyle w:val="Tableheading-small"/>
              <w:spacing w:before="40" w:after="40"/>
              <w:rPr>
                <w:b w:val="0"/>
                <w:sz w:val="16"/>
                <w:szCs w:val="16"/>
              </w:rPr>
            </w:pPr>
            <w:r w:rsidRPr="00160AF3">
              <w:rPr>
                <w:b w:val="0"/>
                <w:sz w:val="16"/>
                <w:szCs w:val="16"/>
              </w:rPr>
              <w:t xml:space="preserve">Diesel spill (vessels) </w:t>
            </w:r>
          </w:p>
        </w:tc>
        <w:tc>
          <w:tcPr>
            <w:tcW w:w="1701" w:type="dxa"/>
            <w:shd w:val="clear" w:color="auto" w:fill="92D050"/>
          </w:tcPr>
          <w:p w14:paraId="1405D71F" w14:textId="5AA07F89" w:rsidR="003D0C5D" w:rsidRPr="00160AF3" w:rsidRDefault="003D0C5D" w:rsidP="003D0C5D">
            <w:pPr>
              <w:pStyle w:val="Tableheading-small"/>
              <w:spacing w:before="40" w:after="40"/>
              <w:jc w:val="center"/>
              <w:rPr>
                <w:b w:val="0"/>
                <w:sz w:val="16"/>
                <w:szCs w:val="16"/>
              </w:rPr>
            </w:pPr>
            <w:r>
              <w:rPr>
                <w:b w:val="0"/>
                <w:sz w:val="16"/>
                <w:szCs w:val="16"/>
              </w:rPr>
              <w:t>Low</w:t>
            </w:r>
          </w:p>
        </w:tc>
      </w:tr>
    </w:tbl>
    <w:p w14:paraId="0E1D8FBF" w14:textId="77777777" w:rsidR="00EA4418" w:rsidRDefault="00EA4418" w:rsidP="00EA4418">
      <w:pPr>
        <w:pStyle w:val="BodyText"/>
      </w:pPr>
      <w:bookmarkStart w:id="177" w:name="_Toc345581926"/>
    </w:p>
    <w:p w14:paraId="1244F7E6" w14:textId="32DFD691" w:rsidR="002227B9" w:rsidRDefault="002227B9" w:rsidP="00EA4418">
      <w:pPr>
        <w:pStyle w:val="BodyText"/>
        <w:rPr>
          <w:b/>
        </w:rPr>
      </w:pPr>
      <w:r>
        <w:rPr>
          <w:b/>
        </w:rPr>
        <w:lastRenderedPageBreak/>
        <w:t>IMR Campaign Timeframes (Non-Emergency):</w:t>
      </w:r>
    </w:p>
    <w:p w14:paraId="48275045" w14:textId="5A57E736" w:rsidR="008F5F7B" w:rsidRDefault="008F5F7B" w:rsidP="00FA36A5">
      <w:pPr>
        <w:pStyle w:val="BodyText"/>
      </w:pPr>
      <w:r>
        <w:t>A range of environmental receptors in the Otway basin are seasonally present or have seasonal sensitivities (i.e. spawning) and as such, environmental impact and risk depends upon their presence. The selection of IMR campaign timeframes can also reduce the impacts and risks of vessel-based activities. </w:t>
      </w:r>
    </w:p>
    <w:p w14:paraId="013A2164" w14:textId="146E21B4" w:rsidR="008F5F7B" w:rsidRDefault="008F5F7B" w:rsidP="00FA36A5">
      <w:pPr>
        <w:pStyle w:val="BodyText"/>
      </w:pPr>
      <w:r>
        <w:t xml:space="preserve">As part of the pre-campaign planning a risk assessment will be undertaken to assess project, safety and environmental impacts and activity risks to ensure ALARP and acceptability criteria are met. </w:t>
      </w:r>
    </w:p>
    <w:p w14:paraId="4AEC1BF9" w14:textId="0213F353" w:rsidR="008F5F7B" w:rsidRDefault="008F5F7B" w:rsidP="00FA36A5">
      <w:pPr>
        <w:pStyle w:val="BodyText"/>
      </w:pPr>
      <w:r>
        <w:t>This process will involve personnel who can supply relevant information to the activity and/or are the key decision makers for the project. Information which will be provided into the assessment process will include:</w:t>
      </w:r>
    </w:p>
    <w:p w14:paraId="5EFA0B6D" w14:textId="67FCF999" w:rsidR="008F5F7B" w:rsidRDefault="008F5F7B" w:rsidP="0036080A">
      <w:pPr>
        <w:pStyle w:val="Bullet1"/>
        <w:numPr>
          <w:ilvl w:val="0"/>
          <w:numId w:val="40"/>
        </w:numPr>
      </w:pPr>
      <w:r>
        <w:t>Vessel availability;</w:t>
      </w:r>
    </w:p>
    <w:p w14:paraId="39954AFC" w14:textId="5F1ADA9A" w:rsidR="008F5F7B" w:rsidRDefault="008F5F7B" w:rsidP="0036080A">
      <w:pPr>
        <w:pStyle w:val="Bullet1"/>
        <w:numPr>
          <w:ilvl w:val="0"/>
          <w:numId w:val="40"/>
        </w:numPr>
      </w:pPr>
      <w:r>
        <w:t>Safe weather windows in which to operate;</w:t>
      </w:r>
    </w:p>
    <w:p w14:paraId="2F6A7F16" w14:textId="09223A6A" w:rsidR="008F5F7B" w:rsidRDefault="008F5F7B" w:rsidP="0036080A">
      <w:pPr>
        <w:pStyle w:val="Bullet1"/>
        <w:numPr>
          <w:ilvl w:val="0"/>
          <w:numId w:val="40"/>
        </w:numPr>
      </w:pPr>
      <w:r>
        <w:t>Seasonal environmental and socio-economic sensitivities within the region; and</w:t>
      </w:r>
    </w:p>
    <w:p w14:paraId="239A4B28" w14:textId="33136925" w:rsidR="008F5F7B" w:rsidRDefault="008F5F7B" w:rsidP="0036080A">
      <w:pPr>
        <w:pStyle w:val="Bullet1"/>
        <w:numPr>
          <w:ilvl w:val="0"/>
          <w:numId w:val="40"/>
        </w:numPr>
      </w:pPr>
      <w:r>
        <w:t>Location of the IMR activity against the expected location of these sensitivities.</w:t>
      </w:r>
    </w:p>
    <w:p w14:paraId="0C2ECFBA" w14:textId="38B3EB4A" w:rsidR="008F5F7B" w:rsidRDefault="008F5F7B" w:rsidP="00FA36A5">
      <w:pPr>
        <w:pStyle w:val="BodyText"/>
      </w:pPr>
      <w:r>
        <w:t>The methodology to select the timeframe with the lowest environmental impact/risk associated with IMR activities will be done on a case-by-case basis as follows:</w:t>
      </w:r>
    </w:p>
    <w:p w14:paraId="7AE3C60B" w14:textId="445864D3" w:rsidR="008F5F7B" w:rsidRDefault="008F5F7B" w:rsidP="0036080A">
      <w:pPr>
        <w:pStyle w:val="Bullet1"/>
        <w:numPr>
          <w:ilvl w:val="0"/>
          <w:numId w:val="40"/>
        </w:numPr>
      </w:pPr>
      <w:r>
        <w:t>The available activity windows (depend on vessel availability and safe weather conditions) will be defined;</w:t>
      </w:r>
    </w:p>
    <w:p w14:paraId="0F318C09" w14:textId="21B98487" w:rsidR="008F5F7B" w:rsidRDefault="008F5F7B" w:rsidP="0036080A">
      <w:pPr>
        <w:pStyle w:val="Bullet1"/>
        <w:numPr>
          <w:ilvl w:val="0"/>
          <w:numId w:val="40"/>
        </w:numPr>
      </w:pPr>
      <w:r>
        <w:t>For each sensitivity within that window, identify the environmental and socio-economic impacts/risk of undertaking the activity in that period;</w:t>
      </w:r>
    </w:p>
    <w:p w14:paraId="7AD5E84B" w14:textId="01148764" w:rsidR="008F5F7B" w:rsidRDefault="008F5F7B" w:rsidP="0036080A">
      <w:pPr>
        <w:pStyle w:val="Bullet1"/>
        <w:numPr>
          <w:ilvl w:val="0"/>
          <w:numId w:val="40"/>
        </w:numPr>
      </w:pPr>
      <w:r>
        <w:t>Compare the environmental and socio-economic impacts for each period;</w:t>
      </w:r>
    </w:p>
    <w:p w14:paraId="7B3D79D5" w14:textId="1F71BE03" w:rsidR="008F5F7B" w:rsidRDefault="008F5F7B" w:rsidP="0036080A">
      <w:pPr>
        <w:pStyle w:val="Bullet1"/>
        <w:numPr>
          <w:ilvl w:val="0"/>
          <w:numId w:val="40"/>
        </w:numPr>
      </w:pPr>
      <w:r>
        <w:t>From this comparison establish if there is a clear timeframe where impacts/risks to all environmental and socio-economic sensitivities can be minimised;</w:t>
      </w:r>
    </w:p>
    <w:p w14:paraId="0077D280" w14:textId="34130D51" w:rsidR="008F5F7B" w:rsidRDefault="008F5F7B" w:rsidP="0036080A">
      <w:pPr>
        <w:pStyle w:val="Bullet1"/>
        <w:numPr>
          <w:ilvl w:val="0"/>
          <w:numId w:val="40"/>
        </w:numPr>
      </w:pPr>
      <w:r>
        <w:t xml:space="preserve">If there is no clear timeframe the preferred timeframe will be defined by a qualitative comparison of severity of impacts and risks to sensitivities giving priority to: </w:t>
      </w:r>
    </w:p>
    <w:p w14:paraId="0FD31E31" w14:textId="02E16D9E" w:rsidR="008F5F7B" w:rsidRDefault="008F5F7B" w:rsidP="001313DC">
      <w:pPr>
        <w:pStyle w:val="Bullet2"/>
      </w:pPr>
      <w:r>
        <w:t xml:space="preserve">Environmental sensitivities over socio-economic factors (refer below to rationale). </w:t>
      </w:r>
    </w:p>
    <w:p w14:paraId="3139FF4A" w14:textId="0DCCA306" w:rsidR="008F5F7B" w:rsidRDefault="008F5F7B" w:rsidP="001313DC">
      <w:pPr>
        <w:pStyle w:val="Bullet2"/>
      </w:pPr>
      <w:r>
        <w:t>Threatened species over non-threatened species.</w:t>
      </w:r>
    </w:p>
    <w:p w14:paraId="190395C9" w14:textId="77777777" w:rsidR="008F5F7B" w:rsidRPr="001313DC" w:rsidRDefault="008F5F7B" w:rsidP="001313DC">
      <w:pPr>
        <w:pStyle w:val="BodyText"/>
      </w:pPr>
      <w:r w:rsidRPr="001313DC">
        <w:t>If timeframes are assessed as equally good, there may not be a preferred activity window between options available.</w:t>
      </w:r>
    </w:p>
    <w:p w14:paraId="4A4A7E1F" w14:textId="77777777" w:rsidR="008F5F7B" w:rsidRDefault="008F5F7B" w:rsidP="00FA36A5">
      <w:pPr>
        <w:pStyle w:val="BodyText"/>
      </w:pPr>
      <w:r>
        <w:t>This assessment shall be documented and attached to the pre-campaign risk assessment.</w:t>
      </w:r>
    </w:p>
    <w:p w14:paraId="5E97EA50" w14:textId="77777777" w:rsidR="008F5F7B" w:rsidRPr="00FA36A5" w:rsidRDefault="008F5F7B" w:rsidP="00FA36A5">
      <w:pPr>
        <w:pStyle w:val="BodyText"/>
        <w:rPr>
          <w:i/>
        </w:rPr>
      </w:pPr>
      <w:r w:rsidRPr="00FA36A5">
        <w:rPr>
          <w:i/>
        </w:rPr>
        <w:t xml:space="preserve">Socio-economic impacts: </w:t>
      </w:r>
    </w:p>
    <w:p w14:paraId="0504F827" w14:textId="663B579F" w:rsidR="008F5F7B" w:rsidRPr="00FA36A5" w:rsidRDefault="008F5F7B" w:rsidP="0036080A">
      <w:pPr>
        <w:pStyle w:val="Bullet1"/>
        <w:numPr>
          <w:ilvl w:val="0"/>
          <w:numId w:val="40"/>
        </w:numPr>
      </w:pPr>
      <w:r w:rsidRPr="00FA36A5">
        <w:t>Commercial fishing has access to larger marine areas than the area occupied by the CHN facilities. CHN facilities have been aligned to avoid habitats where commercial fisheries (i.e. lobster and abalone) operate. On the basis of this marine availability, Cooper considers that there is more flexibility in fishing options and fishing activities can exercise discretion as opposed to marine fauna.</w:t>
      </w:r>
    </w:p>
    <w:p w14:paraId="7EB58B73" w14:textId="4DEE14A7" w:rsidR="008F5F7B" w:rsidRPr="00FA36A5" w:rsidRDefault="008F5F7B" w:rsidP="0036080A">
      <w:pPr>
        <w:pStyle w:val="Bullet1"/>
        <w:numPr>
          <w:ilvl w:val="0"/>
          <w:numId w:val="40"/>
        </w:numPr>
      </w:pPr>
      <w:r w:rsidRPr="00FA36A5">
        <w:t>Impacts and risks from CHN activities are not expected to have substantial impacts to tourism in the area given the nature of the operations and hydrocarbon handled</w:t>
      </w:r>
      <w:r w:rsidR="0029496F">
        <w:t xml:space="preserve"> in the CHN facilities</w:t>
      </w:r>
      <w:r w:rsidRPr="00FA36A5">
        <w:t>. Additionally, tourists visiting the Port Campbell area are attracted by its landscapes and scenery which will not be significantly impacted by the risks identified by CHN operations</w:t>
      </w:r>
      <w:r w:rsidR="0029496F">
        <w:t>.</w:t>
      </w:r>
      <w:r w:rsidR="0029496F">
        <w:rPr>
          <w:rStyle w:val="FootnoteReference"/>
          <w:i/>
        </w:rPr>
        <w:footnoteReference w:id="1"/>
      </w:r>
    </w:p>
    <w:p w14:paraId="30FF131A" w14:textId="6F15C7BF" w:rsidR="00E93D10" w:rsidRDefault="006F3EE5" w:rsidP="00E72D71">
      <w:pPr>
        <w:pStyle w:val="Heading2"/>
      </w:pPr>
      <w:bookmarkStart w:id="178" w:name="_Toc345581928"/>
      <w:bookmarkStart w:id="179" w:name="_Ref477095454"/>
      <w:bookmarkStart w:id="180" w:name="_Toc512862474"/>
      <w:bookmarkEnd w:id="177"/>
      <w:r>
        <w:lastRenderedPageBreak/>
        <w:t xml:space="preserve">IMPACT: </w:t>
      </w:r>
      <w:r w:rsidR="00F04211">
        <w:t>S</w:t>
      </w:r>
      <w:r w:rsidR="00E572A8">
        <w:t>eabed Disturbance</w:t>
      </w:r>
      <w:bookmarkEnd w:id="178"/>
      <w:bookmarkEnd w:id="179"/>
      <w:bookmarkEnd w:id="180"/>
    </w:p>
    <w:p w14:paraId="448C876A" w14:textId="77777777" w:rsidR="005204BB" w:rsidRDefault="005204BB" w:rsidP="00914C00">
      <w:pPr>
        <w:pStyle w:val="Heading3"/>
      </w:pPr>
      <w:r>
        <w:t>Hazard</w:t>
      </w:r>
    </w:p>
    <w:p w14:paraId="5E33C579" w14:textId="77777777" w:rsidR="00CA5ACD" w:rsidRPr="00526BED" w:rsidRDefault="00CA5ACD" w:rsidP="00E415F5">
      <w:pPr>
        <w:pStyle w:val="BodyText"/>
        <w:ind w:left="720"/>
        <w:rPr>
          <w:szCs w:val="20"/>
          <w:lang w:eastAsia="en-US"/>
        </w:rPr>
      </w:pPr>
      <w:r w:rsidRPr="00526BED">
        <w:rPr>
          <w:szCs w:val="20"/>
          <w:lang w:eastAsia="en-US"/>
        </w:rPr>
        <w:t>The following activities have the potential to disturb the seabed:</w:t>
      </w:r>
    </w:p>
    <w:p w14:paraId="032B963E" w14:textId="77777777" w:rsidR="00CA5ACD" w:rsidRPr="00526BED" w:rsidRDefault="00CA5ACD" w:rsidP="0036080A">
      <w:pPr>
        <w:pStyle w:val="Bullet1"/>
        <w:numPr>
          <w:ilvl w:val="0"/>
          <w:numId w:val="40"/>
        </w:numPr>
      </w:pPr>
      <w:r w:rsidRPr="00526BED">
        <w:t>Dropped objects;</w:t>
      </w:r>
    </w:p>
    <w:p w14:paraId="3A2F6F7D" w14:textId="683E4E3C" w:rsidR="00CA5ACD" w:rsidRPr="00526BED" w:rsidRDefault="00CA5ACD" w:rsidP="0036080A">
      <w:pPr>
        <w:pStyle w:val="Bullet1"/>
        <w:numPr>
          <w:ilvl w:val="0"/>
          <w:numId w:val="40"/>
        </w:numPr>
      </w:pPr>
      <w:r w:rsidRPr="00526BED">
        <w:t>Disturbance to infrastructure (storm damage, over trawl, etc</w:t>
      </w:r>
      <w:r w:rsidR="00BD3EBF">
        <w:t>.</w:t>
      </w:r>
      <w:r w:rsidRPr="00526BED">
        <w:t>);</w:t>
      </w:r>
    </w:p>
    <w:p w14:paraId="48D4D345" w14:textId="6260A08D" w:rsidR="00CA5ACD" w:rsidRPr="00526BED" w:rsidRDefault="00CA5ACD" w:rsidP="0036080A">
      <w:pPr>
        <w:pStyle w:val="Bullet1"/>
        <w:numPr>
          <w:ilvl w:val="0"/>
          <w:numId w:val="40"/>
        </w:numPr>
      </w:pPr>
      <w:r w:rsidRPr="00526BED">
        <w:t>Erosion/sediment build up along the pipelines;</w:t>
      </w:r>
    </w:p>
    <w:p w14:paraId="27B9EC23" w14:textId="474EC450" w:rsidR="00CA5ACD" w:rsidRPr="00526BED" w:rsidRDefault="00CA5ACD" w:rsidP="0036080A">
      <w:pPr>
        <w:pStyle w:val="Bullet1"/>
        <w:numPr>
          <w:ilvl w:val="0"/>
          <w:numId w:val="40"/>
        </w:numPr>
      </w:pPr>
      <w:r w:rsidRPr="00526BED">
        <w:t xml:space="preserve">Laying </w:t>
      </w:r>
      <w:r w:rsidR="00E50F9B">
        <w:t xml:space="preserve">down </w:t>
      </w:r>
      <w:r w:rsidRPr="00526BED">
        <w:t>of subsea infrastructure</w:t>
      </w:r>
      <w:r w:rsidR="00832266">
        <w:t xml:space="preserve"> (e.g. repair activities)</w:t>
      </w:r>
      <w:r w:rsidRPr="00526BED">
        <w:t>;</w:t>
      </w:r>
    </w:p>
    <w:p w14:paraId="22A4CE0A" w14:textId="748069DA" w:rsidR="00CA5ACD" w:rsidRPr="00526BED" w:rsidRDefault="00CA5ACD" w:rsidP="0036080A">
      <w:pPr>
        <w:pStyle w:val="Bullet1"/>
        <w:numPr>
          <w:ilvl w:val="0"/>
          <w:numId w:val="40"/>
        </w:numPr>
      </w:pPr>
      <w:r w:rsidRPr="00526BED">
        <w:t>Lifting (and subsequent replacement) of EHU</w:t>
      </w:r>
      <w:r w:rsidR="00BD3EBF">
        <w:t xml:space="preserve"> or</w:t>
      </w:r>
      <w:r w:rsidRPr="00526BED">
        <w:t xml:space="preserve"> installation of pipeline span supports;</w:t>
      </w:r>
    </w:p>
    <w:p w14:paraId="27810883" w14:textId="77777777" w:rsidR="00CA5ACD" w:rsidRPr="00526BED" w:rsidRDefault="00CA5ACD" w:rsidP="0036080A">
      <w:pPr>
        <w:pStyle w:val="Bullet1"/>
        <w:numPr>
          <w:ilvl w:val="0"/>
          <w:numId w:val="40"/>
        </w:numPr>
      </w:pPr>
      <w:r w:rsidRPr="00526BED">
        <w:t>Vessel anchoring; and</w:t>
      </w:r>
    </w:p>
    <w:p w14:paraId="1C3049E1" w14:textId="30E1AB7F" w:rsidR="00CA5ACD" w:rsidRPr="00526BED" w:rsidRDefault="00BD3EBF" w:rsidP="0036080A">
      <w:pPr>
        <w:pStyle w:val="Bullet1"/>
        <w:numPr>
          <w:ilvl w:val="0"/>
          <w:numId w:val="40"/>
        </w:numPr>
      </w:pPr>
      <w:r>
        <w:t>Preparing site for pipeline repair</w:t>
      </w:r>
      <w:r w:rsidR="00CA5ACD" w:rsidRPr="00526BED">
        <w:t>.</w:t>
      </w:r>
    </w:p>
    <w:p w14:paraId="038F10BD" w14:textId="77777777" w:rsidR="005204BB" w:rsidRDefault="005204BB" w:rsidP="00914C00">
      <w:pPr>
        <w:pStyle w:val="Heading3"/>
      </w:pPr>
      <w:r>
        <w:t>Known and Potential Environmental Impacts</w:t>
      </w:r>
    </w:p>
    <w:p w14:paraId="2281C787" w14:textId="77777777" w:rsidR="00CA5ACD" w:rsidRPr="00526BED" w:rsidRDefault="00CA5ACD" w:rsidP="00E415F5">
      <w:pPr>
        <w:pStyle w:val="BodyText"/>
        <w:ind w:left="720"/>
        <w:rPr>
          <w:szCs w:val="20"/>
          <w:lang w:eastAsia="en-US"/>
        </w:rPr>
      </w:pPr>
      <w:r w:rsidRPr="00526BED">
        <w:rPr>
          <w:szCs w:val="20"/>
          <w:lang w:eastAsia="en-US"/>
        </w:rPr>
        <w:t xml:space="preserve">The known and potential impacts of the above-mentioned hazards are: </w:t>
      </w:r>
    </w:p>
    <w:p w14:paraId="67D0479A" w14:textId="77777777" w:rsidR="00CA5ACD" w:rsidRPr="00526BED" w:rsidRDefault="00CA5ACD" w:rsidP="0036080A">
      <w:pPr>
        <w:pStyle w:val="Bullet1"/>
        <w:numPr>
          <w:ilvl w:val="0"/>
          <w:numId w:val="40"/>
        </w:numPr>
      </w:pPr>
      <w:r w:rsidRPr="00526BED">
        <w:t>Localised turbidity of the near-seabed water column;</w:t>
      </w:r>
    </w:p>
    <w:p w14:paraId="3C57DCAD" w14:textId="77777777" w:rsidR="00CA5ACD" w:rsidRPr="00526BED" w:rsidRDefault="00CA5ACD" w:rsidP="0036080A">
      <w:pPr>
        <w:pStyle w:val="Bullet1"/>
        <w:numPr>
          <w:ilvl w:val="0"/>
          <w:numId w:val="40"/>
        </w:numPr>
      </w:pPr>
      <w:r w:rsidRPr="00526BED">
        <w:t>Temporary disturbance to benthic habitats and fauna from this turbidity;</w:t>
      </w:r>
    </w:p>
    <w:p w14:paraId="11B9AABF" w14:textId="61155F9C" w:rsidR="00CA5ACD" w:rsidRPr="00526BED" w:rsidRDefault="00CA5ACD" w:rsidP="0036080A">
      <w:pPr>
        <w:pStyle w:val="Bullet1"/>
        <w:numPr>
          <w:ilvl w:val="0"/>
          <w:numId w:val="40"/>
        </w:numPr>
      </w:pPr>
      <w:r w:rsidRPr="00526BED">
        <w:t>Smothering cause by dropped objects</w:t>
      </w:r>
      <w:r w:rsidR="00A26F8C">
        <w:t xml:space="preserve"> or</w:t>
      </w:r>
      <w:r w:rsidR="00832266">
        <w:t xml:space="preserve"> seabed disturbances</w:t>
      </w:r>
      <w:r w:rsidRPr="00526BED">
        <w:t xml:space="preserve">; </w:t>
      </w:r>
    </w:p>
    <w:p w14:paraId="1AD82952" w14:textId="77777777" w:rsidR="00CA5ACD" w:rsidRPr="00526BED" w:rsidRDefault="00CA5ACD" w:rsidP="0036080A">
      <w:pPr>
        <w:pStyle w:val="Bullet1"/>
        <w:numPr>
          <w:ilvl w:val="0"/>
          <w:numId w:val="40"/>
        </w:numPr>
      </w:pPr>
      <w:r w:rsidRPr="00526BED">
        <w:t>Permanent displacement of a small area of seabed habitat by subsea infrastructure; and</w:t>
      </w:r>
    </w:p>
    <w:p w14:paraId="71B5F0A6" w14:textId="77777777" w:rsidR="00CA5ACD" w:rsidRPr="00526BED" w:rsidRDefault="00CA5ACD" w:rsidP="0036080A">
      <w:pPr>
        <w:pStyle w:val="Bullet1"/>
        <w:numPr>
          <w:ilvl w:val="0"/>
          <w:numId w:val="40"/>
        </w:numPr>
      </w:pPr>
      <w:r w:rsidRPr="00526BED">
        <w:t xml:space="preserve">Subsea infrastructure will act as artificial habitat for benthic fauna colonization. </w:t>
      </w:r>
    </w:p>
    <w:p w14:paraId="61482E7B" w14:textId="77777777" w:rsidR="00C60875" w:rsidRPr="00E415F5" w:rsidRDefault="00C60875" w:rsidP="00E415F5">
      <w:pPr>
        <w:pStyle w:val="BodyText"/>
        <w:ind w:left="709"/>
        <w:rPr>
          <w:b/>
          <w:u w:val="single"/>
        </w:rPr>
      </w:pPr>
      <w:r w:rsidRPr="00E415F5">
        <w:rPr>
          <w:b/>
          <w:u w:val="single"/>
        </w:rPr>
        <w:t>EMBA</w:t>
      </w:r>
    </w:p>
    <w:p w14:paraId="292C05A4" w14:textId="406F2A71" w:rsidR="00C60875" w:rsidRPr="00526BED" w:rsidRDefault="00C60875" w:rsidP="00D92D28">
      <w:pPr>
        <w:pStyle w:val="BodyText"/>
        <w:keepNext/>
        <w:ind w:left="709"/>
        <w:rPr>
          <w:szCs w:val="20"/>
          <w:lang w:eastAsia="en-US"/>
        </w:rPr>
      </w:pPr>
      <w:r w:rsidRPr="00526BED">
        <w:rPr>
          <w:szCs w:val="20"/>
          <w:lang w:eastAsia="en-US"/>
        </w:rPr>
        <w:t xml:space="preserve">The EMBA for </w:t>
      </w:r>
      <w:r w:rsidR="009C333D" w:rsidRPr="00526BED">
        <w:rPr>
          <w:szCs w:val="20"/>
          <w:lang w:eastAsia="en-US"/>
        </w:rPr>
        <w:t>seabed disturbance</w:t>
      </w:r>
      <w:r w:rsidR="00C77B39">
        <w:rPr>
          <w:szCs w:val="20"/>
          <w:lang w:eastAsia="en-US"/>
        </w:rPr>
        <w:t>, given the intermittent and small area of the disturbance</w:t>
      </w:r>
      <w:r w:rsidR="009C333D" w:rsidRPr="00526BED">
        <w:rPr>
          <w:szCs w:val="20"/>
          <w:lang w:eastAsia="en-US"/>
        </w:rPr>
        <w:t xml:space="preserve"> associated with maintenance activities </w:t>
      </w:r>
      <w:r w:rsidRPr="00526BED">
        <w:rPr>
          <w:szCs w:val="20"/>
          <w:lang w:eastAsia="en-US"/>
        </w:rPr>
        <w:t xml:space="preserve">is </w:t>
      </w:r>
      <w:r w:rsidR="00C77B39">
        <w:rPr>
          <w:szCs w:val="20"/>
          <w:lang w:eastAsia="en-US"/>
        </w:rPr>
        <w:t>expected to be localised around the activity site</w:t>
      </w:r>
      <w:r w:rsidR="009C333D" w:rsidRPr="00526BED">
        <w:rPr>
          <w:szCs w:val="20"/>
          <w:lang w:eastAsia="en-US"/>
        </w:rPr>
        <w:t xml:space="preserve"> (anywhere along the pipelines and around the wellheads)</w:t>
      </w:r>
      <w:r w:rsidRPr="00526BED">
        <w:rPr>
          <w:szCs w:val="20"/>
          <w:lang w:eastAsia="en-US"/>
        </w:rPr>
        <w:t xml:space="preserve">. </w:t>
      </w:r>
    </w:p>
    <w:p w14:paraId="18E14011" w14:textId="77777777" w:rsidR="00C60875" w:rsidRPr="00E415F5" w:rsidRDefault="00C60875" w:rsidP="001D20EF">
      <w:pPr>
        <w:pStyle w:val="BodyText"/>
        <w:ind w:left="709"/>
        <w:rPr>
          <w:b/>
          <w:u w:val="single"/>
        </w:rPr>
      </w:pPr>
      <w:r w:rsidRPr="00E415F5">
        <w:rPr>
          <w:b/>
          <w:u w:val="single"/>
        </w:rPr>
        <w:t>Receptors within the EMBA</w:t>
      </w:r>
    </w:p>
    <w:p w14:paraId="14639DB3" w14:textId="77777777" w:rsidR="00C60875" w:rsidRPr="00526BED" w:rsidRDefault="00C60875" w:rsidP="001D20EF">
      <w:pPr>
        <w:pStyle w:val="BodyText"/>
        <w:ind w:left="709"/>
        <w:rPr>
          <w:szCs w:val="20"/>
          <w:lang w:eastAsia="en-US"/>
        </w:rPr>
      </w:pPr>
      <w:r w:rsidRPr="00526BED">
        <w:rPr>
          <w:szCs w:val="20"/>
          <w:lang w:eastAsia="en-US"/>
        </w:rPr>
        <w:t xml:space="preserve">Receptors that may occur within this EMBA, either as residents or migrants, are: </w:t>
      </w:r>
    </w:p>
    <w:p w14:paraId="1056860F" w14:textId="68E2E171" w:rsidR="000E1916" w:rsidRPr="00526BED" w:rsidRDefault="000E1916" w:rsidP="0036080A">
      <w:pPr>
        <w:pStyle w:val="Bullet1"/>
        <w:numPr>
          <w:ilvl w:val="0"/>
          <w:numId w:val="40"/>
        </w:numPr>
      </w:pPr>
      <w:r w:rsidRPr="00526BED">
        <w:t>Benthic species</w:t>
      </w:r>
      <w:r w:rsidR="00766918">
        <w:t xml:space="preserve"> and filter-feeding epifauna (e.g. sponges</w:t>
      </w:r>
      <w:r w:rsidR="00EB05DC">
        <w:t>,</w:t>
      </w:r>
      <w:r w:rsidR="00EF3B54">
        <w:t xml:space="preserve"> </w:t>
      </w:r>
      <w:r w:rsidR="00EB05DC">
        <w:t>macroalgae and other rocky hard substrate species such as bryozoans</w:t>
      </w:r>
      <w:r w:rsidR="00846495">
        <w:t xml:space="preserve"> (water depths &gt;</w:t>
      </w:r>
      <w:r w:rsidR="00906F26">
        <w:t xml:space="preserve"> </w:t>
      </w:r>
      <w:r w:rsidR="00846495">
        <w:t>60 m)</w:t>
      </w:r>
      <w:r w:rsidR="00766918">
        <w:t>)</w:t>
      </w:r>
      <w:r w:rsidRPr="00526BED">
        <w:t>;</w:t>
      </w:r>
    </w:p>
    <w:p w14:paraId="0A16F028" w14:textId="51A445C8" w:rsidR="00C60875" w:rsidRPr="00290C99" w:rsidRDefault="00C60875" w:rsidP="0036080A">
      <w:pPr>
        <w:pStyle w:val="Bullet1"/>
        <w:numPr>
          <w:ilvl w:val="0"/>
          <w:numId w:val="40"/>
        </w:numPr>
      </w:pPr>
      <w:r w:rsidRPr="00290C99">
        <w:t xml:space="preserve">Pelagic </w:t>
      </w:r>
      <w:r w:rsidR="00EB05DC">
        <w:t xml:space="preserve">and demersal </w:t>
      </w:r>
      <w:r w:rsidRPr="00290C99">
        <w:t>species (plankton, finfish</w:t>
      </w:r>
      <w:r w:rsidR="00B25693" w:rsidRPr="00290C99">
        <w:t>); and</w:t>
      </w:r>
    </w:p>
    <w:p w14:paraId="2D07D32C" w14:textId="77777777" w:rsidR="00C60875" w:rsidRPr="00526BED" w:rsidRDefault="00C60875" w:rsidP="0036080A">
      <w:pPr>
        <w:pStyle w:val="Bullet1"/>
        <w:numPr>
          <w:ilvl w:val="0"/>
          <w:numId w:val="40"/>
        </w:numPr>
      </w:pPr>
      <w:r w:rsidRPr="00526BED">
        <w:t xml:space="preserve">Pinnipeds.  </w:t>
      </w:r>
    </w:p>
    <w:p w14:paraId="6BDE038B" w14:textId="77777777" w:rsidR="005204BB" w:rsidRDefault="005204BB" w:rsidP="00914C00">
      <w:pPr>
        <w:pStyle w:val="Heading3"/>
      </w:pPr>
      <w:r>
        <w:t>Evaluation of Environmental Impacts</w:t>
      </w:r>
    </w:p>
    <w:p w14:paraId="3F3AD36C" w14:textId="77777777" w:rsidR="00CA5ACD" w:rsidRPr="00526BED" w:rsidRDefault="00CA5ACD" w:rsidP="00914DD4">
      <w:pPr>
        <w:pStyle w:val="BodyText"/>
        <w:ind w:left="720"/>
        <w:rPr>
          <w:i/>
          <w:szCs w:val="20"/>
          <w:lang w:eastAsia="en-US"/>
        </w:rPr>
      </w:pPr>
      <w:r w:rsidRPr="00526BED">
        <w:rPr>
          <w:i/>
          <w:szCs w:val="20"/>
          <w:lang w:eastAsia="en-US"/>
        </w:rPr>
        <w:t xml:space="preserve">Operations </w:t>
      </w:r>
    </w:p>
    <w:p w14:paraId="4ECDADAD" w14:textId="034BDAF1" w:rsidR="00CA5ACD" w:rsidRPr="00526BED" w:rsidRDefault="00CA5ACD" w:rsidP="00914DD4">
      <w:pPr>
        <w:pStyle w:val="BodyText"/>
        <w:ind w:left="720"/>
        <w:rPr>
          <w:szCs w:val="20"/>
          <w:lang w:eastAsia="en-US"/>
        </w:rPr>
      </w:pPr>
      <w:r w:rsidRPr="00526BED">
        <w:rPr>
          <w:szCs w:val="20"/>
          <w:lang w:eastAsia="en-US"/>
        </w:rPr>
        <w:t xml:space="preserve">The infrastructure associated with the pipelines, which are not buried, has the potential to act as a water obstruction and </w:t>
      </w:r>
      <w:r w:rsidR="006F55D9">
        <w:rPr>
          <w:szCs w:val="20"/>
          <w:lang w:eastAsia="en-US"/>
        </w:rPr>
        <w:t>will</w:t>
      </w:r>
      <w:r w:rsidR="006F55D9" w:rsidRPr="00526BED">
        <w:rPr>
          <w:szCs w:val="20"/>
          <w:lang w:eastAsia="en-US"/>
        </w:rPr>
        <w:t xml:space="preserve"> </w:t>
      </w:r>
      <w:r w:rsidRPr="00526BED">
        <w:rPr>
          <w:szCs w:val="20"/>
          <w:lang w:eastAsia="en-US"/>
        </w:rPr>
        <w:t xml:space="preserve">cause minor and localised alterations to the hydrodynamic regime directly around infrastructure, such as localised scouring/erosion or deposition of sediment leading to a build-up against infrastructure over time. Erosion/scouring is </w:t>
      </w:r>
      <w:r w:rsidR="006F55D9">
        <w:rPr>
          <w:szCs w:val="20"/>
          <w:lang w:eastAsia="en-US"/>
        </w:rPr>
        <w:t>monitored</w:t>
      </w:r>
      <w:r w:rsidR="006F55D9" w:rsidRPr="00526BED">
        <w:rPr>
          <w:szCs w:val="20"/>
          <w:lang w:eastAsia="en-US"/>
        </w:rPr>
        <w:t xml:space="preserve"> </w:t>
      </w:r>
      <w:r w:rsidRPr="00526BED">
        <w:rPr>
          <w:szCs w:val="20"/>
          <w:lang w:eastAsia="en-US"/>
        </w:rPr>
        <w:t>by the regular inspections of the pipeline, and measures in place to reduce freespan (e.g., concrete mattresses and grout bags). Given the relatively small area</w:t>
      </w:r>
      <w:r w:rsidR="00E50F9B">
        <w:rPr>
          <w:szCs w:val="20"/>
          <w:lang w:eastAsia="en-US"/>
        </w:rPr>
        <w:t xml:space="preserve"> of the pipeline</w:t>
      </w:r>
      <w:r w:rsidRPr="00526BED">
        <w:rPr>
          <w:szCs w:val="20"/>
          <w:lang w:eastAsia="en-US"/>
        </w:rPr>
        <w:t xml:space="preserve">, impacts to the seabed are highly localised and </w:t>
      </w:r>
      <w:r w:rsidR="00832266">
        <w:rPr>
          <w:szCs w:val="20"/>
          <w:lang w:eastAsia="en-US"/>
        </w:rPr>
        <w:t xml:space="preserve">are expected to </w:t>
      </w:r>
      <w:r w:rsidR="00E50F9B">
        <w:rPr>
          <w:szCs w:val="20"/>
          <w:lang w:eastAsia="en-US"/>
        </w:rPr>
        <w:t xml:space="preserve">have a </w:t>
      </w:r>
      <w:r w:rsidRPr="00526BED">
        <w:rPr>
          <w:szCs w:val="20"/>
          <w:lang w:eastAsia="en-US"/>
        </w:rPr>
        <w:t>negligible</w:t>
      </w:r>
      <w:r w:rsidR="00E50F9B">
        <w:rPr>
          <w:szCs w:val="20"/>
          <w:lang w:eastAsia="en-US"/>
        </w:rPr>
        <w:t xml:space="preserve"> consequence</w:t>
      </w:r>
      <w:r w:rsidRPr="00526BED">
        <w:rPr>
          <w:szCs w:val="20"/>
          <w:lang w:eastAsia="en-US"/>
        </w:rPr>
        <w:t xml:space="preserve">. </w:t>
      </w:r>
    </w:p>
    <w:p w14:paraId="04B1964B" w14:textId="0047F412" w:rsidR="00CA5ACD" w:rsidRPr="00526BED" w:rsidRDefault="00CA5ACD" w:rsidP="00914DD4">
      <w:pPr>
        <w:pStyle w:val="BodyText"/>
        <w:ind w:left="720"/>
        <w:rPr>
          <w:i/>
          <w:szCs w:val="20"/>
          <w:lang w:eastAsia="en-US"/>
        </w:rPr>
      </w:pPr>
      <w:r w:rsidRPr="00526BED">
        <w:rPr>
          <w:i/>
          <w:szCs w:val="20"/>
          <w:lang w:eastAsia="en-US"/>
        </w:rPr>
        <w:t>Maintenance</w:t>
      </w:r>
      <w:r w:rsidR="0093324B">
        <w:rPr>
          <w:i/>
          <w:szCs w:val="20"/>
          <w:lang w:eastAsia="en-US"/>
        </w:rPr>
        <w:t xml:space="preserve"> and Repair</w:t>
      </w:r>
    </w:p>
    <w:p w14:paraId="2BDF7D7C" w14:textId="03E3290C" w:rsidR="00CA5ACD" w:rsidRPr="00526BED" w:rsidRDefault="00CA5ACD" w:rsidP="00914DD4">
      <w:pPr>
        <w:pStyle w:val="BodyText"/>
        <w:ind w:left="720"/>
        <w:rPr>
          <w:szCs w:val="20"/>
          <w:lang w:eastAsia="en-US"/>
        </w:rPr>
      </w:pPr>
      <w:r w:rsidRPr="00526BED">
        <w:rPr>
          <w:szCs w:val="20"/>
          <w:lang w:eastAsia="en-US"/>
        </w:rPr>
        <w:t xml:space="preserve">During maintenance activities, the seabed in the immediate vicinity of the </w:t>
      </w:r>
      <w:r w:rsidR="00BA0611">
        <w:rPr>
          <w:szCs w:val="20"/>
          <w:lang w:eastAsia="en-US"/>
        </w:rPr>
        <w:t>CHN</w:t>
      </w:r>
      <w:r w:rsidR="00503807" w:rsidRPr="00526BED">
        <w:rPr>
          <w:szCs w:val="20"/>
          <w:lang w:eastAsia="en-US"/>
        </w:rPr>
        <w:t xml:space="preserve"> </w:t>
      </w:r>
      <w:r w:rsidRPr="00526BED">
        <w:rPr>
          <w:szCs w:val="20"/>
          <w:lang w:eastAsia="en-US"/>
        </w:rPr>
        <w:t>asset</w:t>
      </w:r>
      <w:r w:rsidR="00503807" w:rsidRPr="00526BED">
        <w:rPr>
          <w:szCs w:val="20"/>
          <w:lang w:eastAsia="en-US"/>
        </w:rPr>
        <w:t>s</w:t>
      </w:r>
      <w:r w:rsidRPr="00526BED">
        <w:rPr>
          <w:szCs w:val="20"/>
          <w:lang w:eastAsia="en-US"/>
        </w:rPr>
        <w:t xml:space="preserve"> may be disturbed due to the lifting of the EHU for inspection, placement of small structures associated with the ROV or diving works, placement of grout bags and concrete mattresses to assist with free</w:t>
      </w:r>
      <w:r w:rsidR="00E50F9B">
        <w:rPr>
          <w:szCs w:val="20"/>
          <w:lang w:eastAsia="en-US"/>
        </w:rPr>
        <w:t>-</w:t>
      </w:r>
      <w:r w:rsidRPr="00526BED">
        <w:rPr>
          <w:szCs w:val="20"/>
          <w:lang w:eastAsia="en-US"/>
        </w:rPr>
        <w:t xml:space="preserve">span of pipelines, air/water lifting of built up sediment and </w:t>
      </w:r>
      <w:r w:rsidR="00E50F9B">
        <w:rPr>
          <w:szCs w:val="20"/>
          <w:lang w:eastAsia="en-US"/>
        </w:rPr>
        <w:t xml:space="preserve">minor </w:t>
      </w:r>
      <w:r w:rsidRPr="00526BED">
        <w:rPr>
          <w:szCs w:val="20"/>
          <w:lang w:eastAsia="en-US"/>
        </w:rPr>
        <w:t xml:space="preserve">excavation of the </w:t>
      </w:r>
      <w:r w:rsidRPr="00526BED">
        <w:rPr>
          <w:szCs w:val="20"/>
          <w:lang w:eastAsia="en-US"/>
        </w:rPr>
        <w:lastRenderedPageBreak/>
        <w:t xml:space="preserve">seabed. </w:t>
      </w:r>
      <w:r w:rsidR="00BD3EBF">
        <w:rPr>
          <w:szCs w:val="20"/>
          <w:lang w:eastAsia="en-US"/>
        </w:rPr>
        <w:t>Non-routine activities such as removal of seabed sedimentation beneath the pipeline to prepare for repair</w:t>
      </w:r>
      <w:r w:rsidR="0093324B">
        <w:rPr>
          <w:szCs w:val="20"/>
          <w:lang w:eastAsia="en-US"/>
        </w:rPr>
        <w:t xml:space="preserve"> activities would also disturb the seabed</w:t>
      </w:r>
      <w:r w:rsidR="00E50F9B">
        <w:rPr>
          <w:szCs w:val="20"/>
          <w:lang w:eastAsia="en-US"/>
        </w:rPr>
        <w:t xml:space="preserve"> on a localised basis.</w:t>
      </w:r>
    </w:p>
    <w:p w14:paraId="52378D96" w14:textId="2615E406" w:rsidR="00CA5ACD" w:rsidRDefault="00CA5ACD" w:rsidP="00914DD4">
      <w:pPr>
        <w:pStyle w:val="BodyText"/>
        <w:ind w:left="709"/>
        <w:rPr>
          <w:szCs w:val="20"/>
          <w:lang w:eastAsia="en-US"/>
        </w:rPr>
      </w:pPr>
      <w:r w:rsidRPr="00526BED">
        <w:rPr>
          <w:szCs w:val="20"/>
          <w:lang w:eastAsia="en-US"/>
        </w:rPr>
        <w:t xml:space="preserve">Where temporary ‘wet parking’ of equipment (e.g., ROV basket or clump weight) is required, a benign seabed location </w:t>
      </w:r>
      <w:r w:rsidR="00D12C06" w:rsidRPr="00526BED">
        <w:rPr>
          <w:szCs w:val="20"/>
          <w:lang w:eastAsia="en-US"/>
        </w:rPr>
        <w:t>will be</w:t>
      </w:r>
      <w:r w:rsidRPr="00526BED">
        <w:rPr>
          <w:szCs w:val="20"/>
          <w:lang w:eastAsia="en-US"/>
        </w:rPr>
        <w:t xml:space="preserve"> chosen (typically a sandy flat location</w:t>
      </w:r>
      <w:r w:rsidR="00E50F9B">
        <w:rPr>
          <w:szCs w:val="20"/>
          <w:lang w:eastAsia="en-US"/>
        </w:rPr>
        <w:t xml:space="preserve"> which is representative of the </w:t>
      </w:r>
      <w:r w:rsidR="00D12C06" w:rsidRPr="00526BED">
        <w:rPr>
          <w:szCs w:val="20"/>
          <w:lang w:eastAsia="en-US"/>
        </w:rPr>
        <w:t xml:space="preserve">seabed in the </w:t>
      </w:r>
      <w:r w:rsidR="002472AC">
        <w:rPr>
          <w:szCs w:val="20"/>
          <w:lang w:eastAsia="en-US"/>
        </w:rPr>
        <w:t xml:space="preserve">majority of the </w:t>
      </w:r>
      <w:r w:rsidR="00730733">
        <w:rPr>
          <w:szCs w:val="20"/>
          <w:lang w:eastAsia="en-US"/>
        </w:rPr>
        <w:t>asset area</w:t>
      </w:r>
      <w:r w:rsidR="002472AC">
        <w:rPr>
          <w:szCs w:val="20"/>
          <w:lang w:eastAsia="en-US"/>
        </w:rPr>
        <w:t xml:space="preserve"> </w:t>
      </w:r>
      <w:r w:rsidR="00265E4D">
        <w:rPr>
          <w:szCs w:val="20"/>
          <w:lang w:eastAsia="en-US"/>
        </w:rPr>
        <w:t xml:space="preserve">or </w:t>
      </w:r>
      <w:r w:rsidR="00D57D88">
        <w:rPr>
          <w:szCs w:val="20"/>
          <w:lang w:eastAsia="en-US"/>
        </w:rPr>
        <w:t xml:space="preserve">an area which </w:t>
      </w:r>
      <w:r w:rsidR="00265E4D">
        <w:rPr>
          <w:szCs w:val="20"/>
          <w:lang w:eastAsia="en-US"/>
        </w:rPr>
        <w:t xml:space="preserve">limits impacts to hard substrate benthic habitats </w:t>
      </w:r>
      <w:r w:rsidR="00D57D88">
        <w:rPr>
          <w:szCs w:val="20"/>
          <w:lang w:eastAsia="en-US"/>
        </w:rPr>
        <w:t>in water depths &gt; 60m</w:t>
      </w:r>
      <w:r w:rsidRPr="00526BED">
        <w:rPr>
          <w:szCs w:val="20"/>
          <w:lang w:eastAsia="en-US"/>
        </w:rPr>
        <w:t>). These items of equipment are light weight</w:t>
      </w:r>
      <w:r w:rsidR="00730733">
        <w:rPr>
          <w:szCs w:val="20"/>
          <w:lang w:eastAsia="en-US"/>
        </w:rPr>
        <w:t>,</w:t>
      </w:r>
      <w:r w:rsidRPr="00526BED">
        <w:rPr>
          <w:szCs w:val="20"/>
          <w:lang w:eastAsia="en-US"/>
        </w:rPr>
        <w:t xml:space="preserve"> </w:t>
      </w:r>
      <w:r w:rsidR="00D12C06" w:rsidRPr="00526BED">
        <w:rPr>
          <w:szCs w:val="20"/>
          <w:lang w:eastAsia="en-US"/>
        </w:rPr>
        <w:t xml:space="preserve">left on the seabed temporarily, and </w:t>
      </w:r>
      <w:r w:rsidRPr="00526BED">
        <w:rPr>
          <w:szCs w:val="20"/>
          <w:lang w:eastAsia="en-US"/>
        </w:rPr>
        <w:t>do not leave a</w:t>
      </w:r>
      <w:r w:rsidR="00D12C06" w:rsidRPr="00526BED">
        <w:rPr>
          <w:szCs w:val="20"/>
          <w:lang w:eastAsia="en-US"/>
        </w:rPr>
        <w:t xml:space="preserve"> permanent </w:t>
      </w:r>
      <w:r w:rsidRPr="00526BED">
        <w:rPr>
          <w:szCs w:val="20"/>
          <w:lang w:eastAsia="en-US"/>
        </w:rPr>
        <w:t>foot print</w:t>
      </w:r>
      <w:r w:rsidR="00D12C06" w:rsidRPr="00526BED">
        <w:rPr>
          <w:szCs w:val="20"/>
          <w:lang w:eastAsia="en-US"/>
        </w:rPr>
        <w:t xml:space="preserve"> on the seabed</w:t>
      </w:r>
      <w:r w:rsidR="00BC6AEA">
        <w:rPr>
          <w:szCs w:val="20"/>
          <w:lang w:eastAsia="en-US"/>
        </w:rPr>
        <w:t xml:space="preserve"> (negligible consequence)</w:t>
      </w:r>
      <w:r w:rsidRPr="00526BED">
        <w:rPr>
          <w:szCs w:val="20"/>
          <w:lang w:eastAsia="en-US"/>
        </w:rPr>
        <w:t>.</w:t>
      </w:r>
      <w:r w:rsidR="002C2DEF">
        <w:rPr>
          <w:szCs w:val="20"/>
          <w:lang w:eastAsia="en-US"/>
        </w:rPr>
        <w:t xml:space="preserve"> Trained and competent ROV operators will ensure that this equipment placement and any ROV activities are undertaken with a minimum level of disturbance to the seabed.</w:t>
      </w:r>
      <w:r w:rsidRPr="00526BED">
        <w:rPr>
          <w:szCs w:val="20"/>
          <w:lang w:eastAsia="en-US"/>
        </w:rPr>
        <w:t xml:space="preserve"> </w:t>
      </w:r>
    </w:p>
    <w:p w14:paraId="006D7BF2" w14:textId="37D09F70" w:rsidR="00CC3A84" w:rsidRDefault="0093324B" w:rsidP="00914DD4">
      <w:pPr>
        <w:pStyle w:val="BodyText"/>
        <w:ind w:left="709"/>
        <w:rPr>
          <w:szCs w:val="20"/>
          <w:lang w:eastAsia="en-US"/>
        </w:rPr>
      </w:pPr>
      <w:r>
        <w:rPr>
          <w:szCs w:val="20"/>
          <w:lang w:eastAsia="en-US"/>
        </w:rPr>
        <w:t>For repair activities</w:t>
      </w:r>
      <w:r w:rsidR="001B311C">
        <w:rPr>
          <w:szCs w:val="20"/>
          <w:lang w:eastAsia="en-US"/>
        </w:rPr>
        <w:t xml:space="preserve"> on sandy substrate</w:t>
      </w:r>
      <w:r>
        <w:rPr>
          <w:szCs w:val="20"/>
          <w:lang w:eastAsia="en-US"/>
        </w:rPr>
        <w:t xml:space="preserve">, an estimated 0.5m of seabed sediment beneath the affected length of pipeline would require removal </w:t>
      </w:r>
      <w:r w:rsidR="006F55D9">
        <w:rPr>
          <w:szCs w:val="20"/>
          <w:lang w:eastAsia="en-US"/>
        </w:rPr>
        <w:t xml:space="preserve">though this would be minimised </w:t>
      </w:r>
      <w:r>
        <w:rPr>
          <w:szCs w:val="20"/>
          <w:lang w:eastAsia="en-US"/>
        </w:rPr>
        <w:t>to enable repair activities to proceed. Repairs would be undertaken in ‘</w:t>
      </w:r>
      <w:r w:rsidRPr="00730733">
        <w:rPr>
          <w:szCs w:val="20"/>
          <w:lang w:eastAsia="en-US"/>
        </w:rPr>
        <w:t>sections’ so as to not exceed the free</w:t>
      </w:r>
      <w:r w:rsidR="00DB251F" w:rsidRPr="00730733">
        <w:rPr>
          <w:szCs w:val="20"/>
          <w:lang w:eastAsia="en-US"/>
        </w:rPr>
        <w:t>-</w:t>
      </w:r>
      <w:r w:rsidRPr="00730733">
        <w:rPr>
          <w:szCs w:val="20"/>
          <w:lang w:eastAsia="en-US"/>
        </w:rPr>
        <w:t xml:space="preserve">span anomaly criteria for the pipeline </w:t>
      </w:r>
      <w:r w:rsidR="00730733" w:rsidRPr="00730733">
        <w:rPr>
          <w:szCs w:val="20"/>
          <w:lang w:eastAsia="en-US"/>
        </w:rPr>
        <w:t xml:space="preserve">as specified in the IMP </w:t>
      </w:r>
      <w:r w:rsidRPr="00730733">
        <w:rPr>
          <w:szCs w:val="20"/>
          <w:lang w:eastAsia="en-US"/>
        </w:rPr>
        <w:t>(</w:t>
      </w:r>
      <w:r w:rsidRPr="00083759">
        <w:rPr>
          <w:szCs w:val="20"/>
          <w:lang w:eastAsia="en-US"/>
        </w:rPr>
        <w:t xml:space="preserve">typically </w:t>
      </w:r>
      <w:r w:rsidR="00730733" w:rsidRPr="00083759">
        <w:rPr>
          <w:szCs w:val="20"/>
          <w:lang w:eastAsia="en-US"/>
        </w:rPr>
        <w:t xml:space="preserve">10’s </w:t>
      </w:r>
      <w:r w:rsidRPr="00083759">
        <w:rPr>
          <w:szCs w:val="20"/>
          <w:lang w:eastAsia="en-US"/>
        </w:rPr>
        <w:t>m</w:t>
      </w:r>
      <w:r w:rsidRPr="00730733">
        <w:rPr>
          <w:szCs w:val="20"/>
          <w:lang w:eastAsia="en-US"/>
        </w:rPr>
        <w:t>)</w:t>
      </w:r>
      <w:r w:rsidR="00DB251F" w:rsidRPr="00730733">
        <w:rPr>
          <w:szCs w:val="20"/>
          <w:lang w:eastAsia="en-US"/>
        </w:rPr>
        <w:t xml:space="preserve"> as</w:t>
      </w:r>
      <w:r w:rsidR="00DB251F">
        <w:rPr>
          <w:szCs w:val="20"/>
          <w:lang w:eastAsia="en-US"/>
        </w:rPr>
        <w:t xml:space="preserve"> appropriate to the damage incurred</w:t>
      </w:r>
      <w:r>
        <w:rPr>
          <w:szCs w:val="20"/>
          <w:lang w:eastAsia="en-US"/>
        </w:rPr>
        <w:t>.</w:t>
      </w:r>
      <w:r w:rsidR="00DB251F">
        <w:rPr>
          <w:szCs w:val="20"/>
          <w:lang w:eastAsia="en-US"/>
        </w:rPr>
        <w:t xml:space="preserve"> </w:t>
      </w:r>
      <w:r w:rsidR="00DB251F" w:rsidRPr="007E025C">
        <w:rPr>
          <w:szCs w:val="20"/>
          <w:lang w:eastAsia="en-US"/>
        </w:rPr>
        <w:t xml:space="preserve">This would </w:t>
      </w:r>
      <w:r w:rsidR="00B50637" w:rsidRPr="007E025C">
        <w:rPr>
          <w:szCs w:val="20"/>
          <w:lang w:eastAsia="en-US"/>
        </w:rPr>
        <w:t xml:space="preserve">most likely </w:t>
      </w:r>
      <w:r w:rsidR="00DB251F" w:rsidRPr="007E025C">
        <w:rPr>
          <w:szCs w:val="20"/>
          <w:lang w:eastAsia="en-US"/>
        </w:rPr>
        <w:t xml:space="preserve">be undertaken by </w:t>
      </w:r>
      <w:r w:rsidR="007E025C" w:rsidRPr="007E025C">
        <w:rPr>
          <w:szCs w:val="20"/>
          <w:lang w:eastAsia="en-US"/>
        </w:rPr>
        <w:t xml:space="preserve">low-pressure </w:t>
      </w:r>
      <w:r w:rsidR="00DB251F" w:rsidRPr="007E025C">
        <w:rPr>
          <w:szCs w:val="20"/>
          <w:lang w:eastAsia="en-US"/>
        </w:rPr>
        <w:t>water-jetting</w:t>
      </w:r>
      <w:r w:rsidR="007E025C" w:rsidRPr="007E025C">
        <w:rPr>
          <w:szCs w:val="20"/>
          <w:lang w:eastAsia="en-US"/>
        </w:rPr>
        <w:t xml:space="preserve"> </w:t>
      </w:r>
      <w:r w:rsidR="00730733" w:rsidRPr="007E025C">
        <w:rPr>
          <w:szCs w:val="20"/>
          <w:lang w:eastAsia="en-US"/>
        </w:rPr>
        <w:t>and in accordance with a Per</w:t>
      </w:r>
      <w:r w:rsidR="00730733">
        <w:rPr>
          <w:szCs w:val="20"/>
          <w:lang w:eastAsia="en-US"/>
        </w:rPr>
        <w:t>mit-to-Work authority to control levels of seabed disturbance</w:t>
      </w:r>
      <w:r w:rsidR="00DB251F">
        <w:rPr>
          <w:szCs w:val="20"/>
          <w:lang w:eastAsia="en-US"/>
        </w:rPr>
        <w:t>.</w:t>
      </w:r>
      <w:r w:rsidR="00C763A9">
        <w:rPr>
          <w:szCs w:val="20"/>
          <w:lang w:eastAsia="en-US"/>
        </w:rPr>
        <w:t xml:space="preserve"> For sections of the pipeline </w:t>
      </w:r>
      <w:r w:rsidR="001A0BD3">
        <w:rPr>
          <w:szCs w:val="20"/>
          <w:lang w:eastAsia="en-US"/>
        </w:rPr>
        <w:t>in</w:t>
      </w:r>
      <w:r w:rsidR="00C763A9">
        <w:rPr>
          <w:szCs w:val="20"/>
          <w:lang w:eastAsia="en-US"/>
        </w:rPr>
        <w:t xml:space="preserve"> sand </w:t>
      </w:r>
      <w:r w:rsidR="00C763A9" w:rsidRPr="00646184">
        <w:rPr>
          <w:szCs w:val="20"/>
          <w:lang w:eastAsia="en-US"/>
        </w:rPr>
        <w:t>habitats</w:t>
      </w:r>
      <w:r w:rsidR="00766918" w:rsidRPr="00646184">
        <w:rPr>
          <w:szCs w:val="20"/>
          <w:lang w:eastAsia="en-US"/>
        </w:rPr>
        <w:t xml:space="preserve"> </w:t>
      </w:r>
      <w:r w:rsidR="00D57D88">
        <w:rPr>
          <w:szCs w:val="20"/>
          <w:lang w:eastAsia="en-US"/>
        </w:rPr>
        <w:t>with</w:t>
      </w:r>
      <w:r w:rsidR="00766918" w:rsidRPr="00646184">
        <w:rPr>
          <w:szCs w:val="20"/>
          <w:lang w:eastAsia="en-US"/>
        </w:rPr>
        <w:t xml:space="preserve"> sparse epi-faunal habitats</w:t>
      </w:r>
      <w:r w:rsidR="00C763A9" w:rsidRPr="00646184">
        <w:rPr>
          <w:szCs w:val="20"/>
          <w:lang w:eastAsia="en-US"/>
        </w:rPr>
        <w:t xml:space="preserve">, pipeline repair activity may cause temporary localised disturbance </w:t>
      </w:r>
      <w:r w:rsidR="001A0BD3">
        <w:rPr>
          <w:szCs w:val="20"/>
          <w:lang w:eastAsia="en-US"/>
        </w:rPr>
        <w:t xml:space="preserve">however recolonization by adjacent benthic fauna is expected to be rapid </w:t>
      </w:r>
      <w:r w:rsidR="00C763A9" w:rsidRPr="00646184">
        <w:rPr>
          <w:szCs w:val="20"/>
          <w:lang w:eastAsia="en-US"/>
        </w:rPr>
        <w:t xml:space="preserve">(negligible consequence). </w:t>
      </w:r>
    </w:p>
    <w:p w14:paraId="082F32AB" w14:textId="3E3EF7A9" w:rsidR="00BC6AEA" w:rsidRPr="00526BED" w:rsidRDefault="000C5415" w:rsidP="00914DD4">
      <w:pPr>
        <w:pStyle w:val="BodyText"/>
        <w:ind w:left="709"/>
        <w:rPr>
          <w:szCs w:val="20"/>
          <w:lang w:eastAsia="en-US"/>
        </w:rPr>
      </w:pPr>
      <w:r>
        <w:rPr>
          <w:szCs w:val="20"/>
          <w:lang w:eastAsia="en-US"/>
        </w:rPr>
        <w:t>Pipeline repair activities may also include the cutting of pipe with</w:t>
      </w:r>
      <w:r w:rsidR="00914A6B">
        <w:rPr>
          <w:szCs w:val="20"/>
          <w:lang w:eastAsia="en-US"/>
        </w:rPr>
        <w:t xml:space="preserve"> a diamond cutter or rotary milling tool which creates a minor amount of metal fragments which will be dispersed locally near the pipeline cutting sites. This metal </w:t>
      </w:r>
      <w:r w:rsidR="006F55D9">
        <w:rPr>
          <w:szCs w:val="20"/>
          <w:lang w:eastAsia="en-US"/>
        </w:rPr>
        <w:t xml:space="preserve">will </w:t>
      </w:r>
      <w:r w:rsidR="00914A6B">
        <w:rPr>
          <w:szCs w:val="20"/>
          <w:lang w:eastAsia="en-US"/>
        </w:rPr>
        <w:t>corrode over time however by-products are inert, impacts very localised and not expected to interfere with benthic habitats</w:t>
      </w:r>
      <w:r w:rsidR="00646184">
        <w:rPr>
          <w:szCs w:val="20"/>
          <w:lang w:eastAsia="en-US"/>
        </w:rPr>
        <w:t xml:space="preserve"> including </w:t>
      </w:r>
      <w:r w:rsidR="001A0BD3">
        <w:rPr>
          <w:szCs w:val="20"/>
          <w:lang w:eastAsia="en-US"/>
        </w:rPr>
        <w:t xml:space="preserve">the </w:t>
      </w:r>
      <w:r w:rsidR="00646184">
        <w:rPr>
          <w:szCs w:val="20"/>
          <w:lang w:eastAsia="en-US"/>
        </w:rPr>
        <w:t>sponge reef present along the alignment</w:t>
      </w:r>
      <w:r w:rsidR="00914A6B">
        <w:rPr>
          <w:szCs w:val="20"/>
          <w:lang w:eastAsia="en-US"/>
        </w:rPr>
        <w:t xml:space="preserve"> (negligible consequence).  </w:t>
      </w:r>
      <w:r>
        <w:rPr>
          <w:szCs w:val="20"/>
          <w:lang w:eastAsia="en-US"/>
        </w:rPr>
        <w:t xml:space="preserve"> </w:t>
      </w:r>
    </w:p>
    <w:p w14:paraId="383FA529" w14:textId="74B5209F" w:rsidR="00CA5ACD" w:rsidRPr="00526BED" w:rsidRDefault="000C5415" w:rsidP="00914DD4">
      <w:pPr>
        <w:pStyle w:val="BodyText"/>
        <w:ind w:left="709"/>
        <w:rPr>
          <w:szCs w:val="20"/>
          <w:lang w:eastAsia="en-US"/>
        </w:rPr>
      </w:pPr>
      <w:r>
        <w:rPr>
          <w:szCs w:val="20"/>
          <w:lang w:eastAsia="en-US"/>
        </w:rPr>
        <w:t xml:space="preserve">All activities listed above may </w:t>
      </w:r>
      <w:r w:rsidR="00CA5ACD" w:rsidRPr="00526BED">
        <w:rPr>
          <w:szCs w:val="20"/>
          <w:lang w:eastAsia="en-US"/>
        </w:rPr>
        <w:t xml:space="preserve">result </w:t>
      </w:r>
      <w:r>
        <w:rPr>
          <w:szCs w:val="20"/>
          <w:lang w:eastAsia="en-US"/>
        </w:rPr>
        <w:t>in</w:t>
      </w:r>
      <w:r w:rsidR="00CA5ACD" w:rsidRPr="00526BED">
        <w:rPr>
          <w:szCs w:val="20"/>
          <w:lang w:eastAsia="en-US"/>
        </w:rPr>
        <w:t xml:space="preserve"> a localised increase in the turbidity of the water column, and subsequent deposition of suspended sediment on the seabed. In turn this could have a localised ecosystem disruption through reduction in benthic productivity. </w:t>
      </w:r>
      <w:r w:rsidR="00646184">
        <w:rPr>
          <w:szCs w:val="20"/>
          <w:lang w:eastAsia="en-US"/>
        </w:rPr>
        <w:t>T</w:t>
      </w:r>
      <w:r w:rsidR="00CA5ACD" w:rsidRPr="00526BED">
        <w:rPr>
          <w:szCs w:val="20"/>
          <w:lang w:eastAsia="en-US"/>
        </w:rPr>
        <w:t xml:space="preserve">he benthic environment along the pipelines is primarily comprised of sand and gravel seabed </w:t>
      </w:r>
      <w:r w:rsidR="00CA5ACD" w:rsidRPr="00646184">
        <w:rPr>
          <w:szCs w:val="20"/>
          <w:lang w:eastAsia="en-US"/>
        </w:rPr>
        <w:t xml:space="preserve">containing </w:t>
      </w:r>
      <w:r w:rsidR="00A26F8C" w:rsidRPr="00646184">
        <w:rPr>
          <w:szCs w:val="20"/>
          <w:lang w:eastAsia="en-US"/>
        </w:rPr>
        <w:t>sparse</w:t>
      </w:r>
      <w:r w:rsidR="00CA5ACD" w:rsidRPr="00646184">
        <w:rPr>
          <w:szCs w:val="20"/>
          <w:lang w:eastAsia="en-US"/>
        </w:rPr>
        <w:t xml:space="preserve"> epifauna</w:t>
      </w:r>
      <w:r w:rsidR="00A26F8C" w:rsidRPr="00FA36A5">
        <w:rPr>
          <w:szCs w:val="20"/>
          <w:lang w:eastAsia="en-US"/>
        </w:rPr>
        <w:t>l</w:t>
      </w:r>
      <w:r w:rsidR="00CA5ACD" w:rsidRPr="00646184">
        <w:rPr>
          <w:szCs w:val="20"/>
          <w:lang w:eastAsia="en-US"/>
        </w:rPr>
        <w:t xml:space="preserve"> habitats common to Bass Strait, </w:t>
      </w:r>
      <w:r w:rsidR="00A26F8C" w:rsidRPr="00FA36A5">
        <w:rPr>
          <w:szCs w:val="20"/>
          <w:lang w:eastAsia="en-US"/>
        </w:rPr>
        <w:t xml:space="preserve">and remobilization of sediments </w:t>
      </w:r>
      <w:r w:rsidR="001A0BD3">
        <w:rPr>
          <w:szCs w:val="20"/>
          <w:lang w:eastAsia="en-US"/>
        </w:rPr>
        <w:t xml:space="preserve">is constant in these </w:t>
      </w:r>
      <w:r w:rsidR="00A26F8C" w:rsidRPr="00FA36A5">
        <w:rPr>
          <w:szCs w:val="20"/>
          <w:lang w:eastAsia="en-US"/>
        </w:rPr>
        <w:t>high energy marine environments</w:t>
      </w:r>
      <w:r w:rsidR="001A0BD3">
        <w:rPr>
          <w:szCs w:val="20"/>
          <w:lang w:eastAsia="en-US"/>
        </w:rPr>
        <w:t xml:space="preserve">. The benthic fauna in these areas adapt to these conditions and on this basis any localised increase in turbidity to is expected to </w:t>
      </w:r>
      <w:r w:rsidR="00A26F8C" w:rsidRPr="00FA36A5">
        <w:rPr>
          <w:szCs w:val="20"/>
          <w:lang w:eastAsia="en-US"/>
        </w:rPr>
        <w:t xml:space="preserve">be temporary and </w:t>
      </w:r>
      <w:r w:rsidR="001A0BD3">
        <w:rPr>
          <w:szCs w:val="20"/>
          <w:lang w:eastAsia="en-US"/>
        </w:rPr>
        <w:t xml:space="preserve">rapidly </w:t>
      </w:r>
      <w:r w:rsidR="00A26F8C" w:rsidRPr="00FA36A5">
        <w:rPr>
          <w:szCs w:val="20"/>
          <w:lang w:eastAsia="en-US"/>
        </w:rPr>
        <w:t xml:space="preserve">recoverable </w:t>
      </w:r>
      <w:r w:rsidR="001A0BD3">
        <w:rPr>
          <w:szCs w:val="20"/>
          <w:lang w:eastAsia="en-US"/>
        </w:rPr>
        <w:t>(</w:t>
      </w:r>
      <w:r w:rsidR="00A26F8C" w:rsidRPr="00FA36A5">
        <w:rPr>
          <w:szCs w:val="20"/>
          <w:lang w:eastAsia="en-US"/>
        </w:rPr>
        <w:t>negligible consequence</w:t>
      </w:r>
      <w:r w:rsidR="001A0BD3">
        <w:rPr>
          <w:szCs w:val="20"/>
          <w:lang w:eastAsia="en-US"/>
        </w:rPr>
        <w:t>)</w:t>
      </w:r>
      <w:r w:rsidR="00A26F8C" w:rsidRPr="00FA36A5">
        <w:rPr>
          <w:szCs w:val="20"/>
          <w:lang w:eastAsia="en-US"/>
        </w:rPr>
        <w:t>.</w:t>
      </w:r>
    </w:p>
    <w:p w14:paraId="7CAFDE6C" w14:textId="7D137240" w:rsidR="00CA5ACD" w:rsidRPr="00526BED" w:rsidRDefault="00CA5ACD" w:rsidP="00914DD4">
      <w:pPr>
        <w:pStyle w:val="BodyText"/>
        <w:ind w:left="709"/>
        <w:rPr>
          <w:szCs w:val="20"/>
          <w:lang w:eastAsia="en-US"/>
        </w:rPr>
      </w:pPr>
      <w:r w:rsidRPr="00526BED">
        <w:rPr>
          <w:szCs w:val="20"/>
          <w:lang w:eastAsia="en-US"/>
        </w:rPr>
        <w:t xml:space="preserve">The lifting of the EHU or other existing infrastructure will result in the loss of artificial habitat and may displace marine benthic invertebrates utilising the artificial habitat created by the infrastructure. As this is an artificial habitat that would have been colonised relatively recently, it is expected that any benthic invertebrates colonising the </w:t>
      </w:r>
      <w:r w:rsidR="001A0BD3">
        <w:rPr>
          <w:szCs w:val="20"/>
          <w:lang w:eastAsia="en-US"/>
        </w:rPr>
        <w:t xml:space="preserve">equipment such as the </w:t>
      </w:r>
      <w:r w:rsidRPr="00526BED">
        <w:rPr>
          <w:szCs w:val="20"/>
          <w:lang w:eastAsia="en-US"/>
        </w:rPr>
        <w:t>EHU will be capable of re</w:t>
      </w:r>
      <w:r w:rsidR="00D12C06" w:rsidRPr="00526BED">
        <w:rPr>
          <w:szCs w:val="20"/>
          <w:lang w:eastAsia="en-US"/>
        </w:rPr>
        <w:t>-</w:t>
      </w:r>
      <w:r w:rsidRPr="00526BED">
        <w:rPr>
          <w:szCs w:val="20"/>
          <w:lang w:eastAsia="en-US"/>
        </w:rPr>
        <w:t>settling elsewhere, or remaining with the habitat when re-laid.</w:t>
      </w:r>
    </w:p>
    <w:p w14:paraId="01F4CED9" w14:textId="77777777" w:rsidR="00CA5ACD" w:rsidRPr="00526BED" w:rsidRDefault="00CA5ACD" w:rsidP="00914DD4">
      <w:pPr>
        <w:pStyle w:val="BodyText"/>
        <w:ind w:left="709"/>
        <w:rPr>
          <w:i/>
          <w:szCs w:val="20"/>
          <w:lang w:eastAsia="en-US"/>
        </w:rPr>
      </w:pPr>
      <w:r w:rsidRPr="00526BED">
        <w:rPr>
          <w:i/>
          <w:szCs w:val="20"/>
          <w:lang w:eastAsia="en-US"/>
        </w:rPr>
        <w:t>Pipeline Freespan Rectification</w:t>
      </w:r>
    </w:p>
    <w:p w14:paraId="27B006D1" w14:textId="77777777" w:rsidR="00CA5ACD" w:rsidRPr="00526BED" w:rsidRDefault="00CA5ACD" w:rsidP="00914DD4">
      <w:pPr>
        <w:pStyle w:val="BodyText"/>
        <w:ind w:left="709"/>
        <w:rPr>
          <w:szCs w:val="20"/>
          <w:lang w:eastAsia="en-US"/>
        </w:rPr>
      </w:pPr>
      <w:r w:rsidRPr="00526BED">
        <w:rPr>
          <w:szCs w:val="20"/>
          <w:lang w:eastAsia="en-US"/>
        </w:rPr>
        <w:t xml:space="preserve">Grout bag installation will involve pumping grout (cement and water) through a hose from the vessel to fill grout bags underwater. Minor leakage of grout may occur during filling of the bags and when the hose is flushed with seawater at the completion of operations, dispersing residual grout into the marine environment. The volume of grout involved is expected to be very low (generally &lt; 50 L). </w:t>
      </w:r>
    </w:p>
    <w:p w14:paraId="6C14F054" w14:textId="6360B851" w:rsidR="00564C8F" w:rsidRDefault="00CA5ACD" w:rsidP="00914DD4">
      <w:pPr>
        <w:pStyle w:val="BodyText"/>
        <w:ind w:left="709"/>
        <w:rPr>
          <w:szCs w:val="20"/>
          <w:lang w:eastAsia="en-US"/>
        </w:rPr>
      </w:pPr>
      <w:r w:rsidRPr="00526BED">
        <w:rPr>
          <w:szCs w:val="20"/>
          <w:lang w:eastAsia="en-US"/>
        </w:rPr>
        <w:t xml:space="preserve">The release of grout may create a localised increase in the turbidity of the water column, and a localised alteration to sediment composition and/or smothering of the benthos. </w:t>
      </w:r>
      <w:r w:rsidR="00DB251F">
        <w:rPr>
          <w:szCs w:val="20"/>
          <w:lang w:eastAsia="en-US"/>
        </w:rPr>
        <w:t xml:space="preserve">All cement chemicals are assessed and meet the required standards detailed in the </w:t>
      </w:r>
      <w:r w:rsidR="004974FA">
        <w:rPr>
          <w:szCs w:val="20"/>
          <w:lang w:eastAsia="en-US"/>
        </w:rPr>
        <w:t>Cooper Energy</w:t>
      </w:r>
      <w:r w:rsidR="00DB251F">
        <w:rPr>
          <w:szCs w:val="20"/>
          <w:lang w:eastAsia="en-US"/>
        </w:rPr>
        <w:t xml:space="preserve"> Chemical Selection, Management and Dangerous Goods Risk Con</w:t>
      </w:r>
      <w:r w:rsidR="00E80C0C">
        <w:rPr>
          <w:szCs w:val="20"/>
          <w:lang w:eastAsia="en-US"/>
        </w:rPr>
        <w:t>trol Practice (COE-MS-RCP-0049).</w:t>
      </w:r>
    </w:p>
    <w:p w14:paraId="1E0FD5D7" w14:textId="63B1656D" w:rsidR="00CA5ACD" w:rsidRPr="00526BED" w:rsidRDefault="00CA5ACD" w:rsidP="00914DD4">
      <w:pPr>
        <w:pStyle w:val="BodyText"/>
        <w:ind w:left="709"/>
        <w:rPr>
          <w:szCs w:val="20"/>
          <w:lang w:eastAsia="en-US"/>
        </w:rPr>
      </w:pPr>
      <w:r w:rsidRPr="00526BED">
        <w:rPr>
          <w:szCs w:val="20"/>
          <w:lang w:eastAsia="en-US"/>
        </w:rPr>
        <w:t>The level of turbidity associated with this small volume is expected to be minimal given that the cement is designed to set</w:t>
      </w:r>
      <w:r w:rsidR="00564C8F">
        <w:rPr>
          <w:szCs w:val="20"/>
          <w:lang w:eastAsia="en-US"/>
        </w:rPr>
        <w:t xml:space="preserve"> rapidly</w:t>
      </w:r>
      <w:r w:rsidRPr="00526BED">
        <w:rPr>
          <w:szCs w:val="20"/>
          <w:lang w:eastAsia="en-US"/>
        </w:rPr>
        <w:t xml:space="preserve"> in the marine environment and will therefore not disperse widely. The turbidity resulting from this activity would not be expected to exceed natural levels in the area. Installation of grout bags is expected to be undertaken within a very short duration of time (</w:t>
      </w:r>
      <w:r w:rsidRPr="00077821">
        <w:rPr>
          <w:szCs w:val="20"/>
          <w:lang w:eastAsia="en-US"/>
        </w:rPr>
        <w:t>less</w:t>
      </w:r>
      <w:r w:rsidRPr="00A65CD4">
        <w:rPr>
          <w:szCs w:val="20"/>
          <w:lang w:eastAsia="en-US"/>
        </w:rPr>
        <w:t xml:space="preserve"> than 1 day) and rapid recovery/recoloni</w:t>
      </w:r>
      <w:r w:rsidR="00BA0611" w:rsidRPr="00077821">
        <w:rPr>
          <w:szCs w:val="20"/>
          <w:lang w:eastAsia="en-US"/>
        </w:rPr>
        <w:t>z</w:t>
      </w:r>
      <w:r w:rsidRPr="00077821">
        <w:rPr>
          <w:szCs w:val="20"/>
          <w:lang w:eastAsia="en-US"/>
        </w:rPr>
        <w:t xml:space="preserve">ation of any benthic biota </w:t>
      </w:r>
      <w:r w:rsidRPr="00077821">
        <w:rPr>
          <w:szCs w:val="20"/>
          <w:lang w:eastAsia="en-US"/>
        </w:rPr>
        <w:lastRenderedPageBreak/>
        <w:t>disturbed by settling cement material is expected to occur from adjacent areas following sedimentation</w:t>
      </w:r>
      <w:r w:rsidR="001A0BD3">
        <w:rPr>
          <w:szCs w:val="20"/>
          <w:lang w:eastAsia="en-US"/>
        </w:rPr>
        <w:t xml:space="preserve"> or sediment remobilisation</w:t>
      </w:r>
      <w:r w:rsidR="00564C8F" w:rsidRPr="00077821">
        <w:rPr>
          <w:szCs w:val="20"/>
          <w:lang w:eastAsia="en-US"/>
        </w:rPr>
        <w:t xml:space="preserve"> (URS, 2001)</w:t>
      </w:r>
      <w:r w:rsidRPr="00A65CD4">
        <w:rPr>
          <w:szCs w:val="20"/>
          <w:lang w:eastAsia="en-US"/>
        </w:rPr>
        <w:t>.</w:t>
      </w:r>
      <w:r w:rsidRPr="00526BED">
        <w:rPr>
          <w:szCs w:val="20"/>
          <w:lang w:eastAsia="en-US"/>
        </w:rPr>
        <w:t xml:space="preserve"> </w:t>
      </w:r>
    </w:p>
    <w:p w14:paraId="608B5F29" w14:textId="1F9F6E71" w:rsidR="00CA5ACD" w:rsidRPr="00526BED" w:rsidRDefault="00CA5ACD" w:rsidP="00914DD4">
      <w:pPr>
        <w:pStyle w:val="BodyText"/>
        <w:ind w:left="709"/>
        <w:rPr>
          <w:szCs w:val="20"/>
          <w:lang w:eastAsia="en-US"/>
        </w:rPr>
      </w:pPr>
      <w:r w:rsidRPr="00526BED">
        <w:rPr>
          <w:szCs w:val="20"/>
          <w:lang w:eastAsia="en-US"/>
        </w:rPr>
        <w:t xml:space="preserve">The volume of grout that may be released to the marine environment </w:t>
      </w:r>
      <w:r w:rsidR="00564C8F">
        <w:rPr>
          <w:szCs w:val="20"/>
          <w:lang w:eastAsia="en-US"/>
        </w:rPr>
        <w:t>is</w:t>
      </w:r>
      <w:r w:rsidRPr="00526BED">
        <w:rPr>
          <w:szCs w:val="20"/>
          <w:lang w:eastAsia="en-US"/>
        </w:rPr>
        <w:t xml:space="preserve"> very low and the potential affects would be restricted to the immediate vicinity of the operation. </w:t>
      </w:r>
      <w:r w:rsidR="00A4733B">
        <w:rPr>
          <w:szCs w:val="20"/>
          <w:lang w:eastAsia="en-US"/>
        </w:rPr>
        <w:t>The benthic habitats present along the pipeline</w:t>
      </w:r>
      <w:r w:rsidR="00D7532C">
        <w:rPr>
          <w:szCs w:val="20"/>
          <w:lang w:eastAsia="en-US"/>
        </w:rPr>
        <w:t>,</w:t>
      </w:r>
      <w:r w:rsidR="001D20EF">
        <w:rPr>
          <w:szCs w:val="20"/>
          <w:lang w:eastAsia="en-US"/>
        </w:rPr>
        <w:t xml:space="preserve"> </w:t>
      </w:r>
      <w:r w:rsidR="00D7532C">
        <w:rPr>
          <w:szCs w:val="20"/>
          <w:lang w:eastAsia="en-US"/>
        </w:rPr>
        <w:t>including</w:t>
      </w:r>
      <w:r w:rsidR="00686C4A">
        <w:rPr>
          <w:szCs w:val="20"/>
          <w:lang w:eastAsia="en-US"/>
        </w:rPr>
        <w:t xml:space="preserve"> hard substrate habitats </w:t>
      </w:r>
      <w:r w:rsidR="00A4733B">
        <w:rPr>
          <w:szCs w:val="20"/>
          <w:lang w:eastAsia="en-US"/>
        </w:rPr>
        <w:t xml:space="preserve">are not expected to be impacted by these small release volumes, particularly with the rapid remobilisation of sediments which occurs in the region. </w:t>
      </w:r>
      <w:r w:rsidRPr="00526BED">
        <w:rPr>
          <w:szCs w:val="20"/>
          <w:lang w:eastAsia="en-US"/>
        </w:rPr>
        <w:t>Given the very small extent of effects and the non-toxic nature of the grout, the consequence</w:t>
      </w:r>
      <w:r w:rsidR="00A31123" w:rsidRPr="00526BED">
        <w:rPr>
          <w:szCs w:val="20"/>
          <w:lang w:eastAsia="en-US"/>
        </w:rPr>
        <w:t>s</w:t>
      </w:r>
      <w:r w:rsidRPr="00526BED">
        <w:rPr>
          <w:szCs w:val="20"/>
          <w:lang w:eastAsia="en-US"/>
        </w:rPr>
        <w:t xml:space="preserve"> </w:t>
      </w:r>
      <w:r w:rsidR="00A4733B">
        <w:rPr>
          <w:szCs w:val="20"/>
          <w:lang w:eastAsia="en-US"/>
        </w:rPr>
        <w:t xml:space="preserve">to benthic communities are expected to be </w:t>
      </w:r>
      <w:r w:rsidR="00564C8F">
        <w:rPr>
          <w:szCs w:val="20"/>
          <w:lang w:eastAsia="en-US"/>
        </w:rPr>
        <w:t>temporary, localised and recoverable (negligible consequence).</w:t>
      </w:r>
      <w:r w:rsidRPr="00526BED">
        <w:rPr>
          <w:szCs w:val="20"/>
          <w:lang w:eastAsia="en-US"/>
        </w:rPr>
        <w:t xml:space="preserve"> </w:t>
      </w:r>
    </w:p>
    <w:p w14:paraId="5976D4CC" w14:textId="77777777" w:rsidR="00CA5ACD" w:rsidRPr="00230700" w:rsidRDefault="00353BD9" w:rsidP="00914DD4">
      <w:pPr>
        <w:pStyle w:val="BodyText"/>
        <w:ind w:left="709"/>
        <w:rPr>
          <w:i/>
          <w:szCs w:val="20"/>
          <w:lang w:eastAsia="en-US"/>
        </w:rPr>
      </w:pPr>
      <w:r w:rsidRPr="00230700">
        <w:rPr>
          <w:i/>
          <w:szCs w:val="20"/>
          <w:lang w:eastAsia="en-US"/>
        </w:rPr>
        <w:t xml:space="preserve">Vessel </w:t>
      </w:r>
      <w:r w:rsidR="00CA5ACD" w:rsidRPr="00230700">
        <w:rPr>
          <w:i/>
          <w:szCs w:val="20"/>
          <w:lang w:eastAsia="en-US"/>
        </w:rPr>
        <w:t>Anchoring</w:t>
      </w:r>
    </w:p>
    <w:p w14:paraId="010AEB03" w14:textId="5927FB34" w:rsidR="004C5B83" w:rsidRPr="00E25547" w:rsidRDefault="00CA5ACD" w:rsidP="00914DD4">
      <w:pPr>
        <w:pStyle w:val="BodyText"/>
        <w:ind w:left="709"/>
        <w:rPr>
          <w:szCs w:val="20"/>
        </w:rPr>
      </w:pPr>
      <w:r w:rsidRPr="00230700">
        <w:rPr>
          <w:szCs w:val="20"/>
          <w:lang w:eastAsia="en-US"/>
        </w:rPr>
        <w:t xml:space="preserve">While most vessels involved in maintenance activities will use dynamic positioning (DP) </w:t>
      </w:r>
      <w:r w:rsidR="00564C8F" w:rsidRPr="00230700">
        <w:rPr>
          <w:szCs w:val="20"/>
          <w:lang w:eastAsia="en-US"/>
        </w:rPr>
        <w:t xml:space="preserve">or station-keeping </w:t>
      </w:r>
      <w:r w:rsidRPr="00230700">
        <w:rPr>
          <w:szCs w:val="20"/>
          <w:lang w:eastAsia="en-US"/>
        </w:rPr>
        <w:t>during operation</w:t>
      </w:r>
      <w:r w:rsidR="00A26F8C" w:rsidRPr="00230700">
        <w:rPr>
          <w:szCs w:val="20"/>
          <w:lang w:eastAsia="en-US"/>
        </w:rPr>
        <w:t xml:space="preserve"> particularly in the deeper areas of the pipeline alignment</w:t>
      </w:r>
      <w:r w:rsidRPr="00230700">
        <w:rPr>
          <w:szCs w:val="20"/>
          <w:lang w:eastAsia="en-US"/>
        </w:rPr>
        <w:t>, anchoring may be required by some vessels</w:t>
      </w:r>
      <w:r w:rsidR="00A4733B" w:rsidRPr="00230700">
        <w:rPr>
          <w:szCs w:val="20"/>
          <w:lang w:eastAsia="en-US"/>
        </w:rPr>
        <w:t xml:space="preserve"> for specific activities</w:t>
      </w:r>
      <w:r w:rsidRPr="00230700">
        <w:rPr>
          <w:szCs w:val="20"/>
          <w:lang w:eastAsia="en-US"/>
        </w:rPr>
        <w:t xml:space="preserve">, or in case of an emergency. Anchoring is </w:t>
      </w:r>
      <w:r w:rsidR="00A26F8C" w:rsidRPr="00230700">
        <w:rPr>
          <w:szCs w:val="20"/>
          <w:lang w:eastAsia="en-US"/>
        </w:rPr>
        <w:t xml:space="preserve">expected </w:t>
      </w:r>
      <w:r w:rsidRPr="00230700">
        <w:rPr>
          <w:szCs w:val="20"/>
          <w:lang w:eastAsia="en-US"/>
        </w:rPr>
        <w:t xml:space="preserve">to be restricted to the shallower </w:t>
      </w:r>
      <w:r w:rsidR="00A26F8C" w:rsidRPr="00230700">
        <w:rPr>
          <w:szCs w:val="20"/>
          <w:lang w:eastAsia="en-US"/>
        </w:rPr>
        <w:t xml:space="preserve">waters </w:t>
      </w:r>
      <w:r w:rsidRPr="00230700">
        <w:rPr>
          <w:szCs w:val="20"/>
          <w:lang w:eastAsia="en-US"/>
        </w:rPr>
        <w:t>along the pipeline</w:t>
      </w:r>
      <w:r w:rsidR="00A26F8C" w:rsidRPr="00230700">
        <w:rPr>
          <w:szCs w:val="20"/>
          <w:lang w:eastAsia="en-US"/>
        </w:rPr>
        <w:t xml:space="preserve"> where </w:t>
      </w:r>
      <w:r w:rsidR="00A4733B" w:rsidRPr="00230700">
        <w:rPr>
          <w:szCs w:val="20"/>
          <w:lang w:eastAsia="en-US"/>
        </w:rPr>
        <w:t xml:space="preserve">strong </w:t>
      </w:r>
      <w:r w:rsidR="00A26F8C" w:rsidRPr="00230700">
        <w:rPr>
          <w:szCs w:val="20"/>
          <w:lang w:eastAsia="en-US"/>
        </w:rPr>
        <w:t>currents present a safety hazard for longer duration activities (e.g. diving). Shallow habitats along the pipeline are locate</w:t>
      </w:r>
      <w:r w:rsidR="00D7532C">
        <w:rPr>
          <w:szCs w:val="20"/>
          <w:lang w:eastAsia="en-US"/>
        </w:rPr>
        <w:t>d in the mid-water depth range</w:t>
      </w:r>
      <w:r w:rsidR="00A26F8C" w:rsidRPr="00230700">
        <w:rPr>
          <w:szCs w:val="20"/>
          <w:lang w:eastAsia="en-US"/>
        </w:rPr>
        <w:t xml:space="preserve"> and consist of predominantly sandy habitats with </w:t>
      </w:r>
      <w:r w:rsidR="00A26F8C" w:rsidRPr="00230700">
        <w:rPr>
          <w:szCs w:val="20"/>
        </w:rPr>
        <w:t>intermittent patch reefs dominated by the brown alga.</w:t>
      </w:r>
    </w:p>
    <w:p w14:paraId="330CEFB5" w14:textId="7C7347F4" w:rsidR="004C5B83" w:rsidRPr="00E25547" w:rsidRDefault="008D2DE6" w:rsidP="00914DD4">
      <w:pPr>
        <w:pStyle w:val="BodyText"/>
        <w:ind w:left="709"/>
        <w:rPr>
          <w:szCs w:val="20"/>
        </w:rPr>
      </w:pPr>
      <w:r>
        <w:rPr>
          <w:szCs w:val="20"/>
        </w:rPr>
        <w:t>A</w:t>
      </w:r>
      <w:r w:rsidR="00A26F8C" w:rsidRPr="00230700">
        <w:rPr>
          <w:szCs w:val="20"/>
        </w:rPr>
        <w:t xml:space="preserve">nchoring </w:t>
      </w:r>
      <w:r w:rsidR="004F59C0" w:rsidRPr="00230700">
        <w:rPr>
          <w:szCs w:val="20"/>
        </w:rPr>
        <w:t xml:space="preserve">activities </w:t>
      </w:r>
      <w:r w:rsidR="00661CD4">
        <w:rPr>
          <w:szCs w:val="20"/>
        </w:rPr>
        <w:t>(except for emergency anchoring)</w:t>
      </w:r>
      <w:r w:rsidR="00A26F8C" w:rsidRPr="00230700">
        <w:rPr>
          <w:szCs w:val="20"/>
        </w:rPr>
        <w:t xml:space="preserve"> will be </w:t>
      </w:r>
      <w:r w:rsidR="00A4733B" w:rsidRPr="00230700">
        <w:rPr>
          <w:szCs w:val="20"/>
        </w:rPr>
        <w:t xml:space="preserve">planned and </w:t>
      </w:r>
      <w:r w:rsidR="00A26F8C" w:rsidRPr="00230700">
        <w:rPr>
          <w:szCs w:val="20"/>
        </w:rPr>
        <w:t>undertaken in accordance with approved procedures after</w:t>
      </w:r>
      <w:r w:rsidR="004C5B83" w:rsidRPr="00E25547">
        <w:rPr>
          <w:szCs w:val="20"/>
        </w:rPr>
        <w:t xml:space="preserve"> a</w:t>
      </w:r>
      <w:r w:rsidR="00A26F8C" w:rsidRPr="00230700">
        <w:rPr>
          <w:szCs w:val="20"/>
        </w:rPr>
        <w:t xml:space="preserve"> </w:t>
      </w:r>
      <w:r w:rsidR="00661CD4">
        <w:rPr>
          <w:szCs w:val="20"/>
        </w:rPr>
        <w:t>new or existing</w:t>
      </w:r>
      <w:r>
        <w:rPr>
          <w:szCs w:val="20"/>
        </w:rPr>
        <w:t xml:space="preserve"> </w:t>
      </w:r>
      <w:r w:rsidR="00A26F8C" w:rsidRPr="00230700">
        <w:rPr>
          <w:szCs w:val="20"/>
        </w:rPr>
        <w:t xml:space="preserve">ROV </w:t>
      </w:r>
      <w:r w:rsidR="004C5B83" w:rsidRPr="00E25547">
        <w:rPr>
          <w:szCs w:val="20"/>
        </w:rPr>
        <w:t>survey</w:t>
      </w:r>
      <w:r w:rsidR="00A26F8C" w:rsidRPr="00230700">
        <w:rPr>
          <w:szCs w:val="20"/>
        </w:rPr>
        <w:t xml:space="preserve"> of the anchoring area confirms</w:t>
      </w:r>
      <w:r w:rsidR="004C5B83" w:rsidRPr="00E25547">
        <w:rPr>
          <w:szCs w:val="20"/>
        </w:rPr>
        <w:t>:</w:t>
      </w:r>
    </w:p>
    <w:p w14:paraId="074B46AF" w14:textId="37886D80" w:rsidR="004C5B83" w:rsidRPr="00E25547" w:rsidRDefault="004C5B83" w:rsidP="0036080A">
      <w:pPr>
        <w:pStyle w:val="BodyText"/>
        <w:numPr>
          <w:ilvl w:val="0"/>
          <w:numId w:val="19"/>
        </w:numPr>
        <w:ind w:left="1276" w:hanging="283"/>
        <w:rPr>
          <w:szCs w:val="20"/>
          <w:lang w:eastAsia="en-US"/>
        </w:rPr>
      </w:pPr>
      <w:r w:rsidRPr="00E25547">
        <w:rPr>
          <w:szCs w:val="20"/>
        </w:rPr>
        <w:t>I</w:t>
      </w:r>
      <w:r w:rsidR="00A26F8C" w:rsidRPr="00230700">
        <w:rPr>
          <w:szCs w:val="20"/>
        </w:rPr>
        <w:t xml:space="preserve">ntermittent patch reef </w:t>
      </w:r>
      <w:r w:rsidR="004F59C0" w:rsidRPr="00230700">
        <w:rPr>
          <w:szCs w:val="20"/>
        </w:rPr>
        <w:t xml:space="preserve">or hard substrate </w:t>
      </w:r>
      <w:r w:rsidR="00D7532C" w:rsidRPr="00230700">
        <w:rPr>
          <w:szCs w:val="20"/>
        </w:rPr>
        <w:t>habitats are</w:t>
      </w:r>
      <w:r w:rsidR="00A26F8C" w:rsidRPr="00230700">
        <w:rPr>
          <w:szCs w:val="20"/>
        </w:rPr>
        <w:t xml:space="preserve"> not present in the anchor deployment area</w:t>
      </w:r>
      <w:r w:rsidRPr="00E25547">
        <w:rPr>
          <w:szCs w:val="20"/>
        </w:rPr>
        <w:t>; or</w:t>
      </w:r>
    </w:p>
    <w:p w14:paraId="3ECE6ADB" w14:textId="67F36F8A" w:rsidR="00CA5ACD" w:rsidRPr="00230700" w:rsidRDefault="004C5B83" w:rsidP="0036080A">
      <w:pPr>
        <w:pStyle w:val="BodyText"/>
        <w:numPr>
          <w:ilvl w:val="0"/>
          <w:numId w:val="19"/>
        </w:numPr>
        <w:ind w:left="1276" w:hanging="283"/>
        <w:rPr>
          <w:szCs w:val="20"/>
          <w:lang w:eastAsia="en-US"/>
        </w:rPr>
      </w:pPr>
      <w:r w:rsidRPr="00E25547">
        <w:rPr>
          <w:szCs w:val="20"/>
        </w:rPr>
        <w:t>If anchoring must occur in these habitats, areas of lower sensitivity (i.e. lower coverage of epifauna) are preferentially targeted and anchoring techniques implemented to reduce impacts to ALARP</w:t>
      </w:r>
      <w:r w:rsidR="00A26F8C" w:rsidRPr="00230700">
        <w:rPr>
          <w:szCs w:val="20"/>
        </w:rPr>
        <w:t>.</w:t>
      </w:r>
    </w:p>
    <w:p w14:paraId="1D1A3C55" w14:textId="77777777" w:rsidR="00D7532C" w:rsidRDefault="00353BD9" w:rsidP="00D7532C">
      <w:pPr>
        <w:pStyle w:val="BodyText"/>
        <w:ind w:left="709"/>
        <w:rPr>
          <w:szCs w:val="20"/>
          <w:lang w:eastAsia="en-US"/>
        </w:rPr>
      </w:pPr>
      <w:r w:rsidRPr="00526BED">
        <w:rPr>
          <w:szCs w:val="20"/>
          <w:lang w:eastAsia="en-US"/>
        </w:rPr>
        <w:t xml:space="preserve">Direct contact by vessel anchors and anchor wires/chains can damage seabed habitats. Given the </w:t>
      </w:r>
      <w:r w:rsidR="00A26F8C">
        <w:rPr>
          <w:szCs w:val="20"/>
          <w:lang w:eastAsia="en-US"/>
        </w:rPr>
        <w:t>predominantly</w:t>
      </w:r>
      <w:r w:rsidR="00D7532C">
        <w:rPr>
          <w:szCs w:val="20"/>
          <w:lang w:eastAsia="en-US"/>
        </w:rPr>
        <w:t xml:space="preserve"> sandy nature of the seabed </w:t>
      </w:r>
      <w:r w:rsidR="00A26F8C">
        <w:rPr>
          <w:szCs w:val="20"/>
          <w:lang w:eastAsia="en-US"/>
        </w:rPr>
        <w:t>and the controls adopted</w:t>
      </w:r>
      <w:r w:rsidRPr="00526BED">
        <w:rPr>
          <w:szCs w:val="20"/>
          <w:lang w:eastAsia="en-US"/>
        </w:rPr>
        <w:t xml:space="preserve">, no long-term or significant impacts are predicted </w:t>
      </w:r>
      <w:r w:rsidR="00A4733B">
        <w:rPr>
          <w:szCs w:val="20"/>
          <w:lang w:eastAsia="en-US"/>
        </w:rPr>
        <w:t xml:space="preserve">to benthic habitats </w:t>
      </w:r>
      <w:r w:rsidRPr="00526BED">
        <w:rPr>
          <w:szCs w:val="20"/>
          <w:lang w:eastAsia="en-US"/>
        </w:rPr>
        <w:t>from anchoring. Further, it is expected that any localised impacts from anchoring would rapidly recolonise and recover following any disturbance.</w:t>
      </w:r>
      <w:r w:rsidR="00A4733B">
        <w:rPr>
          <w:szCs w:val="20"/>
          <w:lang w:eastAsia="en-US"/>
        </w:rPr>
        <w:t xml:space="preserve"> T</w:t>
      </w:r>
      <w:r w:rsidR="00CA5ACD" w:rsidRPr="00526BED">
        <w:rPr>
          <w:szCs w:val="20"/>
          <w:lang w:eastAsia="en-US"/>
        </w:rPr>
        <w:t xml:space="preserve">his temporary impact will be negligible on a regional scale and the </w:t>
      </w:r>
      <w:r w:rsidR="00952792" w:rsidRPr="00526BED">
        <w:rPr>
          <w:szCs w:val="20"/>
          <w:lang w:eastAsia="en-US"/>
        </w:rPr>
        <w:t>consequences</w:t>
      </w:r>
      <w:r w:rsidR="00CA5ACD" w:rsidRPr="00526BED">
        <w:rPr>
          <w:szCs w:val="20"/>
          <w:lang w:eastAsia="en-US"/>
        </w:rPr>
        <w:t xml:space="preserve"> </w:t>
      </w:r>
      <w:r w:rsidR="00952792" w:rsidRPr="00526BED">
        <w:rPr>
          <w:szCs w:val="20"/>
          <w:lang w:eastAsia="en-US"/>
        </w:rPr>
        <w:t xml:space="preserve">are </w:t>
      </w:r>
      <w:r w:rsidR="00CA5ACD" w:rsidRPr="00526BED">
        <w:rPr>
          <w:szCs w:val="20"/>
          <w:lang w:eastAsia="en-US"/>
        </w:rPr>
        <w:t xml:space="preserve">therefore </w:t>
      </w:r>
      <w:r w:rsidR="00564C8F">
        <w:rPr>
          <w:szCs w:val="20"/>
          <w:lang w:eastAsia="en-US"/>
        </w:rPr>
        <w:t>negligible</w:t>
      </w:r>
      <w:r w:rsidR="00CA5ACD" w:rsidRPr="00526BED">
        <w:rPr>
          <w:szCs w:val="20"/>
          <w:lang w:eastAsia="en-US"/>
        </w:rPr>
        <w:t>.</w:t>
      </w:r>
    </w:p>
    <w:p w14:paraId="0D88C6B7" w14:textId="77777777" w:rsidR="005204BB" w:rsidRDefault="005204BB" w:rsidP="00914C00">
      <w:pPr>
        <w:pStyle w:val="Heading3"/>
      </w:pPr>
      <w:r>
        <w:t>Impact Assessment</w:t>
      </w:r>
    </w:p>
    <w:p w14:paraId="34A35F6C" w14:textId="7A907DE9" w:rsidR="006F55D9" w:rsidRDefault="006F55D9" w:rsidP="00914DD4">
      <w:pPr>
        <w:pStyle w:val="BodyText"/>
        <w:ind w:left="720"/>
        <w:rPr>
          <w:szCs w:val="20"/>
          <w:lang w:eastAsia="en-US"/>
        </w:rPr>
      </w:pPr>
      <w:r w:rsidRPr="00FA36A5">
        <w:rPr>
          <w:szCs w:val="20"/>
          <w:u w:val="single"/>
          <w:lang w:eastAsia="en-US"/>
        </w:rPr>
        <w:t>Pre-campaign risk assessment</w:t>
      </w:r>
      <w:r>
        <w:rPr>
          <w:szCs w:val="20"/>
          <w:lang w:eastAsia="en-US"/>
        </w:rPr>
        <w:t>:</w:t>
      </w:r>
    </w:p>
    <w:p w14:paraId="1C47C62F" w14:textId="77777777" w:rsidR="003247C0" w:rsidRDefault="00EC10C3" w:rsidP="00914DD4">
      <w:pPr>
        <w:pStyle w:val="BodyText"/>
        <w:ind w:left="720"/>
        <w:rPr>
          <w:szCs w:val="20"/>
          <w:lang w:eastAsia="en-US"/>
        </w:rPr>
      </w:pPr>
      <w:r>
        <w:rPr>
          <w:szCs w:val="20"/>
          <w:lang w:eastAsia="en-US"/>
        </w:rPr>
        <w:t xml:space="preserve">Prior to any offshore IMR campaign a pre-campaign risk assessment will be undertaken to assess project, safety and environmental impacts and risks associated with the activity which will ensure that all environmental impacts and risks associated with the activity are at ALARP and acceptable levels. </w:t>
      </w:r>
    </w:p>
    <w:p w14:paraId="654A3C8F" w14:textId="2C3F7B86" w:rsidR="003247C0" w:rsidRDefault="003247C0" w:rsidP="00914DD4">
      <w:pPr>
        <w:pStyle w:val="BodyText"/>
        <w:ind w:left="720"/>
        <w:rPr>
          <w:szCs w:val="20"/>
          <w:lang w:eastAsia="en-US"/>
        </w:rPr>
      </w:pPr>
      <w:r>
        <w:rPr>
          <w:szCs w:val="20"/>
          <w:lang w:eastAsia="en-US"/>
        </w:rPr>
        <w:t>Information which will be provided into the risk assessment includes the following:</w:t>
      </w:r>
    </w:p>
    <w:p w14:paraId="49030CBC" w14:textId="77777777" w:rsidR="003247C0" w:rsidRDefault="003247C0" w:rsidP="0036080A">
      <w:pPr>
        <w:pStyle w:val="Bullet1"/>
        <w:numPr>
          <w:ilvl w:val="0"/>
          <w:numId w:val="40"/>
        </w:numPr>
      </w:pPr>
      <w:r>
        <w:t>IMR scope and methodology adopted;</w:t>
      </w:r>
    </w:p>
    <w:p w14:paraId="17DB61DB" w14:textId="4EC5C7B8" w:rsidR="003247C0" w:rsidRDefault="003247C0" w:rsidP="0036080A">
      <w:pPr>
        <w:pStyle w:val="Bullet1"/>
        <w:numPr>
          <w:ilvl w:val="0"/>
          <w:numId w:val="40"/>
        </w:numPr>
      </w:pPr>
      <w:r>
        <w:t>The location</w:t>
      </w:r>
      <w:r w:rsidR="00E3669B">
        <w:t>, timing</w:t>
      </w:r>
      <w:r>
        <w:t xml:space="preserve"> and equipment to be used in the survey;</w:t>
      </w:r>
    </w:p>
    <w:p w14:paraId="1E4408A1" w14:textId="77777777" w:rsidR="003247C0" w:rsidRDefault="003247C0" w:rsidP="0036080A">
      <w:pPr>
        <w:pStyle w:val="Bullet1"/>
        <w:numPr>
          <w:ilvl w:val="0"/>
          <w:numId w:val="40"/>
        </w:numPr>
      </w:pPr>
      <w:r>
        <w:t>Details of the environmental sensitivities to be encountered in the activity location;</w:t>
      </w:r>
    </w:p>
    <w:p w14:paraId="283A6647" w14:textId="094A0E2C" w:rsidR="002E491C" w:rsidRDefault="003247C0" w:rsidP="0036080A">
      <w:pPr>
        <w:pStyle w:val="Bullet1"/>
        <w:numPr>
          <w:ilvl w:val="0"/>
          <w:numId w:val="40"/>
        </w:numPr>
      </w:pPr>
      <w:r w:rsidRPr="00E3669B">
        <w:t>Review of available ROV footage to confirm the expected seabed condition in the activity location</w:t>
      </w:r>
      <w:r w:rsidR="002E491C">
        <w:t>;</w:t>
      </w:r>
      <w:r w:rsidR="00CC3A84">
        <w:t xml:space="preserve"> and</w:t>
      </w:r>
    </w:p>
    <w:p w14:paraId="7362B17A" w14:textId="381F48AB" w:rsidR="003247C0" w:rsidRDefault="002E491C" w:rsidP="0036080A">
      <w:pPr>
        <w:pStyle w:val="Bullet1"/>
        <w:numPr>
          <w:ilvl w:val="0"/>
          <w:numId w:val="40"/>
        </w:numPr>
      </w:pPr>
      <w:r>
        <w:t>Stakeholder specific issues and concerns</w:t>
      </w:r>
      <w:r w:rsidR="00E3669B">
        <w:t>.</w:t>
      </w:r>
    </w:p>
    <w:p w14:paraId="07512359" w14:textId="57D6A4F6" w:rsidR="00E3669B" w:rsidRDefault="00E3669B" w:rsidP="00994DB5">
      <w:pPr>
        <w:pStyle w:val="BodyText"/>
        <w:ind w:left="709"/>
        <w:rPr>
          <w:szCs w:val="20"/>
          <w:lang w:eastAsia="en-US"/>
        </w:rPr>
      </w:pPr>
      <w:r>
        <w:rPr>
          <w:szCs w:val="20"/>
          <w:lang w:eastAsia="en-US"/>
        </w:rPr>
        <w:t xml:space="preserve">The impact and risk assessment will be documented and reflect the elimination or mitigation controls established in the workshop. </w:t>
      </w:r>
      <w:r w:rsidR="002E491C">
        <w:rPr>
          <w:szCs w:val="20"/>
          <w:lang w:eastAsia="en-US"/>
        </w:rPr>
        <w:t xml:space="preserve">The environmental impact and risk for the activity will be demonstrated to be ALARP and acceptable. </w:t>
      </w:r>
    </w:p>
    <w:p w14:paraId="73DE0A34" w14:textId="77777777" w:rsidR="002E491C" w:rsidRPr="002E491C" w:rsidRDefault="002E491C" w:rsidP="00FA36A5">
      <w:pPr>
        <w:pStyle w:val="BodyText"/>
        <w:ind w:left="1429"/>
        <w:rPr>
          <w:szCs w:val="20"/>
          <w:lang w:eastAsia="en-US"/>
        </w:rPr>
      </w:pPr>
    </w:p>
    <w:p w14:paraId="272337F1" w14:textId="79426EED" w:rsidR="00B77D8D" w:rsidRPr="00ED5388" w:rsidRDefault="00526BED" w:rsidP="00B86A7D">
      <w:pPr>
        <w:pStyle w:val="Caption"/>
        <w:outlineLvl w:val="9"/>
        <w:rPr>
          <w:sz w:val="20"/>
          <w:szCs w:val="20"/>
        </w:rPr>
      </w:pPr>
      <w:bookmarkStart w:id="181" w:name="_Ref473376167"/>
      <w:bookmarkStart w:id="182" w:name="_Toc511032593"/>
      <w:r w:rsidRPr="00526BED">
        <w:rPr>
          <w:sz w:val="20"/>
          <w:szCs w:val="20"/>
        </w:rPr>
        <w:lastRenderedPageBreak/>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2</w:t>
      </w:r>
      <w:r w:rsidR="00103328">
        <w:rPr>
          <w:sz w:val="20"/>
          <w:szCs w:val="20"/>
        </w:rPr>
        <w:fldChar w:fldCharType="end"/>
      </w:r>
      <w:bookmarkEnd w:id="181"/>
      <w:r w:rsidRPr="00526BED">
        <w:rPr>
          <w:sz w:val="20"/>
          <w:szCs w:val="20"/>
        </w:rPr>
        <w:t>: EIA for seabed disturbance associated with routine maintenance activities</w:t>
      </w:r>
      <w:bookmarkEnd w:id="182"/>
    </w:p>
    <w:tbl>
      <w:tblPr>
        <w:tblW w:w="9072" w:type="dxa"/>
        <w:tblInd w:w="1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268"/>
        <w:gridCol w:w="6804"/>
      </w:tblGrid>
      <w:tr w:rsidR="0038048A" w:rsidRPr="00914DD4" w14:paraId="1DC1DE96" w14:textId="77777777" w:rsidTr="00EF75E9">
        <w:trPr>
          <w:cantSplit/>
        </w:trPr>
        <w:tc>
          <w:tcPr>
            <w:tcW w:w="2268" w:type="dxa"/>
            <w:shd w:val="clear" w:color="auto" w:fill="BFBFBF" w:themeFill="background1" w:themeFillShade="BF"/>
          </w:tcPr>
          <w:p w14:paraId="6F0AAD48" w14:textId="3184E67A" w:rsidR="0038048A" w:rsidRPr="00914DD4" w:rsidRDefault="0038048A" w:rsidP="00B77D8D">
            <w:pPr>
              <w:pStyle w:val="Tabletext"/>
              <w:rPr>
                <w:rFonts w:ascii="Arial" w:hAnsi="Arial" w:cs="Arial"/>
                <w:b/>
                <w:sz w:val="16"/>
                <w:szCs w:val="16"/>
              </w:rPr>
            </w:pPr>
            <w:r w:rsidRPr="00914DD4">
              <w:rPr>
                <w:rFonts w:ascii="Arial" w:hAnsi="Arial" w:cs="Arial"/>
                <w:b/>
                <w:sz w:val="16"/>
                <w:szCs w:val="16"/>
              </w:rPr>
              <w:t>Aspect:</w:t>
            </w:r>
          </w:p>
        </w:tc>
        <w:tc>
          <w:tcPr>
            <w:tcW w:w="6804" w:type="dxa"/>
          </w:tcPr>
          <w:p w14:paraId="07A69C2B" w14:textId="528AA2D2" w:rsidR="0038048A" w:rsidRPr="00914DD4" w:rsidRDefault="0038048A" w:rsidP="00D04F42">
            <w:pPr>
              <w:pStyle w:val="Tabletext"/>
              <w:spacing w:after="0" w:line="240" w:lineRule="auto"/>
              <w:jc w:val="left"/>
              <w:rPr>
                <w:rFonts w:ascii="Arial" w:hAnsi="Arial" w:cs="Arial"/>
                <w:sz w:val="16"/>
                <w:szCs w:val="16"/>
              </w:rPr>
            </w:pPr>
            <w:r w:rsidRPr="00914DD4">
              <w:rPr>
                <w:rFonts w:ascii="Arial" w:hAnsi="Arial" w:cs="Arial"/>
                <w:sz w:val="16"/>
                <w:szCs w:val="16"/>
              </w:rPr>
              <w:t>IMR activities impacting on the seabed</w:t>
            </w:r>
          </w:p>
        </w:tc>
      </w:tr>
      <w:tr w:rsidR="00B77D8D" w:rsidRPr="00914DD4" w14:paraId="50461331" w14:textId="77777777" w:rsidTr="00EF75E9">
        <w:trPr>
          <w:cantSplit/>
        </w:trPr>
        <w:tc>
          <w:tcPr>
            <w:tcW w:w="2268" w:type="dxa"/>
            <w:shd w:val="clear" w:color="auto" w:fill="BFBFBF" w:themeFill="background1" w:themeFillShade="BF"/>
          </w:tcPr>
          <w:p w14:paraId="0D25E0B6" w14:textId="77777777" w:rsidR="00B77D8D" w:rsidRPr="00914DD4" w:rsidRDefault="00B77D8D" w:rsidP="00B77D8D">
            <w:pPr>
              <w:pStyle w:val="Tabletext"/>
              <w:rPr>
                <w:rFonts w:ascii="Arial" w:hAnsi="Arial" w:cs="Arial"/>
                <w:b/>
                <w:sz w:val="16"/>
                <w:szCs w:val="16"/>
              </w:rPr>
            </w:pPr>
            <w:r w:rsidRPr="00914DD4">
              <w:rPr>
                <w:rFonts w:ascii="Arial" w:hAnsi="Arial" w:cs="Arial"/>
                <w:b/>
                <w:sz w:val="16"/>
                <w:szCs w:val="16"/>
              </w:rPr>
              <w:t xml:space="preserve">Impact summary </w:t>
            </w:r>
          </w:p>
        </w:tc>
        <w:tc>
          <w:tcPr>
            <w:tcW w:w="6804" w:type="dxa"/>
          </w:tcPr>
          <w:p w14:paraId="012A5686" w14:textId="364AEE39" w:rsidR="00B77D8D" w:rsidRPr="00914DD4" w:rsidRDefault="00D04F42" w:rsidP="00D04F42">
            <w:pPr>
              <w:pStyle w:val="Tabletext"/>
              <w:spacing w:after="0" w:line="240" w:lineRule="auto"/>
              <w:jc w:val="left"/>
              <w:rPr>
                <w:rFonts w:ascii="Arial" w:hAnsi="Arial" w:cs="Arial"/>
                <w:sz w:val="16"/>
                <w:szCs w:val="16"/>
              </w:rPr>
            </w:pPr>
            <w:r w:rsidRPr="00914DD4">
              <w:rPr>
                <w:rFonts w:ascii="Arial" w:hAnsi="Arial" w:cs="Arial"/>
                <w:sz w:val="16"/>
                <w:szCs w:val="16"/>
              </w:rPr>
              <w:t>Localised turbidity of the near-seabed water column, temporary disturbance to benthic habitats and fauna from turbidity, habitat smothering, permanent displacement of small area</w:t>
            </w:r>
            <w:r w:rsidR="00CC3A84">
              <w:rPr>
                <w:rFonts w:ascii="Arial" w:hAnsi="Arial" w:cs="Arial"/>
                <w:sz w:val="16"/>
                <w:szCs w:val="16"/>
              </w:rPr>
              <w:t>s</w:t>
            </w:r>
            <w:r w:rsidRPr="00914DD4">
              <w:rPr>
                <w:rFonts w:ascii="Arial" w:hAnsi="Arial" w:cs="Arial"/>
                <w:sz w:val="16"/>
                <w:szCs w:val="16"/>
              </w:rPr>
              <w:t xml:space="preserve"> of seabed and infrastructure acting as an artificial substrate for benthic fauna colonisation. </w:t>
            </w:r>
          </w:p>
        </w:tc>
      </w:tr>
      <w:tr w:rsidR="00B77D8D" w:rsidRPr="00914DD4" w14:paraId="4EE8E9E0" w14:textId="77777777" w:rsidTr="00EF75E9">
        <w:trPr>
          <w:cantSplit/>
        </w:trPr>
        <w:tc>
          <w:tcPr>
            <w:tcW w:w="2268" w:type="dxa"/>
            <w:shd w:val="clear" w:color="auto" w:fill="BFBFBF" w:themeFill="background1" w:themeFillShade="BF"/>
          </w:tcPr>
          <w:p w14:paraId="2B5B27B4" w14:textId="77777777" w:rsidR="00B77D8D" w:rsidRPr="00914DD4" w:rsidRDefault="00B77D8D" w:rsidP="00B77D8D">
            <w:pPr>
              <w:pStyle w:val="Tabletext"/>
              <w:jc w:val="left"/>
              <w:rPr>
                <w:rFonts w:ascii="Arial" w:hAnsi="Arial" w:cs="Arial"/>
                <w:b/>
                <w:sz w:val="16"/>
                <w:szCs w:val="16"/>
              </w:rPr>
            </w:pPr>
            <w:r w:rsidRPr="00914DD4">
              <w:rPr>
                <w:rFonts w:ascii="Arial" w:hAnsi="Arial" w:cs="Arial"/>
                <w:b/>
                <w:sz w:val="16"/>
                <w:szCs w:val="16"/>
              </w:rPr>
              <w:t xml:space="preserve">Extent of impact </w:t>
            </w:r>
          </w:p>
        </w:tc>
        <w:tc>
          <w:tcPr>
            <w:tcW w:w="6804" w:type="dxa"/>
          </w:tcPr>
          <w:p w14:paraId="630EEEB8" w14:textId="12D796C4" w:rsidR="00B77D8D" w:rsidRPr="00914DD4" w:rsidRDefault="00B77D8D" w:rsidP="00F6365A">
            <w:pPr>
              <w:pStyle w:val="Tabletext"/>
              <w:spacing w:after="0" w:line="240" w:lineRule="auto"/>
              <w:jc w:val="left"/>
              <w:rPr>
                <w:rFonts w:ascii="Arial" w:hAnsi="Arial" w:cs="Arial"/>
                <w:sz w:val="16"/>
                <w:szCs w:val="16"/>
              </w:rPr>
            </w:pPr>
            <w:r w:rsidRPr="00914DD4">
              <w:rPr>
                <w:rFonts w:ascii="Arial" w:hAnsi="Arial" w:cs="Arial"/>
                <w:sz w:val="16"/>
                <w:szCs w:val="16"/>
              </w:rPr>
              <w:t>Localised (</w:t>
            </w:r>
            <w:r w:rsidR="00F6365A" w:rsidRPr="00914DD4">
              <w:rPr>
                <w:rFonts w:ascii="Arial" w:hAnsi="Arial" w:cs="Arial"/>
                <w:sz w:val="16"/>
                <w:szCs w:val="16"/>
              </w:rPr>
              <w:t>to area of maintenance activities</w:t>
            </w:r>
            <w:r w:rsidRPr="00914DD4">
              <w:rPr>
                <w:rFonts w:ascii="Arial" w:hAnsi="Arial" w:cs="Arial"/>
                <w:sz w:val="16"/>
                <w:szCs w:val="16"/>
              </w:rPr>
              <w:t>)</w:t>
            </w:r>
            <w:r w:rsidR="00F6365A" w:rsidRPr="00914DD4">
              <w:rPr>
                <w:rFonts w:ascii="Arial" w:hAnsi="Arial" w:cs="Arial"/>
                <w:sz w:val="16"/>
                <w:szCs w:val="16"/>
              </w:rPr>
              <w:t>, generally immediately adjacent to wellheads or pipeline</w:t>
            </w:r>
            <w:r w:rsidRPr="00914DD4">
              <w:rPr>
                <w:rFonts w:ascii="Arial" w:hAnsi="Arial" w:cs="Arial"/>
                <w:sz w:val="16"/>
                <w:szCs w:val="16"/>
              </w:rPr>
              <w:t xml:space="preserve">. </w:t>
            </w:r>
          </w:p>
        </w:tc>
      </w:tr>
      <w:tr w:rsidR="00B77D8D" w:rsidRPr="00914DD4" w14:paraId="18AD747D" w14:textId="77777777" w:rsidTr="00EF75E9">
        <w:trPr>
          <w:cantSplit/>
        </w:trPr>
        <w:tc>
          <w:tcPr>
            <w:tcW w:w="2268" w:type="dxa"/>
            <w:shd w:val="clear" w:color="auto" w:fill="BFBFBF" w:themeFill="background1" w:themeFillShade="BF"/>
          </w:tcPr>
          <w:p w14:paraId="586118D4" w14:textId="77777777" w:rsidR="00B77D8D" w:rsidRPr="00914DD4" w:rsidRDefault="00B77D8D" w:rsidP="00B77D8D">
            <w:pPr>
              <w:pStyle w:val="Tabletext"/>
              <w:jc w:val="left"/>
              <w:rPr>
                <w:rFonts w:ascii="Arial" w:hAnsi="Arial" w:cs="Arial"/>
                <w:b/>
                <w:sz w:val="16"/>
                <w:szCs w:val="16"/>
              </w:rPr>
            </w:pPr>
            <w:r w:rsidRPr="00914DD4">
              <w:rPr>
                <w:rFonts w:ascii="Arial" w:hAnsi="Arial" w:cs="Arial"/>
                <w:b/>
                <w:sz w:val="16"/>
                <w:szCs w:val="16"/>
              </w:rPr>
              <w:t xml:space="preserve">Duration of impact </w:t>
            </w:r>
          </w:p>
        </w:tc>
        <w:tc>
          <w:tcPr>
            <w:tcW w:w="6804" w:type="dxa"/>
          </w:tcPr>
          <w:p w14:paraId="200270C8" w14:textId="7CCAD571" w:rsidR="00B77D8D" w:rsidRPr="00914DD4" w:rsidRDefault="00B77D8D">
            <w:pPr>
              <w:pStyle w:val="Tabletext"/>
              <w:spacing w:after="0" w:line="240" w:lineRule="auto"/>
              <w:jc w:val="left"/>
              <w:rPr>
                <w:rFonts w:ascii="Arial" w:hAnsi="Arial" w:cs="Arial"/>
                <w:sz w:val="16"/>
                <w:szCs w:val="16"/>
              </w:rPr>
            </w:pPr>
            <w:r w:rsidRPr="00914DD4">
              <w:rPr>
                <w:rFonts w:ascii="Arial" w:hAnsi="Arial" w:cs="Arial"/>
                <w:sz w:val="16"/>
                <w:szCs w:val="16"/>
              </w:rPr>
              <w:t>Temporary (minutes</w:t>
            </w:r>
            <w:r w:rsidR="00F6365A" w:rsidRPr="00914DD4">
              <w:rPr>
                <w:rFonts w:ascii="Arial" w:hAnsi="Arial" w:cs="Arial"/>
                <w:sz w:val="16"/>
                <w:szCs w:val="16"/>
              </w:rPr>
              <w:t xml:space="preserve"> to </w:t>
            </w:r>
            <w:r w:rsidR="006F55D9">
              <w:rPr>
                <w:rFonts w:ascii="Arial" w:hAnsi="Arial" w:cs="Arial"/>
                <w:sz w:val="16"/>
                <w:szCs w:val="16"/>
              </w:rPr>
              <w:t>weeks</w:t>
            </w:r>
            <w:r w:rsidR="006F55D9" w:rsidRPr="00914DD4">
              <w:rPr>
                <w:rFonts w:ascii="Arial" w:hAnsi="Arial" w:cs="Arial"/>
                <w:sz w:val="16"/>
                <w:szCs w:val="16"/>
              </w:rPr>
              <w:t xml:space="preserve"> </w:t>
            </w:r>
            <w:r w:rsidR="00F6365A" w:rsidRPr="00914DD4">
              <w:rPr>
                <w:rFonts w:ascii="Arial" w:hAnsi="Arial" w:cs="Arial"/>
                <w:sz w:val="16"/>
                <w:szCs w:val="16"/>
              </w:rPr>
              <w:t>– rapid recovery of benthic sediments and fauna</w:t>
            </w:r>
            <w:r w:rsidRPr="00914DD4">
              <w:rPr>
                <w:rFonts w:ascii="Arial" w:hAnsi="Arial" w:cs="Arial"/>
                <w:sz w:val="16"/>
                <w:szCs w:val="16"/>
              </w:rPr>
              <w:t>).</w:t>
            </w:r>
          </w:p>
        </w:tc>
      </w:tr>
      <w:tr w:rsidR="00B77D8D" w:rsidRPr="00914DD4" w14:paraId="79726A29" w14:textId="77777777" w:rsidTr="00EF75E9">
        <w:trPr>
          <w:cantSplit/>
        </w:trPr>
        <w:tc>
          <w:tcPr>
            <w:tcW w:w="2268" w:type="dxa"/>
            <w:shd w:val="clear" w:color="auto" w:fill="BFBFBF" w:themeFill="background1" w:themeFillShade="BF"/>
          </w:tcPr>
          <w:p w14:paraId="515A8BFE" w14:textId="1B9CABB2" w:rsidR="00B77D8D" w:rsidRPr="00914DD4" w:rsidRDefault="00B77D8D" w:rsidP="00564C8F">
            <w:pPr>
              <w:pStyle w:val="Tabletext"/>
              <w:jc w:val="left"/>
              <w:rPr>
                <w:rFonts w:ascii="Arial" w:hAnsi="Arial" w:cs="Arial"/>
                <w:b/>
                <w:sz w:val="16"/>
                <w:szCs w:val="16"/>
              </w:rPr>
            </w:pPr>
            <w:r w:rsidRPr="00914DD4">
              <w:rPr>
                <w:rFonts w:ascii="Arial" w:hAnsi="Arial" w:cs="Arial"/>
                <w:b/>
                <w:sz w:val="16"/>
                <w:szCs w:val="16"/>
              </w:rPr>
              <w:t xml:space="preserve">Level of certainty of </w:t>
            </w:r>
            <w:r w:rsidR="00564C8F" w:rsidRPr="00914DD4">
              <w:rPr>
                <w:rFonts w:ascii="Arial" w:hAnsi="Arial" w:cs="Arial"/>
                <w:b/>
                <w:sz w:val="16"/>
                <w:szCs w:val="16"/>
              </w:rPr>
              <w:t>i</w:t>
            </w:r>
            <w:r w:rsidRPr="00914DD4">
              <w:rPr>
                <w:rFonts w:ascii="Arial" w:hAnsi="Arial" w:cs="Arial"/>
                <w:b/>
                <w:sz w:val="16"/>
                <w:szCs w:val="16"/>
              </w:rPr>
              <w:t>mpact</w:t>
            </w:r>
          </w:p>
        </w:tc>
        <w:tc>
          <w:tcPr>
            <w:tcW w:w="6804" w:type="dxa"/>
          </w:tcPr>
          <w:p w14:paraId="19B96C0A" w14:textId="6C895FEB" w:rsidR="00B77D8D" w:rsidRPr="00914DD4" w:rsidRDefault="00B77D8D" w:rsidP="00564C8F">
            <w:pPr>
              <w:pStyle w:val="Tabletext"/>
              <w:spacing w:after="0" w:line="240" w:lineRule="auto"/>
              <w:jc w:val="left"/>
              <w:rPr>
                <w:rFonts w:ascii="Arial" w:hAnsi="Arial" w:cs="Arial"/>
                <w:sz w:val="16"/>
                <w:szCs w:val="16"/>
              </w:rPr>
            </w:pPr>
            <w:r w:rsidRPr="00914DD4">
              <w:rPr>
                <w:rFonts w:ascii="Arial" w:hAnsi="Arial" w:cs="Arial"/>
                <w:sz w:val="16"/>
                <w:szCs w:val="16"/>
              </w:rPr>
              <w:t>HIGH.</w:t>
            </w:r>
            <w:r w:rsidR="00564C8F" w:rsidRPr="00914DD4">
              <w:rPr>
                <w:rFonts w:ascii="Arial" w:hAnsi="Arial" w:cs="Arial"/>
                <w:sz w:val="16"/>
                <w:szCs w:val="16"/>
              </w:rPr>
              <w:t xml:space="preserve"> Observed changes to seabed characteristics due to the placement of infrastructure have been observed during the life of the development. Seabed habitats are not sensitive in the region of the CHN development. </w:t>
            </w:r>
            <w:r w:rsidRPr="00914DD4">
              <w:rPr>
                <w:rFonts w:ascii="Arial" w:hAnsi="Arial" w:cs="Arial"/>
                <w:sz w:val="16"/>
                <w:szCs w:val="16"/>
              </w:rPr>
              <w:t xml:space="preserve"> </w:t>
            </w:r>
          </w:p>
        </w:tc>
      </w:tr>
      <w:tr w:rsidR="00B77D8D" w:rsidRPr="00914DD4" w14:paraId="507917C9" w14:textId="77777777" w:rsidTr="00EF75E9">
        <w:trPr>
          <w:cantSplit/>
        </w:trPr>
        <w:tc>
          <w:tcPr>
            <w:tcW w:w="2268" w:type="dxa"/>
            <w:shd w:val="clear" w:color="auto" w:fill="BFBFBF" w:themeFill="background1" w:themeFillShade="BF"/>
          </w:tcPr>
          <w:p w14:paraId="2D7DC234" w14:textId="77777777" w:rsidR="00B77D8D" w:rsidRPr="00914DD4" w:rsidRDefault="00B77D8D" w:rsidP="00F6365A">
            <w:pPr>
              <w:pStyle w:val="Tabletext"/>
              <w:spacing w:line="240" w:lineRule="auto"/>
              <w:jc w:val="left"/>
              <w:rPr>
                <w:rFonts w:ascii="Arial" w:hAnsi="Arial" w:cs="Arial"/>
                <w:b/>
                <w:sz w:val="16"/>
                <w:szCs w:val="16"/>
              </w:rPr>
            </w:pPr>
            <w:r w:rsidRPr="00914DD4">
              <w:rPr>
                <w:rFonts w:ascii="Arial" w:hAnsi="Arial" w:cs="Arial"/>
                <w:b/>
                <w:sz w:val="16"/>
                <w:szCs w:val="16"/>
              </w:rPr>
              <w:t>Impact decision framework context</w:t>
            </w:r>
          </w:p>
        </w:tc>
        <w:tc>
          <w:tcPr>
            <w:tcW w:w="6804" w:type="dxa"/>
          </w:tcPr>
          <w:p w14:paraId="4C90221A" w14:textId="20923E12" w:rsidR="00B77D8D" w:rsidRPr="00914DD4" w:rsidRDefault="00B77D8D" w:rsidP="00B77D8D">
            <w:pPr>
              <w:pStyle w:val="Tabletext"/>
              <w:spacing w:after="0" w:line="240" w:lineRule="auto"/>
              <w:jc w:val="left"/>
              <w:rPr>
                <w:rFonts w:ascii="Arial" w:hAnsi="Arial" w:cs="Arial"/>
                <w:sz w:val="16"/>
                <w:szCs w:val="16"/>
              </w:rPr>
            </w:pPr>
            <w:r w:rsidRPr="00914DD4">
              <w:rPr>
                <w:rFonts w:ascii="Arial" w:hAnsi="Arial" w:cs="Arial"/>
                <w:sz w:val="16"/>
                <w:szCs w:val="16"/>
              </w:rPr>
              <w:t xml:space="preserve">A (nothing new or unusual, represents business as usual, well understood activity, good practice is well defined). </w:t>
            </w:r>
            <w:r w:rsidR="0038048A" w:rsidRPr="00914DD4">
              <w:rPr>
                <w:rFonts w:ascii="Arial" w:hAnsi="Arial" w:cs="Arial"/>
                <w:i/>
                <w:sz w:val="16"/>
                <w:szCs w:val="16"/>
              </w:rPr>
              <w:t>ALARP to be demonstrated on adherence to legislation, industry codes and good professional judgement.</w:t>
            </w:r>
          </w:p>
        </w:tc>
      </w:tr>
    </w:tbl>
    <w:p w14:paraId="0A0AD6B6" w14:textId="14EA4073" w:rsidR="008A483F" w:rsidRDefault="003626B7" w:rsidP="003626B7">
      <w:pPr>
        <w:pStyle w:val="BodyText"/>
        <w:rPr>
          <w:lang w:eastAsia="en-US"/>
        </w:rPr>
      </w:pPr>
      <w:r>
        <w:rPr>
          <w:lang w:eastAsia="en-US"/>
        </w:rPr>
        <w:t xml:space="preserve"> </w:t>
      </w:r>
    </w:p>
    <w:p w14:paraId="337EFDE0" w14:textId="6D9904E9" w:rsidR="00E93D10" w:rsidRPr="00180BCF" w:rsidRDefault="009407C5" w:rsidP="003A7F21">
      <w:pPr>
        <w:pStyle w:val="Heading2"/>
      </w:pPr>
      <w:bookmarkStart w:id="183" w:name="_Toc345581931"/>
      <w:bookmarkStart w:id="184" w:name="_Ref476508268"/>
      <w:bookmarkStart w:id="185" w:name="_Toc512862475"/>
      <w:r w:rsidRPr="00180BCF">
        <w:t xml:space="preserve">IMPACT: </w:t>
      </w:r>
      <w:r w:rsidR="00BE0DE6" w:rsidRPr="00180BCF">
        <w:t>Removal of Marine Growth</w:t>
      </w:r>
      <w:bookmarkEnd w:id="183"/>
      <w:r w:rsidRPr="00180BCF">
        <w:t xml:space="preserve"> from Subsea Infrastructure</w:t>
      </w:r>
      <w:bookmarkEnd w:id="184"/>
      <w:bookmarkEnd w:id="185"/>
    </w:p>
    <w:p w14:paraId="29DE4408" w14:textId="77777777" w:rsidR="00E93D10" w:rsidRDefault="00E93D10" w:rsidP="00914C00">
      <w:pPr>
        <w:pStyle w:val="Heading3"/>
      </w:pPr>
      <w:r>
        <w:t>Hazard</w:t>
      </w:r>
    </w:p>
    <w:p w14:paraId="3C3F5D3F" w14:textId="3E554F92" w:rsidR="00BE0DE6" w:rsidRPr="003A7F21" w:rsidRDefault="00BE0DE6" w:rsidP="00914DD4">
      <w:pPr>
        <w:pStyle w:val="BodyText"/>
        <w:ind w:left="720"/>
        <w:rPr>
          <w:szCs w:val="20"/>
          <w:lang w:eastAsia="en-US"/>
        </w:rPr>
      </w:pPr>
      <w:r w:rsidRPr="003A7F21">
        <w:rPr>
          <w:szCs w:val="20"/>
          <w:lang w:eastAsia="en-US"/>
        </w:rPr>
        <w:t xml:space="preserve">The following activities </w:t>
      </w:r>
      <w:r w:rsidR="000F754A" w:rsidRPr="003A7F21">
        <w:rPr>
          <w:szCs w:val="20"/>
          <w:lang w:eastAsia="en-US"/>
        </w:rPr>
        <w:t>will</w:t>
      </w:r>
      <w:r w:rsidRPr="003A7F21">
        <w:rPr>
          <w:szCs w:val="20"/>
          <w:lang w:eastAsia="en-US"/>
        </w:rPr>
        <w:t xml:space="preserve"> result in the removal of marine growth attached to subsea infrastructure:</w:t>
      </w:r>
    </w:p>
    <w:p w14:paraId="0C7594DC" w14:textId="77777777" w:rsidR="00050A69" w:rsidRDefault="000F754A" w:rsidP="0036080A">
      <w:pPr>
        <w:pStyle w:val="Bullet1"/>
        <w:numPr>
          <w:ilvl w:val="0"/>
          <w:numId w:val="40"/>
        </w:numPr>
      </w:pPr>
      <w:r w:rsidRPr="003A7F21">
        <w:t xml:space="preserve">High-pressure </w:t>
      </w:r>
      <w:r w:rsidR="00BE0DE6" w:rsidRPr="003A7F21">
        <w:t xml:space="preserve">water </w:t>
      </w:r>
      <w:r w:rsidR="00050A69">
        <w:t>jetting;</w:t>
      </w:r>
    </w:p>
    <w:p w14:paraId="65E8FB72" w14:textId="553A3C8A" w:rsidR="00BE0DE6" w:rsidRPr="003A7F21" w:rsidRDefault="00050A69" w:rsidP="0036080A">
      <w:pPr>
        <w:pStyle w:val="Bullet1"/>
        <w:numPr>
          <w:ilvl w:val="0"/>
          <w:numId w:val="40"/>
        </w:numPr>
      </w:pPr>
      <w:r>
        <w:t xml:space="preserve">Brushing with plastics and/or wire brushes; </w:t>
      </w:r>
    </w:p>
    <w:p w14:paraId="01D86880" w14:textId="1E947BF1" w:rsidR="00050A69" w:rsidRDefault="00050A69" w:rsidP="0036080A">
      <w:pPr>
        <w:pStyle w:val="Bullet1"/>
        <w:numPr>
          <w:ilvl w:val="0"/>
          <w:numId w:val="40"/>
        </w:numPr>
      </w:pPr>
      <w:r>
        <w:t>Scraping with rotary polymer scrapers (Flexiclean or equivalent); and</w:t>
      </w:r>
    </w:p>
    <w:p w14:paraId="6BCD40E4" w14:textId="01BC0F0A" w:rsidR="00BE0DE6" w:rsidRPr="003A7F21" w:rsidRDefault="00050A69" w:rsidP="0036080A">
      <w:pPr>
        <w:pStyle w:val="Bullet1"/>
        <w:numPr>
          <w:ilvl w:val="0"/>
          <w:numId w:val="40"/>
        </w:numPr>
      </w:pPr>
      <w:r>
        <w:t>Grit-blasting</w:t>
      </w:r>
      <w:r w:rsidR="00BE0DE6" w:rsidRPr="003A7F21">
        <w:t>.</w:t>
      </w:r>
    </w:p>
    <w:p w14:paraId="774EE9CC" w14:textId="18E68B39" w:rsidR="00017993" w:rsidRPr="003A7F21" w:rsidRDefault="006369C5" w:rsidP="00914DD4">
      <w:pPr>
        <w:pStyle w:val="BodyText"/>
        <w:ind w:left="720"/>
        <w:rPr>
          <w:szCs w:val="20"/>
          <w:lang w:eastAsia="en-US"/>
        </w:rPr>
      </w:pPr>
      <w:r>
        <w:rPr>
          <w:szCs w:val="20"/>
          <w:lang w:eastAsia="en-US"/>
        </w:rPr>
        <w:t xml:space="preserve">As part of ongoing maintenance and to facilitate inspections, </w:t>
      </w:r>
      <w:r w:rsidR="004455F7">
        <w:rPr>
          <w:szCs w:val="20"/>
          <w:lang w:eastAsia="en-US"/>
        </w:rPr>
        <w:t xml:space="preserve">or to enable pipeline repairs, </w:t>
      </w:r>
      <w:r>
        <w:rPr>
          <w:szCs w:val="20"/>
          <w:lang w:eastAsia="en-US"/>
        </w:rPr>
        <w:t>the removal of marine growth from infrastructure using inspection o</w:t>
      </w:r>
      <w:r w:rsidR="00761DE7">
        <w:rPr>
          <w:szCs w:val="20"/>
          <w:lang w:eastAsia="en-US"/>
        </w:rPr>
        <w:t>r</w:t>
      </w:r>
      <w:r>
        <w:rPr>
          <w:szCs w:val="20"/>
          <w:lang w:eastAsia="en-US"/>
        </w:rPr>
        <w:t xml:space="preserve"> work-class ROVs and/or divers may be required. Marine growth </w:t>
      </w:r>
      <w:r w:rsidR="00050A69">
        <w:rPr>
          <w:szCs w:val="20"/>
          <w:lang w:eastAsia="en-US"/>
        </w:rPr>
        <w:t>may b</w:t>
      </w:r>
      <w:r>
        <w:rPr>
          <w:szCs w:val="20"/>
          <w:lang w:eastAsia="en-US"/>
        </w:rPr>
        <w:t xml:space="preserve">e removed with high-pressure water </w:t>
      </w:r>
      <w:r w:rsidR="00050A69">
        <w:rPr>
          <w:szCs w:val="20"/>
          <w:lang w:eastAsia="en-US"/>
        </w:rPr>
        <w:t>jetting</w:t>
      </w:r>
      <w:r>
        <w:rPr>
          <w:szCs w:val="20"/>
          <w:lang w:eastAsia="en-US"/>
        </w:rPr>
        <w:t xml:space="preserve">, </w:t>
      </w:r>
      <w:r w:rsidR="00050A69">
        <w:rPr>
          <w:szCs w:val="20"/>
          <w:lang w:eastAsia="en-US"/>
        </w:rPr>
        <w:t>brushing or scraping o</w:t>
      </w:r>
      <w:r>
        <w:rPr>
          <w:szCs w:val="20"/>
          <w:lang w:eastAsia="en-US"/>
        </w:rPr>
        <w:t>r a combination of t</w:t>
      </w:r>
      <w:r w:rsidR="00050A69">
        <w:rPr>
          <w:szCs w:val="20"/>
          <w:lang w:eastAsia="en-US"/>
        </w:rPr>
        <w:t>hese</w:t>
      </w:r>
      <w:r>
        <w:rPr>
          <w:szCs w:val="20"/>
          <w:lang w:eastAsia="en-US"/>
        </w:rPr>
        <w:t xml:space="preserve">. </w:t>
      </w:r>
      <w:r w:rsidR="00017993" w:rsidRPr="003A7F21">
        <w:rPr>
          <w:szCs w:val="20"/>
          <w:lang w:eastAsia="en-US"/>
        </w:rPr>
        <w:t>Only sections of infrastructure with encrusting organisms that make maintenance activities difficult (e.g., access to subsea tree valves)</w:t>
      </w:r>
      <w:r w:rsidR="00761DE7">
        <w:rPr>
          <w:szCs w:val="20"/>
          <w:lang w:eastAsia="en-US"/>
        </w:rPr>
        <w:t xml:space="preserve">, </w:t>
      </w:r>
      <w:r w:rsidR="004455F7">
        <w:rPr>
          <w:szCs w:val="20"/>
          <w:lang w:eastAsia="en-US"/>
        </w:rPr>
        <w:t xml:space="preserve">need to be repaired (e.g. </w:t>
      </w:r>
      <w:r w:rsidR="00050A69">
        <w:rPr>
          <w:szCs w:val="20"/>
          <w:lang w:eastAsia="en-US"/>
        </w:rPr>
        <w:t>clamp/wrap installation</w:t>
      </w:r>
      <w:r w:rsidR="004455F7">
        <w:rPr>
          <w:szCs w:val="20"/>
          <w:lang w:eastAsia="en-US"/>
        </w:rPr>
        <w:t xml:space="preserve">) </w:t>
      </w:r>
      <w:r w:rsidR="00761DE7">
        <w:rPr>
          <w:szCs w:val="20"/>
          <w:lang w:eastAsia="en-US"/>
        </w:rPr>
        <w:t>or require inspection usi</w:t>
      </w:r>
      <w:r w:rsidR="00050A69">
        <w:rPr>
          <w:szCs w:val="20"/>
          <w:lang w:eastAsia="en-US"/>
        </w:rPr>
        <w:t>ng specialised equipment (e.g. Combi-C</w:t>
      </w:r>
      <w:r w:rsidR="00761DE7">
        <w:rPr>
          <w:szCs w:val="20"/>
          <w:lang w:eastAsia="en-US"/>
        </w:rPr>
        <w:t>rawler) would be considered for marine growth removal</w:t>
      </w:r>
      <w:r w:rsidR="004455F7">
        <w:rPr>
          <w:szCs w:val="20"/>
          <w:lang w:eastAsia="en-US"/>
        </w:rPr>
        <w:t>.</w:t>
      </w:r>
      <w:r w:rsidR="00017993" w:rsidRPr="003A7F21">
        <w:rPr>
          <w:szCs w:val="20"/>
          <w:lang w:eastAsia="en-US"/>
        </w:rPr>
        <w:t xml:space="preserve"> </w:t>
      </w:r>
      <w:r w:rsidR="004455F7">
        <w:rPr>
          <w:szCs w:val="20"/>
          <w:lang w:eastAsia="en-US"/>
        </w:rPr>
        <w:t>T</w:t>
      </w:r>
      <w:r w:rsidR="00017993" w:rsidRPr="003A7F21">
        <w:rPr>
          <w:szCs w:val="20"/>
          <w:lang w:eastAsia="en-US"/>
        </w:rPr>
        <w:t xml:space="preserve">his </w:t>
      </w:r>
      <w:r w:rsidR="004455F7">
        <w:rPr>
          <w:szCs w:val="20"/>
          <w:lang w:eastAsia="en-US"/>
        </w:rPr>
        <w:t>is expected to</w:t>
      </w:r>
      <w:r w:rsidR="00017993" w:rsidRPr="003A7F21">
        <w:rPr>
          <w:szCs w:val="20"/>
          <w:lang w:eastAsia="en-US"/>
        </w:rPr>
        <w:t xml:space="preserve"> occur </w:t>
      </w:r>
      <w:r>
        <w:rPr>
          <w:szCs w:val="20"/>
          <w:lang w:eastAsia="en-US"/>
        </w:rPr>
        <w:t xml:space="preserve">infrequently </w:t>
      </w:r>
      <w:r w:rsidR="004455F7">
        <w:rPr>
          <w:szCs w:val="20"/>
          <w:lang w:eastAsia="en-US"/>
        </w:rPr>
        <w:t xml:space="preserve">for inspection and maintenance activities </w:t>
      </w:r>
      <w:r>
        <w:rPr>
          <w:szCs w:val="20"/>
          <w:lang w:eastAsia="en-US"/>
        </w:rPr>
        <w:t>(</w:t>
      </w:r>
      <w:r w:rsidR="00017993" w:rsidRPr="003A7F21">
        <w:rPr>
          <w:szCs w:val="20"/>
          <w:lang w:eastAsia="en-US"/>
        </w:rPr>
        <w:t>once every few years at most</w:t>
      </w:r>
      <w:r>
        <w:rPr>
          <w:szCs w:val="20"/>
          <w:lang w:eastAsia="en-US"/>
        </w:rPr>
        <w:t>)</w:t>
      </w:r>
      <w:r w:rsidR="004455F7">
        <w:rPr>
          <w:szCs w:val="20"/>
          <w:lang w:eastAsia="en-US"/>
        </w:rPr>
        <w:t xml:space="preserve"> and rarely for pipeline repair</w:t>
      </w:r>
      <w:r w:rsidR="00017993" w:rsidRPr="003A7F21">
        <w:rPr>
          <w:szCs w:val="20"/>
          <w:lang w:eastAsia="en-US"/>
        </w:rPr>
        <w:t>.</w:t>
      </w:r>
    </w:p>
    <w:p w14:paraId="3630EEAD" w14:textId="77777777" w:rsidR="00E93D10" w:rsidRDefault="00E93D10" w:rsidP="00914C00">
      <w:pPr>
        <w:pStyle w:val="Heading3"/>
      </w:pPr>
      <w:r>
        <w:t>Known and Potential Environmental Impacts</w:t>
      </w:r>
    </w:p>
    <w:p w14:paraId="1AD94653" w14:textId="77777777" w:rsidR="000F754A" w:rsidRPr="003A7F21" w:rsidRDefault="00BE0DE6" w:rsidP="00914DD4">
      <w:pPr>
        <w:pStyle w:val="BodyText"/>
        <w:ind w:left="720"/>
        <w:rPr>
          <w:szCs w:val="20"/>
          <w:lang w:eastAsia="en-US"/>
        </w:rPr>
      </w:pPr>
      <w:r w:rsidRPr="003A7F21">
        <w:rPr>
          <w:szCs w:val="20"/>
          <w:lang w:eastAsia="en-US"/>
        </w:rPr>
        <w:t>The known impacts of this activity are</w:t>
      </w:r>
      <w:r w:rsidR="000F754A" w:rsidRPr="003A7F21">
        <w:rPr>
          <w:szCs w:val="20"/>
          <w:lang w:eastAsia="en-US"/>
        </w:rPr>
        <w:t>:</w:t>
      </w:r>
    </w:p>
    <w:p w14:paraId="39B05C58" w14:textId="0FBD661A" w:rsidR="000F754A" w:rsidRPr="003A7F21" w:rsidRDefault="000F754A" w:rsidP="0036080A">
      <w:pPr>
        <w:pStyle w:val="Bullet1"/>
        <w:numPr>
          <w:ilvl w:val="0"/>
          <w:numId w:val="40"/>
        </w:numPr>
      </w:pPr>
      <w:r w:rsidRPr="003A7F21">
        <w:t>A</w:t>
      </w:r>
      <w:r w:rsidR="00BE0DE6" w:rsidRPr="003A7F21">
        <w:t xml:space="preserve"> temporary and localised reduction in water quality (i.e., increased turbidity due to sand </w:t>
      </w:r>
      <w:r w:rsidR="005E4A17">
        <w:t xml:space="preserve">or marine growth debris </w:t>
      </w:r>
      <w:r w:rsidR="00BE0DE6" w:rsidRPr="003A7F21">
        <w:t>discharge)</w:t>
      </w:r>
      <w:r w:rsidRPr="003A7F21">
        <w:t>;</w:t>
      </w:r>
    </w:p>
    <w:p w14:paraId="300C0B98" w14:textId="7964C79E" w:rsidR="000F754A" w:rsidRPr="003A7F21" w:rsidRDefault="000F754A" w:rsidP="0036080A">
      <w:pPr>
        <w:pStyle w:val="Bullet1"/>
        <w:numPr>
          <w:ilvl w:val="0"/>
          <w:numId w:val="40"/>
        </w:numPr>
      </w:pPr>
      <w:r w:rsidRPr="003A7F21">
        <w:t>T</w:t>
      </w:r>
      <w:r w:rsidR="00BE0DE6" w:rsidRPr="003A7F21">
        <w:t>he dislodgment (and possible death) of marine growth (macro</w:t>
      </w:r>
      <w:r w:rsidR="004455F7">
        <w:t>-</w:t>
      </w:r>
      <w:r w:rsidR="00BE0DE6" w:rsidRPr="003A7F21">
        <w:t>algae and epi</w:t>
      </w:r>
      <w:r w:rsidR="004455F7">
        <w:t>-</w:t>
      </w:r>
      <w:r w:rsidR="00BE0DE6" w:rsidRPr="003A7F21">
        <w:t>fauna such as sponges, ascidians and molluscs) attached to the subsea infrastructure</w:t>
      </w:r>
      <w:r w:rsidRPr="003A7F21">
        <w:t>; and</w:t>
      </w:r>
    </w:p>
    <w:p w14:paraId="7B3CABFE" w14:textId="05A18A4C" w:rsidR="00BE0DE6" w:rsidRPr="003A7F21" w:rsidRDefault="000F754A" w:rsidP="0036080A">
      <w:pPr>
        <w:pStyle w:val="Bullet1"/>
        <w:numPr>
          <w:ilvl w:val="0"/>
          <w:numId w:val="40"/>
        </w:numPr>
      </w:pPr>
      <w:r w:rsidRPr="003A7F21">
        <w:t>Settling of s</w:t>
      </w:r>
      <w:r w:rsidR="00BE0DE6" w:rsidRPr="003A7F21">
        <w:t>and used for blasting on the seabed.</w:t>
      </w:r>
    </w:p>
    <w:p w14:paraId="66CEBF51" w14:textId="77777777" w:rsidR="0055263E" w:rsidRPr="00914DD4" w:rsidRDefault="0055263E" w:rsidP="00914DD4">
      <w:pPr>
        <w:pStyle w:val="BodyText"/>
        <w:ind w:left="700"/>
        <w:rPr>
          <w:b/>
          <w:u w:val="single"/>
        </w:rPr>
      </w:pPr>
      <w:r w:rsidRPr="00914DD4">
        <w:rPr>
          <w:b/>
          <w:u w:val="single"/>
        </w:rPr>
        <w:t>EMBA</w:t>
      </w:r>
    </w:p>
    <w:p w14:paraId="248E7C24" w14:textId="714356B5" w:rsidR="0055263E" w:rsidRPr="003A7F21" w:rsidRDefault="00C77B39" w:rsidP="00914DD4">
      <w:pPr>
        <w:pStyle w:val="BodyText"/>
        <w:ind w:left="700"/>
        <w:rPr>
          <w:szCs w:val="20"/>
          <w:lang w:eastAsia="en-US"/>
        </w:rPr>
      </w:pPr>
      <w:r>
        <w:rPr>
          <w:szCs w:val="20"/>
          <w:lang w:eastAsia="en-US"/>
        </w:rPr>
        <w:t>Given the small areas which may be targeted for marine growth removal, impacts are expected to be extremely localised around the cleaning location and recoverable.</w:t>
      </w:r>
      <w:r w:rsidR="0055263E" w:rsidRPr="003A7F21">
        <w:rPr>
          <w:szCs w:val="20"/>
          <w:lang w:eastAsia="en-US"/>
        </w:rPr>
        <w:t xml:space="preserve"> </w:t>
      </w:r>
    </w:p>
    <w:p w14:paraId="093D3245" w14:textId="77777777" w:rsidR="0055263E" w:rsidRPr="00914DD4" w:rsidRDefault="0055263E" w:rsidP="00914DD4">
      <w:pPr>
        <w:pStyle w:val="BodyText"/>
        <w:ind w:left="709"/>
        <w:rPr>
          <w:b/>
          <w:u w:val="single"/>
        </w:rPr>
      </w:pPr>
      <w:r w:rsidRPr="00914DD4">
        <w:rPr>
          <w:b/>
          <w:u w:val="single"/>
        </w:rPr>
        <w:t>Receptors within the EMBA</w:t>
      </w:r>
    </w:p>
    <w:p w14:paraId="0BBE3598" w14:textId="77777777" w:rsidR="0055263E" w:rsidRPr="003A7F21" w:rsidRDefault="0055263E" w:rsidP="00914DD4">
      <w:pPr>
        <w:pStyle w:val="BodyText"/>
        <w:ind w:left="709"/>
        <w:rPr>
          <w:szCs w:val="20"/>
          <w:lang w:eastAsia="en-US"/>
        </w:rPr>
      </w:pPr>
      <w:r w:rsidRPr="003A7F21">
        <w:rPr>
          <w:szCs w:val="20"/>
          <w:lang w:eastAsia="en-US"/>
        </w:rPr>
        <w:t xml:space="preserve">Receptors that may occur within this EMBA, either as residents or migrants, are: </w:t>
      </w:r>
    </w:p>
    <w:p w14:paraId="5E0F2B32" w14:textId="77777777" w:rsidR="00C77B39" w:rsidRDefault="0055263E" w:rsidP="0036080A">
      <w:pPr>
        <w:pStyle w:val="Bullet1"/>
        <w:numPr>
          <w:ilvl w:val="0"/>
          <w:numId w:val="40"/>
        </w:numPr>
      </w:pPr>
      <w:r w:rsidRPr="003A7F21">
        <w:t>Benthic species</w:t>
      </w:r>
      <w:r w:rsidR="00D37147" w:rsidRPr="003A7F21">
        <w:t xml:space="preserve"> (especially those encrusting organisms being removed)</w:t>
      </w:r>
      <w:r w:rsidRPr="003A7F21">
        <w:t>;</w:t>
      </w:r>
      <w:r w:rsidR="00D37147" w:rsidRPr="003A7F21">
        <w:t xml:space="preserve"> </w:t>
      </w:r>
    </w:p>
    <w:p w14:paraId="195F2512" w14:textId="25A0B48A" w:rsidR="00C77B39" w:rsidRPr="00761DE7" w:rsidRDefault="00C77B39" w:rsidP="0036080A">
      <w:pPr>
        <w:pStyle w:val="Bullet1"/>
        <w:numPr>
          <w:ilvl w:val="0"/>
          <w:numId w:val="40"/>
        </w:numPr>
      </w:pPr>
      <w:r w:rsidRPr="00761DE7">
        <w:lastRenderedPageBreak/>
        <w:t>Filter-feeding epifauna (e.g. sponges</w:t>
      </w:r>
      <w:r w:rsidR="00FF5F7F">
        <w:t xml:space="preserve">, macroalgae and </w:t>
      </w:r>
      <w:r w:rsidR="00215C0B">
        <w:t>rocky hard substrate species</w:t>
      </w:r>
      <w:r w:rsidR="00FF5F7F">
        <w:t xml:space="preserve"> such as bryozoans (water depths </w:t>
      </w:r>
      <w:r w:rsidR="00ED36E8">
        <w:t xml:space="preserve">&gt; </w:t>
      </w:r>
      <w:r w:rsidR="00FF5F7F">
        <w:t>60 m)</w:t>
      </w:r>
      <w:r w:rsidRPr="00761DE7">
        <w:t>);</w:t>
      </w:r>
    </w:p>
    <w:p w14:paraId="6D85377A" w14:textId="77317816" w:rsidR="0055263E" w:rsidRPr="003A7F21" w:rsidRDefault="0055263E" w:rsidP="0036080A">
      <w:pPr>
        <w:pStyle w:val="Bullet1"/>
        <w:numPr>
          <w:ilvl w:val="0"/>
          <w:numId w:val="40"/>
        </w:numPr>
      </w:pPr>
      <w:r w:rsidRPr="003A7F21">
        <w:t xml:space="preserve">Pelagic </w:t>
      </w:r>
      <w:r w:rsidR="00FF5F7F">
        <w:t xml:space="preserve">and demersal </w:t>
      </w:r>
      <w:r w:rsidRPr="003A7F21">
        <w:t>species (plankton, fin fish)</w:t>
      </w:r>
      <w:r w:rsidR="00024A95" w:rsidRPr="003A7F21">
        <w:t>.</w:t>
      </w:r>
    </w:p>
    <w:p w14:paraId="756378E5" w14:textId="77777777" w:rsidR="00E93D10" w:rsidRDefault="00E93D10" w:rsidP="00914C00">
      <w:pPr>
        <w:pStyle w:val="Heading3"/>
      </w:pPr>
      <w:r>
        <w:t>Evaluation of Environmental Impacts</w:t>
      </w:r>
    </w:p>
    <w:p w14:paraId="73085D28" w14:textId="22EACCD5" w:rsidR="00017993" w:rsidRPr="003A7F21" w:rsidRDefault="00017993" w:rsidP="00914DD4">
      <w:pPr>
        <w:pStyle w:val="BodyText"/>
        <w:ind w:left="720"/>
        <w:rPr>
          <w:i/>
          <w:szCs w:val="20"/>
          <w:lang w:eastAsia="en-US"/>
        </w:rPr>
      </w:pPr>
      <w:r w:rsidRPr="003A7F21">
        <w:rPr>
          <w:i/>
          <w:szCs w:val="20"/>
          <w:lang w:eastAsia="en-US"/>
        </w:rPr>
        <w:t>Temporary and localised reduction in water quality</w:t>
      </w:r>
    </w:p>
    <w:p w14:paraId="511A7640" w14:textId="1416737B" w:rsidR="00BE0DE6" w:rsidRPr="003A7F21" w:rsidRDefault="00BE0DE6" w:rsidP="00914DD4">
      <w:pPr>
        <w:pStyle w:val="BodyText"/>
        <w:ind w:left="720"/>
        <w:rPr>
          <w:szCs w:val="20"/>
          <w:lang w:eastAsia="en-US"/>
        </w:rPr>
      </w:pPr>
      <w:r w:rsidRPr="003A7F21">
        <w:rPr>
          <w:szCs w:val="20"/>
          <w:lang w:eastAsia="en-US"/>
        </w:rPr>
        <w:t xml:space="preserve">Sand or water blasting will cause </w:t>
      </w:r>
      <w:r w:rsidR="004D53E2" w:rsidRPr="003A7F21">
        <w:rPr>
          <w:szCs w:val="20"/>
          <w:lang w:eastAsia="en-US"/>
        </w:rPr>
        <w:t xml:space="preserve">localised and temporary </w:t>
      </w:r>
      <w:r w:rsidRPr="003A7F21">
        <w:rPr>
          <w:szCs w:val="20"/>
          <w:lang w:eastAsia="en-US"/>
        </w:rPr>
        <w:t xml:space="preserve">turbidity </w:t>
      </w:r>
      <w:r w:rsidR="004D53E2" w:rsidRPr="003A7F21">
        <w:rPr>
          <w:szCs w:val="20"/>
          <w:lang w:eastAsia="en-US"/>
        </w:rPr>
        <w:t xml:space="preserve">due to </w:t>
      </w:r>
      <w:r w:rsidRPr="003A7F21">
        <w:rPr>
          <w:szCs w:val="20"/>
          <w:lang w:eastAsia="en-US"/>
        </w:rPr>
        <w:t>disturbance to surrounding sediments and the dislodgment of marine growth</w:t>
      </w:r>
      <w:r w:rsidR="004D53E2" w:rsidRPr="003A7F21">
        <w:rPr>
          <w:szCs w:val="20"/>
          <w:lang w:eastAsia="en-US"/>
        </w:rPr>
        <w:t xml:space="preserve">. </w:t>
      </w:r>
      <w:r w:rsidR="006369C5">
        <w:rPr>
          <w:szCs w:val="20"/>
          <w:lang w:eastAsia="en-US"/>
        </w:rPr>
        <w:t xml:space="preserve">This is unlikely to affect benthic productivity around the CHN assets due to the short </w:t>
      </w:r>
      <w:r w:rsidR="00761DE7">
        <w:rPr>
          <w:szCs w:val="20"/>
          <w:lang w:eastAsia="en-US"/>
        </w:rPr>
        <w:t xml:space="preserve">lengths and </w:t>
      </w:r>
      <w:r w:rsidR="006369C5">
        <w:rPr>
          <w:szCs w:val="20"/>
          <w:lang w:eastAsia="en-US"/>
        </w:rPr>
        <w:t>period</w:t>
      </w:r>
      <w:r w:rsidR="00761DE7">
        <w:rPr>
          <w:szCs w:val="20"/>
          <w:lang w:eastAsia="en-US"/>
        </w:rPr>
        <w:t>s</w:t>
      </w:r>
      <w:r w:rsidR="006369C5">
        <w:rPr>
          <w:szCs w:val="20"/>
          <w:lang w:eastAsia="en-US"/>
        </w:rPr>
        <w:t xml:space="preserve"> over which marine growth removal will be conducted at any location</w:t>
      </w:r>
      <w:r w:rsidR="00761DE7">
        <w:rPr>
          <w:szCs w:val="20"/>
          <w:lang w:eastAsia="en-US"/>
        </w:rPr>
        <w:t xml:space="preserve">. Given </w:t>
      </w:r>
      <w:r w:rsidR="00141954">
        <w:rPr>
          <w:szCs w:val="20"/>
          <w:lang w:eastAsia="en-US"/>
        </w:rPr>
        <w:t>much of</w:t>
      </w:r>
      <w:r w:rsidR="00761DE7">
        <w:rPr>
          <w:szCs w:val="20"/>
          <w:lang w:eastAsia="en-US"/>
        </w:rPr>
        <w:t xml:space="preserve"> the pipeline alignment </w:t>
      </w:r>
      <w:r w:rsidR="00141954">
        <w:rPr>
          <w:szCs w:val="20"/>
          <w:lang w:eastAsia="en-US"/>
        </w:rPr>
        <w:t>is in</w:t>
      </w:r>
      <w:r w:rsidR="00761DE7">
        <w:rPr>
          <w:szCs w:val="20"/>
          <w:lang w:eastAsia="en-US"/>
        </w:rPr>
        <w:t xml:space="preserve"> sandy seabed environments with sparse epifauna</w:t>
      </w:r>
      <w:r w:rsidR="00FF5F7F">
        <w:rPr>
          <w:szCs w:val="20"/>
          <w:lang w:eastAsia="en-US"/>
        </w:rPr>
        <w:t>,</w:t>
      </w:r>
      <w:r w:rsidR="00761DE7">
        <w:rPr>
          <w:szCs w:val="20"/>
          <w:lang w:eastAsia="en-US"/>
        </w:rPr>
        <w:t xml:space="preserve"> disturbance to benthic habitats are expected to be temporary and localised to the </w:t>
      </w:r>
      <w:r w:rsidR="006369C5">
        <w:rPr>
          <w:szCs w:val="20"/>
          <w:lang w:eastAsia="en-US"/>
        </w:rPr>
        <w:t xml:space="preserve">immediate vicinity of the infrastructure. Additionally, </w:t>
      </w:r>
      <w:r w:rsidRPr="003A7F21">
        <w:rPr>
          <w:szCs w:val="20"/>
          <w:lang w:eastAsia="en-US"/>
        </w:rPr>
        <w:t xml:space="preserve">water </w:t>
      </w:r>
      <w:r w:rsidR="004502B3" w:rsidRPr="003A7F21">
        <w:rPr>
          <w:szCs w:val="20"/>
          <w:lang w:eastAsia="en-US"/>
        </w:rPr>
        <w:t xml:space="preserve">column </w:t>
      </w:r>
      <w:r w:rsidRPr="003A7F21">
        <w:rPr>
          <w:szCs w:val="20"/>
          <w:lang w:eastAsia="en-US"/>
        </w:rPr>
        <w:t xml:space="preserve">quality will return to pre-activity levels rapidly due to strong ocean bottom currents and the natural effects of dilution. </w:t>
      </w:r>
      <w:r w:rsidR="006369C5">
        <w:rPr>
          <w:szCs w:val="20"/>
          <w:lang w:eastAsia="en-US"/>
        </w:rPr>
        <w:t>The consequences of this impact are considered negligible.</w:t>
      </w:r>
    </w:p>
    <w:p w14:paraId="13A61BEB" w14:textId="6689B80C" w:rsidR="004D53E2" w:rsidRPr="003A7F21" w:rsidRDefault="004D53E2" w:rsidP="00914DD4">
      <w:pPr>
        <w:pStyle w:val="BodyText"/>
        <w:ind w:left="720"/>
        <w:rPr>
          <w:i/>
          <w:szCs w:val="20"/>
          <w:lang w:eastAsia="en-US"/>
        </w:rPr>
      </w:pPr>
      <w:r w:rsidRPr="003A7F21">
        <w:rPr>
          <w:i/>
          <w:szCs w:val="20"/>
          <w:lang w:eastAsia="en-US"/>
        </w:rPr>
        <w:t>Dislodgment of marine growth</w:t>
      </w:r>
    </w:p>
    <w:p w14:paraId="7451B8D5" w14:textId="5294676F" w:rsidR="004D53E2" w:rsidRPr="003A7F21" w:rsidRDefault="004D53E2" w:rsidP="00914DD4">
      <w:pPr>
        <w:pStyle w:val="BodyText"/>
        <w:ind w:left="720"/>
        <w:rPr>
          <w:szCs w:val="20"/>
          <w:lang w:eastAsia="en-US"/>
        </w:rPr>
      </w:pPr>
      <w:r w:rsidRPr="003A7F21">
        <w:rPr>
          <w:szCs w:val="20"/>
          <w:lang w:eastAsia="en-US"/>
        </w:rPr>
        <w:t>The dislodgement and/or death of biota caused by blasting will have, at worst, a short-term impact on biodiversity and productivity around the assets. The biota that originally colonised the infrastructure is representative of fauna from nearby stable substrates (e.g., rocky reef) and it is likely these habitats will again form the ‘sink’ for species recolonising infrastructure that has had marine growth removed.</w:t>
      </w:r>
      <w:r w:rsidR="006369C5">
        <w:rPr>
          <w:szCs w:val="20"/>
          <w:lang w:eastAsia="en-US"/>
        </w:rPr>
        <w:t xml:space="preserve"> The consequences of this impact are considered negligible.</w:t>
      </w:r>
    </w:p>
    <w:p w14:paraId="24C0C040" w14:textId="119C2BEC" w:rsidR="00017993" w:rsidRPr="003A7F21" w:rsidRDefault="00017993" w:rsidP="00914DD4">
      <w:pPr>
        <w:pStyle w:val="BodyText"/>
        <w:ind w:left="720"/>
        <w:rPr>
          <w:i/>
          <w:szCs w:val="20"/>
          <w:lang w:eastAsia="en-US"/>
        </w:rPr>
      </w:pPr>
      <w:r w:rsidRPr="003A7F21">
        <w:rPr>
          <w:i/>
          <w:szCs w:val="20"/>
          <w:lang w:eastAsia="en-US"/>
        </w:rPr>
        <w:t>Additional sand settlement on seabed</w:t>
      </w:r>
    </w:p>
    <w:p w14:paraId="10AC0B69" w14:textId="587005FD" w:rsidR="006369C5" w:rsidRDefault="006369C5" w:rsidP="00914DD4">
      <w:pPr>
        <w:pStyle w:val="BodyText"/>
        <w:ind w:left="720"/>
        <w:rPr>
          <w:szCs w:val="20"/>
          <w:lang w:eastAsia="en-US"/>
        </w:rPr>
      </w:pPr>
      <w:r>
        <w:rPr>
          <w:szCs w:val="20"/>
          <w:lang w:eastAsia="en-US"/>
        </w:rPr>
        <w:t>Water blasting will be given preference to grit blasting of sub-sea infrastructure.</w:t>
      </w:r>
    </w:p>
    <w:p w14:paraId="2BA782E1" w14:textId="09436D23" w:rsidR="00761DE7" w:rsidRDefault="00BE0DE6" w:rsidP="00914DD4">
      <w:pPr>
        <w:pStyle w:val="BodyText"/>
        <w:ind w:left="720"/>
        <w:rPr>
          <w:szCs w:val="20"/>
          <w:lang w:eastAsia="en-US"/>
        </w:rPr>
      </w:pPr>
      <w:r w:rsidRPr="003A7F21">
        <w:rPr>
          <w:szCs w:val="20"/>
          <w:lang w:eastAsia="en-US"/>
        </w:rPr>
        <w:t>The use of sand (beach sand, and not for example garnet) will not have long-term impacts given that the seabed around the asset is predominantly sand. No chemicals will be added to the sand. Discharged sand will settle on the seabed and become congruous with its surrounds. Any small flakes or particles of paint that may be dislodged from the infrastructure due to blasting</w:t>
      </w:r>
      <w:r w:rsidR="005E4A17">
        <w:rPr>
          <w:szCs w:val="20"/>
          <w:lang w:eastAsia="en-US"/>
        </w:rPr>
        <w:t xml:space="preserve"> which </w:t>
      </w:r>
      <w:r w:rsidRPr="003A7F21">
        <w:rPr>
          <w:szCs w:val="20"/>
          <w:lang w:eastAsia="en-US"/>
        </w:rPr>
        <w:t xml:space="preserve">settle on the seabed </w:t>
      </w:r>
      <w:r w:rsidR="005E4A17">
        <w:rPr>
          <w:szCs w:val="20"/>
          <w:lang w:eastAsia="en-US"/>
        </w:rPr>
        <w:t xml:space="preserve">are not expected </w:t>
      </w:r>
      <w:r w:rsidRPr="003A7F21">
        <w:rPr>
          <w:szCs w:val="20"/>
          <w:lang w:eastAsia="en-US"/>
        </w:rPr>
        <w:t xml:space="preserve">to form a physical impediment to biota settling on or in the seabed sediments. </w:t>
      </w:r>
      <w:r w:rsidR="006F0E31">
        <w:rPr>
          <w:szCs w:val="20"/>
          <w:lang w:eastAsia="en-US"/>
        </w:rPr>
        <w:t xml:space="preserve">For sand substrates </w:t>
      </w:r>
      <w:r w:rsidR="00215C0B">
        <w:rPr>
          <w:szCs w:val="20"/>
          <w:lang w:eastAsia="en-US"/>
        </w:rPr>
        <w:t>and rocky hard substrate habitats with sparse epifauna given the dynamic nature of the seabed environment</w:t>
      </w:r>
      <w:r w:rsidR="00F27433">
        <w:rPr>
          <w:szCs w:val="20"/>
          <w:lang w:eastAsia="en-US"/>
        </w:rPr>
        <w:t xml:space="preserve"> (rapid sand removal)</w:t>
      </w:r>
      <w:r w:rsidR="00215C0B">
        <w:rPr>
          <w:szCs w:val="20"/>
          <w:lang w:eastAsia="en-US"/>
        </w:rPr>
        <w:t xml:space="preserve"> and limited area </w:t>
      </w:r>
      <w:r w:rsidR="008456DA">
        <w:rPr>
          <w:szCs w:val="20"/>
          <w:lang w:eastAsia="en-US"/>
        </w:rPr>
        <w:t>affected</w:t>
      </w:r>
      <w:r w:rsidR="00215C0B">
        <w:rPr>
          <w:szCs w:val="20"/>
          <w:lang w:eastAsia="en-US"/>
        </w:rPr>
        <w:t xml:space="preserve">, </w:t>
      </w:r>
      <w:r w:rsidR="006F0E31">
        <w:rPr>
          <w:szCs w:val="20"/>
          <w:lang w:eastAsia="en-US"/>
        </w:rPr>
        <w:t>the impact is considered negligible.</w:t>
      </w:r>
    </w:p>
    <w:p w14:paraId="309EBD64" w14:textId="3CD7FFD2" w:rsidR="00401534" w:rsidRDefault="005E4A17" w:rsidP="00914DD4">
      <w:pPr>
        <w:pStyle w:val="BodyText"/>
        <w:ind w:left="720"/>
        <w:rPr>
          <w:szCs w:val="20"/>
          <w:lang w:eastAsia="en-US"/>
        </w:rPr>
      </w:pPr>
      <w:r>
        <w:rPr>
          <w:szCs w:val="20"/>
          <w:lang w:eastAsia="en-US"/>
        </w:rPr>
        <w:t xml:space="preserve">Sand </w:t>
      </w:r>
      <w:r w:rsidR="00761DE7">
        <w:rPr>
          <w:szCs w:val="20"/>
          <w:lang w:eastAsia="en-US"/>
        </w:rPr>
        <w:t xml:space="preserve">blasting </w:t>
      </w:r>
      <w:r>
        <w:rPr>
          <w:szCs w:val="20"/>
          <w:lang w:eastAsia="en-US"/>
        </w:rPr>
        <w:t xml:space="preserve">at </w:t>
      </w:r>
      <w:r w:rsidR="00F27433">
        <w:rPr>
          <w:szCs w:val="20"/>
          <w:lang w:eastAsia="en-US"/>
        </w:rPr>
        <w:t xml:space="preserve">more </w:t>
      </w:r>
      <w:r>
        <w:rPr>
          <w:szCs w:val="20"/>
          <w:lang w:eastAsia="en-US"/>
        </w:rPr>
        <w:t>sensitive habitats may have greater impacts.</w:t>
      </w:r>
      <w:r w:rsidR="00761DE7">
        <w:rPr>
          <w:szCs w:val="20"/>
          <w:lang w:eastAsia="en-US"/>
        </w:rPr>
        <w:t xml:space="preserve"> </w:t>
      </w:r>
      <w:r w:rsidR="00401534">
        <w:rPr>
          <w:szCs w:val="20"/>
          <w:lang w:eastAsia="en-US"/>
        </w:rPr>
        <w:t>Sponges are an important component of benthic ecosystems worldwide and as sessile suspension feeders, may be impacted by changes in sediment levels. Bell et al (2015) in a review of the current literature on sediment impacts to sponges identified</w:t>
      </w:r>
      <w:r>
        <w:rPr>
          <w:szCs w:val="20"/>
          <w:lang w:eastAsia="en-US"/>
        </w:rPr>
        <w:t xml:space="preserve"> that sediment may have the following impacts</w:t>
      </w:r>
      <w:r w:rsidR="00401534">
        <w:rPr>
          <w:szCs w:val="20"/>
          <w:lang w:eastAsia="en-US"/>
        </w:rPr>
        <w:t>:</w:t>
      </w:r>
    </w:p>
    <w:p w14:paraId="4CF691FE" w14:textId="3E9FD407" w:rsidR="00401534" w:rsidRDefault="00401534" w:rsidP="0036080A">
      <w:pPr>
        <w:pStyle w:val="BodyText"/>
        <w:numPr>
          <w:ilvl w:val="0"/>
          <w:numId w:val="20"/>
        </w:numPr>
        <w:ind w:left="1276"/>
        <w:rPr>
          <w:szCs w:val="20"/>
          <w:lang w:eastAsia="en-US"/>
        </w:rPr>
      </w:pPr>
      <w:r>
        <w:rPr>
          <w:szCs w:val="20"/>
          <w:lang w:eastAsia="en-US"/>
        </w:rPr>
        <w:t>Direct ingestion of fine particles can block or clog filtering apparatus and impact on physiological processes (i.e. reduce feeding);</w:t>
      </w:r>
    </w:p>
    <w:p w14:paraId="2F72B669" w14:textId="7693B0F0" w:rsidR="00401534" w:rsidRDefault="00401534" w:rsidP="0036080A">
      <w:pPr>
        <w:pStyle w:val="BodyText"/>
        <w:numPr>
          <w:ilvl w:val="0"/>
          <w:numId w:val="20"/>
        </w:numPr>
        <w:ind w:left="1276"/>
        <w:rPr>
          <w:szCs w:val="20"/>
          <w:lang w:eastAsia="en-US"/>
        </w:rPr>
      </w:pPr>
      <w:r>
        <w:rPr>
          <w:szCs w:val="20"/>
          <w:lang w:eastAsia="en-US"/>
        </w:rPr>
        <w:t>Larger sediment particles can scour externa</w:t>
      </w:r>
      <w:r w:rsidR="005E4A17">
        <w:rPr>
          <w:szCs w:val="20"/>
          <w:lang w:eastAsia="en-US"/>
        </w:rPr>
        <w:t>l</w:t>
      </w:r>
      <w:r>
        <w:rPr>
          <w:szCs w:val="20"/>
          <w:lang w:eastAsia="en-US"/>
        </w:rPr>
        <w:t xml:space="preserve"> surfaces;</w:t>
      </w:r>
    </w:p>
    <w:p w14:paraId="64458588" w14:textId="1AF7E3A5" w:rsidR="00401534" w:rsidRDefault="00401534" w:rsidP="0036080A">
      <w:pPr>
        <w:pStyle w:val="BodyText"/>
        <w:numPr>
          <w:ilvl w:val="0"/>
          <w:numId w:val="20"/>
        </w:numPr>
        <w:ind w:left="1276"/>
        <w:rPr>
          <w:szCs w:val="20"/>
          <w:lang w:eastAsia="en-US"/>
        </w:rPr>
      </w:pPr>
      <w:r>
        <w:rPr>
          <w:szCs w:val="20"/>
          <w:lang w:eastAsia="en-US"/>
        </w:rPr>
        <w:t>Increasing sedimentation creates turbidity and reduces light penetration which will affect phototrophic species; and</w:t>
      </w:r>
    </w:p>
    <w:p w14:paraId="7505DE79" w14:textId="0C7A67F3" w:rsidR="00401534" w:rsidRDefault="00401534" w:rsidP="0036080A">
      <w:pPr>
        <w:pStyle w:val="BodyText"/>
        <w:numPr>
          <w:ilvl w:val="0"/>
          <w:numId w:val="20"/>
        </w:numPr>
        <w:ind w:left="1276"/>
        <w:rPr>
          <w:szCs w:val="20"/>
          <w:lang w:eastAsia="en-US"/>
        </w:rPr>
      </w:pPr>
      <w:r>
        <w:rPr>
          <w:szCs w:val="20"/>
          <w:lang w:eastAsia="en-US"/>
        </w:rPr>
        <w:t xml:space="preserve">Larvae </w:t>
      </w:r>
      <w:r w:rsidR="005E4A17">
        <w:rPr>
          <w:szCs w:val="20"/>
          <w:lang w:eastAsia="en-US"/>
        </w:rPr>
        <w:t xml:space="preserve">may be </w:t>
      </w:r>
      <w:r>
        <w:rPr>
          <w:szCs w:val="20"/>
          <w:lang w:eastAsia="en-US"/>
        </w:rPr>
        <w:t xml:space="preserve">prevented </w:t>
      </w:r>
      <w:r w:rsidR="005E4A17">
        <w:rPr>
          <w:szCs w:val="20"/>
          <w:lang w:eastAsia="en-US"/>
        </w:rPr>
        <w:t>from</w:t>
      </w:r>
      <w:r>
        <w:rPr>
          <w:szCs w:val="20"/>
          <w:lang w:eastAsia="en-US"/>
        </w:rPr>
        <w:t xml:space="preserve"> settl</w:t>
      </w:r>
      <w:r w:rsidR="005E4A17">
        <w:rPr>
          <w:szCs w:val="20"/>
          <w:lang w:eastAsia="en-US"/>
        </w:rPr>
        <w:t>ing</w:t>
      </w:r>
      <w:r>
        <w:rPr>
          <w:szCs w:val="20"/>
          <w:lang w:eastAsia="en-US"/>
        </w:rPr>
        <w:t xml:space="preserve"> if suitable </w:t>
      </w:r>
      <w:r w:rsidR="005E4A17">
        <w:rPr>
          <w:szCs w:val="20"/>
          <w:lang w:eastAsia="en-US"/>
        </w:rPr>
        <w:t xml:space="preserve">collection </w:t>
      </w:r>
      <w:r>
        <w:rPr>
          <w:szCs w:val="20"/>
          <w:lang w:eastAsia="en-US"/>
        </w:rPr>
        <w:t xml:space="preserve">substrates are covered by sediment.  </w:t>
      </w:r>
    </w:p>
    <w:p w14:paraId="33CDF390" w14:textId="205B59C7" w:rsidR="008B38E1" w:rsidRDefault="00401534" w:rsidP="00914DD4">
      <w:pPr>
        <w:pStyle w:val="BodyText"/>
        <w:ind w:left="720"/>
        <w:rPr>
          <w:szCs w:val="20"/>
          <w:lang w:eastAsia="en-US"/>
        </w:rPr>
      </w:pPr>
      <w:r w:rsidRPr="00BC7233">
        <w:rPr>
          <w:szCs w:val="20"/>
          <w:lang w:eastAsia="en-US"/>
        </w:rPr>
        <w:t>Bell et al, (2015) also</w:t>
      </w:r>
      <w:r>
        <w:rPr>
          <w:szCs w:val="20"/>
          <w:lang w:eastAsia="en-US"/>
        </w:rPr>
        <w:t xml:space="preserve"> identify that sponges can adapt to tolerate high levels of sedimentation and many species are commonly found in environments experiencing high level</w:t>
      </w:r>
      <w:r w:rsidR="008B38E1">
        <w:rPr>
          <w:szCs w:val="20"/>
          <w:lang w:eastAsia="en-US"/>
        </w:rPr>
        <w:t>s</w:t>
      </w:r>
      <w:r>
        <w:rPr>
          <w:szCs w:val="20"/>
          <w:lang w:eastAsia="en-US"/>
        </w:rPr>
        <w:t xml:space="preserve"> of suspended and settled sediment. </w:t>
      </w:r>
      <w:r w:rsidR="008B38E1">
        <w:rPr>
          <w:szCs w:val="20"/>
          <w:lang w:eastAsia="en-US"/>
        </w:rPr>
        <w:t xml:space="preserve">Sedimentation is identified as a threat to the Bass Strait sponge beds </w:t>
      </w:r>
      <w:r w:rsidR="008B38E1" w:rsidRPr="00BC7233">
        <w:rPr>
          <w:szCs w:val="20"/>
          <w:lang w:eastAsia="en-US"/>
        </w:rPr>
        <w:t>located approximately 70 km to the</w:t>
      </w:r>
      <w:r w:rsidR="008B38E1">
        <w:rPr>
          <w:szCs w:val="20"/>
          <w:lang w:eastAsia="en-US"/>
        </w:rPr>
        <w:t xml:space="preserve"> east of the CHN </w:t>
      </w:r>
      <w:r w:rsidR="008B38E1" w:rsidRPr="00BC7233">
        <w:rPr>
          <w:szCs w:val="20"/>
          <w:lang w:eastAsia="en-US"/>
        </w:rPr>
        <w:t>Development (Butler et al, 2002).</w:t>
      </w:r>
    </w:p>
    <w:p w14:paraId="2B397F9C" w14:textId="45FFD2F2" w:rsidR="005E4A17" w:rsidRDefault="008B38E1" w:rsidP="00914DD4">
      <w:pPr>
        <w:pStyle w:val="BodyText"/>
        <w:ind w:left="720"/>
        <w:rPr>
          <w:szCs w:val="20"/>
          <w:lang w:eastAsia="en-US"/>
        </w:rPr>
      </w:pPr>
      <w:r>
        <w:rPr>
          <w:szCs w:val="20"/>
          <w:lang w:eastAsia="en-US"/>
        </w:rPr>
        <w:t xml:space="preserve">It is </w:t>
      </w:r>
      <w:r w:rsidR="005E4A17">
        <w:rPr>
          <w:szCs w:val="20"/>
          <w:lang w:eastAsia="en-US"/>
        </w:rPr>
        <w:t xml:space="preserve">also </w:t>
      </w:r>
      <w:r>
        <w:rPr>
          <w:szCs w:val="20"/>
          <w:lang w:eastAsia="en-US"/>
        </w:rPr>
        <w:t>noted that sponge species present along the CHN pipeline alignment have adapted to a high energy, high sediment resuspension environment.</w:t>
      </w:r>
      <w:r w:rsidR="007C7284">
        <w:rPr>
          <w:szCs w:val="20"/>
          <w:lang w:eastAsia="en-US"/>
        </w:rPr>
        <w:t xml:space="preserve"> This has been observed in drilling </w:t>
      </w:r>
      <w:r w:rsidR="007C7284">
        <w:rPr>
          <w:szCs w:val="20"/>
          <w:lang w:eastAsia="en-US"/>
        </w:rPr>
        <w:lastRenderedPageBreak/>
        <w:t>activities in</w:t>
      </w:r>
      <w:r w:rsidR="005E4A17">
        <w:rPr>
          <w:szCs w:val="20"/>
          <w:lang w:eastAsia="en-US"/>
        </w:rPr>
        <w:t xml:space="preserve"> </w:t>
      </w:r>
      <w:r w:rsidR="007C7284">
        <w:rPr>
          <w:szCs w:val="20"/>
          <w:lang w:eastAsia="en-US"/>
        </w:rPr>
        <w:t>the Otway marine environment where rapid sediment resuspension and transport has been observed (Currie &amp; Issacs, 2005).</w:t>
      </w:r>
    </w:p>
    <w:p w14:paraId="43C3C43B" w14:textId="3E95B898" w:rsidR="006F0E31" w:rsidRDefault="005E4A17" w:rsidP="00914DD4">
      <w:pPr>
        <w:pStyle w:val="BodyText"/>
        <w:ind w:left="720"/>
        <w:rPr>
          <w:szCs w:val="20"/>
          <w:lang w:eastAsia="en-US"/>
        </w:rPr>
      </w:pPr>
      <w:r>
        <w:rPr>
          <w:szCs w:val="20"/>
          <w:lang w:eastAsia="en-US"/>
        </w:rPr>
        <w:t xml:space="preserve">A pre-campaign risk assessment </w:t>
      </w:r>
      <w:r w:rsidR="007C7284">
        <w:rPr>
          <w:szCs w:val="20"/>
          <w:lang w:eastAsia="en-US"/>
        </w:rPr>
        <w:t>will assess potential environmental impacts and risks from IMR activities and identify environmental controls which are ALARP and acceptable. A possible control adopted for these areas is to utilise techniques such as water jetting, brushing or scraping in these more sensitive areas to reduce impacts. With such techniques adopted predicted impacts to sponges is expected to be localised and recoverable (negligible consequence).</w:t>
      </w:r>
    </w:p>
    <w:p w14:paraId="1B2B2969" w14:textId="77777777" w:rsidR="00994DB5" w:rsidRPr="00D7532C" w:rsidRDefault="00994DB5" w:rsidP="00994DB5">
      <w:pPr>
        <w:pStyle w:val="BodyText"/>
        <w:ind w:left="709"/>
        <w:rPr>
          <w:szCs w:val="20"/>
          <w:u w:val="single"/>
          <w:lang w:eastAsia="en-US"/>
        </w:rPr>
      </w:pPr>
      <w:r w:rsidRPr="00D7532C">
        <w:rPr>
          <w:szCs w:val="20"/>
          <w:u w:val="single"/>
          <w:lang w:eastAsia="en-US"/>
        </w:rPr>
        <w:t>Impacts to Matters of NES:</w:t>
      </w:r>
    </w:p>
    <w:p w14:paraId="61E06FAB" w14:textId="77777777" w:rsidR="00994DB5" w:rsidRPr="00D7532C" w:rsidRDefault="00994DB5" w:rsidP="00994DB5">
      <w:pPr>
        <w:pStyle w:val="BodyText"/>
        <w:ind w:left="709"/>
        <w:rPr>
          <w:szCs w:val="20"/>
          <w:lang w:eastAsia="en-US"/>
        </w:rPr>
      </w:pPr>
      <w:r w:rsidRPr="00D7532C">
        <w:rPr>
          <w:szCs w:val="20"/>
          <w:lang w:eastAsia="en-US"/>
        </w:rPr>
        <w:t>Seabed disturbance will not have a ‘significant’ impact to any o</w:t>
      </w:r>
      <w:r>
        <w:rPr>
          <w:szCs w:val="20"/>
          <w:lang w:eastAsia="en-US"/>
        </w:rPr>
        <w:t xml:space="preserve">f the matters of NES applicable </w:t>
      </w:r>
      <w:r w:rsidRPr="00D7532C">
        <w:rPr>
          <w:szCs w:val="20"/>
          <w:lang w:eastAsia="en-US"/>
        </w:rPr>
        <w:t>to this project.</w:t>
      </w:r>
    </w:p>
    <w:p w14:paraId="7A28DABE" w14:textId="77777777" w:rsidR="00994DB5" w:rsidRPr="00D7532C" w:rsidRDefault="00994DB5" w:rsidP="00994DB5">
      <w:pPr>
        <w:pStyle w:val="BodyText"/>
        <w:ind w:left="720"/>
        <w:rPr>
          <w:szCs w:val="20"/>
          <w:u w:val="single"/>
          <w:lang w:eastAsia="en-US"/>
        </w:rPr>
      </w:pPr>
      <w:r w:rsidRPr="00D7532C">
        <w:rPr>
          <w:szCs w:val="20"/>
          <w:u w:val="single"/>
          <w:lang w:eastAsia="en-US"/>
        </w:rPr>
        <w:t>Impacts to other areas of Conservation Significance:</w:t>
      </w:r>
    </w:p>
    <w:p w14:paraId="0C5CB33F" w14:textId="77777777" w:rsidR="00994DB5" w:rsidRDefault="00994DB5" w:rsidP="00994DB5">
      <w:pPr>
        <w:pStyle w:val="BodyText"/>
        <w:ind w:left="720"/>
        <w:rPr>
          <w:szCs w:val="20"/>
          <w:lang w:eastAsia="en-US"/>
        </w:rPr>
      </w:pPr>
      <w:r w:rsidRPr="00D7532C">
        <w:rPr>
          <w:szCs w:val="20"/>
          <w:lang w:eastAsia="en-US"/>
        </w:rPr>
        <w:t>There are no other areas of conservation significance with</w:t>
      </w:r>
      <w:r>
        <w:rPr>
          <w:szCs w:val="20"/>
          <w:lang w:eastAsia="en-US"/>
        </w:rPr>
        <w:t xml:space="preserve">in the environment affected for </w:t>
      </w:r>
      <w:r w:rsidRPr="00D7532C">
        <w:rPr>
          <w:szCs w:val="20"/>
          <w:lang w:eastAsia="en-US"/>
        </w:rPr>
        <w:t>seabed disturbance. The Shelf Rocky Reef and Hard Substrate KEF may lie within the localised</w:t>
      </w:r>
      <w:r>
        <w:rPr>
          <w:szCs w:val="20"/>
          <w:lang w:eastAsia="en-US"/>
        </w:rPr>
        <w:t xml:space="preserve"> </w:t>
      </w:r>
      <w:r w:rsidRPr="00D7532C">
        <w:rPr>
          <w:szCs w:val="20"/>
          <w:lang w:eastAsia="en-US"/>
        </w:rPr>
        <w:t>environment affected.</w:t>
      </w:r>
    </w:p>
    <w:p w14:paraId="2206D068" w14:textId="77777777" w:rsidR="00E93D10" w:rsidRDefault="00E93D10" w:rsidP="00914C00">
      <w:pPr>
        <w:pStyle w:val="Heading3"/>
      </w:pPr>
      <w:r>
        <w:t>Impact Assessment</w:t>
      </w:r>
    </w:p>
    <w:p w14:paraId="5A5977A1" w14:textId="3AE0754C" w:rsidR="000F754A" w:rsidRPr="003A7F21" w:rsidRDefault="003A7F21" w:rsidP="00914DD4">
      <w:pPr>
        <w:pStyle w:val="BodyText"/>
        <w:ind w:left="720"/>
        <w:rPr>
          <w:szCs w:val="20"/>
          <w:lang w:eastAsia="en-US"/>
        </w:rPr>
      </w:pPr>
      <w:r>
        <w:rPr>
          <w:color w:val="FF0000"/>
          <w:szCs w:val="20"/>
          <w:lang w:eastAsia="en-US"/>
        </w:rPr>
        <w:fldChar w:fldCharType="begin"/>
      </w:r>
      <w:r>
        <w:rPr>
          <w:szCs w:val="20"/>
          <w:lang w:eastAsia="en-US"/>
        </w:rPr>
        <w:instrText xml:space="preserve"> REF _Ref473379073 \h </w:instrText>
      </w:r>
      <w:r>
        <w:rPr>
          <w:color w:val="FF0000"/>
          <w:szCs w:val="20"/>
          <w:lang w:eastAsia="en-US"/>
        </w:rPr>
      </w:r>
      <w:r>
        <w:rPr>
          <w:color w:val="FF0000"/>
          <w:szCs w:val="20"/>
          <w:lang w:eastAsia="en-US"/>
        </w:rPr>
        <w:fldChar w:fldCharType="separate"/>
      </w:r>
      <w:r w:rsidR="00CC4C35" w:rsidRPr="003A7F21">
        <w:rPr>
          <w:szCs w:val="20"/>
        </w:rPr>
        <w:t xml:space="preserve">Table </w:t>
      </w:r>
      <w:r w:rsidR="00CC4C35">
        <w:rPr>
          <w:noProof/>
          <w:szCs w:val="20"/>
        </w:rPr>
        <w:t>5</w:t>
      </w:r>
      <w:r w:rsidR="00CC4C35">
        <w:rPr>
          <w:szCs w:val="20"/>
        </w:rPr>
        <w:noBreakHyphen/>
      </w:r>
      <w:r w:rsidR="00CC4C35">
        <w:rPr>
          <w:noProof/>
          <w:szCs w:val="20"/>
        </w:rPr>
        <w:t>3</w:t>
      </w:r>
      <w:r>
        <w:rPr>
          <w:color w:val="FF0000"/>
          <w:szCs w:val="20"/>
          <w:lang w:eastAsia="en-US"/>
        </w:rPr>
        <w:fldChar w:fldCharType="end"/>
      </w:r>
      <w:r>
        <w:rPr>
          <w:color w:val="FF0000"/>
          <w:szCs w:val="20"/>
          <w:lang w:eastAsia="en-US"/>
        </w:rPr>
        <w:t xml:space="preserve"> </w:t>
      </w:r>
      <w:r w:rsidR="000F754A" w:rsidRPr="003A7F21">
        <w:rPr>
          <w:szCs w:val="20"/>
          <w:lang w:eastAsia="en-US"/>
        </w:rPr>
        <w:t xml:space="preserve">presents the risk assessment for </w:t>
      </w:r>
      <w:r w:rsidR="007C0627" w:rsidRPr="003A7F21">
        <w:rPr>
          <w:szCs w:val="20"/>
          <w:lang w:eastAsia="en-US"/>
        </w:rPr>
        <w:t xml:space="preserve">the removal of marine growth during </w:t>
      </w:r>
      <w:r w:rsidR="005D644E" w:rsidRPr="003A7F21">
        <w:rPr>
          <w:szCs w:val="20"/>
          <w:lang w:eastAsia="en-US"/>
        </w:rPr>
        <w:t>maintenance activities.</w:t>
      </w:r>
    </w:p>
    <w:p w14:paraId="40DA3EF0" w14:textId="3F1C2AE3" w:rsidR="003031F3" w:rsidRPr="00ED5388" w:rsidRDefault="003A7F21" w:rsidP="00B86A7D">
      <w:pPr>
        <w:pStyle w:val="Caption"/>
        <w:outlineLvl w:val="9"/>
        <w:rPr>
          <w:sz w:val="20"/>
          <w:szCs w:val="20"/>
        </w:rPr>
      </w:pPr>
      <w:bookmarkStart w:id="186" w:name="_Ref473379073"/>
      <w:bookmarkStart w:id="187" w:name="_Toc511032594"/>
      <w:r w:rsidRPr="003A7F21">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3</w:t>
      </w:r>
      <w:r w:rsidR="00103328">
        <w:rPr>
          <w:sz w:val="20"/>
          <w:szCs w:val="20"/>
        </w:rPr>
        <w:fldChar w:fldCharType="end"/>
      </w:r>
      <w:bookmarkEnd w:id="186"/>
      <w:r w:rsidRPr="003A7F21">
        <w:rPr>
          <w:sz w:val="20"/>
          <w:szCs w:val="20"/>
        </w:rPr>
        <w:t>: EIA for the removal of marine growth</w:t>
      </w:r>
      <w:bookmarkEnd w:id="187"/>
    </w:p>
    <w:tbl>
      <w:tblPr>
        <w:tblW w:w="9072" w:type="dxa"/>
        <w:tblInd w:w="1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410"/>
        <w:gridCol w:w="6662"/>
      </w:tblGrid>
      <w:tr w:rsidR="009736D2" w:rsidRPr="003A7F21" w14:paraId="1A3E4026" w14:textId="77777777" w:rsidTr="003031F3">
        <w:trPr>
          <w:cantSplit/>
        </w:trPr>
        <w:tc>
          <w:tcPr>
            <w:tcW w:w="2410" w:type="dxa"/>
            <w:shd w:val="clear" w:color="auto" w:fill="BFBFBF" w:themeFill="background1" w:themeFillShade="BF"/>
          </w:tcPr>
          <w:p w14:paraId="47E479EF" w14:textId="612FC054" w:rsidR="009736D2" w:rsidRPr="003A7F21" w:rsidRDefault="009736D2" w:rsidP="003031F3">
            <w:pPr>
              <w:pStyle w:val="Tabletext"/>
              <w:rPr>
                <w:rFonts w:ascii="Arial" w:hAnsi="Arial" w:cs="Arial"/>
                <w:b/>
                <w:sz w:val="16"/>
                <w:szCs w:val="16"/>
              </w:rPr>
            </w:pPr>
            <w:r>
              <w:rPr>
                <w:rFonts w:ascii="Arial" w:hAnsi="Arial" w:cs="Arial"/>
                <w:b/>
                <w:sz w:val="16"/>
                <w:szCs w:val="16"/>
              </w:rPr>
              <w:t>Activity:</w:t>
            </w:r>
          </w:p>
        </w:tc>
        <w:tc>
          <w:tcPr>
            <w:tcW w:w="6662" w:type="dxa"/>
          </w:tcPr>
          <w:p w14:paraId="23269566" w14:textId="7FF23E23" w:rsidR="009736D2" w:rsidRPr="003A7F21" w:rsidRDefault="009736D2" w:rsidP="007F1D14">
            <w:pPr>
              <w:pStyle w:val="Tabletext"/>
              <w:spacing w:after="0" w:line="240" w:lineRule="auto"/>
              <w:jc w:val="left"/>
              <w:rPr>
                <w:rFonts w:ascii="Arial" w:hAnsi="Arial" w:cs="Arial"/>
                <w:sz w:val="16"/>
                <w:szCs w:val="16"/>
              </w:rPr>
            </w:pPr>
            <w:r>
              <w:rPr>
                <w:rFonts w:ascii="Arial" w:hAnsi="Arial" w:cs="Arial"/>
                <w:sz w:val="16"/>
                <w:szCs w:val="16"/>
              </w:rPr>
              <w:t>Removal of Marine Growth</w:t>
            </w:r>
          </w:p>
        </w:tc>
      </w:tr>
      <w:tr w:rsidR="003031F3" w:rsidRPr="003A7F21" w14:paraId="11A88C59" w14:textId="77777777" w:rsidTr="003031F3">
        <w:trPr>
          <w:cantSplit/>
        </w:trPr>
        <w:tc>
          <w:tcPr>
            <w:tcW w:w="2410" w:type="dxa"/>
            <w:shd w:val="clear" w:color="auto" w:fill="BFBFBF" w:themeFill="background1" w:themeFillShade="BF"/>
          </w:tcPr>
          <w:p w14:paraId="0FAD5F46" w14:textId="77777777" w:rsidR="003031F3" w:rsidRPr="003A7F21" w:rsidRDefault="003031F3" w:rsidP="003031F3">
            <w:pPr>
              <w:pStyle w:val="Tabletext"/>
              <w:rPr>
                <w:rFonts w:ascii="Arial" w:hAnsi="Arial" w:cs="Arial"/>
                <w:b/>
                <w:sz w:val="16"/>
                <w:szCs w:val="16"/>
              </w:rPr>
            </w:pPr>
            <w:r w:rsidRPr="003A7F21">
              <w:rPr>
                <w:rFonts w:ascii="Arial" w:hAnsi="Arial" w:cs="Arial"/>
                <w:b/>
                <w:sz w:val="16"/>
                <w:szCs w:val="16"/>
              </w:rPr>
              <w:t xml:space="preserve">Impact summary </w:t>
            </w:r>
          </w:p>
        </w:tc>
        <w:tc>
          <w:tcPr>
            <w:tcW w:w="6662" w:type="dxa"/>
          </w:tcPr>
          <w:p w14:paraId="092CAAFE" w14:textId="3512A25D" w:rsidR="003031F3" w:rsidRPr="003A7F21" w:rsidRDefault="003031F3" w:rsidP="007F1D14">
            <w:pPr>
              <w:pStyle w:val="Tabletext"/>
              <w:spacing w:after="0" w:line="240" w:lineRule="auto"/>
              <w:jc w:val="left"/>
              <w:rPr>
                <w:rFonts w:ascii="Arial" w:hAnsi="Arial" w:cs="Arial"/>
                <w:sz w:val="16"/>
                <w:szCs w:val="16"/>
              </w:rPr>
            </w:pPr>
            <w:r w:rsidRPr="003A7F21">
              <w:rPr>
                <w:rFonts w:ascii="Arial" w:hAnsi="Arial" w:cs="Arial"/>
                <w:sz w:val="16"/>
                <w:szCs w:val="16"/>
              </w:rPr>
              <w:t>Reduction in water quality</w:t>
            </w:r>
            <w:r w:rsidR="007F1D14" w:rsidRPr="003A7F21">
              <w:rPr>
                <w:rFonts w:ascii="Arial" w:hAnsi="Arial" w:cs="Arial"/>
                <w:sz w:val="16"/>
                <w:szCs w:val="16"/>
              </w:rPr>
              <w:t xml:space="preserve">. Loss of encrusting marine biota. </w:t>
            </w:r>
          </w:p>
        </w:tc>
      </w:tr>
      <w:tr w:rsidR="003031F3" w:rsidRPr="003A7F21" w14:paraId="36716A32" w14:textId="77777777" w:rsidTr="003031F3">
        <w:trPr>
          <w:cantSplit/>
        </w:trPr>
        <w:tc>
          <w:tcPr>
            <w:tcW w:w="2410" w:type="dxa"/>
            <w:shd w:val="clear" w:color="auto" w:fill="BFBFBF" w:themeFill="background1" w:themeFillShade="BF"/>
          </w:tcPr>
          <w:p w14:paraId="0A1CDD0B" w14:textId="77777777" w:rsidR="003031F3" w:rsidRPr="003A7F21" w:rsidRDefault="003031F3" w:rsidP="003031F3">
            <w:pPr>
              <w:pStyle w:val="Tabletext"/>
              <w:jc w:val="left"/>
              <w:rPr>
                <w:rFonts w:ascii="Arial" w:hAnsi="Arial" w:cs="Arial"/>
                <w:b/>
                <w:sz w:val="16"/>
                <w:szCs w:val="16"/>
              </w:rPr>
            </w:pPr>
            <w:r w:rsidRPr="003A7F21">
              <w:rPr>
                <w:rFonts w:ascii="Arial" w:hAnsi="Arial" w:cs="Arial"/>
                <w:b/>
                <w:sz w:val="16"/>
                <w:szCs w:val="16"/>
              </w:rPr>
              <w:t xml:space="preserve">Extent of impact </w:t>
            </w:r>
          </w:p>
        </w:tc>
        <w:tc>
          <w:tcPr>
            <w:tcW w:w="6662" w:type="dxa"/>
          </w:tcPr>
          <w:p w14:paraId="1058B701" w14:textId="34C972A6" w:rsidR="003031F3" w:rsidRPr="003A7F21" w:rsidRDefault="003031F3" w:rsidP="007F1D14">
            <w:pPr>
              <w:pStyle w:val="Tabletext"/>
              <w:spacing w:after="0" w:line="240" w:lineRule="auto"/>
              <w:jc w:val="left"/>
              <w:rPr>
                <w:rFonts w:ascii="Arial" w:hAnsi="Arial" w:cs="Arial"/>
                <w:sz w:val="16"/>
                <w:szCs w:val="16"/>
              </w:rPr>
            </w:pPr>
            <w:r w:rsidRPr="003A7F21">
              <w:rPr>
                <w:rFonts w:ascii="Arial" w:hAnsi="Arial" w:cs="Arial"/>
                <w:sz w:val="16"/>
                <w:szCs w:val="16"/>
              </w:rPr>
              <w:t xml:space="preserve">Localised (to area </w:t>
            </w:r>
            <w:r w:rsidR="007F1D14" w:rsidRPr="003A7F21">
              <w:rPr>
                <w:rFonts w:ascii="Arial" w:hAnsi="Arial" w:cs="Arial"/>
                <w:sz w:val="16"/>
                <w:szCs w:val="16"/>
              </w:rPr>
              <w:t>being cleaned</w:t>
            </w:r>
            <w:r w:rsidRPr="003A7F21">
              <w:rPr>
                <w:rFonts w:ascii="Arial" w:hAnsi="Arial" w:cs="Arial"/>
                <w:sz w:val="16"/>
                <w:szCs w:val="16"/>
              </w:rPr>
              <w:t xml:space="preserve">). </w:t>
            </w:r>
          </w:p>
        </w:tc>
      </w:tr>
      <w:tr w:rsidR="003031F3" w:rsidRPr="003A7F21" w14:paraId="1DD62597" w14:textId="77777777" w:rsidTr="003031F3">
        <w:trPr>
          <w:cantSplit/>
        </w:trPr>
        <w:tc>
          <w:tcPr>
            <w:tcW w:w="2410" w:type="dxa"/>
            <w:shd w:val="clear" w:color="auto" w:fill="BFBFBF" w:themeFill="background1" w:themeFillShade="BF"/>
          </w:tcPr>
          <w:p w14:paraId="3803C8EC" w14:textId="77777777" w:rsidR="003031F3" w:rsidRPr="003A7F21" w:rsidRDefault="003031F3" w:rsidP="003031F3">
            <w:pPr>
              <w:pStyle w:val="Tabletext"/>
              <w:jc w:val="left"/>
              <w:rPr>
                <w:rFonts w:ascii="Arial" w:hAnsi="Arial" w:cs="Arial"/>
                <w:b/>
                <w:sz w:val="16"/>
                <w:szCs w:val="16"/>
              </w:rPr>
            </w:pPr>
            <w:r w:rsidRPr="003A7F21">
              <w:rPr>
                <w:rFonts w:ascii="Arial" w:hAnsi="Arial" w:cs="Arial"/>
                <w:b/>
                <w:sz w:val="16"/>
                <w:szCs w:val="16"/>
              </w:rPr>
              <w:t xml:space="preserve">Duration of impact </w:t>
            </w:r>
          </w:p>
        </w:tc>
        <w:tc>
          <w:tcPr>
            <w:tcW w:w="6662" w:type="dxa"/>
          </w:tcPr>
          <w:p w14:paraId="0BEA49BA" w14:textId="77777777" w:rsidR="003031F3" w:rsidRPr="003A7F21" w:rsidRDefault="007F1D14" w:rsidP="003031F3">
            <w:pPr>
              <w:pStyle w:val="Tabletext"/>
              <w:spacing w:after="0" w:line="240" w:lineRule="auto"/>
              <w:jc w:val="left"/>
              <w:rPr>
                <w:rFonts w:ascii="Arial" w:hAnsi="Arial" w:cs="Arial"/>
                <w:sz w:val="16"/>
                <w:szCs w:val="16"/>
              </w:rPr>
            </w:pPr>
            <w:r w:rsidRPr="003A7F21">
              <w:rPr>
                <w:rFonts w:ascii="Arial" w:hAnsi="Arial" w:cs="Arial"/>
                <w:sz w:val="16"/>
                <w:szCs w:val="16"/>
              </w:rPr>
              <w:t>Water quality – temporary (due to rapid dispersion and dilution).</w:t>
            </w:r>
          </w:p>
          <w:p w14:paraId="043FC787" w14:textId="2EAA4187" w:rsidR="007F1D14" w:rsidRPr="003A7F21" w:rsidRDefault="007F1D14" w:rsidP="00F11E31">
            <w:pPr>
              <w:pStyle w:val="Tabletext"/>
              <w:spacing w:after="0" w:line="240" w:lineRule="auto"/>
              <w:jc w:val="left"/>
              <w:rPr>
                <w:rFonts w:ascii="Arial" w:hAnsi="Arial" w:cs="Arial"/>
                <w:sz w:val="16"/>
                <w:szCs w:val="16"/>
              </w:rPr>
            </w:pPr>
            <w:r w:rsidRPr="003A7F21">
              <w:rPr>
                <w:rFonts w:ascii="Arial" w:hAnsi="Arial" w:cs="Arial"/>
                <w:sz w:val="16"/>
                <w:szCs w:val="16"/>
              </w:rPr>
              <w:t>Loss of biota – short-term. Biota will recolonise</w:t>
            </w:r>
            <w:r w:rsidR="00F11E31" w:rsidRPr="003A7F21">
              <w:rPr>
                <w:rFonts w:ascii="Arial" w:hAnsi="Arial" w:cs="Arial"/>
                <w:sz w:val="16"/>
                <w:szCs w:val="16"/>
              </w:rPr>
              <w:t xml:space="preserve"> infrastructure rapidly (ongoing).</w:t>
            </w:r>
          </w:p>
        </w:tc>
      </w:tr>
      <w:tr w:rsidR="003031F3" w:rsidRPr="003A7F21" w14:paraId="7F9FED42" w14:textId="77777777" w:rsidTr="003031F3">
        <w:trPr>
          <w:cantSplit/>
        </w:trPr>
        <w:tc>
          <w:tcPr>
            <w:tcW w:w="2410" w:type="dxa"/>
            <w:shd w:val="clear" w:color="auto" w:fill="BFBFBF" w:themeFill="background1" w:themeFillShade="BF"/>
          </w:tcPr>
          <w:p w14:paraId="3B6CD764" w14:textId="361B0BFC" w:rsidR="003031F3" w:rsidRPr="003A7F21" w:rsidRDefault="003031F3" w:rsidP="003031F3">
            <w:pPr>
              <w:pStyle w:val="Tabletext"/>
              <w:jc w:val="left"/>
              <w:rPr>
                <w:rFonts w:ascii="Arial" w:hAnsi="Arial" w:cs="Arial"/>
                <w:b/>
                <w:sz w:val="16"/>
                <w:szCs w:val="16"/>
              </w:rPr>
            </w:pPr>
            <w:r w:rsidRPr="003A7F21">
              <w:rPr>
                <w:rFonts w:ascii="Arial" w:hAnsi="Arial" w:cs="Arial"/>
                <w:b/>
                <w:sz w:val="16"/>
                <w:szCs w:val="16"/>
              </w:rPr>
              <w:t>Level of certainty of impact</w:t>
            </w:r>
          </w:p>
        </w:tc>
        <w:tc>
          <w:tcPr>
            <w:tcW w:w="6662" w:type="dxa"/>
          </w:tcPr>
          <w:p w14:paraId="598FE062" w14:textId="7CE75C59" w:rsidR="003031F3" w:rsidRPr="003A7F21" w:rsidRDefault="003031F3" w:rsidP="006369C5">
            <w:pPr>
              <w:pStyle w:val="Tabletext"/>
              <w:spacing w:after="0" w:line="240" w:lineRule="auto"/>
              <w:jc w:val="left"/>
              <w:rPr>
                <w:rFonts w:ascii="Arial" w:hAnsi="Arial" w:cs="Arial"/>
                <w:sz w:val="16"/>
                <w:szCs w:val="16"/>
              </w:rPr>
            </w:pPr>
            <w:r w:rsidRPr="003A7F21">
              <w:rPr>
                <w:rFonts w:ascii="Arial" w:hAnsi="Arial" w:cs="Arial"/>
                <w:sz w:val="16"/>
                <w:szCs w:val="16"/>
              </w:rPr>
              <w:t>HIGH.</w:t>
            </w:r>
            <w:r w:rsidR="006369C5">
              <w:rPr>
                <w:rFonts w:ascii="Arial" w:hAnsi="Arial" w:cs="Arial"/>
                <w:sz w:val="16"/>
                <w:szCs w:val="16"/>
              </w:rPr>
              <w:t xml:space="preserve"> Activity is localised with only local species affected. Recovery will be rapid based upon observed marine growth over the lifetime of the asset.</w:t>
            </w:r>
          </w:p>
        </w:tc>
      </w:tr>
      <w:tr w:rsidR="003031F3" w:rsidRPr="003A7F21" w14:paraId="6F94C386" w14:textId="77777777" w:rsidTr="003031F3">
        <w:trPr>
          <w:cantSplit/>
        </w:trPr>
        <w:tc>
          <w:tcPr>
            <w:tcW w:w="2410" w:type="dxa"/>
            <w:shd w:val="clear" w:color="auto" w:fill="BFBFBF" w:themeFill="background1" w:themeFillShade="BF"/>
          </w:tcPr>
          <w:p w14:paraId="67BFACA9" w14:textId="77777777" w:rsidR="003031F3" w:rsidRPr="003A7F21" w:rsidRDefault="003031F3" w:rsidP="003031F3">
            <w:pPr>
              <w:pStyle w:val="Tabletext"/>
              <w:spacing w:line="240" w:lineRule="auto"/>
              <w:jc w:val="left"/>
              <w:rPr>
                <w:rFonts w:ascii="Arial" w:hAnsi="Arial" w:cs="Arial"/>
                <w:b/>
                <w:sz w:val="16"/>
                <w:szCs w:val="16"/>
              </w:rPr>
            </w:pPr>
            <w:r w:rsidRPr="003A7F21">
              <w:rPr>
                <w:rFonts w:ascii="Arial" w:hAnsi="Arial" w:cs="Arial"/>
                <w:b/>
                <w:sz w:val="16"/>
                <w:szCs w:val="16"/>
              </w:rPr>
              <w:t>Impact decision framework context</w:t>
            </w:r>
          </w:p>
        </w:tc>
        <w:tc>
          <w:tcPr>
            <w:tcW w:w="6662" w:type="dxa"/>
          </w:tcPr>
          <w:p w14:paraId="3F4FB30D" w14:textId="497E83B9" w:rsidR="003031F3" w:rsidRPr="003A7F21" w:rsidRDefault="003031F3" w:rsidP="003031F3">
            <w:pPr>
              <w:pStyle w:val="Tabletext"/>
              <w:spacing w:after="0" w:line="240" w:lineRule="auto"/>
              <w:jc w:val="left"/>
              <w:rPr>
                <w:rFonts w:ascii="Arial" w:hAnsi="Arial" w:cs="Arial"/>
                <w:sz w:val="16"/>
                <w:szCs w:val="16"/>
              </w:rPr>
            </w:pPr>
            <w:r w:rsidRPr="003A7F21">
              <w:rPr>
                <w:rFonts w:ascii="Arial" w:hAnsi="Arial" w:cs="Arial"/>
                <w:sz w:val="16"/>
                <w:szCs w:val="16"/>
              </w:rPr>
              <w:t xml:space="preserve">A (nothing new or unusual, represents business as usual, well understood activity, good practice is well defined). </w:t>
            </w:r>
            <w:r w:rsidR="009736D2" w:rsidRPr="004705DB">
              <w:rPr>
                <w:rFonts w:ascii="Arial" w:hAnsi="Arial" w:cs="Arial"/>
                <w:i/>
                <w:sz w:val="16"/>
                <w:szCs w:val="16"/>
              </w:rPr>
              <w:t>ALARP to be demonstrated on adherence to legislation, industry codes and good professional judgement</w:t>
            </w:r>
          </w:p>
        </w:tc>
      </w:tr>
    </w:tbl>
    <w:p w14:paraId="2F794504" w14:textId="77777777" w:rsidR="000F754A" w:rsidRDefault="000F754A" w:rsidP="00E93D10">
      <w:pPr>
        <w:pStyle w:val="BodyText"/>
        <w:ind w:left="0"/>
        <w:rPr>
          <w:lang w:eastAsia="en-US"/>
        </w:rPr>
      </w:pPr>
    </w:p>
    <w:p w14:paraId="2039DA4C" w14:textId="1FFCDF3A" w:rsidR="004F0A1A" w:rsidRPr="00665591" w:rsidRDefault="00C93AE5" w:rsidP="003A7F21">
      <w:pPr>
        <w:pStyle w:val="Heading2"/>
      </w:pPr>
      <w:bookmarkStart w:id="188" w:name="_Toc345581933"/>
      <w:bookmarkStart w:id="189" w:name="_Ref473518885"/>
      <w:bookmarkStart w:id="190" w:name="_Ref473518895"/>
      <w:bookmarkStart w:id="191" w:name="_Toc512862476"/>
      <w:r w:rsidRPr="00665591">
        <w:t xml:space="preserve">IMPACT: </w:t>
      </w:r>
      <w:r w:rsidR="004F0A1A" w:rsidRPr="00665591">
        <w:t xml:space="preserve">Underwater </w:t>
      </w:r>
      <w:r w:rsidR="00790CDC" w:rsidRPr="00665591">
        <w:t>Sound</w:t>
      </w:r>
      <w:bookmarkEnd w:id="188"/>
      <w:r w:rsidR="000511D6" w:rsidRPr="00665591">
        <w:t xml:space="preserve"> Disturbance (Vessel</w:t>
      </w:r>
      <w:r w:rsidR="00356FEC">
        <w:t xml:space="preserve"> &amp; Helicopter</w:t>
      </w:r>
      <w:r w:rsidR="000511D6" w:rsidRPr="00665591">
        <w:t>)</w:t>
      </w:r>
      <w:bookmarkEnd w:id="189"/>
      <w:bookmarkEnd w:id="190"/>
      <w:bookmarkEnd w:id="191"/>
    </w:p>
    <w:p w14:paraId="667857D8" w14:textId="77777777" w:rsidR="004F0A1A" w:rsidRDefault="004F0A1A" w:rsidP="00914C00">
      <w:pPr>
        <w:pStyle w:val="Heading3"/>
      </w:pPr>
      <w:r>
        <w:t>Hazard</w:t>
      </w:r>
    </w:p>
    <w:p w14:paraId="2AE0BE1E" w14:textId="6245077D" w:rsidR="00E81EBF" w:rsidRPr="003A7F21" w:rsidRDefault="00E81EBF" w:rsidP="00AE17E8">
      <w:pPr>
        <w:pStyle w:val="BodyText"/>
        <w:spacing w:after="240"/>
        <w:ind w:left="720"/>
        <w:rPr>
          <w:szCs w:val="20"/>
          <w:lang w:eastAsia="en-US"/>
        </w:rPr>
      </w:pPr>
      <w:r w:rsidRPr="003A7F21">
        <w:rPr>
          <w:szCs w:val="20"/>
          <w:lang w:eastAsia="en-US"/>
        </w:rPr>
        <w:t xml:space="preserve">The following </w:t>
      </w:r>
      <w:r w:rsidR="00AD4F15" w:rsidRPr="003A7F21">
        <w:rPr>
          <w:szCs w:val="20"/>
          <w:lang w:eastAsia="en-US"/>
        </w:rPr>
        <w:t xml:space="preserve">vessel </w:t>
      </w:r>
      <w:r w:rsidRPr="003A7F21">
        <w:rPr>
          <w:szCs w:val="20"/>
          <w:lang w:eastAsia="en-US"/>
        </w:rPr>
        <w:t xml:space="preserve">activities have the potential to create underwater </w:t>
      </w:r>
      <w:r w:rsidR="00790CDC" w:rsidRPr="003A7F21">
        <w:rPr>
          <w:szCs w:val="20"/>
          <w:lang w:eastAsia="en-US"/>
        </w:rPr>
        <w:t>sound</w:t>
      </w:r>
      <w:r w:rsidRPr="003A7F21">
        <w:rPr>
          <w:szCs w:val="20"/>
          <w:lang w:eastAsia="en-US"/>
        </w:rPr>
        <w:t xml:space="preserve"> that </w:t>
      </w:r>
      <w:r w:rsidR="009B442F" w:rsidRPr="003A7F21">
        <w:rPr>
          <w:szCs w:val="20"/>
          <w:lang w:eastAsia="en-US"/>
        </w:rPr>
        <w:t xml:space="preserve">may disturb </w:t>
      </w:r>
      <w:r w:rsidRPr="003A7F21">
        <w:rPr>
          <w:szCs w:val="20"/>
          <w:lang w:eastAsia="en-US"/>
        </w:rPr>
        <w:t>marine fauna:</w:t>
      </w:r>
    </w:p>
    <w:p w14:paraId="34A9AA96" w14:textId="7E361B39" w:rsidR="009B442F" w:rsidRPr="003A7F21" w:rsidRDefault="009B442F" w:rsidP="0036080A">
      <w:pPr>
        <w:pStyle w:val="Bullet1"/>
        <w:numPr>
          <w:ilvl w:val="0"/>
          <w:numId w:val="40"/>
        </w:numPr>
      </w:pPr>
      <w:r w:rsidRPr="003A7F21">
        <w:t>Engine noise transmitted through the vessel hull; and</w:t>
      </w:r>
    </w:p>
    <w:p w14:paraId="7756F855" w14:textId="77777777" w:rsidR="00537B4A" w:rsidRPr="003A7F21" w:rsidRDefault="009B442F" w:rsidP="0036080A">
      <w:pPr>
        <w:pStyle w:val="Bullet1"/>
        <w:numPr>
          <w:ilvl w:val="0"/>
          <w:numId w:val="40"/>
        </w:numPr>
      </w:pPr>
      <w:r w:rsidRPr="003A7F21">
        <w:t xml:space="preserve">Propeller/thruster noise; </w:t>
      </w:r>
    </w:p>
    <w:p w14:paraId="261FB810" w14:textId="4E314E81" w:rsidR="009B442F" w:rsidRPr="003A7F21" w:rsidRDefault="00537B4A" w:rsidP="0036080A">
      <w:pPr>
        <w:pStyle w:val="Bullet1"/>
        <w:numPr>
          <w:ilvl w:val="0"/>
          <w:numId w:val="40"/>
        </w:numPr>
      </w:pPr>
      <w:r w:rsidRPr="003A7F21">
        <w:t xml:space="preserve">Use of side-scan sonar; </w:t>
      </w:r>
      <w:r w:rsidR="009B442F" w:rsidRPr="003A7F21">
        <w:t>and</w:t>
      </w:r>
      <w:r w:rsidRPr="003A7F21">
        <w:t xml:space="preserve"> </w:t>
      </w:r>
    </w:p>
    <w:p w14:paraId="076E7C78" w14:textId="2F8B43FA" w:rsidR="009B442F" w:rsidRPr="003A7F21" w:rsidRDefault="009B442F" w:rsidP="0036080A">
      <w:pPr>
        <w:pStyle w:val="Bullet1"/>
        <w:numPr>
          <w:ilvl w:val="0"/>
          <w:numId w:val="40"/>
        </w:numPr>
      </w:pPr>
      <w:r w:rsidRPr="003A7F21">
        <w:t>ROV.</w:t>
      </w:r>
    </w:p>
    <w:p w14:paraId="42F11D4D" w14:textId="77777777" w:rsidR="00EA3DDF" w:rsidRDefault="00EA3DDF" w:rsidP="00AE17E8">
      <w:pPr>
        <w:pStyle w:val="BodyText"/>
        <w:ind w:left="700"/>
        <w:rPr>
          <w:szCs w:val="20"/>
          <w:u w:val="single"/>
        </w:rPr>
      </w:pPr>
    </w:p>
    <w:p w14:paraId="36FDE77E" w14:textId="77777777" w:rsidR="00EA3DDF" w:rsidRDefault="00EA3DDF" w:rsidP="00AE17E8">
      <w:pPr>
        <w:pStyle w:val="BodyText"/>
        <w:ind w:left="700"/>
        <w:rPr>
          <w:szCs w:val="20"/>
          <w:u w:val="single"/>
        </w:rPr>
      </w:pPr>
    </w:p>
    <w:p w14:paraId="1C6F241E" w14:textId="0EC4CA67" w:rsidR="00994DB5" w:rsidRPr="00994DB5" w:rsidRDefault="00994DB5" w:rsidP="00AE17E8">
      <w:pPr>
        <w:pStyle w:val="BodyText"/>
        <w:ind w:left="700"/>
        <w:rPr>
          <w:szCs w:val="20"/>
          <w:u w:val="single"/>
        </w:rPr>
      </w:pPr>
      <w:r w:rsidRPr="00994DB5">
        <w:rPr>
          <w:szCs w:val="20"/>
          <w:u w:val="single"/>
        </w:rPr>
        <w:t>Vessels</w:t>
      </w:r>
    </w:p>
    <w:p w14:paraId="6A8AEA5B" w14:textId="19C7AE1C" w:rsidR="00146FC7" w:rsidRPr="00962337" w:rsidRDefault="00962337" w:rsidP="00AE17E8">
      <w:pPr>
        <w:pStyle w:val="BodyText"/>
        <w:ind w:left="700"/>
        <w:rPr>
          <w:szCs w:val="20"/>
        </w:rPr>
      </w:pPr>
      <w:r w:rsidRPr="00962337">
        <w:rPr>
          <w:szCs w:val="20"/>
        </w:rPr>
        <w:t xml:space="preserve">Shipping sound generally dominates ambient noise at frequencies from 20 to 300 Hz (Richardson et al. 1995). High frequency components of the sound source spectrum rapidly </w:t>
      </w:r>
      <w:r w:rsidRPr="00962337">
        <w:rPr>
          <w:szCs w:val="20"/>
        </w:rPr>
        <w:lastRenderedPageBreak/>
        <w:t>dissipate with distance from the sound source allowing the lower frequency wavelengths to travel further distances.</w:t>
      </w:r>
    </w:p>
    <w:p w14:paraId="73463671" w14:textId="4A97D3FE" w:rsidR="007D7168" w:rsidRPr="00962337" w:rsidRDefault="007D7168" w:rsidP="00AE17E8">
      <w:pPr>
        <w:pStyle w:val="BodyText"/>
        <w:ind w:left="700"/>
        <w:rPr>
          <w:szCs w:val="20"/>
        </w:rPr>
      </w:pPr>
      <w:r w:rsidRPr="00962337">
        <w:rPr>
          <w:szCs w:val="20"/>
        </w:rPr>
        <w:t xml:space="preserve">Vessels engaged for maintenance activities will generally generate low levels of machinery noise and will be of a similar nature </w:t>
      </w:r>
      <w:r w:rsidR="00BD3927" w:rsidRPr="00962337">
        <w:rPr>
          <w:szCs w:val="20"/>
        </w:rPr>
        <w:t>to other vessels operating in the region</w:t>
      </w:r>
      <w:r w:rsidRPr="00962337">
        <w:rPr>
          <w:szCs w:val="20"/>
        </w:rPr>
        <w:t xml:space="preserve">. </w:t>
      </w:r>
    </w:p>
    <w:p w14:paraId="60D8ABDD" w14:textId="75311694" w:rsidR="007D7168" w:rsidRPr="00962337" w:rsidRDefault="007D7168" w:rsidP="00AE17E8">
      <w:pPr>
        <w:pStyle w:val="BodyText"/>
        <w:ind w:left="700"/>
        <w:rPr>
          <w:szCs w:val="20"/>
        </w:rPr>
      </w:pPr>
      <w:r w:rsidRPr="00962337">
        <w:rPr>
          <w:szCs w:val="20"/>
        </w:rPr>
        <w:t xml:space="preserve">The sound levels and frequency characteristics of underwater noise produced by vessels are related to ship size and speed. When idle or moving between sites, vessels generally emit low-level noise. Tugboats, crew boats, supply ships, and many research vessels in the 50-100 m size class typically have broadband source levels in the 165-180 dB re 1µPa range (Gotz </w:t>
      </w:r>
      <w:r w:rsidRPr="00962337">
        <w:rPr>
          <w:i/>
          <w:szCs w:val="20"/>
        </w:rPr>
        <w:t>et al.</w:t>
      </w:r>
      <w:r w:rsidRPr="00962337">
        <w:rPr>
          <w:szCs w:val="20"/>
        </w:rPr>
        <w:t xml:space="preserve">, 2009). In comparison, underwater </w:t>
      </w:r>
      <w:r w:rsidR="00BD3927" w:rsidRPr="00962337">
        <w:rPr>
          <w:szCs w:val="20"/>
        </w:rPr>
        <w:t>sound</w:t>
      </w:r>
      <w:r w:rsidRPr="00962337">
        <w:rPr>
          <w:szCs w:val="20"/>
        </w:rPr>
        <w:t xml:space="preserve"> levels generated by large ships can produce levels exceeding 190 dB re 1µPa (Gotz </w:t>
      </w:r>
      <w:r w:rsidRPr="00962337">
        <w:rPr>
          <w:i/>
          <w:szCs w:val="20"/>
        </w:rPr>
        <w:t>et al.</w:t>
      </w:r>
      <w:r w:rsidRPr="00962337">
        <w:rPr>
          <w:szCs w:val="20"/>
        </w:rPr>
        <w:t>, 2009) and vessels up to 20</w:t>
      </w:r>
      <w:r w:rsidR="00BD3927" w:rsidRPr="00962337">
        <w:rPr>
          <w:szCs w:val="20"/>
        </w:rPr>
        <w:t xml:space="preserve"> </w:t>
      </w:r>
      <w:r w:rsidRPr="00962337">
        <w:rPr>
          <w:szCs w:val="20"/>
        </w:rPr>
        <w:t>m size class typically 151-156dB re 1</w:t>
      </w:r>
      <w:r w:rsidRPr="00962337">
        <w:rPr>
          <w:rFonts w:cs="Arial"/>
          <w:szCs w:val="20"/>
        </w:rPr>
        <w:t>µ</w:t>
      </w:r>
      <w:r w:rsidRPr="00962337">
        <w:rPr>
          <w:szCs w:val="20"/>
        </w:rPr>
        <w:t xml:space="preserve">Pa (Richardson </w:t>
      </w:r>
      <w:r w:rsidRPr="00962337">
        <w:rPr>
          <w:i/>
          <w:szCs w:val="20"/>
        </w:rPr>
        <w:t>et al</w:t>
      </w:r>
      <w:r w:rsidR="00BD3927" w:rsidRPr="00962337">
        <w:rPr>
          <w:i/>
          <w:szCs w:val="20"/>
        </w:rPr>
        <w:t>.</w:t>
      </w:r>
      <w:r w:rsidRPr="00962337">
        <w:rPr>
          <w:szCs w:val="20"/>
        </w:rPr>
        <w:t xml:space="preserve">, 1995). </w:t>
      </w:r>
    </w:p>
    <w:p w14:paraId="5BC79373" w14:textId="0566F40C" w:rsidR="00CC7548" w:rsidRDefault="005B4114" w:rsidP="00AE17E8">
      <w:pPr>
        <w:pStyle w:val="BodyText"/>
        <w:spacing w:after="240"/>
        <w:ind w:left="700"/>
        <w:rPr>
          <w:szCs w:val="20"/>
          <w:lang w:eastAsia="en-US"/>
        </w:rPr>
      </w:pPr>
      <w:r w:rsidRPr="005B2BD9">
        <w:t xml:space="preserve">McCauley (1998; McCauley and Duncan, 2001) examined the sound from a 64 m, 2,600 tonne rig tender vessel underway, which had a broadband source level of 177 dB re 1μPa @ 1m (units not specified) in approximately 110m water depth. </w:t>
      </w:r>
      <w:r w:rsidRPr="005B2BD9">
        <w:rPr>
          <w:rFonts w:cs="Calibri"/>
        </w:rPr>
        <w:t>The use of thrusters or main propellers under load produced very high levels of cavitation noise. During these activities, the measured vessel noise was broadband in nature, with the highest level measured at 137 dB re 1µPa (</w:t>
      </w:r>
      <w:r w:rsidRPr="005B2BD9">
        <w:t>units not specified)</w:t>
      </w:r>
      <w:r w:rsidRPr="005B2BD9">
        <w:rPr>
          <w:rFonts w:cs="Calibri"/>
        </w:rPr>
        <w:t xml:space="preserve"> at 405 m astern; levels of 120 dB re 1µPa (</w:t>
      </w:r>
      <w:r w:rsidRPr="005B2BD9">
        <w:t>units not specified</w:t>
      </w:r>
      <w:r w:rsidRPr="005B2BD9">
        <w:rPr>
          <w:rFonts w:cs="Calibri"/>
        </w:rPr>
        <w:t>) recorded at 3-4 km; and the noise audible at up to 20 km against a ‘natural background level’ of 90 dB re 1µPa (</w:t>
      </w:r>
      <w:r w:rsidRPr="005B2BD9">
        <w:t>units not specified)</w:t>
      </w:r>
      <w:r w:rsidRPr="005B2BD9">
        <w:rPr>
          <w:rFonts w:cs="Calibri"/>
        </w:rPr>
        <w:t xml:space="preserve">. </w:t>
      </w:r>
      <w:r>
        <w:rPr>
          <w:rFonts w:cs="Calibri"/>
        </w:rPr>
        <w:t>IMR vessels will have a smaller sound footprint given the smaller size vessel</w:t>
      </w:r>
      <w:r w:rsidR="00CC7548" w:rsidRPr="00962337">
        <w:rPr>
          <w:szCs w:val="20"/>
          <w:lang w:eastAsia="en-US"/>
        </w:rPr>
        <w:t xml:space="preserve">. </w:t>
      </w:r>
    </w:p>
    <w:p w14:paraId="1AD084D6" w14:textId="77777777" w:rsidR="00994DB5" w:rsidRDefault="00994DB5" w:rsidP="00994DB5">
      <w:pPr>
        <w:pStyle w:val="BodyText"/>
        <w:ind w:left="720"/>
        <w:rPr>
          <w:u w:val="single"/>
          <w:lang w:eastAsia="en-US"/>
        </w:rPr>
      </w:pPr>
      <w:r>
        <w:rPr>
          <w:u w:val="single"/>
          <w:lang w:eastAsia="en-US"/>
        </w:rPr>
        <w:t>Helicopters</w:t>
      </w:r>
    </w:p>
    <w:p w14:paraId="1D780402" w14:textId="77777777" w:rsidR="00602BC5" w:rsidRPr="00962337" w:rsidRDefault="00602BC5" w:rsidP="00AE17E8">
      <w:pPr>
        <w:pStyle w:val="BodyText"/>
        <w:ind w:left="700"/>
        <w:rPr>
          <w:szCs w:val="20"/>
        </w:rPr>
      </w:pPr>
      <w:r w:rsidRPr="00962337">
        <w:rPr>
          <w:szCs w:val="20"/>
        </w:rPr>
        <w:t xml:space="preserve">Helicopters are only likely to be used in a medical evacuation situation, and are not planned to be used for personnel transfers during IMR activities. </w:t>
      </w:r>
    </w:p>
    <w:p w14:paraId="2C2DD90B" w14:textId="77777777" w:rsidR="00DE7E08" w:rsidRDefault="00DE7E08" w:rsidP="00DE7E08">
      <w:pPr>
        <w:pStyle w:val="BodyText"/>
        <w:ind w:left="720"/>
        <w:rPr>
          <w:lang w:eastAsia="en-US"/>
        </w:rPr>
      </w:pPr>
      <w:r>
        <w:rPr>
          <w:lang w:eastAsia="en-US"/>
        </w:rPr>
        <w:t xml:space="preserve">Helicopter operations produce strong underwater sounds for brief periods when the helicopter is directly overhead (Richardson </w:t>
      </w:r>
      <w:r>
        <w:rPr>
          <w:i/>
          <w:lang w:eastAsia="en-US"/>
        </w:rPr>
        <w:t>et al</w:t>
      </w:r>
      <w:r>
        <w:rPr>
          <w:lang w:eastAsia="en-US"/>
        </w:rPr>
        <w:t xml:space="preserve">., 1995). Sound generated from helicopter operations is typically below 500 Hz and sound pressure in the water directly below a helicopter is greatest at the surface but diminishes quickly with depth. Reports for a Bell 214ST (stated to be one of the noisiest) identify that noise is audible in the air for four minutes before the helicopter passed over underwater hydrophones. The helicopter was audible underwater for only 38 seconds at 3 m depth and 11 seconds at 8 m depth (Green 1985a; cited in Richardson </w:t>
      </w:r>
      <w:r>
        <w:rPr>
          <w:i/>
          <w:lang w:eastAsia="en-US"/>
        </w:rPr>
        <w:t>et al</w:t>
      </w:r>
      <w:r>
        <w:rPr>
          <w:lang w:eastAsia="en-US"/>
        </w:rPr>
        <w:t>., 1995).</w:t>
      </w:r>
    </w:p>
    <w:p w14:paraId="559803FD" w14:textId="4C97779C" w:rsidR="00DE7E08" w:rsidRDefault="00DE7E08" w:rsidP="00DE7E08">
      <w:pPr>
        <w:pStyle w:val="BodyText"/>
        <w:ind w:left="720"/>
        <w:rPr>
          <w:lang w:eastAsia="en-US"/>
        </w:rPr>
      </w:pPr>
      <w:r>
        <w:rPr>
          <w:lang w:eastAsia="en-US"/>
        </w:rPr>
        <w:t>Sound levels from helicopters are not expected to cause physical damage to marine fauna, however temporary behavioural changes (avoidance) in species (cetaceans, turtles, fish) may be observed.</w:t>
      </w:r>
    </w:p>
    <w:p w14:paraId="69D4773B" w14:textId="2AD1776F" w:rsidR="00994DB5" w:rsidRPr="00994DB5" w:rsidRDefault="00994DB5" w:rsidP="00DE7E08">
      <w:pPr>
        <w:pStyle w:val="BodyText"/>
        <w:ind w:left="720"/>
        <w:rPr>
          <w:u w:val="single"/>
          <w:lang w:eastAsia="en-US"/>
        </w:rPr>
      </w:pPr>
      <w:r w:rsidRPr="00994DB5">
        <w:rPr>
          <w:u w:val="single"/>
          <w:lang w:eastAsia="en-US"/>
        </w:rPr>
        <w:t>Side scan sonars</w:t>
      </w:r>
    </w:p>
    <w:p w14:paraId="48144E77" w14:textId="77777777" w:rsidR="00994DB5" w:rsidRDefault="00994DB5" w:rsidP="00994DB5">
      <w:pPr>
        <w:pStyle w:val="BodyText"/>
        <w:ind w:left="700"/>
        <w:rPr>
          <w:rFonts w:cs="Arial"/>
          <w:szCs w:val="20"/>
        </w:rPr>
      </w:pPr>
      <w:r w:rsidRPr="0084638A">
        <w:rPr>
          <w:rFonts w:cs="Arial"/>
          <w:szCs w:val="20"/>
        </w:rPr>
        <w:t>Side scan sonars operate at high frequencies typically between 100 to 500 kHz. These devices operate at frequencies similar to those used in ‘fish finders’ by commercial fishermen. Higher frequency emissions utilised in these operations dissipate to safe levels over a relatively short distances as the sound is rapidly absorbed by the surrounding water column (DEHLG, 2007).</w:t>
      </w:r>
    </w:p>
    <w:p w14:paraId="0A0942F2" w14:textId="77777777" w:rsidR="004F0A1A" w:rsidRDefault="004F0A1A" w:rsidP="00914C00">
      <w:pPr>
        <w:pStyle w:val="Heading3"/>
      </w:pPr>
      <w:r>
        <w:t>Known and Potential Environmental Impacts</w:t>
      </w:r>
    </w:p>
    <w:p w14:paraId="6095CC17" w14:textId="325097AA" w:rsidR="00E81EBF" w:rsidRPr="0084638A" w:rsidRDefault="009C64AD" w:rsidP="00AE17E8">
      <w:pPr>
        <w:pStyle w:val="BodyText"/>
        <w:ind w:left="720"/>
        <w:rPr>
          <w:szCs w:val="20"/>
        </w:rPr>
      </w:pPr>
      <w:r w:rsidRPr="0084638A">
        <w:rPr>
          <w:szCs w:val="20"/>
        </w:rPr>
        <w:t>T</w:t>
      </w:r>
      <w:r w:rsidR="00E81EBF" w:rsidRPr="0084638A">
        <w:rPr>
          <w:szCs w:val="20"/>
        </w:rPr>
        <w:t xml:space="preserve">he primary concern arising from </w:t>
      </w:r>
      <w:r w:rsidRPr="0084638A">
        <w:rPr>
          <w:szCs w:val="20"/>
        </w:rPr>
        <w:t>underwater sound</w:t>
      </w:r>
      <w:r w:rsidR="00E81EBF" w:rsidRPr="0084638A">
        <w:rPr>
          <w:szCs w:val="20"/>
        </w:rPr>
        <w:t xml:space="preserve"> generation is the potential non-physiological effects on marine fauna including:</w:t>
      </w:r>
    </w:p>
    <w:p w14:paraId="6DC3747B" w14:textId="526B5205" w:rsidR="00E81EBF" w:rsidRPr="0084638A" w:rsidRDefault="00E81EBF" w:rsidP="0036080A">
      <w:pPr>
        <w:pStyle w:val="Bullet1"/>
        <w:numPr>
          <w:ilvl w:val="0"/>
          <w:numId w:val="40"/>
        </w:numPr>
      </w:pPr>
      <w:r w:rsidRPr="0084638A">
        <w:t>Attraction</w:t>
      </w:r>
      <w:r w:rsidR="009C64AD" w:rsidRPr="0084638A">
        <w:t>;</w:t>
      </w:r>
    </w:p>
    <w:p w14:paraId="7E58829F" w14:textId="155781A9" w:rsidR="00E81EBF" w:rsidRPr="0084638A" w:rsidRDefault="00E81EBF" w:rsidP="0036080A">
      <w:pPr>
        <w:pStyle w:val="Bullet1"/>
        <w:numPr>
          <w:ilvl w:val="0"/>
          <w:numId w:val="40"/>
        </w:numPr>
      </w:pPr>
      <w:r w:rsidRPr="0084638A">
        <w:t>Increased stress levels</w:t>
      </w:r>
      <w:r w:rsidR="009C64AD" w:rsidRPr="0084638A">
        <w:t>;</w:t>
      </w:r>
    </w:p>
    <w:p w14:paraId="24981C5A" w14:textId="39C7DD2E" w:rsidR="00E81EBF" w:rsidRPr="0084638A" w:rsidRDefault="00E81EBF" w:rsidP="0036080A">
      <w:pPr>
        <w:pStyle w:val="Bullet1"/>
        <w:numPr>
          <w:ilvl w:val="0"/>
          <w:numId w:val="40"/>
        </w:numPr>
      </w:pPr>
      <w:r w:rsidRPr="0084638A">
        <w:t>Disruption to underwater acoustic cues</w:t>
      </w:r>
      <w:r w:rsidR="009C64AD" w:rsidRPr="0084638A">
        <w:t>;</w:t>
      </w:r>
    </w:p>
    <w:p w14:paraId="7A8475A5" w14:textId="304C6A3D" w:rsidR="00E81EBF" w:rsidRPr="0084638A" w:rsidRDefault="00E81EBF" w:rsidP="0036080A">
      <w:pPr>
        <w:pStyle w:val="Bullet1"/>
        <w:numPr>
          <w:ilvl w:val="0"/>
          <w:numId w:val="40"/>
        </w:numPr>
      </w:pPr>
      <w:r w:rsidRPr="0084638A">
        <w:t>Behavioural changes</w:t>
      </w:r>
      <w:r w:rsidR="009C64AD" w:rsidRPr="0084638A">
        <w:t>;</w:t>
      </w:r>
    </w:p>
    <w:p w14:paraId="46A229AF" w14:textId="35BE6C7E" w:rsidR="00E81EBF" w:rsidRPr="0084638A" w:rsidRDefault="00E81EBF" w:rsidP="0036080A">
      <w:pPr>
        <w:pStyle w:val="Bullet1"/>
        <w:numPr>
          <w:ilvl w:val="0"/>
          <w:numId w:val="40"/>
        </w:numPr>
      </w:pPr>
      <w:r w:rsidRPr="0084638A">
        <w:t>Localised avoidance</w:t>
      </w:r>
      <w:r w:rsidR="009C64AD" w:rsidRPr="0084638A">
        <w:t>; and</w:t>
      </w:r>
    </w:p>
    <w:p w14:paraId="56260A65" w14:textId="351F13AA" w:rsidR="00E81EBF" w:rsidRPr="0084638A" w:rsidRDefault="00E81EBF" w:rsidP="0036080A">
      <w:pPr>
        <w:pStyle w:val="Bullet1"/>
        <w:numPr>
          <w:ilvl w:val="0"/>
          <w:numId w:val="40"/>
        </w:numPr>
      </w:pPr>
      <w:r w:rsidRPr="0084638A">
        <w:lastRenderedPageBreak/>
        <w:t>Secondary ecological effects that may occur as a result of an effect on one (or more) species influencing another species, for example, by alteration of a predator–prey relationship.</w:t>
      </w:r>
    </w:p>
    <w:p w14:paraId="05DB022F" w14:textId="77777777" w:rsidR="00141954" w:rsidRDefault="00141954" w:rsidP="00AE17E8">
      <w:pPr>
        <w:pStyle w:val="BodyText"/>
        <w:ind w:left="700"/>
        <w:rPr>
          <w:b/>
          <w:u w:val="single"/>
        </w:rPr>
      </w:pPr>
    </w:p>
    <w:p w14:paraId="364B96E6" w14:textId="77777777" w:rsidR="00024A95" w:rsidRPr="00AE17E8" w:rsidRDefault="00024A95" w:rsidP="00AE17E8">
      <w:pPr>
        <w:pStyle w:val="BodyText"/>
        <w:ind w:left="700"/>
        <w:rPr>
          <w:b/>
          <w:u w:val="single"/>
        </w:rPr>
      </w:pPr>
      <w:r w:rsidRPr="00AE17E8">
        <w:rPr>
          <w:b/>
          <w:u w:val="single"/>
        </w:rPr>
        <w:t>EMBA</w:t>
      </w:r>
    </w:p>
    <w:p w14:paraId="0CE8CD73" w14:textId="143F67DA" w:rsidR="00024A95" w:rsidRDefault="00024A95" w:rsidP="00AE17E8">
      <w:pPr>
        <w:pStyle w:val="BodyText"/>
        <w:ind w:left="700"/>
        <w:rPr>
          <w:szCs w:val="20"/>
          <w:lang w:eastAsia="en-US"/>
        </w:rPr>
      </w:pPr>
      <w:r w:rsidRPr="0084638A">
        <w:rPr>
          <w:szCs w:val="20"/>
          <w:lang w:eastAsia="en-US"/>
        </w:rPr>
        <w:t xml:space="preserve">The EMBA for the impacts associated with </w:t>
      </w:r>
      <w:r w:rsidR="00540838" w:rsidRPr="0084638A">
        <w:rPr>
          <w:szCs w:val="20"/>
          <w:lang w:eastAsia="en-US"/>
        </w:rPr>
        <w:t xml:space="preserve">underwater sound generated by vessels is </w:t>
      </w:r>
      <w:r w:rsidR="005E299D" w:rsidRPr="0084638A">
        <w:rPr>
          <w:szCs w:val="20"/>
          <w:lang w:eastAsia="en-US"/>
        </w:rPr>
        <w:t xml:space="preserve">likely to be within a radius of a few hundred metres of the vessel, </w:t>
      </w:r>
      <w:r w:rsidR="00540838" w:rsidRPr="0084638A">
        <w:rPr>
          <w:szCs w:val="20"/>
          <w:lang w:eastAsia="en-US"/>
        </w:rPr>
        <w:t xml:space="preserve">dependent on the exact size of the vessel, water depth and seabed type. </w:t>
      </w:r>
    </w:p>
    <w:p w14:paraId="4453B9C1" w14:textId="3FB7EE23" w:rsidR="00540838" w:rsidRPr="00994DB5" w:rsidRDefault="00DE7E08" w:rsidP="00994DB5">
      <w:pPr>
        <w:pStyle w:val="BodyText"/>
        <w:ind w:left="700"/>
        <w:rPr>
          <w:szCs w:val="20"/>
          <w:lang w:eastAsia="en-US"/>
        </w:rPr>
      </w:pPr>
      <w:r>
        <w:rPr>
          <w:szCs w:val="20"/>
          <w:lang w:eastAsia="en-US"/>
        </w:rPr>
        <w:t>The EMBA for underwater sound generated by helicopters is expected to be very localised at surface.</w:t>
      </w:r>
    </w:p>
    <w:p w14:paraId="5A1E6AB9" w14:textId="77777777" w:rsidR="00024A95" w:rsidRPr="00AE17E8" w:rsidRDefault="00024A95" w:rsidP="00AE17E8">
      <w:pPr>
        <w:pStyle w:val="BodyText"/>
        <w:ind w:left="709"/>
        <w:rPr>
          <w:b/>
          <w:u w:val="single"/>
        </w:rPr>
      </w:pPr>
      <w:r w:rsidRPr="00AE17E8">
        <w:rPr>
          <w:b/>
          <w:u w:val="single"/>
        </w:rPr>
        <w:t>Receptors within the EMBA</w:t>
      </w:r>
    </w:p>
    <w:p w14:paraId="5BF13304" w14:textId="77777777" w:rsidR="00024A95" w:rsidRPr="0084638A" w:rsidRDefault="00024A95" w:rsidP="00AE17E8">
      <w:pPr>
        <w:pStyle w:val="BodyText"/>
        <w:ind w:left="709"/>
        <w:rPr>
          <w:szCs w:val="20"/>
          <w:lang w:eastAsia="en-US"/>
        </w:rPr>
      </w:pPr>
      <w:r w:rsidRPr="0084638A">
        <w:rPr>
          <w:szCs w:val="20"/>
          <w:lang w:eastAsia="en-US"/>
        </w:rPr>
        <w:t xml:space="preserve">Receptors that may occur within this EMBA, either as residents or migrants, are: </w:t>
      </w:r>
    </w:p>
    <w:p w14:paraId="40A16390" w14:textId="5D558E45" w:rsidR="00024A95" w:rsidRPr="0084638A" w:rsidRDefault="00024A95" w:rsidP="0036080A">
      <w:pPr>
        <w:pStyle w:val="Bullet1"/>
        <w:numPr>
          <w:ilvl w:val="0"/>
          <w:numId w:val="40"/>
        </w:numPr>
      </w:pPr>
      <w:r w:rsidRPr="0084638A">
        <w:t>Pelagic species (plankton, fin fish)</w:t>
      </w:r>
      <w:r w:rsidR="00A071A3" w:rsidRPr="0084638A">
        <w:t>;</w:t>
      </w:r>
    </w:p>
    <w:p w14:paraId="44A3DCAC" w14:textId="66D7230D" w:rsidR="00A071A3" w:rsidRPr="0084638A" w:rsidRDefault="00A071A3" w:rsidP="0036080A">
      <w:pPr>
        <w:pStyle w:val="Bullet1"/>
        <w:numPr>
          <w:ilvl w:val="0"/>
          <w:numId w:val="40"/>
        </w:numPr>
      </w:pPr>
      <w:r w:rsidRPr="0084638A">
        <w:t>Cetaceans; and</w:t>
      </w:r>
    </w:p>
    <w:p w14:paraId="363FDA76" w14:textId="60A2F67E" w:rsidR="00A071A3" w:rsidRPr="0084638A" w:rsidRDefault="00A071A3" w:rsidP="0036080A">
      <w:pPr>
        <w:pStyle w:val="Bullet1"/>
        <w:numPr>
          <w:ilvl w:val="0"/>
          <w:numId w:val="40"/>
        </w:numPr>
      </w:pPr>
      <w:r w:rsidRPr="0084638A">
        <w:t>Pinnipeds.</w:t>
      </w:r>
    </w:p>
    <w:p w14:paraId="5AECA512" w14:textId="77777777" w:rsidR="004F0A1A" w:rsidRDefault="004F0A1A" w:rsidP="00914C00">
      <w:pPr>
        <w:pStyle w:val="Heading3"/>
      </w:pPr>
      <w:r>
        <w:t>Evaluation of Environmental Impacts</w:t>
      </w:r>
    </w:p>
    <w:p w14:paraId="0CC8EB72" w14:textId="12FD3B86" w:rsidR="00B22058" w:rsidRPr="0084638A" w:rsidRDefault="00B22058" w:rsidP="00AE17E8">
      <w:pPr>
        <w:pStyle w:val="BodyText"/>
        <w:ind w:left="720"/>
        <w:rPr>
          <w:szCs w:val="20"/>
          <w:u w:val="single"/>
        </w:rPr>
      </w:pPr>
      <w:r w:rsidRPr="0084638A">
        <w:rPr>
          <w:szCs w:val="20"/>
          <w:u w:val="single"/>
        </w:rPr>
        <w:t>Vessel sound</w:t>
      </w:r>
    </w:p>
    <w:p w14:paraId="5C10E76B" w14:textId="77777777" w:rsidR="00E81EBF" w:rsidRPr="0084638A" w:rsidRDefault="00E81EBF" w:rsidP="00AE17E8">
      <w:pPr>
        <w:pStyle w:val="BodyText"/>
        <w:ind w:left="720"/>
        <w:rPr>
          <w:szCs w:val="20"/>
        </w:rPr>
      </w:pPr>
      <w:r w:rsidRPr="0084638A">
        <w:rPr>
          <w:szCs w:val="20"/>
        </w:rPr>
        <w:t xml:space="preserve">Increased levels of underwater noise generated by vessels supporting ROV/diving activities, particularly from vessel (DP) thrusters, have the potential to disturb noise sensitive marine fauna. </w:t>
      </w:r>
    </w:p>
    <w:p w14:paraId="0F8ADB6D" w14:textId="77777777" w:rsidR="00E81EBF" w:rsidRDefault="00E81EBF" w:rsidP="00AE17E8">
      <w:pPr>
        <w:pStyle w:val="BodyText"/>
        <w:ind w:left="720"/>
        <w:rPr>
          <w:szCs w:val="20"/>
        </w:rPr>
      </w:pPr>
      <w:r w:rsidRPr="0084638A">
        <w:rPr>
          <w:szCs w:val="20"/>
        </w:rPr>
        <w:t xml:space="preserve">Activities that generate underwater noise can affect marine fauna by interfering with aural communication, eliciting changes in behaviour or, in extreme cases, by causing physiological damage to auditory organs. The potential for noise from anthropogenic sources to impact fauna depends on a range of factors, including the intensity and frequencies of the noise, prevailing ambient noise levels and the proximity of noise sensitive species. </w:t>
      </w:r>
    </w:p>
    <w:p w14:paraId="547D4C75" w14:textId="77777777" w:rsidR="005B4114" w:rsidRDefault="005B4114" w:rsidP="00AE17E8">
      <w:pPr>
        <w:pStyle w:val="BodyText"/>
        <w:ind w:left="720"/>
      </w:pPr>
      <w:r>
        <w:t>Studies reviewed by Richardson et al. (1995) identify the following reactions of marine fauna to vessel presence/sound:</w:t>
      </w:r>
    </w:p>
    <w:p w14:paraId="65EB07EF" w14:textId="77777777" w:rsidR="005B4114" w:rsidRDefault="005B4114" w:rsidP="00E439A6">
      <w:pPr>
        <w:pStyle w:val="Bullet1"/>
        <w:numPr>
          <w:ilvl w:val="0"/>
          <w:numId w:val="40"/>
        </w:numPr>
      </w:pPr>
      <w:r>
        <w:t>Sea lions (an octariid seal similar to fur seals) in water tolerate close and frequent approaches by vessels and sometimes congregate around fishing vessels. However, the amount of evidence is slender and it is not known whether these animals are affected or are stressed by these encounters (Peterson and Bartholomew, 1967; cited in Richardson et al, 1995).</w:t>
      </w:r>
    </w:p>
    <w:p w14:paraId="049C3717" w14:textId="77777777" w:rsidR="005B4114" w:rsidRDefault="005B4114" w:rsidP="00E439A6">
      <w:pPr>
        <w:pStyle w:val="Bullet1"/>
        <w:numPr>
          <w:ilvl w:val="0"/>
          <w:numId w:val="40"/>
        </w:numPr>
      </w:pPr>
      <w:r>
        <w:t xml:space="preserve">Dolphins of many species tolerate or even approach vessels but sometimes members of the same species show avoidance. Reactions appear to be dependent on the dolphin’s activity at the time - resting dolphins tend to avoid boats, foraging dolphins ignore them and socialising dolphins may approach vessels (B. Wursig, pers.obs.; cited in Richardson et al, 1995). Dolphins also reduce the energy costs of travel by riding the bow and stern waves of vessels (Williams et al, 1982; cited in Richardson et al, 1995).  </w:t>
      </w:r>
    </w:p>
    <w:p w14:paraId="77FA29F8" w14:textId="77777777" w:rsidR="005B4114" w:rsidRDefault="005B4114" w:rsidP="00E439A6">
      <w:pPr>
        <w:pStyle w:val="Bullet1"/>
        <w:numPr>
          <w:ilvl w:val="0"/>
          <w:numId w:val="40"/>
        </w:numPr>
      </w:pPr>
      <w:r>
        <w:t>Killer whales rarely showed avoidance to boats within 400 m (Duffus and Dearden, 1993; cited in Richardson et al, 1995), however further analysis showed subtle tendencies to swim faster especially if more than one boat was nearby and tend to move toward less confined waters (Kruse, 1991; cited in Richardson et al, 1995).</w:t>
      </w:r>
    </w:p>
    <w:p w14:paraId="53290D46" w14:textId="6BC1B749" w:rsidR="005B4114" w:rsidRDefault="005B4114" w:rsidP="00E439A6">
      <w:pPr>
        <w:pStyle w:val="Bullet1"/>
        <w:numPr>
          <w:ilvl w:val="0"/>
          <w:numId w:val="40"/>
        </w:numPr>
      </w:pPr>
      <w:r>
        <w:t xml:space="preserve">Sperm whales were observed to avoid out-board motored whale-watching vessels up to 2 km away with behavioural changes including altered surfacing/respiration dive patters and more erratic surface movements. Near those boats, surface times tended to be reduced with fewer blows per surfacing, shorter intervals between successive </w:t>
      </w:r>
      <w:r>
        <w:lastRenderedPageBreak/>
        <w:t xml:space="preserve">blows and increasing frequency of dives without raised flukes (J. McGibbon, in Cawthorn 1992; cited in Richardson et al, 1995). </w:t>
      </w:r>
    </w:p>
    <w:p w14:paraId="68EF0BC5" w14:textId="7ABD8CF1" w:rsidR="005B4114" w:rsidRDefault="005B4114" w:rsidP="00E439A6">
      <w:pPr>
        <w:pStyle w:val="Bullet1"/>
        <w:numPr>
          <w:ilvl w:val="0"/>
          <w:numId w:val="40"/>
        </w:numPr>
      </w:pPr>
      <w:r>
        <w:t xml:space="preserve">Baleen whales seem to ignore weak vessel sounds and move away in response to strong or rapidly changing vessel noise. Avoidance was particularly strong when vessels approached directly (Watkins, 1986; cited in Richardson et al, 1995). Some whales are attracted to noise from idleing outboard motors and are not seriously disturbed by small vessels however calling behaviour may change to reduce masking by boat noise. </w:t>
      </w:r>
    </w:p>
    <w:p w14:paraId="35A38080" w14:textId="7112AA9E" w:rsidR="005B4114" w:rsidRDefault="005B4114" w:rsidP="00E439A6">
      <w:pPr>
        <w:pStyle w:val="Bullet1"/>
        <w:numPr>
          <w:ilvl w:val="0"/>
          <w:numId w:val="40"/>
        </w:numPr>
      </w:pPr>
      <w:r>
        <w:t xml:space="preserve">Studies undertaken into Hawaiian humpbacks reaction, mostly to small vessels, identified that behaviours varied according to social groupings of whales (e.g. mothers, calves, etc.). Overall humpbacks tended to avoid vessels and sometimes directed threats toward them. The various effects often occurred when vessels were 500-1000 m away (Bauer, 1986; Bauer and Herman, 1986; cited in Richardson et al, 1995). </w:t>
      </w:r>
    </w:p>
    <w:p w14:paraId="74FD8FC2" w14:textId="191E6853" w:rsidR="005B4114" w:rsidRDefault="005B4114" w:rsidP="00AE17E8">
      <w:pPr>
        <w:pStyle w:val="BodyText"/>
        <w:ind w:left="720"/>
        <w:rPr>
          <w:lang w:eastAsia="en-US"/>
        </w:rPr>
      </w:pPr>
      <w:r>
        <w:rPr>
          <w:lang w:eastAsia="en-US"/>
        </w:rPr>
        <w:t xml:space="preserve">Sound sensitive species </w:t>
      </w:r>
      <w:r w:rsidR="003F632C">
        <w:rPr>
          <w:lang w:eastAsia="en-US"/>
        </w:rPr>
        <w:t>may</w:t>
      </w:r>
      <w:r>
        <w:rPr>
          <w:lang w:eastAsia="en-US"/>
        </w:rPr>
        <w:t xml:space="preserve"> be present in the CHN area </w:t>
      </w:r>
      <w:r w:rsidRPr="00DB7656">
        <w:rPr>
          <w:lang w:eastAsia="en-US"/>
        </w:rPr>
        <w:t xml:space="preserve">during IMR activities. </w:t>
      </w:r>
      <w:r>
        <w:rPr>
          <w:lang w:eastAsia="en-US"/>
        </w:rPr>
        <w:t xml:space="preserve">While sound levels generated by the IMR vessel are not expected to be sufficient to damage fauna, it is considered that localised and short-term displacement of sound sensitive species around the IMR vessel may occur. It is noted the Victorian State waters section of the </w:t>
      </w:r>
      <w:r w:rsidR="004455F7">
        <w:rPr>
          <w:lang w:eastAsia="en-US"/>
        </w:rPr>
        <w:t>CHN</w:t>
      </w:r>
      <w:r>
        <w:rPr>
          <w:lang w:eastAsia="en-US"/>
        </w:rPr>
        <w:t xml:space="preserve"> pipeline </w:t>
      </w:r>
      <w:r w:rsidR="004455F7">
        <w:rPr>
          <w:lang w:eastAsia="en-US"/>
        </w:rPr>
        <w:t xml:space="preserve">(VIC/PL37(v)) </w:t>
      </w:r>
      <w:r>
        <w:rPr>
          <w:lang w:eastAsia="en-US"/>
        </w:rPr>
        <w:t>alignment is a BIA for migrating and resting southern right whales. Avoidance effects demonstrated by these species will be localised, short-term and not significant at a population level (minor consequence).</w:t>
      </w:r>
    </w:p>
    <w:p w14:paraId="5FCBDBE6" w14:textId="1BC33904" w:rsidR="00BC7233" w:rsidRPr="0084638A" w:rsidRDefault="00BC7233" w:rsidP="00AE17E8">
      <w:pPr>
        <w:pStyle w:val="BodyText"/>
        <w:ind w:left="720"/>
        <w:rPr>
          <w:szCs w:val="20"/>
        </w:rPr>
      </w:pPr>
      <w:r>
        <w:rPr>
          <w:lang w:eastAsia="en-US"/>
        </w:rPr>
        <w:t>Vessel sound on benthic fauna (e.g. lobsters and sponges)</w:t>
      </w:r>
      <w:r w:rsidR="00876326">
        <w:rPr>
          <w:lang w:eastAsia="en-US"/>
        </w:rPr>
        <w:t xml:space="preserve"> will be similar to fishing vessels present in the area and given the low levels of sound emitted, not expected to have any physiological or behavioural impacts on these species.</w:t>
      </w:r>
    </w:p>
    <w:p w14:paraId="132B0685" w14:textId="0494FF2F" w:rsidR="00B22058" w:rsidRPr="0084638A" w:rsidRDefault="00B22058" w:rsidP="00AE17E8">
      <w:pPr>
        <w:pStyle w:val="BodyText"/>
        <w:ind w:left="720"/>
        <w:rPr>
          <w:szCs w:val="20"/>
          <w:u w:val="single"/>
        </w:rPr>
      </w:pPr>
      <w:r w:rsidRPr="0084638A">
        <w:rPr>
          <w:szCs w:val="20"/>
          <w:u w:val="single"/>
        </w:rPr>
        <w:t>Flight sound</w:t>
      </w:r>
    </w:p>
    <w:p w14:paraId="5AAC203B" w14:textId="3C590183" w:rsidR="00B22058" w:rsidRPr="0084638A" w:rsidRDefault="00B22058" w:rsidP="00AE17E8">
      <w:pPr>
        <w:pStyle w:val="BodyText"/>
        <w:ind w:left="720"/>
        <w:rPr>
          <w:szCs w:val="20"/>
        </w:rPr>
      </w:pPr>
      <w:r w:rsidRPr="0084638A">
        <w:rPr>
          <w:szCs w:val="20"/>
        </w:rPr>
        <w:t xml:space="preserve">Increased underwater and airborne noise from helicopter movements has the potential to cause impacts to birds along flight paths due to behavioural disturbance, and behavioural changes in cetaceans. Airborne noise from helicopters generally only penetrates water at angles greater than 26° (Richardson </w:t>
      </w:r>
      <w:r w:rsidRPr="0084638A">
        <w:rPr>
          <w:i/>
          <w:szCs w:val="20"/>
        </w:rPr>
        <w:t>et al</w:t>
      </w:r>
      <w:r w:rsidRPr="0084638A">
        <w:rPr>
          <w:szCs w:val="20"/>
        </w:rPr>
        <w:t xml:space="preserve">., 1995). </w:t>
      </w:r>
      <w:r w:rsidR="003A0A98" w:rsidRPr="0084638A">
        <w:rPr>
          <w:szCs w:val="20"/>
        </w:rPr>
        <w:t>Generally,</w:t>
      </w:r>
      <w:r w:rsidRPr="0084638A">
        <w:rPr>
          <w:szCs w:val="20"/>
        </w:rPr>
        <w:t xml:space="preserve"> this only results in a temporary change in behaviour (e.g., diving, tail slaps) in whales, which return to normal behaviour once the helicopter has passed (Richardson </w:t>
      </w:r>
      <w:r w:rsidRPr="0084638A">
        <w:rPr>
          <w:i/>
          <w:szCs w:val="20"/>
        </w:rPr>
        <w:t>et al</w:t>
      </w:r>
      <w:r w:rsidRPr="0084638A">
        <w:rPr>
          <w:szCs w:val="20"/>
        </w:rPr>
        <w:t>., 1985; Richardson and Malme, 1993), and occasional overflights are thought to have no long term impact on cetaceans (NMFS, 2001).</w:t>
      </w:r>
    </w:p>
    <w:p w14:paraId="4FCCF30C" w14:textId="4B1A4D49" w:rsidR="00B22058" w:rsidRPr="0084638A" w:rsidRDefault="00B22058" w:rsidP="00AE17E8">
      <w:pPr>
        <w:pStyle w:val="BodyText"/>
        <w:ind w:left="720"/>
        <w:rPr>
          <w:szCs w:val="20"/>
        </w:rPr>
      </w:pPr>
      <w:r w:rsidRPr="0084638A">
        <w:rPr>
          <w:szCs w:val="20"/>
        </w:rPr>
        <w:t>The majority of activity will be located offshore and therefore avoid sensitive nearshore areas</w:t>
      </w:r>
      <w:r w:rsidR="00E23F5E" w:rsidRPr="0084638A">
        <w:rPr>
          <w:szCs w:val="20"/>
        </w:rPr>
        <w:t xml:space="preserve"> (e.g., shorebird resting and breeding sites)</w:t>
      </w:r>
      <w:r w:rsidRPr="0084638A">
        <w:rPr>
          <w:szCs w:val="20"/>
        </w:rPr>
        <w:t xml:space="preserve">. With the very low level of helicopter movement expected to be required, significant disruption to seabirds or cetaceans from </w:t>
      </w:r>
      <w:r w:rsidR="00E23F5E" w:rsidRPr="0084638A">
        <w:rPr>
          <w:szCs w:val="20"/>
        </w:rPr>
        <w:t>helicopter</w:t>
      </w:r>
      <w:r w:rsidRPr="0084638A">
        <w:rPr>
          <w:szCs w:val="20"/>
        </w:rPr>
        <w:t xml:space="preserve"> </w:t>
      </w:r>
      <w:r w:rsidR="00E23F5E" w:rsidRPr="0084638A">
        <w:rPr>
          <w:szCs w:val="20"/>
        </w:rPr>
        <w:t>sound</w:t>
      </w:r>
      <w:r w:rsidRPr="0084638A">
        <w:rPr>
          <w:szCs w:val="20"/>
        </w:rPr>
        <w:t xml:space="preserve"> is very low</w:t>
      </w:r>
      <w:r w:rsidR="005B4114">
        <w:rPr>
          <w:szCs w:val="20"/>
        </w:rPr>
        <w:t xml:space="preserve"> (negligible consequence)</w:t>
      </w:r>
      <w:r w:rsidRPr="0084638A">
        <w:rPr>
          <w:szCs w:val="20"/>
        </w:rPr>
        <w:t>.</w:t>
      </w:r>
    </w:p>
    <w:p w14:paraId="33B01F49" w14:textId="77777777" w:rsidR="00024A95" w:rsidRPr="00AE17E8" w:rsidRDefault="00024A95" w:rsidP="00AE17E8">
      <w:pPr>
        <w:pStyle w:val="BodyText"/>
        <w:ind w:left="720"/>
        <w:rPr>
          <w:b/>
          <w:u w:val="single"/>
        </w:rPr>
      </w:pPr>
      <w:r w:rsidRPr="00AE17E8">
        <w:rPr>
          <w:b/>
          <w:u w:val="single"/>
        </w:rPr>
        <w:t>Impacts to Matters of NES</w:t>
      </w:r>
    </w:p>
    <w:p w14:paraId="06AD038C" w14:textId="012EC460" w:rsidR="00024A95" w:rsidRPr="0084638A" w:rsidRDefault="00CB6829" w:rsidP="00AE17E8">
      <w:pPr>
        <w:pStyle w:val="BodyText"/>
        <w:spacing w:after="240"/>
        <w:ind w:left="720"/>
        <w:rPr>
          <w:szCs w:val="20"/>
          <w:lang w:eastAsia="en-US"/>
        </w:rPr>
      </w:pPr>
      <w:r w:rsidRPr="0084638A">
        <w:rPr>
          <w:szCs w:val="20"/>
          <w:lang w:eastAsia="en-US"/>
        </w:rPr>
        <w:t>Underwater sound from vessels</w:t>
      </w:r>
      <w:r w:rsidR="00E23F5E" w:rsidRPr="0084638A">
        <w:rPr>
          <w:szCs w:val="20"/>
          <w:lang w:eastAsia="en-US"/>
        </w:rPr>
        <w:t>, helicopters</w:t>
      </w:r>
      <w:r w:rsidRPr="0084638A">
        <w:rPr>
          <w:szCs w:val="20"/>
          <w:lang w:eastAsia="en-US"/>
        </w:rPr>
        <w:t xml:space="preserve"> and ROV operations</w:t>
      </w:r>
      <w:r w:rsidR="00024A95" w:rsidRPr="0084638A">
        <w:rPr>
          <w:szCs w:val="20"/>
          <w:lang w:eastAsia="en-US"/>
        </w:rPr>
        <w:t xml:space="preserve"> will not have a ‘significant’ impact to any of the matters of NES applicable to this project</w:t>
      </w:r>
      <w:r w:rsidR="003F632C">
        <w:rPr>
          <w:szCs w:val="20"/>
          <w:lang w:eastAsia="en-US"/>
        </w:rPr>
        <w:t>.</w:t>
      </w:r>
      <w:r w:rsidR="00024A95" w:rsidRPr="0084638A">
        <w:rPr>
          <w:szCs w:val="20"/>
          <w:lang w:eastAsia="en-US"/>
        </w:rPr>
        <w:t xml:space="preserve"> </w:t>
      </w:r>
    </w:p>
    <w:p w14:paraId="55D9744A" w14:textId="77777777" w:rsidR="00024A95" w:rsidRPr="00AE17E8" w:rsidRDefault="00024A95" w:rsidP="00AE17E8">
      <w:pPr>
        <w:pStyle w:val="BodyText"/>
        <w:ind w:left="709"/>
        <w:rPr>
          <w:b/>
          <w:u w:val="single"/>
        </w:rPr>
      </w:pPr>
      <w:r w:rsidRPr="00AE17E8">
        <w:rPr>
          <w:b/>
          <w:u w:val="single"/>
        </w:rPr>
        <w:t>Impacts to other areas of Conservation Significance</w:t>
      </w:r>
    </w:p>
    <w:p w14:paraId="400FC1C0" w14:textId="7ACAC90F" w:rsidR="00024A95" w:rsidRPr="003F632C" w:rsidRDefault="00024A95" w:rsidP="003F632C">
      <w:pPr>
        <w:pStyle w:val="BodyText"/>
        <w:spacing w:after="240"/>
        <w:ind w:left="709"/>
        <w:rPr>
          <w:szCs w:val="20"/>
          <w:lang w:eastAsia="en-US"/>
        </w:rPr>
      </w:pPr>
      <w:r w:rsidRPr="0084638A">
        <w:rPr>
          <w:szCs w:val="20"/>
          <w:lang w:eastAsia="en-US"/>
        </w:rPr>
        <w:t xml:space="preserve">There are no other areas of conservation significance within the EMBA for </w:t>
      </w:r>
      <w:r w:rsidR="00066095" w:rsidRPr="0084638A">
        <w:rPr>
          <w:szCs w:val="20"/>
          <w:lang w:eastAsia="en-US"/>
        </w:rPr>
        <w:t>underwater sound</w:t>
      </w:r>
      <w:r w:rsidRPr="0084638A">
        <w:rPr>
          <w:szCs w:val="20"/>
          <w:lang w:eastAsia="en-US"/>
        </w:rPr>
        <w:t xml:space="preserve">. </w:t>
      </w:r>
      <w:r w:rsidR="00066095" w:rsidRPr="0084638A">
        <w:rPr>
          <w:szCs w:val="20"/>
          <w:lang w:eastAsia="en-US"/>
        </w:rPr>
        <w:t xml:space="preserve">Underwater sound </w:t>
      </w:r>
      <w:r w:rsidRPr="0084638A">
        <w:rPr>
          <w:szCs w:val="20"/>
          <w:lang w:eastAsia="en-US"/>
        </w:rPr>
        <w:t>will not have any impacts to other areas of conservat</w:t>
      </w:r>
      <w:r w:rsidR="003F632C">
        <w:rPr>
          <w:szCs w:val="20"/>
          <w:lang w:eastAsia="en-US"/>
        </w:rPr>
        <w:t>ion significance.</w:t>
      </w:r>
      <w:r w:rsidRPr="0084638A">
        <w:rPr>
          <w:szCs w:val="20"/>
          <w:lang w:eastAsia="en-US"/>
        </w:rPr>
        <w:t xml:space="preserve"> </w:t>
      </w:r>
    </w:p>
    <w:p w14:paraId="3788C416" w14:textId="77777777" w:rsidR="00024A95" w:rsidRDefault="00024A95" w:rsidP="00914C00">
      <w:pPr>
        <w:pStyle w:val="Heading3"/>
      </w:pPr>
      <w:r>
        <w:t>Impact Assessment</w:t>
      </w:r>
    </w:p>
    <w:p w14:paraId="14D7489A" w14:textId="37B5DDFD" w:rsidR="00024A95" w:rsidRDefault="0084638A" w:rsidP="00AE17E8">
      <w:pPr>
        <w:pStyle w:val="BodyText"/>
        <w:ind w:left="720"/>
        <w:rPr>
          <w:szCs w:val="20"/>
          <w:lang w:eastAsia="en-US"/>
        </w:rPr>
      </w:pPr>
      <w:r w:rsidRPr="0084638A">
        <w:rPr>
          <w:color w:val="FF0000"/>
          <w:szCs w:val="20"/>
          <w:lang w:eastAsia="en-US"/>
        </w:rPr>
        <w:fldChar w:fldCharType="begin"/>
      </w:r>
      <w:r w:rsidRPr="0084638A">
        <w:rPr>
          <w:szCs w:val="20"/>
          <w:lang w:eastAsia="en-US"/>
        </w:rPr>
        <w:instrText xml:space="preserve"> REF _Ref473380404 \h </w:instrText>
      </w:r>
      <w:r>
        <w:rPr>
          <w:color w:val="FF0000"/>
          <w:szCs w:val="20"/>
          <w:lang w:eastAsia="en-US"/>
        </w:rPr>
        <w:instrText xml:space="preserve"> \* MERGEFORMAT </w:instrText>
      </w:r>
      <w:r w:rsidRPr="0084638A">
        <w:rPr>
          <w:color w:val="FF0000"/>
          <w:szCs w:val="20"/>
          <w:lang w:eastAsia="en-US"/>
        </w:rPr>
      </w:r>
      <w:r w:rsidRPr="0084638A">
        <w:rPr>
          <w:color w:val="FF0000"/>
          <w:szCs w:val="20"/>
          <w:lang w:eastAsia="en-US"/>
        </w:rPr>
        <w:fldChar w:fldCharType="separate"/>
      </w:r>
      <w:r w:rsidR="00CC4C35" w:rsidRPr="0084638A">
        <w:rPr>
          <w:szCs w:val="20"/>
        </w:rPr>
        <w:t xml:space="preserve">Table </w:t>
      </w:r>
      <w:r w:rsidR="00CC4C35">
        <w:rPr>
          <w:noProof/>
          <w:szCs w:val="20"/>
        </w:rPr>
        <w:t>5</w:t>
      </w:r>
      <w:r w:rsidR="00CC4C35">
        <w:rPr>
          <w:noProof/>
          <w:szCs w:val="20"/>
        </w:rPr>
        <w:noBreakHyphen/>
        <w:t>4</w:t>
      </w:r>
      <w:r w:rsidRPr="0084638A">
        <w:rPr>
          <w:color w:val="FF0000"/>
          <w:szCs w:val="20"/>
          <w:lang w:eastAsia="en-US"/>
        </w:rPr>
        <w:fldChar w:fldCharType="end"/>
      </w:r>
      <w:r w:rsidRPr="0084638A">
        <w:rPr>
          <w:color w:val="FF0000"/>
          <w:szCs w:val="20"/>
          <w:lang w:eastAsia="en-US"/>
        </w:rPr>
        <w:t xml:space="preserve"> </w:t>
      </w:r>
      <w:r w:rsidR="00024A95" w:rsidRPr="0084638A">
        <w:rPr>
          <w:szCs w:val="20"/>
          <w:lang w:eastAsia="en-US"/>
        </w:rPr>
        <w:t xml:space="preserve">presents the </w:t>
      </w:r>
      <w:r w:rsidR="00BD0DC3" w:rsidRPr="0084638A">
        <w:rPr>
          <w:szCs w:val="20"/>
          <w:lang w:eastAsia="en-US"/>
        </w:rPr>
        <w:t>impact</w:t>
      </w:r>
      <w:r w:rsidR="00024A95" w:rsidRPr="0084638A">
        <w:rPr>
          <w:szCs w:val="20"/>
          <w:lang w:eastAsia="en-US"/>
        </w:rPr>
        <w:t xml:space="preserve"> assessment for </w:t>
      </w:r>
      <w:r w:rsidR="00BD0DC3" w:rsidRPr="0084638A">
        <w:rPr>
          <w:szCs w:val="20"/>
          <w:lang w:eastAsia="en-US"/>
        </w:rPr>
        <w:t>underwater sound</w:t>
      </w:r>
      <w:r w:rsidR="00024A95" w:rsidRPr="0084638A">
        <w:rPr>
          <w:szCs w:val="20"/>
          <w:lang w:eastAsia="en-US"/>
        </w:rPr>
        <w:t xml:space="preserve">. </w:t>
      </w:r>
    </w:p>
    <w:p w14:paraId="171898FA" w14:textId="0B58908A" w:rsidR="00BD0DC3" w:rsidRPr="00ED5388" w:rsidRDefault="0084638A" w:rsidP="00B86A7D">
      <w:pPr>
        <w:pStyle w:val="Caption"/>
        <w:outlineLvl w:val="9"/>
        <w:rPr>
          <w:sz w:val="20"/>
          <w:szCs w:val="20"/>
        </w:rPr>
      </w:pPr>
      <w:bookmarkStart w:id="192" w:name="_Ref473380404"/>
      <w:bookmarkStart w:id="193" w:name="_Toc511032595"/>
      <w:r w:rsidRPr="0084638A">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4</w:t>
      </w:r>
      <w:r w:rsidR="00103328">
        <w:rPr>
          <w:sz w:val="20"/>
          <w:szCs w:val="20"/>
        </w:rPr>
        <w:fldChar w:fldCharType="end"/>
      </w:r>
      <w:bookmarkEnd w:id="192"/>
      <w:r w:rsidRPr="0084638A">
        <w:rPr>
          <w:sz w:val="20"/>
          <w:szCs w:val="20"/>
        </w:rPr>
        <w:t>: EIA for underwater sound</w:t>
      </w:r>
      <w:bookmarkEnd w:id="193"/>
    </w:p>
    <w:tbl>
      <w:tblPr>
        <w:tblW w:w="9072" w:type="dxa"/>
        <w:tblInd w:w="1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127"/>
        <w:gridCol w:w="6945"/>
      </w:tblGrid>
      <w:tr w:rsidR="00653268" w:rsidRPr="0084638A" w14:paraId="6294847F" w14:textId="77777777" w:rsidTr="00153F4C">
        <w:trPr>
          <w:cantSplit/>
        </w:trPr>
        <w:tc>
          <w:tcPr>
            <w:tcW w:w="2127" w:type="dxa"/>
            <w:shd w:val="clear" w:color="auto" w:fill="BFBFBF" w:themeFill="background1" w:themeFillShade="BF"/>
          </w:tcPr>
          <w:p w14:paraId="1C7CDD32" w14:textId="398ED0FC" w:rsidR="00653268" w:rsidRPr="0084638A" w:rsidRDefault="00653268" w:rsidP="00E439A6">
            <w:pPr>
              <w:pStyle w:val="Tabletext"/>
              <w:spacing w:line="240" w:lineRule="auto"/>
              <w:rPr>
                <w:rFonts w:ascii="Arial" w:hAnsi="Arial" w:cs="Arial"/>
                <w:b/>
                <w:sz w:val="16"/>
                <w:szCs w:val="16"/>
              </w:rPr>
            </w:pPr>
            <w:r>
              <w:rPr>
                <w:rFonts w:ascii="Arial" w:hAnsi="Arial" w:cs="Arial"/>
                <w:b/>
                <w:sz w:val="16"/>
                <w:szCs w:val="16"/>
              </w:rPr>
              <w:t>Aspect:</w:t>
            </w:r>
          </w:p>
        </w:tc>
        <w:tc>
          <w:tcPr>
            <w:tcW w:w="6945" w:type="dxa"/>
          </w:tcPr>
          <w:p w14:paraId="7D3E8580" w14:textId="4A300D9D" w:rsidR="00653268" w:rsidRPr="0084638A" w:rsidRDefault="00653268" w:rsidP="00E439A6">
            <w:pPr>
              <w:pStyle w:val="Tabletext"/>
              <w:spacing w:line="240" w:lineRule="auto"/>
              <w:jc w:val="left"/>
              <w:rPr>
                <w:rFonts w:ascii="Arial" w:hAnsi="Arial" w:cs="Arial"/>
                <w:sz w:val="16"/>
                <w:szCs w:val="16"/>
              </w:rPr>
            </w:pPr>
            <w:r>
              <w:rPr>
                <w:rFonts w:ascii="Arial" w:hAnsi="Arial" w:cs="Arial"/>
                <w:sz w:val="16"/>
                <w:szCs w:val="16"/>
              </w:rPr>
              <w:t>Vessel Sound Disturbance</w:t>
            </w:r>
          </w:p>
        </w:tc>
      </w:tr>
      <w:tr w:rsidR="00BD0DC3" w:rsidRPr="0084638A" w14:paraId="63D2EB82" w14:textId="77777777" w:rsidTr="00153F4C">
        <w:trPr>
          <w:cantSplit/>
        </w:trPr>
        <w:tc>
          <w:tcPr>
            <w:tcW w:w="2127" w:type="dxa"/>
            <w:shd w:val="clear" w:color="auto" w:fill="BFBFBF" w:themeFill="background1" w:themeFillShade="BF"/>
          </w:tcPr>
          <w:p w14:paraId="25B15C27" w14:textId="77777777" w:rsidR="00BD0DC3" w:rsidRPr="0084638A" w:rsidRDefault="00BD0DC3" w:rsidP="00E439A6">
            <w:pPr>
              <w:pStyle w:val="Tabletext"/>
              <w:spacing w:line="240" w:lineRule="auto"/>
              <w:rPr>
                <w:rFonts w:ascii="Arial" w:hAnsi="Arial" w:cs="Arial"/>
                <w:b/>
                <w:sz w:val="16"/>
                <w:szCs w:val="16"/>
              </w:rPr>
            </w:pPr>
            <w:r w:rsidRPr="0084638A">
              <w:rPr>
                <w:rFonts w:ascii="Arial" w:hAnsi="Arial" w:cs="Arial"/>
                <w:b/>
                <w:sz w:val="16"/>
                <w:szCs w:val="16"/>
              </w:rPr>
              <w:t xml:space="preserve">Impact summary </w:t>
            </w:r>
          </w:p>
        </w:tc>
        <w:tc>
          <w:tcPr>
            <w:tcW w:w="6945" w:type="dxa"/>
          </w:tcPr>
          <w:p w14:paraId="202919E3" w14:textId="71B06585" w:rsidR="00BD0DC3" w:rsidRPr="0084638A" w:rsidRDefault="001E69C7" w:rsidP="00E439A6">
            <w:pPr>
              <w:pStyle w:val="Tabletext"/>
              <w:spacing w:line="240" w:lineRule="auto"/>
              <w:jc w:val="left"/>
              <w:rPr>
                <w:rFonts w:ascii="Arial" w:hAnsi="Arial" w:cs="Arial"/>
                <w:sz w:val="16"/>
                <w:szCs w:val="16"/>
              </w:rPr>
            </w:pPr>
            <w:r w:rsidRPr="0084638A">
              <w:rPr>
                <w:rFonts w:ascii="Arial" w:hAnsi="Arial" w:cs="Arial"/>
                <w:sz w:val="16"/>
                <w:szCs w:val="16"/>
              </w:rPr>
              <w:t xml:space="preserve">Behavioural changes (e.g., startle response) in sound-sensitive species, especially cetaceans. </w:t>
            </w:r>
            <w:r w:rsidR="00BD0DC3" w:rsidRPr="0084638A">
              <w:rPr>
                <w:rFonts w:ascii="Arial" w:hAnsi="Arial" w:cs="Arial"/>
                <w:sz w:val="16"/>
                <w:szCs w:val="16"/>
              </w:rPr>
              <w:t xml:space="preserve"> </w:t>
            </w:r>
          </w:p>
        </w:tc>
      </w:tr>
      <w:tr w:rsidR="00BD0DC3" w:rsidRPr="0084638A" w14:paraId="71AA5708" w14:textId="77777777" w:rsidTr="00153F4C">
        <w:trPr>
          <w:cantSplit/>
        </w:trPr>
        <w:tc>
          <w:tcPr>
            <w:tcW w:w="2127" w:type="dxa"/>
            <w:shd w:val="clear" w:color="auto" w:fill="BFBFBF" w:themeFill="background1" w:themeFillShade="BF"/>
          </w:tcPr>
          <w:p w14:paraId="2DA1D676" w14:textId="77777777" w:rsidR="00BD0DC3" w:rsidRPr="0084638A" w:rsidRDefault="00BD0DC3" w:rsidP="00E439A6">
            <w:pPr>
              <w:pStyle w:val="Tabletext"/>
              <w:spacing w:line="240" w:lineRule="auto"/>
              <w:jc w:val="left"/>
              <w:rPr>
                <w:rFonts w:ascii="Arial" w:hAnsi="Arial" w:cs="Arial"/>
                <w:b/>
                <w:sz w:val="16"/>
                <w:szCs w:val="16"/>
              </w:rPr>
            </w:pPr>
            <w:r w:rsidRPr="0084638A">
              <w:rPr>
                <w:rFonts w:ascii="Arial" w:hAnsi="Arial" w:cs="Arial"/>
                <w:b/>
                <w:sz w:val="16"/>
                <w:szCs w:val="16"/>
              </w:rPr>
              <w:t xml:space="preserve">Extent of impact </w:t>
            </w:r>
          </w:p>
        </w:tc>
        <w:tc>
          <w:tcPr>
            <w:tcW w:w="6945" w:type="dxa"/>
          </w:tcPr>
          <w:p w14:paraId="34AD267D" w14:textId="76558DE9" w:rsidR="00BD0DC3" w:rsidRPr="0084638A" w:rsidRDefault="00BD0DC3" w:rsidP="00E439A6">
            <w:pPr>
              <w:pStyle w:val="Tabletext"/>
              <w:spacing w:line="240" w:lineRule="auto"/>
              <w:jc w:val="left"/>
              <w:rPr>
                <w:rFonts w:ascii="Arial" w:hAnsi="Arial" w:cs="Arial"/>
                <w:sz w:val="16"/>
                <w:szCs w:val="16"/>
              </w:rPr>
            </w:pPr>
            <w:r w:rsidRPr="0084638A">
              <w:rPr>
                <w:rFonts w:ascii="Arial" w:hAnsi="Arial" w:cs="Arial"/>
                <w:sz w:val="16"/>
                <w:szCs w:val="16"/>
              </w:rPr>
              <w:t xml:space="preserve">Localised. </w:t>
            </w:r>
          </w:p>
        </w:tc>
      </w:tr>
      <w:tr w:rsidR="00BD0DC3" w:rsidRPr="0084638A" w14:paraId="383B5ED8" w14:textId="77777777" w:rsidTr="00153F4C">
        <w:trPr>
          <w:cantSplit/>
        </w:trPr>
        <w:tc>
          <w:tcPr>
            <w:tcW w:w="2127" w:type="dxa"/>
            <w:shd w:val="clear" w:color="auto" w:fill="BFBFBF" w:themeFill="background1" w:themeFillShade="BF"/>
          </w:tcPr>
          <w:p w14:paraId="2ED9D501" w14:textId="77777777" w:rsidR="00BD0DC3" w:rsidRPr="0084638A" w:rsidRDefault="00BD0DC3" w:rsidP="00E439A6">
            <w:pPr>
              <w:pStyle w:val="Tabletext"/>
              <w:spacing w:line="240" w:lineRule="auto"/>
              <w:jc w:val="left"/>
              <w:rPr>
                <w:rFonts w:ascii="Arial" w:hAnsi="Arial" w:cs="Arial"/>
                <w:b/>
                <w:sz w:val="16"/>
                <w:szCs w:val="16"/>
              </w:rPr>
            </w:pPr>
            <w:r w:rsidRPr="0084638A">
              <w:rPr>
                <w:rFonts w:ascii="Arial" w:hAnsi="Arial" w:cs="Arial"/>
                <w:b/>
                <w:sz w:val="16"/>
                <w:szCs w:val="16"/>
              </w:rPr>
              <w:lastRenderedPageBreak/>
              <w:t xml:space="preserve">Duration of impact </w:t>
            </w:r>
          </w:p>
        </w:tc>
        <w:tc>
          <w:tcPr>
            <w:tcW w:w="6945" w:type="dxa"/>
          </w:tcPr>
          <w:p w14:paraId="6036FAAB" w14:textId="5D084AED" w:rsidR="00BD0DC3" w:rsidRPr="0084638A" w:rsidRDefault="00995919" w:rsidP="00E439A6">
            <w:pPr>
              <w:pStyle w:val="Tabletext"/>
              <w:spacing w:line="240" w:lineRule="auto"/>
              <w:jc w:val="left"/>
              <w:rPr>
                <w:rFonts w:ascii="Arial" w:hAnsi="Arial" w:cs="Arial"/>
                <w:sz w:val="16"/>
                <w:szCs w:val="16"/>
              </w:rPr>
            </w:pPr>
            <w:r w:rsidRPr="0084638A">
              <w:rPr>
                <w:rFonts w:ascii="Arial" w:hAnsi="Arial" w:cs="Arial"/>
                <w:sz w:val="16"/>
                <w:szCs w:val="16"/>
              </w:rPr>
              <w:t xml:space="preserve">Temporary (duration of vessel, helicopter or ROV presence). </w:t>
            </w:r>
          </w:p>
        </w:tc>
      </w:tr>
      <w:tr w:rsidR="00BD0DC3" w:rsidRPr="0084638A" w14:paraId="258EDA81" w14:textId="77777777" w:rsidTr="00153F4C">
        <w:trPr>
          <w:cantSplit/>
        </w:trPr>
        <w:tc>
          <w:tcPr>
            <w:tcW w:w="2127" w:type="dxa"/>
            <w:shd w:val="clear" w:color="auto" w:fill="BFBFBF" w:themeFill="background1" w:themeFillShade="BF"/>
          </w:tcPr>
          <w:p w14:paraId="58B24D73" w14:textId="5076F30F" w:rsidR="00BD0DC3" w:rsidRPr="0084638A" w:rsidRDefault="00BD0DC3" w:rsidP="00E439A6">
            <w:pPr>
              <w:pStyle w:val="Tabletext"/>
              <w:spacing w:line="240" w:lineRule="auto"/>
              <w:jc w:val="left"/>
              <w:rPr>
                <w:rFonts w:ascii="Arial" w:hAnsi="Arial" w:cs="Arial"/>
                <w:b/>
                <w:sz w:val="16"/>
                <w:szCs w:val="16"/>
              </w:rPr>
            </w:pPr>
            <w:r w:rsidRPr="0084638A">
              <w:rPr>
                <w:rFonts w:ascii="Arial" w:hAnsi="Arial" w:cs="Arial"/>
                <w:b/>
                <w:sz w:val="16"/>
                <w:szCs w:val="16"/>
              </w:rPr>
              <w:t>Level of certainty of impact</w:t>
            </w:r>
            <w:r w:rsidR="009C7BF9" w:rsidRPr="0084638A">
              <w:rPr>
                <w:rFonts w:ascii="Arial" w:hAnsi="Arial" w:cs="Arial"/>
                <w:b/>
                <w:sz w:val="16"/>
                <w:szCs w:val="16"/>
              </w:rPr>
              <w:t xml:space="preserve"> </w:t>
            </w:r>
          </w:p>
        </w:tc>
        <w:tc>
          <w:tcPr>
            <w:tcW w:w="6945" w:type="dxa"/>
          </w:tcPr>
          <w:p w14:paraId="4B520B78" w14:textId="222F5A63" w:rsidR="00BD0DC3" w:rsidRPr="0084638A" w:rsidRDefault="00BD0DC3" w:rsidP="00E439A6">
            <w:pPr>
              <w:pStyle w:val="Tabletext"/>
              <w:spacing w:line="240" w:lineRule="auto"/>
              <w:jc w:val="left"/>
              <w:rPr>
                <w:rFonts w:ascii="Arial" w:hAnsi="Arial" w:cs="Arial"/>
                <w:sz w:val="16"/>
                <w:szCs w:val="16"/>
              </w:rPr>
            </w:pPr>
            <w:r w:rsidRPr="0084638A">
              <w:rPr>
                <w:rFonts w:ascii="Arial" w:hAnsi="Arial" w:cs="Arial"/>
                <w:sz w:val="16"/>
                <w:szCs w:val="16"/>
              </w:rPr>
              <w:t xml:space="preserve">HIGH. </w:t>
            </w:r>
            <w:r w:rsidR="00995919" w:rsidRPr="0084638A">
              <w:rPr>
                <w:rFonts w:ascii="Arial" w:hAnsi="Arial" w:cs="Arial"/>
                <w:sz w:val="16"/>
                <w:szCs w:val="16"/>
              </w:rPr>
              <w:t xml:space="preserve">Significant research has been undertaken on the impacts of underwater sound on biological receptors. </w:t>
            </w:r>
          </w:p>
        </w:tc>
      </w:tr>
      <w:tr w:rsidR="00BD0DC3" w:rsidRPr="0084638A" w14:paraId="2D3A23BF" w14:textId="77777777" w:rsidTr="00153F4C">
        <w:trPr>
          <w:cantSplit/>
        </w:trPr>
        <w:tc>
          <w:tcPr>
            <w:tcW w:w="2127" w:type="dxa"/>
            <w:shd w:val="clear" w:color="auto" w:fill="BFBFBF" w:themeFill="background1" w:themeFillShade="BF"/>
          </w:tcPr>
          <w:p w14:paraId="07B24AF4" w14:textId="77777777" w:rsidR="00BD0DC3" w:rsidRPr="0084638A" w:rsidRDefault="00BD0DC3" w:rsidP="003A0A98">
            <w:pPr>
              <w:pStyle w:val="Tabletext"/>
              <w:spacing w:line="240" w:lineRule="auto"/>
              <w:jc w:val="left"/>
              <w:rPr>
                <w:rFonts w:ascii="Arial" w:hAnsi="Arial" w:cs="Arial"/>
                <w:b/>
                <w:sz w:val="16"/>
                <w:szCs w:val="16"/>
              </w:rPr>
            </w:pPr>
            <w:r w:rsidRPr="0084638A">
              <w:rPr>
                <w:rFonts w:ascii="Arial" w:hAnsi="Arial" w:cs="Arial"/>
                <w:b/>
                <w:sz w:val="16"/>
                <w:szCs w:val="16"/>
              </w:rPr>
              <w:t>Impact decision framework context</w:t>
            </w:r>
          </w:p>
        </w:tc>
        <w:tc>
          <w:tcPr>
            <w:tcW w:w="6945" w:type="dxa"/>
          </w:tcPr>
          <w:p w14:paraId="5DF2231E" w14:textId="5BA03971" w:rsidR="00BD0DC3" w:rsidRPr="0084638A" w:rsidRDefault="00BD0DC3" w:rsidP="00E439A6">
            <w:pPr>
              <w:pStyle w:val="Tabletext"/>
              <w:spacing w:line="240" w:lineRule="auto"/>
              <w:jc w:val="left"/>
              <w:rPr>
                <w:rFonts w:ascii="Arial" w:hAnsi="Arial" w:cs="Arial"/>
                <w:sz w:val="16"/>
                <w:szCs w:val="16"/>
              </w:rPr>
            </w:pPr>
            <w:r w:rsidRPr="0084638A">
              <w:rPr>
                <w:rFonts w:ascii="Arial" w:hAnsi="Arial" w:cs="Arial"/>
                <w:sz w:val="16"/>
                <w:szCs w:val="16"/>
              </w:rPr>
              <w:t xml:space="preserve">A (nothing new or unusual, represents business as usual, well understood activity, good practice is well </w:t>
            </w:r>
            <w:r w:rsidRPr="00653268">
              <w:rPr>
                <w:rFonts w:ascii="Arial" w:hAnsi="Arial" w:cs="Arial"/>
                <w:sz w:val="16"/>
                <w:szCs w:val="16"/>
              </w:rPr>
              <w:t xml:space="preserve">defined). </w:t>
            </w:r>
            <w:r w:rsidR="00653268" w:rsidRPr="004705DB">
              <w:rPr>
                <w:rFonts w:ascii="Arial" w:hAnsi="Arial" w:cs="Arial"/>
                <w:i/>
                <w:sz w:val="16"/>
                <w:szCs w:val="16"/>
              </w:rPr>
              <w:t>ALARP to be demonstrated on adherence to legislation, industry codes and good professional judgement</w:t>
            </w:r>
          </w:p>
        </w:tc>
      </w:tr>
    </w:tbl>
    <w:p w14:paraId="00F1CBB2" w14:textId="2A97304F" w:rsidR="00024A95" w:rsidRDefault="00C702A1" w:rsidP="00F73207">
      <w:pPr>
        <w:pStyle w:val="Heading2"/>
      </w:pPr>
      <w:bookmarkStart w:id="194" w:name="_Toc345581934"/>
      <w:bookmarkStart w:id="195" w:name="_Toc512862477"/>
      <w:r>
        <w:t xml:space="preserve">IMPACT: </w:t>
      </w:r>
      <w:r w:rsidR="00024A95">
        <w:t>Atmospheric Emissions</w:t>
      </w:r>
      <w:bookmarkEnd w:id="194"/>
      <w:r w:rsidR="00B24B8B">
        <w:t xml:space="preserve"> (Vessels)</w:t>
      </w:r>
      <w:bookmarkEnd w:id="195"/>
    </w:p>
    <w:p w14:paraId="57201433" w14:textId="77777777" w:rsidR="00024A95" w:rsidRDefault="00024A95" w:rsidP="00914C00">
      <w:pPr>
        <w:pStyle w:val="Heading3"/>
      </w:pPr>
      <w:r>
        <w:t>Hazard</w:t>
      </w:r>
    </w:p>
    <w:p w14:paraId="5AC0F85A" w14:textId="1859EF4E" w:rsidR="00776CFF" w:rsidRPr="00F73207" w:rsidRDefault="00776CFF" w:rsidP="00AE17E8">
      <w:pPr>
        <w:pStyle w:val="ColorfulList-Accent11"/>
        <w:spacing w:before="120"/>
        <w:jc w:val="both"/>
        <w:rPr>
          <w:rFonts w:eastAsia="SimSun"/>
          <w:kern w:val="2"/>
          <w:sz w:val="20"/>
          <w:szCs w:val="20"/>
          <w:lang w:eastAsia="en-US"/>
        </w:rPr>
      </w:pPr>
      <w:r w:rsidRPr="00F73207">
        <w:rPr>
          <w:rFonts w:eastAsia="SimSun"/>
          <w:kern w:val="2"/>
          <w:sz w:val="20"/>
          <w:szCs w:val="20"/>
          <w:lang w:eastAsia="en-US"/>
        </w:rPr>
        <w:t xml:space="preserve">The use of fuel (specifically marine-grade diesel) to power engines, generators and mobile and fixed plant (e.g., ROV, crane), will result in gaseous emissions of </w:t>
      </w:r>
      <w:r w:rsidR="00B61986" w:rsidRPr="00F73207">
        <w:rPr>
          <w:rFonts w:eastAsia="SimSun"/>
          <w:kern w:val="2"/>
          <w:sz w:val="20"/>
          <w:szCs w:val="20"/>
          <w:lang w:eastAsia="en-US"/>
        </w:rPr>
        <w:t>greenhouse gases (</w:t>
      </w:r>
      <w:r w:rsidRPr="00F73207">
        <w:rPr>
          <w:rFonts w:eastAsia="SimSun"/>
          <w:kern w:val="2"/>
          <w:sz w:val="20"/>
          <w:szCs w:val="20"/>
          <w:lang w:eastAsia="en-US"/>
        </w:rPr>
        <w:t>GHG</w:t>
      </w:r>
      <w:r w:rsidR="00B61986" w:rsidRPr="00F73207">
        <w:rPr>
          <w:rFonts w:eastAsia="SimSun"/>
          <w:kern w:val="2"/>
          <w:sz w:val="20"/>
          <w:szCs w:val="20"/>
          <w:lang w:eastAsia="en-US"/>
        </w:rPr>
        <w:t>)</w:t>
      </w:r>
      <w:r w:rsidRPr="00F73207">
        <w:rPr>
          <w:rFonts w:eastAsia="SimSun"/>
          <w:kern w:val="2"/>
          <w:sz w:val="20"/>
          <w:szCs w:val="20"/>
          <w:lang w:eastAsia="en-US"/>
        </w:rPr>
        <w:t xml:space="preserve"> such as carbon dioxide (CO</w:t>
      </w:r>
      <w:r w:rsidRPr="00F73207">
        <w:rPr>
          <w:rFonts w:eastAsia="SimSun"/>
          <w:kern w:val="2"/>
          <w:sz w:val="20"/>
          <w:szCs w:val="20"/>
          <w:vertAlign w:val="subscript"/>
          <w:lang w:eastAsia="en-US"/>
        </w:rPr>
        <w:t>2</w:t>
      </w:r>
      <w:r w:rsidRPr="00F73207">
        <w:rPr>
          <w:rFonts w:eastAsia="SimSun"/>
          <w:kern w:val="2"/>
          <w:sz w:val="20"/>
          <w:szCs w:val="20"/>
          <w:lang w:eastAsia="en-US"/>
        </w:rPr>
        <w:t>), methane (CH</w:t>
      </w:r>
      <w:r w:rsidRPr="00F73207">
        <w:rPr>
          <w:rFonts w:eastAsia="SimSun"/>
          <w:kern w:val="2"/>
          <w:sz w:val="20"/>
          <w:szCs w:val="20"/>
          <w:vertAlign w:val="subscript"/>
          <w:lang w:eastAsia="en-US"/>
        </w:rPr>
        <w:t>4</w:t>
      </w:r>
      <w:r w:rsidRPr="00F73207">
        <w:rPr>
          <w:rFonts w:eastAsia="SimSun"/>
          <w:kern w:val="2"/>
          <w:sz w:val="20"/>
          <w:szCs w:val="20"/>
          <w:lang w:eastAsia="en-US"/>
        </w:rPr>
        <w:t>) and nitrous oxide (N</w:t>
      </w:r>
      <w:r w:rsidRPr="00F73207">
        <w:rPr>
          <w:rFonts w:eastAsia="SimSun"/>
          <w:kern w:val="2"/>
          <w:sz w:val="20"/>
          <w:szCs w:val="20"/>
          <w:vertAlign w:val="subscript"/>
          <w:lang w:eastAsia="en-US"/>
        </w:rPr>
        <w:t>2</w:t>
      </w:r>
      <w:r w:rsidRPr="00F73207">
        <w:rPr>
          <w:rFonts w:eastAsia="SimSun"/>
          <w:kern w:val="2"/>
          <w:sz w:val="20"/>
          <w:szCs w:val="20"/>
          <w:lang w:eastAsia="en-US"/>
        </w:rPr>
        <w:t>O), along with non-GHG such as sulphur oxides (SO</w:t>
      </w:r>
      <w:r w:rsidRPr="00F73207">
        <w:rPr>
          <w:rFonts w:eastAsia="SimSun"/>
          <w:kern w:val="2"/>
          <w:sz w:val="20"/>
          <w:szCs w:val="20"/>
          <w:vertAlign w:val="subscript"/>
          <w:lang w:eastAsia="en-US"/>
        </w:rPr>
        <w:t>X</w:t>
      </w:r>
      <w:r w:rsidRPr="00F73207">
        <w:rPr>
          <w:rFonts w:eastAsia="SimSun"/>
          <w:kern w:val="2"/>
          <w:sz w:val="20"/>
          <w:szCs w:val="20"/>
          <w:lang w:eastAsia="en-US"/>
        </w:rPr>
        <w:t>) and nitrous oxides (NO</w:t>
      </w:r>
      <w:r w:rsidRPr="00F73207">
        <w:rPr>
          <w:rFonts w:eastAsia="SimSun"/>
          <w:kern w:val="2"/>
          <w:sz w:val="20"/>
          <w:szCs w:val="20"/>
          <w:vertAlign w:val="subscript"/>
          <w:lang w:eastAsia="en-US"/>
        </w:rPr>
        <w:t>X</w:t>
      </w:r>
      <w:r w:rsidRPr="00F73207">
        <w:rPr>
          <w:rFonts w:eastAsia="SimSun"/>
          <w:kern w:val="2"/>
          <w:sz w:val="20"/>
          <w:szCs w:val="20"/>
          <w:lang w:eastAsia="en-US"/>
        </w:rPr>
        <w:t xml:space="preserve">). </w:t>
      </w:r>
      <w:r w:rsidR="00B61986" w:rsidRPr="00F73207">
        <w:rPr>
          <w:rFonts w:eastAsia="SimSun"/>
          <w:kern w:val="2"/>
          <w:sz w:val="20"/>
          <w:szCs w:val="20"/>
          <w:lang w:eastAsia="en-US"/>
        </w:rPr>
        <w:t>C</w:t>
      </w:r>
      <w:r w:rsidRPr="00F73207">
        <w:rPr>
          <w:rFonts w:eastAsia="SimSun"/>
          <w:kern w:val="2"/>
          <w:sz w:val="20"/>
          <w:szCs w:val="20"/>
          <w:lang w:eastAsia="en-US"/>
        </w:rPr>
        <w:t xml:space="preserve">ombustion emissions will be expelled from exhaust stacks </w:t>
      </w:r>
      <w:r w:rsidR="00B61986" w:rsidRPr="00F73207">
        <w:rPr>
          <w:rFonts w:eastAsia="SimSun"/>
          <w:kern w:val="2"/>
          <w:sz w:val="20"/>
          <w:szCs w:val="20"/>
          <w:lang w:eastAsia="en-US"/>
        </w:rPr>
        <w:t>several metres</w:t>
      </w:r>
      <w:r w:rsidRPr="00F73207">
        <w:rPr>
          <w:rFonts w:eastAsia="SimSun"/>
          <w:kern w:val="2"/>
          <w:sz w:val="20"/>
          <w:szCs w:val="20"/>
          <w:lang w:eastAsia="en-US"/>
        </w:rPr>
        <w:t xml:space="preserve"> above deck level to ensure adequate aerial dispersion. </w:t>
      </w:r>
    </w:p>
    <w:p w14:paraId="0057FA72" w14:textId="7E6DA532" w:rsidR="0002029E" w:rsidRDefault="0002029E" w:rsidP="00914C00">
      <w:pPr>
        <w:pStyle w:val="Heading3"/>
      </w:pPr>
      <w:r>
        <w:t>Known and Potential Impacts</w:t>
      </w:r>
    </w:p>
    <w:p w14:paraId="41D0188A" w14:textId="43703594" w:rsidR="009647B7" w:rsidRPr="00F73207" w:rsidRDefault="009647B7" w:rsidP="00AE17E8">
      <w:pPr>
        <w:pStyle w:val="ColorfulList-Accent11"/>
        <w:spacing w:before="120"/>
        <w:jc w:val="both"/>
        <w:rPr>
          <w:rFonts w:eastAsia="SimSun"/>
          <w:kern w:val="2"/>
          <w:sz w:val="20"/>
          <w:szCs w:val="20"/>
          <w:lang w:eastAsia="en-US"/>
        </w:rPr>
      </w:pPr>
      <w:r w:rsidRPr="00F73207">
        <w:rPr>
          <w:rFonts w:eastAsia="SimSun"/>
          <w:kern w:val="2"/>
          <w:sz w:val="20"/>
          <w:szCs w:val="20"/>
          <w:lang w:eastAsia="en-US"/>
        </w:rPr>
        <w:t xml:space="preserve">The known and potential environmental impacts of atmospheric emissions are: </w:t>
      </w:r>
    </w:p>
    <w:p w14:paraId="674A3614" w14:textId="0A4FEA22" w:rsidR="009647B7" w:rsidRPr="00F73207" w:rsidRDefault="009647B7" w:rsidP="0036080A">
      <w:pPr>
        <w:pStyle w:val="BodyText"/>
        <w:numPr>
          <w:ilvl w:val="0"/>
          <w:numId w:val="13"/>
        </w:numPr>
        <w:ind w:left="1434" w:hanging="357"/>
        <w:rPr>
          <w:szCs w:val="20"/>
          <w:lang w:eastAsia="en-US"/>
        </w:rPr>
      </w:pPr>
      <w:r w:rsidRPr="00F73207">
        <w:rPr>
          <w:szCs w:val="20"/>
          <w:lang w:eastAsia="en-US"/>
        </w:rPr>
        <w:t>Localised and temporary decrease in air quality due to particulate matter from diesel combustion; and</w:t>
      </w:r>
    </w:p>
    <w:p w14:paraId="25099634" w14:textId="366BF120" w:rsidR="009647B7" w:rsidRPr="00F73207" w:rsidRDefault="009647B7" w:rsidP="0036080A">
      <w:pPr>
        <w:pStyle w:val="BodyText"/>
        <w:numPr>
          <w:ilvl w:val="0"/>
          <w:numId w:val="13"/>
        </w:numPr>
        <w:ind w:left="1434" w:hanging="357"/>
        <w:rPr>
          <w:szCs w:val="20"/>
          <w:lang w:eastAsia="en-US"/>
        </w:rPr>
      </w:pPr>
      <w:r w:rsidRPr="00F73207">
        <w:rPr>
          <w:szCs w:val="20"/>
          <w:lang w:eastAsia="en-US"/>
        </w:rPr>
        <w:t xml:space="preserve">Contribution to </w:t>
      </w:r>
      <w:r w:rsidR="00B61986" w:rsidRPr="00F73207">
        <w:rPr>
          <w:szCs w:val="20"/>
          <w:lang w:eastAsia="en-US"/>
        </w:rPr>
        <w:t xml:space="preserve">the </w:t>
      </w:r>
      <w:r w:rsidRPr="00F73207">
        <w:rPr>
          <w:szCs w:val="20"/>
          <w:lang w:eastAsia="en-US"/>
        </w:rPr>
        <w:t xml:space="preserve">global GHG effect. </w:t>
      </w:r>
    </w:p>
    <w:p w14:paraId="085321B2" w14:textId="77777777" w:rsidR="00C41C41" w:rsidRPr="00AE17E8" w:rsidRDefault="00C41C41" w:rsidP="00AE17E8">
      <w:pPr>
        <w:pStyle w:val="BodyText"/>
        <w:ind w:left="709"/>
        <w:rPr>
          <w:b/>
          <w:u w:val="single"/>
        </w:rPr>
      </w:pPr>
      <w:r w:rsidRPr="00AE17E8">
        <w:rPr>
          <w:b/>
          <w:u w:val="single"/>
        </w:rPr>
        <w:t>EMBA</w:t>
      </w:r>
    </w:p>
    <w:p w14:paraId="784058DE" w14:textId="2B132671" w:rsidR="00C41C41" w:rsidRPr="00F73207" w:rsidRDefault="00C41C41" w:rsidP="00AE17E8">
      <w:pPr>
        <w:pStyle w:val="BodyText"/>
        <w:ind w:left="709"/>
        <w:rPr>
          <w:szCs w:val="20"/>
          <w:lang w:eastAsia="en-US"/>
        </w:rPr>
      </w:pPr>
      <w:r w:rsidRPr="00F73207">
        <w:rPr>
          <w:szCs w:val="20"/>
          <w:lang w:eastAsia="en-US"/>
        </w:rPr>
        <w:t xml:space="preserve">The EMBA for </w:t>
      </w:r>
      <w:r w:rsidR="00B61986" w:rsidRPr="00F73207">
        <w:rPr>
          <w:szCs w:val="20"/>
          <w:lang w:eastAsia="en-US"/>
        </w:rPr>
        <w:t>atmospheric emissions</w:t>
      </w:r>
      <w:r w:rsidRPr="00F73207">
        <w:rPr>
          <w:szCs w:val="20"/>
          <w:lang w:eastAsia="en-US"/>
        </w:rPr>
        <w:t xml:space="preserve"> associated with </w:t>
      </w:r>
      <w:r w:rsidR="00B61986" w:rsidRPr="00F73207">
        <w:rPr>
          <w:szCs w:val="20"/>
          <w:lang w:eastAsia="en-US"/>
        </w:rPr>
        <w:t>vessel activities</w:t>
      </w:r>
      <w:r w:rsidRPr="00F73207">
        <w:rPr>
          <w:szCs w:val="20"/>
          <w:lang w:eastAsia="en-US"/>
        </w:rPr>
        <w:t xml:space="preserve"> is </w:t>
      </w:r>
      <w:r w:rsidR="00F37D89" w:rsidRPr="00F73207">
        <w:rPr>
          <w:szCs w:val="20"/>
          <w:lang w:eastAsia="en-US"/>
        </w:rPr>
        <w:t>the local air</w:t>
      </w:r>
      <w:r w:rsidR="00C702A1" w:rsidRPr="00F73207">
        <w:rPr>
          <w:szCs w:val="20"/>
          <w:lang w:eastAsia="en-US"/>
        </w:rPr>
        <w:t xml:space="preserve"> </w:t>
      </w:r>
      <w:r w:rsidR="00F37D89" w:rsidRPr="00F73207">
        <w:rPr>
          <w:szCs w:val="20"/>
          <w:lang w:eastAsia="en-US"/>
        </w:rPr>
        <w:t xml:space="preserve">shed </w:t>
      </w:r>
      <w:r w:rsidR="00C77B39">
        <w:rPr>
          <w:szCs w:val="20"/>
          <w:lang w:eastAsia="en-US"/>
        </w:rPr>
        <w:t>–</w:t>
      </w:r>
      <w:r w:rsidR="00F37D89" w:rsidRPr="00F73207">
        <w:rPr>
          <w:szCs w:val="20"/>
          <w:lang w:eastAsia="en-US"/>
        </w:rPr>
        <w:t xml:space="preserve"> </w:t>
      </w:r>
      <w:r w:rsidR="00C77B39">
        <w:rPr>
          <w:szCs w:val="20"/>
          <w:lang w:eastAsia="en-US"/>
        </w:rPr>
        <w:t>with rapid dispersion around the discharge point due to the local wind regime</w:t>
      </w:r>
      <w:r w:rsidRPr="00F73207">
        <w:rPr>
          <w:szCs w:val="20"/>
          <w:lang w:eastAsia="en-US"/>
        </w:rPr>
        <w:t xml:space="preserve">. </w:t>
      </w:r>
    </w:p>
    <w:p w14:paraId="27253810" w14:textId="77777777" w:rsidR="00C41C41" w:rsidRPr="00AE17E8" w:rsidRDefault="00C41C41" w:rsidP="00AE17E8">
      <w:pPr>
        <w:pStyle w:val="BodyText"/>
        <w:ind w:left="720"/>
        <w:rPr>
          <w:b/>
          <w:u w:val="single"/>
        </w:rPr>
      </w:pPr>
      <w:r w:rsidRPr="00AE17E8">
        <w:rPr>
          <w:b/>
          <w:u w:val="single"/>
        </w:rPr>
        <w:t>Receptors within the EMBA</w:t>
      </w:r>
    </w:p>
    <w:p w14:paraId="59E47AE1" w14:textId="77777777" w:rsidR="00C41C41" w:rsidRPr="00F73207" w:rsidRDefault="00C41C41" w:rsidP="00AE17E8">
      <w:pPr>
        <w:pStyle w:val="BodyText"/>
        <w:ind w:left="720"/>
        <w:rPr>
          <w:szCs w:val="20"/>
          <w:lang w:eastAsia="en-US"/>
        </w:rPr>
      </w:pPr>
      <w:r w:rsidRPr="00F73207">
        <w:rPr>
          <w:szCs w:val="20"/>
          <w:lang w:eastAsia="en-US"/>
        </w:rPr>
        <w:t xml:space="preserve">Receptors that may occur within this EMBA, either as residents or migrants, are: </w:t>
      </w:r>
    </w:p>
    <w:p w14:paraId="7C154157" w14:textId="4EFAA1B3" w:rsidR="00C41C41" w:rsidRPr="00F73207" w:rsidRDefault="00F37D89" w:rsidP="0036080A">
      <w:pPr>
        <w:pStyle w:val="BodyText"/>
        <w:numPr>
          <w:ilvl w:val="0"/>
          <w:numId w:val="13"/>
        </w:numPr>
        <w:spacing w:after="240"/>
        <w:ind w:left="1434" w:hanging="357"/>
        <w:rPr>
          <w:szCs w:val="20"/>
          <w:lang w:eastAsia="en-US"/>
        </w:rPr>
      </w:pPr>
      <w:r w:rsidRPr="00F73207">
        <w:rPr>
          <w:szCs w:val="20"/>
          <w:lang w:eastAsia="en-US"/>
        </w:rPr>
        <w:t>Seabirds</w:t>
      </w:r>
      <w:r w:rsidR="00C41C41" w:rsidRPr="00F73207">
        <w:rPr>
          <w:szCs w:val="20"/>
          <w:lang w:eastAsia="en-US"/>
        </w:rPr>
        <w:t xml:space="preserve">.  </w:t>
      </w:r>
    </w:p>
    <w:p w14:paraId="660EA254" w14:textId="4B0EDE97" w:rsidR="0002029E" w:rsidRDefault="0002029E" w:rsidP="00914C00">
      <w:pPr>
        <w:pStyle w:val="Heading3"/>
      </w:pPr>
      <w:r>
        <w:t>Evaluation of Environmental Impacts</w:t>
      </w:r>
    </w:p>
    <w:p w14:paraId="0ED2C212" w14:textId="466BF1B3" w:rsidR="00F37D89" w:rsidRPr="00F73207" w:rsidRDefault="00F37D89" w:rsidP="00AE17E8">
      <w:pPr>
        <w:pStyle w:val="ColorfulList-Accent11"/>
        <w:spacing w:before="120"/>
        <w:jc w:val="both"/>
        <w:rPr>
          <w:rFonts w:eastAsia="SimSun"/>
          <w:kern w:val="2"/>
          <w:sz w:val="20"/>
          <w:szCs w:val="20"/>
          <w:u w:val="single"/>
          <w:lang w:eastAsia="en-US"/>
        </w:rPr>
      </w:pPr>
      <w:r w:rsidRPr="00F73207">
        <w:rPr>
          <w:rFonts w:eastAsia="SimSun"/>
          <w:kern w:val="2"/>
          <w:sz w:val="20"/>
          <w:szCs w:val="20"/>
          <w:u w:val="single"/>
          <w:lang w:eastAsia="en-US"/>
        </w:rPr>
        <w:t>Localised and temporary decrease in air quality from diesel combustion</w:t>
      </w:r>
    </w:p>
    <w:p w14:paraId="36242C9B" w14:textId="77777777" w:rsidR="00F37D89" w:rsidRPr="00F73207" w:rsidRDefault="00F37D89" w:rsidP="00AE17E8">
      <w:pPr>
        <w:pStyle w:val="ColorfulList-Accent11"/>
        <w:spacing w:before="120"/>
        <w:jc w:val="both"/>
        <w:rPr>
          <w:rFonts w:eastAsia="SimSun"/>
          <w:kern w:val="2"/>
          <w:sz w:val="20"/>
          <w:szCs w:val="20"/>
          <w:u w:val="single"/>
          <w:lang w:eastAsia="en-US"/>
        </w:rPr>
      </w:pPr>
    </w:p>
    <w:p w14:paraId="3B944D17" w14:textId="091057A4" w:rsidR="004E4CBA" w:rsidRPr="00F73207" w:rsidRDefault="00F37D89" w:rsidP="00AE17E8">
      <w:pPr>
        <w:pStyle w:val="ColorfulList-Accent11"/>
        <w:spacing w:before="120"/>
        <w:jc w:val="both"/>
        <w:rPr>
          <w:rFonts w:eastAsia="SimSun"/>
          <w:kern w:val="2"/>
          <w:sz w:val="20"/>
          <w:szCs w:val="20"/>
          <w:lang w:eastAsia="en-US"/>
        </w:rPr>
      </w:pPr>
      <w:r w:rsidRPr="00F73207">
        <w:rPr>
          <w:rFonts w:eastAsia="SimSun"/>
          <w:kern w:val="2"/>
          <w:sz w:val="20"/>
          <w:szCs w:val="20"/>
          <w:lang w:eastAsia="en-US"/>
        </w:rPr>
        <w:t>The combustion of diesel fuel can create continuous or discontinuous plumes of particulate matter (soot or black smoke) and the emission of non-GHG, such as NO</w:t>
      </w:r>
      <w:r w:rsidRPr="00F73207">
        <w:rPr>
          <w:rFonts w:eastAsia="SimSun"/>
          <w:kern w:val="2"/>
          <w:sz w:val="20"/>
          <w:szCs w:val="20"/>
          <w:vertAlign w:val="subscript"/>
          <w:lang w:eastAsia="en-US"/>
        </w:rPr>
        <w:t>X</w:t>
      </w:r>
      <w:r w:rsidRPr="00F73207">
        <w:rPr>
          <w:rFonts w:eastAsia="SimSun"/>
          <w:kern w:val="2"/>
          <w:sz w:val="20"/>
          <w:szCs w:val="20"/>
          <w:lang w:eastAsia="en-US"/>
        </w:rPr>
        <w:t xml:space="preserve"> and SO</w:t>
      </w:r>
      <w:r w:rsidRPr="00F73207">
        <w:rPr>
          <w:rFonts w:eastAsia="SimSun"/>
          <w:kern w:val="2"/>
          <w:sz w:val="20"/>
          <w:szCs w:val="20"/>
          <w:vertAlign w:val="subscript"/>
          <w:lang w:eastAsia="en-US"/>
        </w:rPr>
        <w:t>X</w:t>
      </w:r>
      <w:r w:rsidRPr="00F73207">
        <w:rPr>
          <w:rFonts w:eastAsia="SimSun"/>
          <w:kern w:val="2"/>
          <w:sz w:val="20"/>
          <w:szCs w:val="20"/>
          <w:lang w:eastAsia="en-US"/>
        </w:rPr>
        <w:t xml:space="preserve">. Inhaling this particulate matter can cause or exacerbate health impacts to humans exposed to the particulate matter, such as offshore project personnel or residents of nearby towns (e.g., respiratory illnesses such as asthma) depending on the amount of particles inhaled. Similarly, the inhalation of particulate matter may affect the respiratory systems of fauna. </w:t>
      </w:r>
      <w:r w:rsidR="004E4CBA" w:rsidRPr="00F73207">
        <w:rPr>
          <w:rFonts w:eastAsia="SimSun"/>
          <w:kern w:val="2"/>
          <w:sz w:val="20"/>
          <w:szCs w:val="20"/>
          <w:lang w:eastAsia="en-US"/>
        </w:rPr>
        <w:t xml:space="preserve">Along the </w:t>
      </w:r>
      <w:r w:rsidR="00BA0611">
        <w:rPr>
          <w:rFonts w:eastAsia="SimSun"/>
          <w:kern w:val="2"/>
          <w:sz w:val="20"/>
          <w:szCs w:val="20"/>
          <w:lang w:eastAsia="en-US"/>
        </w:rPr>
        <w:t>CHN</w:t>
      </w:r>
      <w:r w:rsidR="004E4CBA" w:rsidRPr="00F73207">
        <w:rPr>
          <w:rFonts w:eastAsia="SimSun"/>
          <w:kern w:val="2"/>
          <w:sz w:val="20"/>
          <w:szCs w:val="20"/>
          <w:lang w:eastAsia="en-US"/>
        </w:rPr>
        <w:t xml:space="preserve"> assets</w:t>
      </w:r>
      <w:r w:rsidRPr="00F73207">
        <w:rPr>
          <w:rFonts w:eastAsia="SimSun"/>
          <w:kern w:val="2"/>
          <w:sz w:val="20"/>
          <w:szCs w:val="20"/>
          <w:lang w:eastAsia="en-US"/>
        </w:rPr>
        <w:t>, this is limited to seabirds overflying the vessel</w:t>
      </w:r>
      <w:r w:rsidR="004E4CBA" w:rsidRPr="00F73207">
        <w:rPr>
          <w:rFonts w:eastAsia="SimSun"/>
          <w:kern w:val="2"/>
          <w:sz w:val="20"/>
          <w:szCs w:val="20"/>
          <w:lang w:eastAsia="en-US"/>
        </w:rPr>
        <w:t>/</w:t>
      </w:r>
      <w:r w:rsidRPr="00F73207">
        <w:rPr>
          <w:rFonts w:eastAsia="SimSun"/>
          <w:kern w:val="2"/>
          <w:sz w:val="20"/>
          <w:szCs w:val="20"/>
          <w:lang w:eastAsia="en-US"/>
        </w:rPr>
        <w:t xml:space="preserve">s. </w:t>
      </w:r>
    </w:p>
    <w:p w14:paraId="6BE520B1" w14:textId="435E3396" w:rsidR="00F37D89" w:rsidRPr="00F73207" w:rsidRDefault="00F37D89" w:rsidP="00AE17E8">
      <w:pPr>
        <w:pStyle w:val="ColorfulList-Accent11"/>
        <w:spacing w:before="120"/>
        <w:jc w:val="both"/>
        <w:rPr>
          <w:rFonts w:eastAsia="SimSun"/>
          <w:kern w:val="2"/>
          <w:sz w:val="20"/>
          <w:szCs w:val="20"/>
          <w:lang w:eastAsia="en-US"/>
        </w:rPr>
      </w:pPr>
      <w:r w:rsidRPr="00F73207">
        <w:rPr>
          <w:rFonts w:eastAsia="SimSun"/>
          <w:kern w:val="2"/>
          <w:sz w:val="20"/>
          <w:szCs w:val="20"/>
          <w:lang w:eastAsia="en-US"/>
        </w:rPr>
        <w:t xml:space="preserve"> </w:t>
      </w:r>
    </w:p>
    <w:p w14:paraId="50240D40" w14:textId="1F7272CE" w:rsidR="00F37D89" w:rsidRDefault="004E4CBA" w:rsidP="00AE17E8">
      <w:pPr>
        <w:pStyle w:val="ColorfulList-Accent11"/>
        <w:spacing w:before="120"/>
        <w:jc w:val="both"/>
        <w:rPr>
          <w:rFonts w:eastAsia="SimSun"/>
          <w:kern w:val="2"/>
          <w:sz w:val="20"/>
          <w:szCs w:val="20"/>
          <w:lang w:eastAsia="en-US"/>
        </w:rPr>
      </w:pPr>
      <w:r w:rsidRPr="00F73207">
        <w:rPr>
          <w:rFonts w:eastAsia="SimSun"/>
          <w:kern w:val="2"/>
          <w:sz w:val="20"/>
          <w:szCs w:val="20"/>
          <w:lang w:eastAsia="en-US"/>
        </w:rPr>
        <w:t>P</w:t>
      </w:r>
      <w:r w:rsidR="00F37D89" w:rsidRPr="00F73207">
        <w:rPr>
          <w:rFonts w:eastAsia="SimSun"/>
          <w:kern w:val="2"/>
          <w:sz w:val="20"/>
          <w:szCs w:val="20"/>
          <w:lang w:eastAsia="en-US"/>
        </w:rPr>
        <w:t>articulate matter released from the vessel</w:t>
      </w:r>
      <w:r w:rsidRPr="00F73207">
        <w:rPr>
          <w:rFonts w:eastAsia="SimSun"/>
          <w:kern w:val="2"/>
          <w:sz w:val="20"/>
          <w:szCs w:val="20"/>
          <w:lang w:eastAsia="en-US"/>
        </w:rPr>
        <w:t>/</w:t>
      </w:r>
      <w:r w:rsidR="00F37D89" w:rsidRPr="00F73207">
        <w:rPr>
          <w:rFonts w:eastAsia="SimSun"/>
          <w:kern w:val="2"/>
          <w:sz w:val="20"/>
          <w:szCs w:val="20"/>
          <w:lang w:eastAsia="en-US"/>
        </w:rPr>
        <w:t xml:space="preserve">s </w:t>
      </w:r>
      <w:r w:rsidRPr="00F73207">
        <w:rPr>
          <w:rFonts w:eastAsia="SimSun"/>
          <w:kern w:val="2"/>
          <w:sz w:val="20"/>
          <w:szCs w:val="20"/>
          <w:lang w:eastAsia="en-US"/>
        </w:rPr>
        <w:t xml:space="preserve">is not likely to </w:t>
      </w:r>
      <w:r w:rsidR="00F37D89" w:rsidRPr="00F73207">
        <w:rPr>
          <w:rFonts w:eastAsia="SimSun"/>
          <w:kern w:val="2"/>
          <w:sz w:val="20"/>
          <w:szCs w:val="20"/>
          <w:lang w:eastAsia="en-US"/>
        </w:rPr>
        <w:t xml:space="preserve">impact on the health or amenity of the nearest human coastal settlements (e.g., </w:t>
      </w:r>
      <w:r w:rsidRPr="00F73207">
        <w:rPr>
          <w:rFonts w:eastAsia="SimSun"/>
          <w:kern w:val="2"/>
          <w:sz w:val="20"/>
          <w:szCs w:val="20"/>
          <w:lang w:eastAsia="en-US"/>
        </w:rPr>
        <w:t xml:space="preserve">Port Campbell and Peterborough), </w:t>
      </w:r>
      <w:r w:rsidR="00F37D89" w:rsidRPr="00F73207">
        <w:rPr>
          <w:rFonts w:eastAsia="SimSun"/>
          <w:kern w:val="2"/>
          <w:sz w:val="20"/>
          <w:szCs w:val="20"/>
          <w:lang w:eastAsia="en-US"/>
        </w:rPr>
        <w:t xml:space="preserve">as offshore winds will rapidly disperse and dilute particulate matter. This rapid dispersion and dilution will also ensure that seabirds are not exposed to concentrated plumes of particulate matter from vessel exhaust points. </w:t>
      </w:r>
    </w:p>
    <w:p w14:paraId="26697A2A" w14:textId="77777777" w:rsidR="00EA3DDF" w:rsidRPr="00F73207" w:rsidRDefault="00EA3DDF" w:rsidP="00AE17E8">
      <w:pPr>
        <w:pStyle w:val="ColorfulList-Accent11"/>
        <w:spacing w:before="120"/>
        <w:jc w:val="both"/>
        <w:rPr>
          <w:rFonts w:eastAsia="SimSun"/>
          <w:kern w:val="2"/>
          <w:sz w:val="20"/>
          <w:szCs w:val="20"/>
          <w:lang w:eastAsia="en-US"/>
        </w:rPr>
      </w:pPr>
    </w:p>
    <w:p w14:paraId="04AB14F8" w14:textId="77777777" w:rsidR="004E4CBA" w:rsidRPr="00F73207" w:rsidRDefault="004E4CBA" w:rsidP="00F37D89">
      <w:pPr>
        <w:pStyle w:val="ColorfulList-Accent11"/>
        <w:spacing w:before="120"/>
        <w:ind w:left="567"/>
        <w:jc w:val="both"/>
        <w:rPr>
          <w:rFonts w:eastAsia="SimSun"/>
          <w:kern w:val="2"/>
          <w:sz w:val="20"/>
          <w:szCs w:val="20"/>
          <w:lang w:eastAsia="en-US"/>
        </w:rPr>
      </w:pPr>
    </w:p>
    <w:p w14:paraId="121D4045" w14:textId="77777777" w:rsidR="00F37D89" w:rsidRPr="00F73207" w:rsidRDefault="00F37D89" w:rsidP="00AE17E8">
      <w:pPr>
        <w:pStyle w:val="ColorfulList-Accent11"/>
        <w:spacing w:before="120"/>
        <w:jc w:val="both"/>
        <w:rPr>
          <w:rFonts w:eastAsia="SimSun"/>
          <w:kern w:val="2"/>
          <w:sz w:val="20"/>
          <w:szCs w:val="20"/>
          <w:u w:val="single"/>
          <w:lang w:eastAsia="en-US"/>
        </w:rPr>
      </w:pPr>
      <w:r w:rsidRPr="00F73207">
        <w:rPr>
          <w:rFonts w:eastAsia="SimSun"/>
          <w:kern w:val="2"/>
          <w:sz w:val="20"/>
          <w:szCs w:val="20"/>
          <w:u w:val="single"/>
          <w:lang w:eastAsia="en-US"/>
        </w:rPr>
        <w:t>Contribution to the GHG effect</w:t>
      </w:r>
    </w:p>
    <w:p w14:paraId="32501030" w14:textId="77777777" w:rsidR="004E4CBA" w:rsidRPr="00F73207" w:rsidRDefault="004E4CBA" w:rsidP="00AE17E8">
      <w:pPr>
        <w:pStyle w:val="ColorfulList-Accent11"/>
        <w:spacing w:before="120"/>
        <w:jc w:val="both"/>
        <w:rPr>
          <w:rFonts w:eastAsia="SimSun"/>
          <w:kern w:val="2"/>
          <w:sz w:val="20"/>
          <w:szCs w:val="20"/>
          <w:u w:val="single"/>
          <w:lang w:eastAsia="en-US"/>
        </w:rPr>
      </w:pPr>
    </w:p>
    <w:p w14:paraId="72254468" w14:textId="4F522F71" w:rsidR="004E4CBA" w:rsidRPr="0014771D" w:rsidRDefault="00F37D89" w:rsidP="00AE17E8">
      <w:pPr>
        <w:pStyle w:val="ColorfulList-Accent11"/>
        <w:spacing w:before="120"/>
        <w:jc w:val="both"/>
        <w:rPr>
          <w:rFonts w:eastAsia="SimSun"/>
          <w:kern w:val="2"/>
          <w:sz w:val="20"/>
          <w:szCs w:val="20"/>
          <w:lang w:eastAsia="en-US"/>
        </w:rPr>
      </w:pPr>
      <w:r w:rsidRPr="00F73207">
        <w:rPr>
          <w:rFonts w:eastAsia="SimSun"/>
          <w:kern w:val="2"/>
          <w:sz w:val="20"/>
          <w:szCs w:val="20"/>
          <w:lang w:eastAsia="en-US"/>
        </w:rPr>
        <w:t>While these emissions add to the GHG load in the atmosphere, which adds to global warming potential, they are relatively small on a global scale, and temporary</w:t>
      </w:r>
      <w:r w:rsidR="00BE10C1" w:rsidRPr="00F73207">
        <w:rPr>
          <w:rFonts w:eastAsia="SimSun"/>
          <w:kern w:val="2"/>
          <w:sz w:val="20"/>
          <w:szCs w:val="20"/>
          <w:lang w:eastAsia="en-US"/>
        </w:rPr>
        <w:t>, representing an insignificant contribution to overall GHG emissions</w:t>
      </w:r>
      <w:r w:rsidRPr="0014771D">
        <w:rPr>
          <w:rFonts w:eastAsia="SimSun"/>
          <w:kern w:val="2"/>
          <w:sz w:val="20"/>
          <w:szCs w:val="20"/>
          <w:lang w:eastAsia="en-US"/>
        </w:rPr>
        <w:t>.</w:t>
      </w:r>
      <w:r w:rsidR="000D68A6" w:rsidRPr="000D68A6">
        <w:rPr>
          <w:sz w:val="20"/>
          <w:szCs w:val="20"/>
          <w:lang w:eastAsia="en-US"/>
        </w:rPr>
        <w:t xml:space="preserve"> </w:t>
      </w:r>
      <w:r w:rsidR="000D68A6" w:rsidRPr="0014771D">
        <w:rPr>
          <w:sz w:val="20"/>
          <w:szCs w:val="20"/>
          <w:lang w:eastAsia="en-US"/>
        </w:rPr>
        <w:t xml:space="preserve">The IMR vessel would typically consume </w:t>
      </w:r>
      <w:r w:rsidR="000D68A6" w:rsidRPr="0014771D">
        <w:rPr>
          <w:sz w:val="20"/>
          <w:szCs w:val="20"/>
          <w:lang w:eastAsia="en-US"/>
        </w:rPr>
        <w:lastRenderedPageBreak/>
        <w:t>0.3m</w:t>
      </w:r>
      <w:r w:rsidR="000D68A6" w:rsidRPr="0014771D">
        <w:rPr>
          <w:sz w:val="20"/>
          <w:szCs w:val="20"/>
          <w:vertAlign w:val="superscript"/>
          <w:lang w:eastAsia="en-US"/>
        </w:rPr>
        <w:t>3</w:t>
      </w:r>
      <w:r w:rsidR="000D68A6" w:rsidRPr="0014771D">
        <w:rPr>
          <w:sz w:val="20"/>
          <w:szCs w:val="20"/>
          <w:lang w:eastAsia="en-US"/>
        </w:rPr>
        <w:t xml:space="preserve"> of fuel per day which is </w:t>
      </w:r>
      <w:r w:rsidR="000D68A6" w:rsidRPr="0014771D">
        <w:rPr>
          <w:sz w:val="20"/>
          <w:szCs w:val="20"/>
        </w:rPr>
        <w:t>0.000000155</w:t>
      </w:r>
      <w:r w:rsidR="000D68A6" w:rsidRPr="0014771D">
        <w:rPr>
          <w:sz w:val="20"/>
          <w:szCs w:val="20"/>
          <w:lang w:eastAsia="en-US"/>
        </w:rPr>
        <w:t xml:space="preserve">% of the National Greenhouse Gas inventory for </w:t>
      </w:r>
      <w:r w:rsidR="000D68A6" w:rsidRPr="00077821">
        <w:rPr>
          <w:sz w:val="20"/>
          <w:szCs w:val="20"/>
          <w:lang w:eastAsia="en-US"/>
        </w:rPr>
        <w:t>2014 (</w:t>
      </w:r>
      <w:r w:rsidR="000D68A6" w:rsidRPr="00083759">
        <w:rPr>
          <w:sz w:val="20"/>
          <w:szCs w:val="20"/>
          <w:lang w:eastAsia="en-US"/>
        </w:rPr>
        <w:t>DoEE, 2017a</w:t>
      </w:r>
      <w:r w:rsidR="000D68A6" w:rsidRPr="00077821">
        <w:rPr>
          <w:sz w:val="20"/>
          <w:szCs w:val="20"/>
          <w:lang w:eastAsia="en-US"/>
        </w:rPr>
        <w:t>)</w:t>
      </w:r>
      <w:r w:rsidRPr="00A65CD4">
        <w:rPr>
          <w:rFonts w:eastAsia="SimSun"/>
          <w:kern w:val="2"/>
          <w:sz w:val="20"/>
          <w:szCs w:val="20"/>
          <w:lang w:eastAsia="en-US"/>
        </w:rPr>
        <w:t>.</w:t>
      </w:r>
    </w:p>
    <w:p w14:paraId="62F852F0" w14:textId="77777777" w:rsidR="00024A95" w:rsidRPr="00AE17E8" w:rsidRDefault="00024A95" w:rsidP="00AE17E8">
      <w:pPr>
        <w:pStyle w:val="BodyText"/>
        <w:ind w:left="720"/>
        <w:rPr>
          <w:b/>
          <w:u w:val="single"/>
        </w:rPr>
      </w:pPr>
      <w:r w:rsidRPr="00AE17E8">
        <w:rPr>
          <w:b/>
          <w:u w:val="single"/>
        </w:rPr>
        <w:t>Impacts to Matters of NES</w:t>
      </w:r>
    </w:p>
    <w:p w14:paraId="6B92ABBC" w14:textId="185EDF65" w:rsidR="00024A95" w:rsidRPr="00F73207" w:rsidRDefault="00BE10C1" w:rsidP="00AE17E8">
      <w:pPr>
        <w:pStyle w:val="BodyText"/>
        <w:spacing w:after="240"/>
        <w:ind w:left="720"/>
        <w:rPr>
          <w:szCs w:val="20"/>
          <w:lang w:eastAsia="en-US"/>
        </w:rPr>
      </w:pPr>
      <w:r w:rsidRPr="00F73207">
        <w:rPr>
          <w:szCs w:val="20"/>
          <w:lang w:eastAsia="en-US"/>
        </w:rPr>
        <w:t>Atmospheric emissions from vessels</w:t>
      </w:r>
      <w:r w:rsidR="00024A95" w:rsidRPr="00F73207">
        <w:rPr>
          <w:szCs w:val="20"/>
          <w:lang w:eastAsia="en-US"/>
        </w:rPr>
        <w:t xml:space="preserve"> </w:t>
      </w:r>
      <w:r w:rsidRPr="00F73207">
        <w:rPr>
          <w:szCs w:val="20"/>
          <w:lang w:eastAsia="en-US"/>
        </w:rPr>
        <w:t xml:space="preserve">undertaking maintenance inspections or activities </w:t>
      </w:r>
      <w:r w:rsidR="00024A95" w:rsidRPr="00F73207">
        <w:rPr>
          <w:szCs w:val="20"/>
          <w:lang w:eastAsia="en-US"/>
        </w:rPr>
        <w:t>will not have a ‘significant’ impact to any of the matters of NES applicable to this project</w:t>
      </w:r>
      <w:r w:rsidR="003F632C">
        <w:rPr>
          <w:szCs w:val="20"/>
          <w:lang w:eastAsia="en-US"/>
        </w:rPr>
        <w:t>.</w:t>
      </w:r>
      <w:r w:rsidR="00024A95" w:rsidRPr="00F73207">
        <w:rPr>
          <w:szCs w:val="20"/>
          <w:lang w:eastAsia="en-US"/>
        </w:rPr>
        <w:t xml:space="preserve"> </w:t>
      </w:r>
    </w:p>
    <w:p w14:paraId="0EECB436" w14:textId="77777777" w:rsidR="00024A95" w:rsidRPr="00AE17E8" w:rsidRDefault="00024A95" w:rsidP="00AE17E8">
      <w:pPr>
        <w:pStyle w:val="BodyText"/>
        <w:ind w:left="709"/>
        <w:rPr>
          <w:b/>
          <w:u w:val="single"/>
        </w:rPr>
      </w:pPr>
      <w:r w:rsidRPr="00AE17E8">
        <w:rPr>
          <w:b/>
          <w:u w:val="single"/>
        </w:rPr>
        <w:t>Impacts to other areas of Conservation Significance</w:t>
      </w:r>
    </w:p>
    <w:p w14:paraId="29CA3204" w14:textId="32DDBA90" w:rsidR="00024A95" w:rsidRPr="00F73207" w:rsidRDefault="00024A95" w:rsidP="00AE17E8">
      <w:pPr>
        <w:pStyle w:val="BodyText"/>
        <w:spacing w:after="240"/>
        <w:ind w:left="709"/>
        <w:rPr>
          <w:szCs w:val="20"/>
          <w:lang w:eastAsia="en-US"/>
        </w:rPr>
      </w:pPr>
      <w:r w:rsidRPr="00F73207">
        <w:rPr>
          <w:szCs w:val="20"/>
          <w:lang w:eastAsia="en-US"/>
        </w:rPr>
        <w:t xml:space="preserve">There are no other areas of conservation significance within the </w:t>
      </w:r>
      <w:r w:rsidR="007858C6" w:rsidRPr="00F73207">
        <w:rPr>
          <w:szCs w:val="20"/>
          <w:lang w:eastAsia="en-US"/>
        </w:rPr>
        <w:t>atmospheric emissions</w:t>
      </w:r>
      <w:r w:rsidR="009C62C2" w:rsidRPr="00F73207">
        <w:rPr>
          <w:szCs w:val="20"/>
          <w:lang w:eastAsia="en-US"/>
        </w:rPr>
        <w:t xml:space="preserve"> EMBA</w:t>
      </w:r>
      <w:r w:rsidRPr="00F73207">
        <w:rPr>
          <w:szCs w:val="20"/>
          <w:lang w:eastAsia="en-US"/>
        </w:rPr>
        <w:t xml:space="preserve">. </w:t>
      </w:r>
      <w:r w:rsidR="009C62C2" w:rsidRPr="00F73207">
        <w:rPr>
          <w:szCs w:val="20"/>
          <w:lang w:eastAsia="en-US"/>
        </w:rPr>
        <w:t>Atmospheric emissions</w:t>
      </w:r>
      <w:r w:rsidRPr="00F73207">
        <w:rPr>
          <w:szCs w:val="20"/>
          <w:lang w:eastAsia="en-US"/>
        </w:rPr>
        <w:t xml:space="preserve"> will not have any impacts to other areas of conservation significance</w:t>
      </w:r>
      <w:r w:rsidR="003F632C">
        <w:rPr>
          <w:szCs w:val="20"/>
          <w:lang w:eastAsia="en-US"/>
        </w:rPr>
        <w:t>.</w:t>
      </w:r>
      <w:r w:rsidRPr="00F73207">
        <w:rPr>
          <w:szCs w:val="20"/>
          <w:lang w:eastAsia="en-US"/>
        </w:rPr>
        <w:t xml:space="preserve"> </w:t>
      </w:r>
    </w:p>
    <w:p w14:paraId="55B7F13A" w14:textId="77777777" w:rsidR="00024A95" w:rsidRDefault="00024A95" w:rsidP="00914C00">
      <w:pPr>
        <w:pStyle w:val="Heading3"/>
      </w:pPr>
      <w:r>
        <w:t>Impact Assessment</w:t>
      </w:r>
    </w:p>
    <w:p w14:paraId="188E8E0E" w14:textId="603A9CE2" w:rsidR="00F73207" w:rsidRPr="00F73207" w:rsidRDefault="00F73207" w:rsidP="00AE17E8">
      <w:pPr>
        <w:pStyle w:val="BodyText"/>
        <w:ind w:left="720"/>
        <w:rPr>
          <w:szCs w:val="20"/>
          <w:lang w:eastAsia="en-US"/>
        </w:rPr>
      </w:pPr>
      <w:r w:rsidRPr="00F73207">
        <w:rPr>
          <w:color w:val="FF0000"/>
          <w:szCs w:val="20"/>
          <w:lang w:eastAsia="en-US"/>
        </w:rPr>
        <w:fldChar w:fldCharType="begin"/>
      </w:r>
      <w:r w:rsidRPr="00F73207">
        <w:rPr>
          <w:szCs w:val="20"/>
          <w:lang w:eastAsia="en-US"/>
        </w:rPr>
        <w:instrText xml:space="preserve"> REF _Ref473381158 \h </w:instrText>
      </w:r>
      <w:r>
        <w:rPr>
          <w:color w:val="FF0000"/>
          <w:szCs w:val="20"/>
          <w:lang w:eastAsia="en-US"/>
        </w:rPr>
        <w:instrText xml:space="preserve"> \* MERGEFORMAT </w:instrText>
      </w:r>
      <w:r w:rsidRPr="00F73207">
        <w:rPr>
          <w:color w:val="FF0000"/>
          <w:szCs w:val="20"/>
          <w:lang w:eastAsia="en-US"/>
        </w:rPr>
      </w:r>
      <w:r w:rsidRPr="00F73207">
        <w:rPr>
          <w:color w:val="FF0000"/>
          <w:szCs w:val="20"/>
          <w:lang w:eastAsia="en-US"/>
        </w:rPr>
        <w:fldChar w:fldCharType="separate"/>
      </w:r>
      <w:r w:rsidR="00CC4C35" w:rsidRPr="00F73207">
        <w:rPr>
          <w:szCs w:val="20"/>
        </w:rPr>
        <w:t xml:space="preserve">Table </w:t>
      </w:r>
      <w:r w:rsidR="00CC4C35">
        <w:rPr>
          <w:noProof/>
          <w:szCs w:val="20"/>
        </w:rPr>
        <w:t>5</w:t>
      </w:r>
      <w:r w:rsidR="00CC4C35">
        <w:rPr>
          <w:noProof/>
          <w:szCs w:val="20"/>
        </w:rPr>
        <w:noBreakHyphen/>
        <w:t>5</w:t>
      </w:r>
      <w:r w:rsidRPr="00F73207">
        <w:rPr>
          <w:color w:val="FF0000"/>
          <w:szCs w:val="20"/>
          <w:lang w:eastAsia="en-US"/>
        </w:rPr>
        <w:fldChar w:fldCharType="end"/>
      </w:r>
      <w:r w:rsidRPr="00F73207">
        <w:rPr>
          <w:color w:val="FF0000"/>
          <w:szCs w:val="20"/>
          <w:lang w:eastAsia="en-US"/>
        </w:rPr>
        <w:t xml:space="preserve"> </w:t>
      </w:r>
      <w:r w:rsidR="00024A95" w:rsidRPr="00F73207">
        <w:rPr>
          <w:szCs w:val="20"/>
          <w:lang w:eastAsia="en-US"/>
        </w:rPr>
        <w:t xml:space="preserve">presents the risk assessment for </w:t>
      </w:r>
      <w:r w:rsidR="009C62C2" w:rsidRPr="00F73207">
        <w:rPr>
          <w:szCs w:val="20"/>
          <w:lang w:eastAsia="en-US"/>
        </w:rPr>
        <w:t>atmospheric emissions</w:t>
      </w:r>
      <w:r w:rsidRPr="00F73207">
        <w:rPr>
          <w:szCs w:val="20"/>
          <w:lang w:eastAsia="en-US"/>
        </w:rPr>
        <w:t>.</w:t>
      </w:r>
    </w:p>
    <w:p w14:paraId="1142A7AD" w14:textId="781FDABF" w:rsidR="00686EE4" w:rsidRPr="00ED5388" w:rsidRDefault="00F73207" w:rsidP="00B86A7D">
      <w:pPr>
        <w:pStyle w:val="Caption"/>
        <w:outlineLvl w:val="9"/>
        <w:rPr>
          <w:sz w:val="20"/>
          <w:szCs w:val="20"/>
        </w:rPr>
      </w:pPr>
      <w:bookmarkStart w:id="196" w:name="_Ref473381158"/>
      <w:bookmarkStart w:id="197" w:name="_Toc511032596"/>
      <w:r w:rsidRPr="00F73207">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5</w:t>
      </w:r>
      <w:r w:rsidR="00103328">
        <w:rPr>
          <w:sz w:val="20"/>
          <w:szCs w:val="20"/>
        </w:rPr>
        <w:fldChar w:fldCharType="end"/>
      </w:r>
      <w:bookmarkEnd w:id="196"/>
      <w:r w:rsidRPr="00F73207">
        <w:rPr>
          <w:sz w:val="20"/>
          <w:szCs w:val="20"/>
        </w:rPr>
        <w:t>: EIA for atmospheric emissions</w:t>
      </w:r>
      <w:bookmarkEnd w:id="197"/>
      <w:r w:rsidR="00024A95" w:rsidRPr="00F73207">
        <w:rPr>
          <w:sz w:val="20"/>
          <w:szCs w:val="20"/>
          <w:lang w:eastAsia="en-US"/>
        </w:rPr>
        <w:t xml:space="preserve"> </w:t>
      </w:r>
    </w:p>
    <w:tbl>
      <w:tblPr>
        <w:tblW w:w="9072" w:type="dxa"/>
        <w:tblInd w:w="1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410"/>
        <w:gridCol w:w="6662"/>
      </w:tblGrid>
      <w:tr w:rsidR="00D37B34" w:rsidRPr="00F73207" w14:paraId="5B7747B7" w14:textId="77777777" w:rsidTr="00686EE4">
        <w:trPr>
          <w:cantSplit/>
        </w:trPr>
        <w:tc>
          <w:tcPr>
            <w:tcW w:w="2410" w:type="dxa"/>
            <w:shd w:val="clear" w:color="auto" w:fill="BFBFBF" w:themeFill="background1" w:themeFillShade="BF"/>
          </w:tcPr>
          <w:p w14:paraId="13D33700" w14:textId="0A0715AB" w:rsidR="00D37B34" w:rsidRPr="00F73207" w:rsidRDefault="00D37B34" w:rsidP="00E439A6">
            <w:pPr>
              <w:pStyle w:val="Tabletext"/>
              <w:spacing w:line="240" w:lineRule="auto"/>
              <w:rPr>
                <w:rFonts w:ascii="Arial" w:hAnsi="Arial" w:cs="Arial"/>
                <w:b/>
                <w:sz w:val="16"/>
                <w:szCs w:val="16"/>
              </w:rPr>
            </w:pPr>
            <w:r>
              <w:rPr>
                <w:rFonts w:ascii="Arial" w:hAnsi="Arial" w:cs="Arial"/>
                <w:b/>
                <w:sz w:val="16"/>
                <w:szCs w:val="16"/>
              </w:rPr>
              <w:t>Aspect:</w:t>
            </w:r>
          </w:p>
        </w:tc>
        <w:tc>
          <w:tcPr>
            <w:tcW w:w="6662" w:type="dxa"/>
          </w:tcPr>
          <w:p w14:paraId="28F1B346" w14:textId="4CD700F6" w:rsidR="00D37B34" w:rsidRPr="00F73207" w:rsidRDefault="00D37B34" w:rsidP="00E439A6">
            <w:pPr>
              <w:pStyle w:val="Tabletext"/>
              <w:spacing w:line="240" w:lineRule="auto"/>
              <w:jc w:val="left"/>
              <w:rPr>
                <w:rFonts w:ascii="Arial" w:hAnsi="Arial" w:cs="Arial"/>
                <w:sz w:val="16"/>
                <w:szCs w:val="16"/>
              </w:rPr>
            </w:pPr>
            <w:r>
              <w:rPr>
                <w:rFonts w:ascii="Arial" w:hAnsi="Arial" w:cs="Arial"/>
                <w:sz w:val="16"/>
                <w:szCs w:val="16"/>
              </w:rPr>
              <w:t>Air Emissions (Vessel)</w:t>
            </w:r>
          </w:p>
        </w:tc>
      </w:tr>
      <w:tr w:rsidR="00686EE4" w:rsidRPr="00F73207" w14:paraId="5286919C" w14:textId="77777777" w:rsidTr="00686EE4">
        <w:trPr>
          <w:cantSplit/>
        </w:trPr>
        <w:tc>
          <w:tcPr>
            <w:tcW w:w="2410" w:type="dxa"/>
            <w:shd w:val="clear" w:color="auto" w:fill="BFBFBF" w:themeFill="background1" w:themeFillShade="BF"/>
          </w:tcPr>
          <w:p w14:paraId="45275537" w14:textId="77777777" w:rsidR="00686EE4" w:rsidRPr="00F73207" w:rsidRDefault="00686EE4" w:rsidP="00E439A6">
            <w:pPr>
              <w:pStyle w:val="Tabletext"/>
              <w:spacing w:line="240" w:lineRule="auto"/>
              <w:rPr>
                <w:rFonts w:ascii="Arial" w:hAnsi="Arial" w:cs="Arial"/>
                <w:b/>
                <w:sz w:val="16"/>
                <w:szCs w:val="16"/>
              </w:rPr>
            </w:pPr>
            <w:r w:rsidRPr="00F73207">
              <w:rPr>
                <w:rFonts w:ascii="Arial" w:hAnsi="Arial" w:cs="Arial"/>
                <w:b/>
                <w:sz w:val="16"/>
                <w:szCs w:val="16"/>
              </w:rPr>
              <w:t xml:space="preserve">Impact summary </w:t>
            </w:r>
          </w:p>
        </w:tc>
        <w:tc>
          <w:tcPr>
            <w:tcW w:w="6662" w:type="dxa"/>
          </w:tcPr>
          <w:p w14:paraId="10FCEFC2" w14:textId="5972189F" w:rsidR="00686EE4" w:rsidRPr="00F73207" w:rsidRDefault="00686EE4" w:rsidP="00E439A6">
            <w:pPr>
              <w:pStyle w:val="Tabletext"/>
              <w:spacing w:line="240" w:lineRule="auto"/>
              <w:jc w:val="left"/>
              <w:rPr>
                <w:rFonts w:ascii="Arial" w:hAnsi="Arial" w:cs="Arial"/>
                <w:sz w:val="16"/>
                <w:szCs w:val="16"/>
              </w:rPr>
            </w:pPr>
            <w:r w:rsidRPr="00F73207">
              <w:rPr>
                <w:rFonts w:ascii="Arial" w:hAnsi="Arial" w:cs="Arial"/>
                <w:sz w:val="16"/>
                <w:szCs w:val="16"/>
              </w:rPr>
              <w:t xml:space="preserve">Air pollution and contribution to the GHG effect.  </w:t>
            </w:r>
          </w:p>
        </w:tc>
      </w:tr>
      <w:tr w:rsidR="00686EE4" w:rsidRPr="00F73207" w14:paraId="5832247E" w14:textId="77777777" w:rsidTr="00686EE4">
        <w:trPr>
          <w:cantSplit/>
        </w:trPr>
        <w:tc>
          <w:tcPr>
            <w:tcW w:w="2410" w:type="dxa"/>
            <w:shd w:val="clear" w:color="auto" w:fill="BFBFBF" w:themeFill="background1" w:themeFillShade="BF"/>
          </w:tcPr>
          <w:p w14:paraId="0F8CE6FD" w14:textId="77777777" w:rsidR="00686EE4" w:rsidRPr="00F73207" w:rsidRDefault="00686EE4" w:rsidP="00E439A6">
            <w:pPr>
              <w:pStyle w:val="Tabletext"/>
              <w:spacing w:line="240" w:lineRule="auto"/>
              <w:jc w:val="left"/>
              <w:rPr>
                <w:rFonts w:ascii="Arial" w:hAnsi="Arial" w:cs="Arial"/>
                <w:b/>
                <w:sz w:val="16"/>
                <w:szCs w:val="16"/>
              </w:rPr>
            </w:pPr>
            <w:r w:rsidRPr="00F73207">
              <w:rPr>
                <w:rFonts w:ascii="Arial" w:hAnsi="Arial" w:cs="Arial"/>
                <w:b/>
                <w:sz w:val="16"/>
                <w:szCs w:val="16"/>
              </w:rPr>
              <w:t xml:space="preserve">Extent of impact </w:t>
            </w:r>
          </w:p>
        </w:tc>
        <w:tc>
          <w:tcPr>
            <w:tcW w:w="6662" w:type="dxa"/>
          </w:tcPr>
          <w:p w14:paraId="2B863F2B" w14:textId="18C9E779" w:rsidR="00686EE4" w:rsidRPr="00F73207" w:rsidRDefault="00686EE4" w:rsidP="00E439A6">
            <w:pPr>
              <w:pStyle w:val="Tabletext"/>
              <w:spacing w:line="240" w:lineRule="auto"/>
              <w:jc w:val="left"/>
              <w:rPr>
                <w:rFonts w:ascii="Arial" w:hAnsi="Arial" w:cs="Arial"/>
                <w:sz w:val="16"/>
                <w:szCs w:val="16"/>
              </w:rPr>
            </w:pPr>
            <w:r w:rsidRPr="00F73207">
              <w:rPr>
                <w:rFonts w:ascii="Arial" w:hAnsi="Arial" w:cs="Arial"/>
                <w:sz w:val="16"/>
                <w:szCs w:val="16"/>
              </w:rPr>
              <w:t>Localised (</w:t>
            </w:r>
            <w:r w:rsidR="00274B00" w:rsidRPr="00F73207">
              <w:rPr>
                <w:rFonts w:ascii="Arial" w:hAnsi="Arial" w:cs="Arial"/>
                <w:sz w:val="16"/>
                <w:szCs w:val="16"/>
              </w:rPr>
              <w:t>local air shed)</w:t>
            </w:r>
            <w:r w:rsidRPr="00F73207">
              <w:rPr>
                <w:rFonts w:ascii="Arial" w:hAnsi="Arial" w:cs="Arial"/>
                <w:sz w:val="16"/>
                <w:szCs w:val="16"/>
              </w:rPr>
              <w:t xml:space="preserve">. </w:t>
            </w:r>
          </w:p>
        </w:tc>
      </w:tr>
      <w:tr w:rsidR="00686EE4" w:rsidRPr="00F73207" w14:paraId="6010A8EF" w14:textId="77777777" w:rsidTr="00686EE4">
        <w:trPr>
          <w:cantSplit/>
        </w:trPr>
        <w:tc>
          <w:tcPr>
            <w:tcW w:w="2410" w:type="dxa"/>
            <w:shd w:val="clear" w:color="auto" w:fill="BFBFBF" w:themeFill="background1" w:themeFillShade="BF"/>
          </w:tcPr>
          <w:p w14:paraId="16AEE7BE" w14:textId="77777777" w:rsidR="00686EE4" w:rsidRPr="00F73207" w:rsidRDefault="00686EE4" w:rsidP="00E439A6">
            <w:pPr>
              <w:pStyle w:val="Tabletext"/>
              <w:spacing w:line="240" w:lineRule="auto"/>
              <w:jc w:val="left"/>
              <w:rPr>
                <w:rFonts w:ascii="Arial" w:hAnsi="Arial" w:cs="Arial"/>
                <w:b/>
                <w:sz w:val="16"/>
                <w:szCs w:val="16"/>
              </w:rPr>
            </w:pPr>
            <w:r w:rsidRPr="00F73207">
              <w:rPr>
                <w:rFonts w:ascii="Arial" w:hAnsi="Arial" w:cs="Arial"/>
                <w:b/>
                <w:sz w:val="16"/>
                <w:szCs w:val="16"/>
              </w:rPr>
              <w:t xml:space="preserve">Duration of impact </w:t>
            </w:r>
          </w:p>
        </w:tc>
        <w:tc>
          <w:tcPr>
            <w:tcW w:w="6662" w:type="dxa"/>
          </w:tcPr>
          <w:p w14:paraId="4EFD2210" w14:textId="2358418A" w:rsidR="00686EE4" w:rsidRPr="00F73207" w:rsidRDefault="002B1672" w:rsidP="00E439A6">
            <w:pPr>
              <w:pStyle w:val="Tabletext"/>
              <w:spacing w:line="240" w:lineRule="auto"/>
              <w:jc w:val="left"/>
              <w:rPr>
                <w:rFonts w:ascii="Arial" w:hAnsi="Arial" w:cs="Arial"/>
                <w:sz w:val="16"/>
                <w:szCs w:val="16"/>
              </w:rPr>
            </w:pPr>
            <w:r>
              <w:rPr>
                <w:rFonts w:ascii="Arial" w:hAnsi="Arial" w:cs="Arial"/>
                <w:sz w:val="16"/>
                <w:szCs w:val="16"/>
              </w:rPr>
              <w:t>Short-term</w:t>
            </w:r>
            <w:r w:rsidR="00686EE4" w:rsidRPr="00F73207">
              <w:rPr>
                <w:rFonts w:ascii="Arial" w:hAnsi="Arial" w:cs="Arial"/>
                <w:sz w:val="16"/>
                <w:szCs w:val="16"/>
              </w:rPr>
              <w:t xml:space="preserve"> (</w:t>
            </w:r>
            <w:r w:rsidR="00274B00" w:rsidRPr="00F73207">
              <w:rPr>
                <w:rFonts w:ascii="Arial" w:hAnsi="Arial" w:cs="Arial"/>
                <w:sz w:val="16"/>
                <w:szCs w:val="16"/>
              </w:rPr>
              <w:t>emissions rapidly dispersed and diluted</w:t>
            </w:r>
            <w:r w:rsidR="00686EE4" w:rsidRPr="00F73207">
              <w:rPr>
                <w:rFonts w:ascii="Arial" w:hAnsi="Arial" w:cs="Arial"/>
                <w:sz w:val="16"/>
                <w:szCs w:val="16"/>
              </w:rPr>
              <w:t>).</w:t>
            </w:r>
          </w:p>
        </w:tc>
      </w:tr>
      <w:tr w:rsidR="00686EE4" w:rsidRPr="00F73207" w14:paraId="47FF9D4D" w14:textId="77777777" w:rsidTr="00686EE4">
        <w:trPr>
          <w:cantSplit/>
        </w:trPr>
        <w:tc>
          <w:tcPr>
            <w:tcW w:w="2410" w:type="dxa"/>
            <w:shd w:val="clear" w:color="auto" w:fill="BFBFBF" w:themeFill="background1" w:themeFillShade="BF"/>
          </w:tcPr>
          <w:p w14:paraId="7A2DD2F4" w14:textId="592C9CD7" w:rsidR="00686EE4" w:rsidRPr="00F73207" w:rsidRDefault="00686EE4" w:rsidP="00E439A6">
            <w:pPr>
              <w:pStyle w:val="Tabletext"/>
              <w:spacing w:line="240" w:lineRule="auto"/>
              <w:jc w:val="left"/>
              <w:rPr>
                <w:rFonts w:ascii="Arial" w:hAnsi="Arial" w:cs="Arial"/>
                <w:b/>
                <w:sz w:val="16"/>
                <w:szCs w:val="16"/>
              </w:rPr>
            </w:pPr>
            <w:r w:rsidRPr="00F73207">
              <w:rPr>
                <w:rFonts w:ascii="Arial" w:hAnsi="Arial" w:cs="Arial"/>
                <w:b/>
                <w:sz w:val="16"/>
                <w:szCs w:val="16"/>
              </w:rPr>
              <w:t>Level of certainty of impact</w:t>
            </w:r>
          </w:p>
        </w:tc>
        <w:tc>
          <w:tcPr>
            <w:tcW w:w="6662" w:type="dxa"/>
          </w:tcPr>
          <w:p w14:paraId="4B02DDB1" w14:textId="28B3562A" w:rsidR="00686EE4" w:rsidRPr="00F73207" w:rsidRDefault="00686EE4" w:rsidP="00E439A6">
            <w:pPr>
              <w:pStyle w:val="Tabletext"/>
              <w:spacing w:line="240" w:lineRule="auto"/>
              <w:jc w:val="left"/>
              <w:rPr>
                <w:rFonts w:ascii="Arial" w:hAnsi="Arial" w:cs="Arial"/>
                <w:sz w:val="16"/>
                <w:szCs w:val="16"/>
              </w:rPr>
            </w:pPr>
            <w:r w:rsidRPr="00F73207">
              <w:rPr>
                <w:rFonts w:ascii="Arial" w:hAnsi="Arial" w:cs="Arial"/>
                <w:sz w:val="16"/>
                <w:szCs w:val="16"/>
              </w:rPr>
              <w:t xml:space="preserve">HIGH. </w:t>
            </w:r>
            <w:r w:rsidR="00821AA6" w:rsidRPr="00F73207">
              <w:rPr>
                <w:rFonts w:ascii="Arial" w:hAnsi="Arial" w:cs="Arial"/>
                <w:sz w:val="16"/>
                <w:szCs w:val="16"/>
              </w:rPr>
              <w:t xml:space="preserve">The impacts of atmospheric </w:t>
            </w:r>
            <w:r w:rsidR="00591BA1">
              <w:rPr>
                <w:rFonts w:ascii="Arial" w:hAnsi="Arial" w:cs="Arial"/>
                <w:sz w:val="16"/>
                <w:szCs w:val="16"/>
              </w:rPr>
              <w:t>impacts from air emissions are well studied and regulated</w:t>
            </w:r>
            <w:r w:rsidR="00821AA6" w:rsidRPr="00F73207">
              <w:rPr>
                <w:rFonts w:ascii="Arial" w:hAnsi="Arial" w:cs="Arial"/>
                <w:sz w:val="16"/>
                <w:szCs w:val="16"/>
              </w:rPr>
              <w:t>.</w:t>
            </w:r>
            <w:r w:rsidRPr="00F73207">
              <w:rPr>
                <w:rFonts w:ascii="Arial" w:hAnsi="Arial" w:cs="Arial"/>
                <w:sz w:val="16"/>
                <w:szCs w:val="16"/>
              </w:rPr>
              <w:t xml:space="preserve"> </w:t>
            </w:r>
          </w:p>
        </w:tc>
      </w:tr>
      <w:tr w:rsidR="00686EE4" w:rsidRPr="00F73207" w14:paraId="62AA0823" w14:textId="77777777" w:rsidTr="00686EE4">
        <w:trPr>
          <w:cantSplit/>
        </w:trPr>
        <w:tc>
          <w:tcPr>
            <w:tcW w:w="2410" w:type="dxa"/>
            <w:shd w:val="clear" w:color="auto" w:fill="BFBFBF" w:themeFill="background1" w:themeFillShade="BF"/>
          </w:tcPr>
          <w:p w14:paraId="4455F4F0" w14:textId="77777777" w:rsidR="00686EE4" w:rsidRPr="00F73207" w:rsidRDefault="00686EE4" w:rsidP="00BE5E5A">
            <w:pPr>
              <w:pStyle w:val="Tabletext"/>
              <w:spacing w:line="240" w:lineRule="auto"/>
              <w:jc w:val="left"/>
              <w:rPr>
                <w:rFonts w:ascii="Arial" w:hAnsi="Arial" w:cs="Arial"/>
                <w:b/>
                <w:sz w:val="16"/>
                <w:szCs w:val="16"/>
              </w:rPr>
            </w:pPr>
            <w:r w:rsidRPr="00F73207">
              <w:rPr>
                <w:rFonts w:ascii="Arial" w:hAnsi="Arial" w:cs="Arial"/>
                <w:b/>
                <w:sz w:val="16"/>
                <w:szCs w:val="16"/>
              </w:rPr>
              <w:t>Impact decision framework context</w:t>
            </w:r>
          </w:p>
        </w:tc>
        <w:tc>
          <w:tcPr>
            <w:tcW w:w="6662" w:type="dxa"/>
          </w:tcPr>
          <w:p w14:paraId="30A26FDC" w14:textId="2EF43979" w:rsidR="00686EE4" w:rsidRPr="00F73207" w:rsidRDefault="00686EE4" w:rsidP="00E439A6">
            <w:pPr>
              <w:pStyle w:val="Tabletext"/>
              <w:spacing w:line="240" w:lineRule="auto"/>
              <w:jc w:val="left"/>
              <w:rPr>
                <w:rFonts w:ascii="Arial" w:hAnsi="Arial" w:cs="Arial"/>
                <w:sz w:val="16"/>
                <w:szCs w:val="16"/>
              </w:rPr>
            </w:pPr>
            <w:r w:rsidRPr="00F73207">
              <w:rPr>
                <w:rFonts w:ascii="Arial" w:hAnsi="Arial" w:cs="Arial"/>
                <w:sz w:val="16"/>
                <w:szCs w:val="16"/>
              </w:rPr>
              <w:t>A (nothing new or unusual, represents business as usual, well understood activity, good practice is well defined</w:t>
            </w:r>
            <w:r w:rsidRPr="00D37B34">
              <w:rPr>
                <w:rFonts w:ascii="Arial" w:hAnsi="Arial" w:cs="Arial"/>
                <w:sz w:val="16"/>
                <w:szCs w:val="16"/>
              </w:rPr>
              <w:t xml:space="preserve">). </w:t>
            </w:r>
            <w:r w:rsidR="00D37B34" w:rsidRPr="004705DB">
              <w:rPr>
                <w:rFonts w:ascii="Arial" w:hAnsi="Arial" w:cs="Arial"/>
                <w:i/>
                <w:sz w:val="16"/>
                <w:szCs w:val="16"/>
              </w:rPr>
              <w:t>ALARP to be demonstrated on adherence to legislation, industry codes and good professional judgement</w:t>
            </w:r>
          </w:p>
        </w:tc>
      </w:tr>
    </w:tbl>
    <w:p w14:paraId="7060EC98" w14:textId="196902C6" w:rsidR="00AE17E8" w:rsidRDefault="00AE17E8" w:rsidP="00AE17E8">
      <w:pPr>
        <w:pStyle w:val="BodyText"/>
      </w:pPr>
      <w:bookmarkStart w:id="198" w:name="_Toc345581935"/>
    </w:p>
    <w:p w14:paraId="247B3F6D" w14:textId="40860454" w:rsidR="00AD4F15" w:rsidRDefault="00BF021E" w:rsidP="002B1672">
      <w:pPr>
        <w:pStyle w:val="Heading2"/>
      </w:pPr>
      <w:bookmarkStart w:id="199" w:name="_Toc512862478"/>
      <w:r>
        <w:t xml:space="preserve">IMPACT: </w:t>
      </w:r>
      <w:r w:rsidR="00AD4F15">
        <w:t>Light Emissions</w:t>
      </w:r>
      <w:bookmarkEnd w:id="198"/>
      <w:r w:rsidR="004C5E73">
        <w:t xml:space="preserve"> </w:t>
      </w:r>
      <w:r w:rsidR="00B24B8B">
        <w:t>(Vessels)</w:t>
      </w:r>
      <w:bookmarkEnd w:id="199"/>
    </w:p>
    <w:p w14:paraId="273D0434" w14:textId="77777777" w:rsidR="00AD4F15" w:rsidRDefault="00AD4F15" w:rsidP="00914C00">
      <w:pPr>
        <w:pStyle w:val="Heading3"/>
      </w:pPr>
      <w:r>
        <w:t>Hazard</w:t>
      </w:r>
    </w:p>
    <w:p w14:paraId="294A2C2F" w14:textId="2A39B80F" w:rsidR="00637A37" w:rsidRPr="002B1672" w:rsidRDefault="00637A37" w:rsidP="00AE17E8">
      <w:pPr>
        <w:pStyle w:val="BodyText"/>
        <w:spacing w:after="240"/>
        <w:ind w:left="720"/>
        <w:rPr>
          <w:szCs w:val="20"/>
          <w:lang w:eastAsia="en-US"/>
        </w:rPr>
      </w:pPr>
      <w:r w:rsidRPr="002B1672">
        <w:rPr>
          <w:szCs w:val="20"/>
          <w:lang w:eastAsia="en-US"/>
        </w:rPr>
        <w:t xml:space="preserve">Light emissions will occur for the duration of any vessel-related activities, such as: </w:t>
      </w:r>
    </w:p>
    <w:p w14:paraId="62401920" w14:textId="3DDAC89A" w:rsidR="00637A37" w:rsidRPr="002B1672" w:rsidRDefault="00637A37" w:rsidP="0036080A">
      <w:pPr>
        <w:pStyle w:val="BodyText"/>
        <w:numPr>
          <w:ilvl w:val="0"/>
          <w:numId w:val="13"/>
        </w:numPr>
        <w:ind w:left="1434" w:hanging="357"/>
        <w:rPr>
          <w:szCs w:val="20"/>
          <w:lang w:eastAsia="en-US"/>
        </w:rPr>
      </w:pPr>
      <w:r w:rsidRPr="002B1672">
        <w:rPr>
          <w:szCs w:val="20"/>
          <w:lang w:eastAsia="en-US"/>
        </w:rPr>
        <w:t>Vessel operations – navigational and vessel deck lighting, kept on 24 hours a day for maritime safety and crew safety purposes; and</w:t>
      </w:r>
    </w:p>
    <w:p w14:paraId="5010C2A1" w14:textId="138FDEFC" w:rsidR="00637A37" w:rsidRPr="002B1672" w:rsidRDefault="00637A37" w:rsidP="0036080A">
      <w:pPr>
        <w:pStyle w:val="BodyText"/>
        <w:numPr>
          <w:ilvl w:val="0"/>
          <w:numId w:val="13"/>
        </w:numPr>
        <w:spacing w:after="240"/>
        <w:ind w:left="1434" w:hanging="357"/>
        <w:rPr>
          <w:szCs w:val="20"/>
          <w:lang w:eastAsia="en-US"/>
        </w:rPr>
      </w:pPr>
      <w:r w:rsidRPr="002B1672">
        <w:rPr>
          <w:szCs w:val="20"/>
          <w:lang w:eastAsia="en-US"/>
        </w:rPr>
        <w:t xml:space="preserve">ROV operations – underwater light when submerged to illuminate an area of interest (e.g., the </w:t>
      </w:r>
      <w:r w:rsidR="003F5094" w:rsidRPr="002B1672">
        <w:rPr>
          <w:szCs w:val="20"/>
          <w:lang w:eastAsia="en-US"/>
        </w:rPr>
        <w:t>pipeline</w:t>
      </w:r>
      <w:r w:rsidRPr="002B1672">
        <w:rPr>
          <w:szCs w:val="20"/>
          <w:lang w:eastAsia="en-US"/>
        </w:rPr>
        <w:t xml:space="preserve">). </w:t>
      </w:r>
    </w:p>
    <w:p w14:paraId="7264E563" w14:textId="2DE9BC21" w:rsidR="00637A37" w:rsidRPr="002B1672" w:rsidRDefault="00637A37" w:rsidP="00AE17E8">
      <w:pPr>
        <w:pStyle w:val="BodyText"/>
        <w:spacing w:after="240"/>
        <w:ind w:left="720"/>
        <w:rPr>
          <w:szCs w:val="20"/>
          <w:lang w:eastAsia="en-US"/>
        </w:rPr>
      </w:pPr>
      <w:r w:rsidRPr="002B1672">
        <w:rPr>
          <w:szCs w:val="20"/>
          <w:lang w:eastAsia="en-US"/>
        </w:rPr>
        <w:t>During the activity, the vessel</w:t>
      </w:r>
      <w:r w:rsidR="003F5094" w:rsidRPr="002B1672">
        <w:rPr>
          <w:szCs w:val="20"/>
          <w:lang w:eastAsia="en-US"/>
        </w:rPr>
        <w:t>/</w:t>
      </w:r>
      <w:r w:rsidRPr="002B1672">
        <w:rPr>
          <w:szCs w:val="20"/>
          <w:lang w:eastAsia="en-US"/>
        </w:rPr>
        <w:t xml:space="preserve">s will generate light while in the activity area. Lighting is used for marine safety to ensure clear identification of vessels to other marine users and to allow activities to be undertaken 24 hours a day. Spot lighting may also be used on an as-needed basis, for example for a specific task such as ROV inspection, deployment and retrieval. Lighting will typically consist of bright white (i.e., metal halide, halogen, fluorescent) lights, and are not dissimilar to other offshore activities in the region, including fishing and shipping. </w:t>
      </w:r>
    </w:p>
    <w:p w14:paraId="54B21F96" w14:textId="77777777" w:rsidR="00AD4F15" w:rsidRDefault="00AD4F15" w:rsidP="00914C00">
      <w:pPr>
        <w:pStyle w:val="Heading3"/>
      </w:pPr>
      <w:r>
        <w:t>Known and Potential Impacts</w:t>
      </w:r>
    </w:p>
    <w:p w14:paraId="41CF3450" w14:textId="47CD9325" w:rsidR="007858C6" w:rsidRPr="002B1672" w:rsidRDefault="007858C6" w:rsidP="00AE17E8">
      <w:pPr>
        <w:pStyle w:val="BodyText"/>
        <w:spacing w:after="240"/>
        <w:ind w:left="720"/>
        <w:rPr>
          <w:szCs w:val="20"/>
          <w:lang w:eastAsia="en-US"/>
        </w:rPr>
      </w:pPr>
      <w:r w:rsidRPr="002B1672">
        <w:rPr>
          <w:szCs w:val="20"/>
          <w:lang w:eastAsia="en-US"/>
        </w:rPr>
        <w:t xml:space="preserve">The known and potential environmental impacts of artificial lighting offshore are: </w:t>
      </w:r>
    </w:p>
    <w:p w14:paraId="4516B80E" w14:textId="1DBA3CEB" w:rsidR="007858C6" w:rsidRPr="002B1672" w:rsidRDefault="007858C6" w:rsidP="0036080A">
      <w:pPr>
        <w:pStyle w:val="BodyText"/>
        <w:numPr>
          <w:ilvl w:val="0"/>
          <w:numId w:val="13"/>
        </w:numPr>
        <w:ind w:left="1434" w:hanging="357"/>
        <w:rPr>
          <w:szCs w:val="20"/>
          <w:lang w:eastAsia="en-US"/>
        </w:rPr>
      </w:pPr>
      <w:r w:rsidRPr="002B1672">
        <w:rPr>
          <w:szCs w:val="20"/>
          <w:lang w:eastAsia="en-US"/>
        </w:rPr>
        <w:t>Localised light glow that may act as an attractant to light-sensitive species (e.g., seabirds, squid, turtle hatchlings), in turn a</w:t>
      </w:r>
      <w:r w:rsidR="00C04D14" w:rsidRPr="002B1672">
        <w:rPr>
          <w:szCs w:val="20"/>
          <w:lang w:eastAsia="en-US"/>
        </w:rPr>
        <w:t>ffecting predator-prey dynamics; and</w:t>
      </w:r>
    </w:p>
    <w:p w14:paraId="01D9DB2F" w14:textId="0CBFC89C" w:rsidR="00C04D14" w:rsidRPr="002B1672" w:rsidRDefault="00C04D14" w:rsidP="0036080A">
      <w:pPr>
        <w:pStyle w:val="BodyText"/>
        <w:numPr>
          <w:ilvl w:val="0"/>
          <w:numId w:val="13"/>
        </w:numPr>
        <w:ind w:left="1434" w:hanging="357"/>
        <w:rPr>
          <w:szCs w:val="20"/>
          <w:lang w:eastAsia="en-US"/>
        </w:rPr>
      </w:pPr>
      <w:r w:rsidRPr="002B1672">
        <w:rPr>
          <w:szCs w:val="20"/>
          <w:lang w:eastAsia="en-US"/>
        </w:rPr>
        <w:t>Attraction of light-sensitive species during breeding periods (e.g., turtle hatchlings).</w:t>
      </w:r>
    </w:p>
    <w:p w14:paraId="6F0F9CB4" w14:textId="77777777" w:rsidR="00637A37" w:rsidRPr="00AE17E8" w:rsidRDefault="00637A37" w:rsidP="00AE17E8">
      <w:pPr>
        <w:pStyle w:val="BodyText"/>
        <w:ind w:left="709"/>
        <w:rPr>
          <w:b/>
          <w:u w:val="single"/>
        </w:rPr>
      </w:pPr>
      <w:r w:rsidRPr="00AE17E8">
        <w:rPr>
          <w:b/>
          <w:u w:val="single"/>
        </w:rPr>
        <w:t>EMBA</w:t>
      </w:r>
    </w:p>
    <w:p w14:paraId="44FB8BF8" w14:textId="29B90EDF" w:rsidR="00637A37" w:rsidRPr="002B1672" w:rsidRDefault="00637A37" w:rsidP="00AE17E8">
      <w:pPr>
        <w:pStyle w:val="BodyText"/>
        <w:ind w:left="709"/>
        <w:rPr>
          <w:szCs w:val="20"/>
          <w:lang w:eastAsia="en-US"/>
        </w:rPr>
      </w:pPr>
      <w:r w:rsidRPr="002B1672">
        <w:rPr>
          <w:szCs w:val="20"/>
          <w:lang w:eastAsia="en-US"/>
        </w:rPr>
        <w:lastRenderedPageBreak/>
        <w:t xml:space="preserve">The EMBA for </w:t>
      </w:r>
      <w:r w:rsidR="003F5094" w:rsidRPr="002B1672">
        <w:rPr>
          <w:szCs w:val="20"/>
          <w:lang w:eastAsia="en-US"/>
        </w:rPr>
        <w:t>light</w:t>
      </w:r>
      <w:r w:rsidRPr="002B1672">
        <w:rPr>
          <w:szCs w:val="20"/>
          <w:lang w:eastAsia="en-US"/>
        </w:rPr>
        <w:t xml:space="preserve"> emissions associated with vessel activities</w:t>
      </w:r>
      <w:r w:rsidR="00C77B39">
        <w:rPr>
          <w:szCs w:val="20"/>
          <w:lang w:eastAsia="en-US"/>
        </w:rPr>
        <w:t xml:space="preserve"> will be localised based upon the limited low-intensity light sources on-board the vessel.</w:t>
      </w:r>
      <w:r w:rsidRPr="002B1672">
        <w:rPr>
          <w:szCs w:val="20"/>
          <w:lang w:eastAsia="en-US"/>
        </w:rPr>
        <w:t xml:space="preserve"> </w:t>
      </w:r>
    </w:p>
    <w:p w14:paraId="77B83CB0" w14:textId="77777777" w:rsidR="00637A37" w:rsidRPr="00AE17E8" w:rsidRDefault="00637A37" w:rsidP="00AE17E8">
      <w:pPr>
        <w:pStyle w:val="BodyText"/>
        <w:ind w:left="709"/>
        <w:rPr>
          <w:b/>
          <w:u w:val="single"/>
        </w:rPr>
      </w:pPr>
      <w:r w:rsidRPr="00AE17E8">
        <w:rPr>
          <w:b/>
          <w:u w:val="single"/>
        </w:rPr>
        <w:t>Receptors within the EMBA</w:t>
      </w:r>
    </w:p>
    <w:p w14:paraId="71FD2CBD" w14:textId="77777777" w:rsidR="00637A37" w:rsidRPr="002B1672" w:rsidRDefault="00637A37" w:rsidP="00AE17E8">
      <w:pPr>
        <w:pStyle w:val="BodyText"/>
        <w:ind w:left="709"/>
        <w:rPr>
          <w:szCs w:val="20"/>
          <w:lang w:eastAsia="en-US"/>
        </w:rPr>
      </w:pPr>
      <w:r w:rsidRPr="002B1672">
        <w:rPr>
          <w:szCs w:val="20"/>
          <w:lang w:eastAsia="en-US"/>
        </w:rPr>
        <w:t xml:space="preserve">Receptors that may occur within this EMBA, either as residents or migrants, are: </w:t>
      </w:r>
    </w:p>
    <w:p w14:paraId="1E25ACB8" w14:textId="446381CE" w:rsidR="00EA356F" w:rsidRPr="002B1672" w:rsidRDefault="00EA356F" w:rsidP="0036080A">
      <w:pPr>
        <w:pStyle w:val="BodyText"/>
        <w:numPr>
          <w:ilvl w:val="0"/>
          <w:numId w:val="13"/>
        </w:numPr>
        <w:ind w:left="1418" w:hanging="357"/>
        <w:rPr>
          <w:szCs w:val="20"/>
          <w:lang w:eastAsia="en-US"/>
        </w:rPr>
      </w:pPr>
      <w:r w:rsidRPr="002B1672">
        <w:rPr>
          <w:szCs w:val="20"/>
          <w:lang w:eastAsia="en-US"/>
        </w:rPr>
        <w:t>Plankton;</w:t>
      </w:r>
    </w:p>
    <w:p w14:paraId="265FCDB6" w14:textId="387788A3" w:rsidR="00EA356F" w:rsidRPr="002B1672" w:rsidRDefault="00EA356F" w:rsidP="0036080A">
      <w:pPr>
        <w:pStyle w:val="BodyText"/>
        <w:numPr>
          <w:ilvl w:val="0"/>
          <w:numId w:val="13"/>
        </w:numPr>
        <w:ind w:left="1418" w:hanging="357"/>
        <w:rPr>
          <w:szCs w:val="20"/>
          <w:lang w:eastAsia="en-US"/>
        </w:rPr>
      </w:pPr>
      <w:r w:rsidRPr="002B1672">
        <w:rPr>
          <w:szCs w:val="20"/>
          <w:lang w:eastAsia="en-US"/>
        </w:rPr>
        <w:t>Fish (e.g., squid); and</w:t>
      </w:r>
    </w:p>
    <w:p w14:paraId="18AA31CB" w14:textId="77777777" w:rsidR="00637A37" w:rsidRPr="002B1672" w:rsidRDefault="00637A37" w:rsidP="0036080A">
      <w:pPr>
        <w:pStyle w:val="BodyText"/>
        <w:numPr>
          <w:ilvl w:val="0"/>
          <w:numId w:val="13"/>
        </w:numPr>
        <w:spacing w:after="240"/>
        <w:ind w:left="1418" w:hanging="357"/>
        <w:rPr>
          <w:szCs w:val="20"/>
          <w:lang w:eastAsia="en-US"/>
        </w:rPr>
      </w:pPr>
      <w:r w:rsidRPr="002B1672">
        <w:rPr>
          <w:szCs w:val="20"/>
          <w:lang w:eastAsia="en-US"/>
        </w:rPr>
        <w:t xml:space="preserve">Seabirds.  </w:t>
      </w:r>
    </w:p>
    <w:p w14:paraId="34F1085C" w14:textId="77777777" w:rsidR="00AD4F15" w:rsidRDefault="00AD4F15" w:rsidP="00914C00">
      <w:pPr>
        <w:pStyle w:val="Heading3"/>
      </w:pPr>
      <w:r>
        <w:t>Evaluation of Environmental Impacts</w:t>
      </w:r>
    </w:p>
    <w:p w14:paraId="3DC9B171" w14:textId="77777777" w:rsidR="00EA356F" w:rsidRPr="002B1672" w:rsidRDefault="00EA356F" w:rsidP="00E439A6">
      <w:pPr>
        <w:pStyle w:val="BodyText"/>
        <w:ind w:left="720"/>
        <w:rPr>
          <w:szCs w:val="20"/>
          <w:u w:val="single"/>
          <w:lang w:eastAsia="en-US"/>
        </w:rPr>
      </w:pPr>
      <w:r w:rsidRPr="002B1672">
        <w:rPr>
          <w:szCs w:val="20"/>
          <w:u w:val="single"/>
          <w:lang w:eastAsia="en-US"/>
        </w:rPr>
        <w:t>Localised light glow that may act as an attractant to light-sensitive species</w:t>
      </w:r>
    </w:p>
    <w:p w14:paraId="7DA90E2B" w14:textId="05D233CC" w:rsidR="00EA356F" w:rsidRPr="002B1672" w:rsidRDefault="00EA356F" w:rsidP="00E439A6">
      <w:pPr>
        <w:pStyle w:val="BodyText"/>
        <w:ind w:left="720"/>
        <w:rPr>
          <w:szCs w:val="20"/>
          <w:lang w:eastAsia="en-US"/>
        </w:rPr>
      </w:pPr>
      <w:r w:rsidRPr="002B1672">
        <w:rPr>
          <w:szCs w:val="20"/>
          <w:lang w:eastAsia="en-US"/>
        </w:rPr>
        <w:t xml:space="preserve">Seabirds may be attracted to vessels at night due to the light glow. Bright lighting can disorientate birds, thereby increasing the likelihood of seabird injury or mortality through collision with infrastructure, or mortality from starvation due to disrupted foraging at sea (Wiese </w:t>
      </w:r>
      <w:r w:rsidRPr="002B1672">
        <w:rPr>
          <w:i/>
          <w:szCs w:val="20"/>
          <w:lang w:eastAsia="en-US"/>
        </w:rPr>
        <w:t>et al</w:t>
      </w:r>
      <w:r w:rsidRPr="002B1672">
        <w:rPr>
          <w:szCs w:val="20"/>
          <w:lang w:eastAsia="en-US"/>
        </w:rPr>
        <w:t xml:space="preserve">., 2001). </w:t>
      </w:r>
    </w:p>
    <w:p w14:paraId="3F87763A" w14:textId="77777777" w:rsidR="00EA356F" w:rsidRPr="002B1672" w:rsidRDefault="00EA356F" w:rsidP="00E439A6">
      <w:pPr>
        <w:pStyle w:val="BodyText"/>
        <w:ind w:left="720"/>
        <w:rPr>
          <w:szCs w:val="20"/>
          <w:lang w:eastAsia="en-US"/>
        </w:rPr>
      </w:pPr>
      <w:r w:rsidRPr="002B1672">
        <w:rPr>
          <w:szCs w:val="20"/>
          <w:lang w:eastAsia="en-US"/>
        </w:rPr>
        <w:t xml:space="preserve">Studies conducted between 1992 and 2002 in the North Sea confirmed that artificial light was the reason that birds were attracted to and accumulated around illuminated offshore infrastructure (Marquenie </w:t>
      </w:r>
      <w:r w:rsidRPr="002B1672">
        <w:rPr>
          <w:i/>
          <w:szCs w:val="20"/>
          <w:lang w:eastAsia="en-US"/>
        </w:rPr>
        <w:t>et al</w:t>
      </w:r>
      <w:r w:rsidRPr="002B1672">
        <w:rPr>
          <w:szCs w:val="20"/>
          <w:lang w:eastAsia="en-US"/>
        </w:rPr>
        <w:t xml:space="preserve">., 2008) and that lighting can attract birds from large catchment areas (Wiese </w:t>
      </w:r>
      <w:r w:rsidRPr="002B1672">
        <w:rPr>
          <w:i/>
          <w:szCs w:val="20"/>
          <w:lang w:eastAsia="en-US"/>
        </w:rPr>
        <w:t>et al</w:t>
      </w:r>
      <w:r w:rsidRPr="002B1672">
        <w:rPr>
          <w:szCs w:val="20"/>
          <w:lang w:eastAsia="en-US"/>
        </w:rPr>
        <w:t xml:space="preserve">., 2001). The light may provide enhanced capability for seabirds to forage at night. There are no actions within the National Recovery Plan for Threatened Albatrosses and Giant Petrels 2011-16 (DESWPC, 2011a) that are compromised by light emissions from this project. </w:t>
      </w:r>
    </w:p>
    <w:p w14:paraId="4ACF640A" w14:textId="457D83B7" w:rsidR="00EA356F" w:rsidRPr="002B1672" w:rsidRDefault="00EA356F" w:rsidP="00E439A6">
      <w:pPr>
        <w:pStyle w:val="BodyText"/>
        <w:ind w:left="720"/>
        <w:rPr>
          <w:szCs w:val="20"/>
          <w:lang w:eastAsia="en-US"/>
        </w:rPr>
      </w:pPr>
      <w:r w:rsidRPr="002B1672">
        <w:rPr>
          <w:szCs w:val="20"/>
          <w:lang w:eastAsia="en-US"/>
        </w:rPr>
        <w:t xml:space="preserve">Fish and zooplankton may be directly or indirectly attracted to lights. Experiments using light traps have found that some fish and zooplankton species are attracted to light sources (Meekan </w:t>
      </w:r>
      <w:r w:rsidRPr="002B1672">
        <w:rPr>
          <w:i/>
          <w:szCs w:val="20"/>
          <w:lang w:eastAsia="en-US"/>
        </w:rPr>
        <w:t>et al</w:t>
      </w:r>
      <w:r w:rsidRPr="002B1672">
        <w:rPr>
          <w:szCs w:val="20"/>
          <w:lang w:eastAsia="en-US"/>
        </w:rPr>
        <w:t xml:space="preserve">., 2001), with traps drawing catches from up to 90 m (Milicich </w:t>
      </w:r>
      <w:r w:rsidRPr="002B1672">
        <w:rPr>
          <w:i/>
          <w:szCs w:val="20"/>
          <w:lang w:eastAsia="en-US"/>
        </w:rPr>
        <w:t>et al</w:t>
      </w:r>
      <w:r w:rsidRPr="002B1672">
        <w:rPr>
          <w:szCs w:val="20"/>
          <w:lang w:eastAsia="en-US"/>
        </w:rPr>
        <w:t>., 1992). Lindquist et al (2005) concluded from a study of larval fish populations around an oil and gas platform in the Gulf of Mexico that an enhanced abundance of clupeids (herring and sardines) and engraulids (anchovies), both of which are highly photopositive, was caused by the platforms’ light fields. The concentration of organisms attracted to light results in an increase in food source for predatory species and marine predators are known to aggregate at the edges of artificial light halos. Shaw et al. (2002), in a similar light trap study, noted that juvenile tunas (Scombridae) and jacks (Carangidae), which are highly predatory, may have been preying upon concentrations of zooplankton attracted to the light field of the platforms. This could potentially lead to increased predation rates compared to unlit areas.</w:t>
      </w:r>
    </w:p>
    <w:p w14:paraId="113DACBA" w14:textId="77777777" w:rsidR="00EA356F" w:rsidRPr="002B1672" w:rsidRDefault="00EA356F" w:rsidP="00E439A6">
      <w:pPr>
        <w:pStyle w:val="BodyText"/>
        <w:ind w:left="720"/>
        <w:rPr>
          <w:szCs w:val="20"/>
          <w:lang w:eastAsia="en-US"/>
        </w:rPr>
      </w:pPr>
      <w:r w:rsidRPr="002B1672">
        <w:rPr>
          <w:szCs w:val="20"/>
          <w:lang w:eastAsia="en-US"/>
        </w:rPr>
        <w:t xml:space="preserve">There is no evidence to suggest that artificial light sources adversely affect the migratory, feeding or breeding behaviours of cetaceans. Cetaceans predominantly utilise acoustic senses to monitor their environment rather than visual sources (Simmonds </w:t>
      </w:r>
      <w:r w:rsidRPr="002B1672">
        <w:rPr>
          <w:i/>
          <w:szCs w:val="20"/>
          <w:lang w:eastAsia="en-US"/>
        </w:rPr>
        <w:t>et al</w:t>
      </w:r>
      <w:r w:rsidRPr="002B1672">
        <w:rPr>
          <w:szCs w:val="20"/>
          <w:lang w:eastAsia="en-US"/>
        </w:rPr>
        <w:t>., 2004), so light is not considered to be a significant factor in cetacean behaviour or survival.</w:t>
      </w:r>
    </w:p>
    <w:p w14:paraId="06180DED" w14:textId="668FE4EB" w:rsidR="00EA356F" w:rsidRPr="002B1672" w:rsidRDefault="00EA356F" w:rsidP="00E439A6">
      <w:pPr>
        <w:pStyle w:val="BodyText"/>
        <w:ind w:left="720"/>
        <w:rPr>
          <w:szCs w:val="20"/>
          <w:lang w:eastAsia="en-US"/>
        </w:rPr>
      </w:pPr>
      <w:r w:rsidRPr="002B1672">
        <w:rPr>
          <w:szCs w:val="20"/>
          <w:lang w:eastAsia="en-US"/>
        </w:rPr>
        <w:t xml:space="preserve">Underwater light from </w:t>
      </w:r>
      <w:r w:rsidR="00C04D14" w:rsidRPr="002B1672">
        <w:rPr>
          <w:szCs w:val="20"/>
          <w:lang w:eastAsia="en-US"/>
        </w:rPr>
        <w:t xml:space="preserve">using an </w:t>
      </w:r>
      <w:r w:rsidRPr="002B1672">
        <w:rPr>
          <w:szCs w:val="20"/>
          <w:lang w:eastAsia="en-US"/>
        </w:rPr>
        <w:t>ROV is unlikely to cause environmental impacts. While the ROV dives, fauna in different strata of the water column will be exposed to light for only very brief moments, and usually for a few minutes at a time near the seabed where the ROV conducts most of its work. Observations of ROV inspections at the seabed (Pinzone, pers. obs., 2013) indicate that fauna is not negatively impacted by the bright light source, and other than some fauna exhibiting inquisitiveness, fish and other fauna continue to behave normally.</w:t>
      </w:r>
    </w:p>
    <w:p w14:paraId="63DAF2F8" w14:textId="77777777" w:rsidR="00EA356F" w:rsidRPr="002B1672" w:rsidRDefault="00EA356F" w:rsidP="00E439A6">
      <w:pPr>
        <w:pStyle w:val="BodyText"/>
        <w:ind w:left="720"/>
        <w:rPr>
          <w:szCs w:val="20"/>
          <w:u w:val="single"/>
          <w:lang w:eastAsia="en-US"/>
        </w:rPr>
      </w:pPr>
      <w:r w:rsidRPr="002B1672">
        <w:rPr>
          <w:szCs w:val="20"/>
          <w:u w:val="single"/>
          <w:lang w:eastAsia="en-US"/>
        </w:rPr>
        <w:t>Attraction of light sensitive species during breeding periods</w:t>
      </w:r>
    </w:p>
    <w:p w14:paraId="61A804EF" w14:textId="537AEF7B" w:rsidR="00EA356F" w:rsidRDefault="00EA356F" w:rsidP="00E439A6">
      <w:pPr>
        <w:pStyle w:val="BodyText"/>
        <w:ind w:left="720"/>
        <w:rPr>
          <w:lang w:eastAsia="en-US"/>
        </w:rPr>
      </w:pPr>
      <w:r w:rsidRPr="002B1672">
        <w:rPr>
          <w:szCs w:val="20"/>
          <w:lang w:eastAsia="en-US"/>
        </w:rPr>
        <w:t xml:space="preserve">Light pollution along, or adjacent to, turtle nesting beaches poses a particular issue for turtles because it alters critical nocturnal behaviours, particularly the selection of nesting sites and the passage of adult females and emerging hatchlings from the beach to the sea (Limpus, 2009 in DSEWPC, 2011). There are no turtle rookeries </w:t>
      </w:r>
      <w:r w:rsidR="00C04D14" w:rsidRPr="002B1672">
        <w:rPr>
          <w:szCs w:val="20"/>
          <w:lang w:eastAsia="en-US"/>
        </w:rPr>
        <w:t xml:space="preserve">along the </w:t>
      </w:r>
      <w:r w:rsidR="007B7AC0">
        <w:rPr>
          <w:szCs w:val="20"/>
          <w:lang w:eastAsia="en-US"/>
        </w:rPr>
        <w:t>O</w:t>
      </w:r>
      <w:r w:rsidR="00C04D14" w:rsidRPr="002B1672">
        <w:rPr>
          <w:szCs w:val="20"/>
          <w:lang w:eastAsia="en-US"/>
        </w:rPr>
        <w:t>tway coast</w:t>
      </w:r>
      <w:r w:rsidRPr="002B1672">
        <w:rPr>
          <w:szCs w:val="20"/>
          <w:lang w:eastAsia="en-US"/>
        </w:rPr>
        <w:t>, so lighting will not impact turtle hatchlings.</w:t>
      </w:r>
      <w:r>
        <w:rPr>
          <w:lang w:eastAsia="en-US"/>
        </w:rPr>
        <w:t xml:space="preserve"> </w:t>
      </w:r>
    </w:p>
    <w:p w14:paraId="22A3C888" w14:textId="77777777" w:rsidR="00AD4F15" w:rsidRPr="00AE17E8" w:rsidRDefault="00AD4F15" w:rsidP="00EA3DDF">
      <w:pPr>
        <w:pStyle w:val="BodyText"/>
        <w:ind w:left="720"/>
        <w:rPr>
          <w:b/>
          <w:u w:val="single"/>
        </w:rPr>
      </w:pPr>
      <w:r w:rsidRPr="00AE17E8">
        <w:rPr>
          <w:b/>
          <w:u w:val="single"/>
        </w:rPr>
        <w:t>Impacts to Matters of NES</w:t>
      </w:r>
    </w:p>
    <w:p w14:paraId="49A9BC53" w14:textId="7619A021" w:rsidR="00AD4F15" w:rsidRDefault="00695F1F" w:rsidP="00E439A6">
      <w:pPr>
        <w:pStyle w:val="BodyText"/>
        <w:ind w:left="720"/>
        <w:rPr>
          <w:lang w:eastAsia="en-US"/>
        </w:rPr>
      </w:pPr>
      <w:r w:rsidRPr="002B1672">
        <w:rPr>
          <w:szCs w:val="20"/>
          <w:lang w:eastAsia="en-US"/>
        </w:rPr>
        <w:lastRenderedPageBreak/>
        <w:t>Light emissions</w:t>
      </w:r>
      <w:r w:rsidR="00AD4F15" w:rsidRPr="002B1672">
        <w:rPr>
          <w:szCs w:val="20"/>
          <w:lang w:eastAsia="en-US"/>
        </w:rPr>
        <w:t xml:space="preserve"> will not have a ‘significant’ impact to any of the matters of NES applicable to this project</w:t>
      </w:r>
      <w:r w:rsidR="002027A5">
        <w:rPr>
          <w:szCs w:val="20"/>
          <w:lang w:eastAsia="en-US"/>
        </w:rPr>
        <w:t>.</w:t>
      </w:r>
    </w:p>
    <w:p w14:paraId="0FAA8908" w14:textId="77777777" w:rsidR="00AD4F15" w:rsidRPr="00AE17E8" w:rsidRDefault="00AD4F15" w:rsidP="00EA3DDF">
      <w:pPr>
        <w:pStyle w:val="BodyText"/>
        <w:ind w:left="709"/>
        <w:rPr>
          <w:b/>
          <w:u w:val="single"/>
        </w:rPr>
      </w:pPr>
      <w:r w:rsidRPr="00AE17E8">
        <w:rPr>
          <w:b/>
          <w:u w:val="single"/>
        </w:rPr>
        <w:t>Impacts to other areas of Conservation Significance</w:t>
      </w:r>
    </w:p>
    <w:p w14:paraId="6C9489DE" w14:textId="52D2735D" w:rsidR="00AD4F15" w:rsidRPr="00BE0DE6" w:rsidRDefault="00AD4F15" w:rsidP="00E439A6">
      <w:pPr>
        <w:pStyle w:val="BodyText"/>
        <w:ind w:left="709"/>
        <w:rPr>
          <w:lang w:eastAsia="en-US"/>
        </w:rPr>
      </w:pPr>
      <w:r w:rsidRPr="002B1672">
        <w:rPr>
          <w:szCs w:val="20"/>
          <w:lang w:eastAsia="en-US"/>
        </w:rPr>
        <w:t xml:space="preserve">There are no other areas of conservation significance within the </w:t>
      </w:r>
      <w:r w:rsidR="007C6192" w:rsidRPr="002B1672">
        <w:rPr>
          <w:szCs w:val="20"/>
          <w:lang w:eastAsia="en-US"/>
        </w:rPr>
        <w:t xml:space="preserve">light emissions </w:t>
      </w:r>
      <w:r w:rsidRPr="002B1672">
        <w:rPr>
          <w:szCs w:val="20"/>
          <w:lang w:eastAsia="en-US"/>
        </w:rPr>
        <w:t xml:space="preserve">EMBA. </w:t>
      </w:r>
      <w:r w:rsidR="007C6192" w:rsidRPr="002B1672">
        <w:rPr>
          <w:szCs w:val="20"/>
          <w:lang w:eastAsia="en-US"/>
        </w:rPr>
        <w:t>Light emissions</w:t>
      </w:r>
      <w:r w:rsidRPr="002B1672">
        <w:rPr>
          <w:szCs w:val="20"/>
          <w:lang w:eastAsia="en-US"/>
        </w:rPr>
        <w:t xml:space="preserve"> will not have any impacts to other areas of conservation significance</w:t>
      </w:r>
      <w:r w:rsidR="002027A5">
        <w:rPr>
          <w:szCs w:val="20"/>
          <w:lang w:eastAsia="en-US"/>
        </w:rPr>
        <w:t>.</w:t>
      </w:r>
    </w:p>
    <w:p w14:paraId="197A0415" w14:textId="77777777" w:rsidR="00AD4F15" w:rsidRDefault="00AD4F15" w:rsidP="00914C00">
      <w:pPr>
        <w:pStyle w:val="Heading3"/>
      </w:pPr>
      <w:r>
        <w:t>Impact Assessment</w:t>
      </w:r>
    </w:p>
    <w:p w14:paraId="78FB6BF9" w14:textId="19E29D73" w:rsidR="00AD4F15" w:rsidRPr="002B1672" w:rsidRDefault="002B1672" w:rsidP="00AE17E8">
      <w:pPr>
        <w:pStyle w:val="BodyText"/>
        <w:ind w:left="720"/>
        <w:rPr>
          <w:szCs w:val="20"/>
          <w:lang w:eastAsia="en-US"/>
        </w:rPr>
      </w:pPr>
      <w:r w:rsidRPr="002B1672">
        <w:rPr>
          <w:color w:val="FF0000"/>
          <w:szCs w:val="20"/>
          <w:lang w:eastAsia="en-US"/>
        </w:rPr>
        <w:fldChar w:fldCharType="begin"/>
      </w:r>
      <w:r w:rsidRPr="002B1672">
        <w:rPr>
          <w:szCs w:val="20"/>
          <w:lang w:eastAsia="en-US"/>
        </w:rPr>
        <w:instrText xml:space="preserve"> REF _Ref473381796 \h </w:instrText>
      </w:r>
      <w:r>
        <w:rPr>
          <w:color w:val="FF0000"/>
          <w:szCs w:val="20"/>
          <w:lang w:eastAsia="en-US"/>
        </w:rPr>
        <w:instrText xml:space="preserve"> \* MERGEFORMAT </w:instrText>
      </w:r>
      <w:r w:rsidRPr="002B1672">
        <w:rPr>
          <w:color w:val="FF0000"/>
          <w:szCs w:val="20"/>
          <w:lang w:eastAsia="en-US"/>
        </w:rPr>
      </w:r>
      <w:r w:rsidRPr="002B1672">
        <w:rPr>
          <w:color w:val="FF0000"/>
          <w:szCs w:val="20"/>
          <w:lang w:eastAsia="en-US"/>
        </w:rPr>
        <w:fldChar w:fldCharType="separate"/>
      </w:r>
      <w:r w:rsidR="00CC4C35" w:rsidRPr="002B1672">
        <w:rPr>
          <w:szCs w:val="20"/>
        </w:rPr>
        <w:t xml:space="preserve">Table </w:t>
      </w:r>
      <w:r w:rsidR="00CC4C35">
        <w:rPr>
          <w:noProof/>
          <w:szCs w:val="20"/>
        </w:rPr>
        <w:t>5</w:t>
      </w:r>
      <w:r w:rsidR="00CC4C35">
        <w:rPr>
          <w:noProof/>
          <w:szCs w:val="20"/>
        </w:rPr>
        <w:noBreakHyphen/>
        <w:t>6</w:t>
      </w:r>
      <w:r w:rsidRPr="002B1672">
        <w:rPr>
          <w:color w:val="FF0000"/>
          <w:szCs w:val="20"/>
          <w:lang w:eastAsia="en-US"/>
        </w:rPr>
        <w:fldChar w:fldCharType="end"/>
      </w:r>
      <w:r w:rsidRPr="002B1672">
        <w:rPr>
          <w:color w:val="FF0000"/>
          <w:szCs w:val="20"/>
          <w:lang w:eastAsia="en-US"/>
        </w:rPr>
        <w:t xml:space="preserve"> </w:t>
      </w:r>
      <w:r w:rsidR="00AD4F15" w:rsidRPr="002B1672">
        <w:rPr>
          <w:szCs w:val="20"/>
          <w:lang w:eastAsia="en-US"/>
        </w:rPr>
        <w:t xml:space="preserve">presents the </w:t>
      </w:r>
      <w:r w:rsidR="00ED444B" w:rsidRPr="002B1672">
        <w:rPr>
          <w:szCs w:val="20"/>
          <w:lang w:eastAsia="en-US"/>
        </w:rPr>
        <w:t>impact</w:t>
      </w:r>
      <w:r w:rsidR="00AD4F15" w:rsidRPr="002B1672">
        <w:rPr>
          <w:szCs w:val="20"/>
          <w:lang w:eastAsia="en-US"/>
        </w:rPr>
        <w:t xml:space="preserve"> assessment for </w:t>
      </w:r>
      <w:r w:rsidR="007C6192" w:rsidRPr="002B1672">
        <w:rPr>
          <w:szCs w:val="20"/>
          <w:lang w:eastAsia="en-US"/>
        </w:rPr>
        <w:t>light emissions</w:t>
      </w:r>
      <w:r w:rsidR="00AD4F15" w:rsidRPr="002B1672">
        <w:rPr>
          <w:szCs w:val="20"/>
          <w:lang w:eastAsia="en-US"/>
        </w:rPr>
        <w:t xml:space="preserve">. </w:t>
      </w:r>
    </w:p>
    <w:p w14:paraId="09442782" w14:textId="2D674E98" w:rsidR="004C5E73" w:rsidRPr="00ED5388" w:rsidRDefault="002B1672" w:rsidP="00B86A7D">
      <w:pPr>
        <w:pStyle w:val="Caption"/>
        <w:outlineLvl w:val="9"/>
        <w:rPr>
          <w:sz w:val="20"/>
          <w:szCs w:val="20"/>
        </w:rPr>
      </w:pPr>
      <w:bookmarkStart w:id="200" w:name="_Ref473381796"/>
      <w:bookmarkStart w:id="201" w:name="_Toc511032597"/>
      <w:r w:rsidRPr="002B1672">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6</w:t>
      </w:r>
      <w:r w:rsidR="00103328">
        <w:rPr>
          <w:sz w:val="20"/>
          <w:szCs w:val="20"/>
        </w:rPr>
        <w:fldChar w:fldCharType="end"/>
      </w:r>
      <w:bookmarkEnd w:id="200"/>
      <w:r w:rsidRPr="002B1672">
        <w:rPr>
          <w:sz w:val="20"/>
          <w:szCs w:val="20"/>
        </w:rPr>
        <w:t>: EIA for light emissions</w:t>
      </w:r>
      <w:bookmarkEnd w:id="201"/>
    </w:p>
    <w:tbl>
      <w:tblPr>
        <w:tblW w:w="9072" w:type="dxa"/>
        <w:tblInd w:w="1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694"/>
        <w:gridCol w:w="6378"/>
      </w:tblGrid>
      <w:tr w:rsidR="007B7AC0" w:rsidRPr="002B1672" w14:paraId="775E989E" w14:textId="77777777" w:rsidTr="008332F9">
        <w:trPr>
          <w:cantSplit/>
        </w:trPr>
        <w:tc>
          <w:tcPr>
            <w:tcW w:w="2694" w:type="dxa"/>
            <w:shd w:val="clear" w:color="auto" w:fill="BFBFBF" w:themeFill="background1" w:themeFillShade="BF"/>
          </w:tcPr>
          <w:p w14:paraId="2E16739F" w14:textId="0311D07A" w:rsidR="007B7AC0" w:rsidRPr="002B1672" w:rsidRDefault="007B7AC0" w:rsidP="00E439A6">
            <w:pPr>
              <w:pStyle w:val="Tabletext"/>
              <w:spacing w:line="240" w:lineRule="auto"/>
              <w:rPr>
                <w:rFonts w:ascii="Arial" w:hAnsi="Arial" w:cs="Arial"/>
                <w:b/>
                <w:sz w:val="16"/>
                <w:szCs w:val="16"/>
              </w:rPr>
            </w:pPr>
            <w:r>
              <w:rPr>
                <w:rFonts w:ascii="Arial" w:hAnsi="Arial" w:cs="Arial"/>
                <w:b/>
                <w:sz w:val="16"/>
                <w:szCs w:val="16"/>
              </w:rPr>
              <w:t>Aspect:</w:t>
            </w:r>
          </w:p>
        </w:tc>
        <w:tc>
          <w:tcPr>
            <w:tcW w:w="6378" w:type="dxa"/>
          </w:tcPr>
          <w:p w14:paraId="2E5E6BE9" w14:textId="5D777B29" w:rsidR="007B7AC0" w:rsidRPr="002B1672" w:rsidRDefault="007B7AC0" w:rsidP="00E439A6">
            <w:pPr>
              <w:pStyle w:val="Tabletext"/>
              <w:spacing w:line="240" w:lineRule="auto"/>
              <w:jc w:val="left"/>
              <w:rPr>
                <w:rFonts w:ascii="Arial" w:hAnsi="Arial" w:cs="Arial"/>
                <w:sz w:val="16"/>
                <w:szCs w:val="16"/>
              </w:rPr>
            </w:pPr>
            <w:r>
              <w:rPr>
                <w:rFonts w:ascii="Arial" w:hAnsi="Arial" w:cs="Arial"/>
                <w:sz w:val="16"/>
                <w:szCs w:val="16"/>
              </w:rPr>
              <w:t>Vessel Lighting</w:t>
            </w:r>
          </w:p>
        </w:tc>
      </w:tr>
      <w:tr w:rsidR="004C5E73" w:rsidRPr="002B1672" w14:paraId="319D0B7A" w14:textId="77777777" w:rsidTr="008332F9">
        <w:trPr>
          <w:cantSplit/>
        </w:trPr>
        <w:tc>
          <w:tcPr>
            <w:tcW w:w="2694" w:type="dxa"/>
            <w:shd w:val="clear" w:color="auto" w:fill="BFBFBF" w:themeFill="background1" w:themeFillShade="BF"/>
          </w:tcPr>
          <w:p w14:paraId="16AC4912" w14:textId="77777777" w:rsidR="004C5E73" w:rsidRPr="002B1672" w:rsidRDefault="004C5E73" w:rsidP="00E439A6">
            <w:pPr>
              <w:pStyle w:val="Tabletext"/>
              <w:spacing w:line="240" w:lineRule="auto"/>
              <w:rPr>
                <w:rFonts w:ascii="Arial" w:hAnsi="Arial" w:cs="Arial"/>
                <w:b/>
                <w:sz w:val="16"/>
                <w:szCs w:val="16"/>
              </w:rPr>
            </w:pPr>
            <w:r w:rsidRPr="002B1672">
              <w:rPr>
                <w:rFonts w:ascii="Arial" w:hAnsi="Arial" w:cs="Arial"/>
                <w:b/>
                <w:sz w:val="16"/>
                <w:szCs w:val="16"/>
              </w:rPr>
              <w:t xml:space="preserve">Impact summary </w:t>
            </w:r>
          </w:p>
        </w:tc>
        <w:tc>
          <w:tcPr>
            <w:tcW w:w="6378" w:type="dxa"/>
          </w:tcPr>
          <w:p w14:paraId="6A7BFCC5" w14:textId="0E5E5D48" w:rsidR="004C5E73" w:rsidRPr="002B1672" w:rsidRDefault="001C28C4" w:rsidP="00E439A6">
            <w:pPr>
              <w:pStyle w:val="Tabletext"/>
              <w:spacing w:line="240" w:lineRule="auto"/>
              <w:jc w:val="left"/>
              <w:rPr>
                <w:rFonts w:ascii="Arial" w:hAnsi="Arial" w:cs="Arial"/>
                <w:sz w:val="16"/>
                <w:szCs w:val="16"/>
              </w:rPr>
            </w:pPr>
            <w:r w:rsidRPr="002B1672">
              <w:rPr>
                <w:rFonts w:ascii="Arial" w:hAnsi="Arial" w:cs="Arial"/>
                <w:sz w:val="16"/>
                <w:szCs w:val="16"/>
              </w:rPr>
              <w:t>Localised light glow that may act as an attractant to light-sensitive species (e.g., birds, squid).</w:t>
            </w:r>
            <w:r w:rsidR="004C5E73" w:rsidRPr="002B1672">
              <w:rPr>
                <w:rFonts w:ascii="Arial" w:hAnsi="Arial" w:cs="Arial"/>
                <w:sz w:val="16"/>
                <w:szCs w:val="16"/>
              </w:rPr>
              <w:t xml:space="preserve">  </w:t>
            </w:r>
          </w:p>
        </w:tc>
      </w:tr>
      <w:tr w:rsidR="004C5E73" w:rsidRPr="002B1672" w14:paraId="50752B7D" w14:textId="77777777" w:rsidTr="008332F9">
        <w:trPr>
          <w:cantSplit/>
        </w:trPr>
        <w:tc>
          <w:tcPr>
            <w:tcW w:w="2694" w:type="dxa"/>
            <w:shd w:val="clear" w:color="auto" w:fill="BFBFBF" w:themeFill="background1" w:themeFillShade="BF"/>
          </w:tcPr>
          <w:p w14:paraId="70CE0F19" w14:textId="77777777" w:rsidR="004C5E73" w:rsidRPr="002B1672" w:rsidRDefault="004C5E73" w:rsidP="00E439A6">
            <w:pPr>
              <w:pStyle w:val="Tabletext"/>
              <w:spacing w:line="240" w:lineRule="auto"/>
              <w:jc w:val="left"/>
              <w:rPr>
                <w:rFonts w:ascii="Arial" w:hAnsi="Arial" w:cs="Arial"/>
                <w:b/>
                <w:sz w:val="16"/>
                <w:szCs w:val="16"/>
              </w:rPr>
            </w:pPr>
            <w:r w:rsidRPr="002B1672">
              <w:rPr>
                <w:rFonts w:ascii="Arial" w:hAnsi="Arial" w:cs="Arial"/>
                <w:b/>
                <w:sz w:val="16"/>
                <w:szCs w:val="16"/>
              </w:rPr>
              <w:t xml:space="preserve">Extent of impact </w:t>
            </w:r>
          </w:p>
        </w:tc>
        <w:tc>
          <w:tcPr>
            <w:tcW w:w="6378" w:type="dxa"/>
          </w:tcPr>
          <w:p w14:paraId="2C2632BC" w14:textId="16E28AC7" w:rsidR="004C5E73" w:rsidRPr="002B1672" w:rsidRDefault="004C5E73" w:rsidP="00E439A6">
            <w:pPr>
              <w:pStyle w:val="Tabletext"/>
              <w:spacing w:line="240" w:lineRule="auto"/>
              <w:jc w:val="left"/>
              <w:rPr>
                <w:rFonts w:ascii="Arial" w:hAnsi="Arial" w:cs="Arial"/>
                <w:sz w:val="16"/>
                <w:szCs w:val="16"/>
              </w:rPr>
            </w:pPr>
            <w:r w:rsidRPr="002B1672">
              <w:rPr>
                <w:rFonts w:ascii="Arial" w:hAnsi="Arial" w:cs="Arial"/>
                <w:sz w:val="16"/>
                <w:szCs w:val="16"/>
              </w:rPr>
              <w:t>Localised (</w:t>
            </w:r>
            <w:r w:rsidR="002C46A4" w:rsidRPr="002B1672">
              <w:rPr>
                <w:rFonts w:ascii="Arial" w:hAnsi="Arial" w:cs="Arial"/>
                <w:sz w:val="16"/>
                <w:szCs w:val="16"/>
              </w:rPr>
              <w:t>small radius of light glow around vessel</w:t>
            </w:r>
            <w:r w:rsidRPr="002B1672">
              <w:rPr>
                <w:rFonts w:ascii="Arial" w:hAnsi="Arial" w:cs="Arial"/>
                <w:sz w:val="16"/>
                <w:szCs w:val="16"/>
              </w:rPr>
              <w:t xml:space="preserve">). </w:t>
            </w:r>
          </w:p>
        </w:tc>
      </w:tr>
      <w:tr w:rsidR="004C5E73" w:rsidRPr="002B1672" w14:paraId="394A8765" w14:textId="77777777" w:rsidTr="008332F9">
        <w:trPr>
          <w:cantSplit/>
        </w:trPr>
        <w:tc>
          <w:tcPr>
            <w:tcW w:w="2694" w:type="dxa"/>
            <w:shd w:val="clear" w:color="auto" w:fill="BFBFBF" w:themeFill="background1" w:themeFillShade="BF"/>
          </w:tcPr>
          <w:p w14:paraId="3A124868" w14:textId="77777777" w:rsidR="004C5E73" w:rsidRPr="002B1672" w:rsidRDefault="004C5E73" w:rsidP="00E439A6">
            <w:pPr>
              <w:pStyle w:val="Tabletext"/>
              <w:spacing w:line="240" w:lineRule="auto"/>
              <w:jc w:val="left"/>
              <w:rPr>
                <w:rFonts w:ascii="Arial" w:hAnsi="Arial" w:cs="Arial"/>
                <w:b/>
                <w:sz w:val="16"/>
                <w:szCs w:val="16"/>
              </w:rPr>
            </w:pPr>
            <w:r w:rsidRPr="002B1672">
              <w:rPr>
                <w:rFonts w:ascii="Arial" w:hAnsi="Arial" w:cs="Arial"/>
                <w:b/>
                <w:sz w:val="16"/>
                <w:szCs w:val="16"/>
              </w:rPr>
              <w:t xml:space="preserve">Duration of impact </w:t>
            </w:r>
          </w:p>
        </w:tc>
        <w:tc>
          <w:tcPr>
            <w:tcW w:w="6378" w:type="dxa"/>
          </w:tcPr>
          <w:p w14:paraId="7A7017B5" w14:textId="316CCE78" w:rsidR="004C5E73" w:rsidRPr="002B1672" w:rsidRDefault="002C46A4" w:rsidP="00E439A6">
            <w:pPr>
              <w:pStyle w:val="Tabletext"/>
              <w:spacing w:line="240" w:lineRule="auto"/>
              <w:jc w:val="left"/>
              <w:rPr>
                <w:rFonts w:ascii="Arial" w:hAnsi="Arial" w:cs="Arial"/>
                <w:sz w:val="16"/>
                <w:szCs w:val="16"/>
              </w:rPr>
            </w:pPr>
            <w:r w:rsidRPr="002B1672">
              <w:rPr>
                <w:rFonts w:ascii="Arial" w:hAnsi="Arial" w:cs="Arial"/>
                <w:sz w:val="16"/>
                <w:szCs w:val="16"/>
              </w:rPr>
              <w:t>T</w:t>
            </w:r>
            <w:r w:rsidR="004C5E73" w:rsidRPr="002B1672">
              <w:rPr>
                <w:rFonts w:ascii="Arial" w:hAnsi="Arial" w:cs="Arial"/>
                <w:sz w:val="16"/>
                <w:szCs w:val="16"/>
              </w:rPr>
              <w:t>emporary (</w:t>
            </w:r>
            <w:r w:rsidRPr="002B1672">
              <w:rPr>
                <w:rFonts w:ascii="Arial" w:hAnsi="Arial" w:cs="Arial"/>
                <w:sz w:val="16"/>
                <w:szCs w:val="16"/>
              </w:rPr>
              <w:t>short duration of vessel activity</w:t>
            </w:r>
            <w:r w:rsidR="004C5E73" w:rsidRPr="002B1672">
              <w:rPr>
                <w:rFonts w:ascii="Arial" w:hAnsi="Arial" w:cs="Arial"/>
                <w:sz w:val="16"/>
                <w:szCs w:val="16"/>
              </w:rPr>
              <w:t>).</w:t>
            </w:r>
          </w:p>
        </w:tc>
      </w:tr>
      <w:tr w:rsidR="004C5E73" w:rsidRPr="002B1672" w14:paraId="0A6275F0" w14:textId="77777777" w:rsidTr="008332F9">
        <w:trPr>
          <w:cantSplit/>
        </w:trPr>
        <w:tc>
          <w:tcPr>
            <w:tcW w:w="2694" w:type="dxa"/>
            <w:shd w:val="clear" w:color="auto" w:fill="BFBFBF" w:themeFill="background1" w:themeFillShade="BF"/>
          </w:tcPr>
          <w:p w14:paraId="7B390547" w14:textId="77777777" w:rsidR="004C5E73" w:rsidRPr="002B1672" w:rsidRDefault="004C5E73" w:rsidP="00E439A6">
            <w:pPr>
              <w:pStyle w:val="Tabletext"/>
              <w:spacing w:line="240" w:lineRule="auto"/>
              <w:jc w:val="left"/>
              <w:rPr>
                <w:rFonts w:ascii="Arial" w:hAnsi="Arial" w:cs="Arial"/>
                <w:b/>
                <w:sz w:val="16"/>
                <w:szCs w:val="16"/>
              </w:rPr>
            </w:pPr>
            <w:r w:rsidRPr="002B1672">
              <w:rPr>
                <w:rFonts w:ascii="Arial" w:hAnsi="Arial" w:cs="Arial"/>
                <w:b/>
                <w:sz w:val="16"/>
                <w:szCs w:val="16"/>
              </w:rPr>
              <w:t>Level of certainty of impact</w:t>
            </w:r>
          </w:p>
        </w:tc>
        <w:tc>
          <w:tcPr>
            <w:tcW w:w="6378" w:type="dxa"/>
          </w:tcPr>
          <w:p w14:paraId="558C81F5" w14:textId="5D13B743" w:rsidR="004C5E73" w:rsidRPr="002B1672" w:rsidRDefault="004C5E73" w:rsidP="00E439A6">
            <w:pPr>
              <w:pStyle w:val="Tabletext"/>
              <w:spacing w:line="240" w:lineRule="auto"/>
              <w:jc w:val="left"/>
              <w:rPr>
                <w:rFonts w:ascii="Arial" w:hAnsi="Arial" w:cs="Arial"/>
                <w:sz w:val="16"/>
                <w:szCs w:val="16"/>
              </w:rPr>
            </w:pPr>
            <w:r w:rsidRPr="002B1672">
              <w:rPr>
                <w:rFonts w:ascii="Arial" w:hAnsi="Arial" w:cs="Arial"/>
                <w:sz w:val="16"/>
                <w:szCs w:val="16"/>
              </w:rPr>
              <w:t xml:space="preserve">HIGH. The impacts of </w:t>
            </w:r>
            <w:r w:rsidR="002C46A4" w:rsidRPr="002B1672">
              <w:rPr>
                <w:rFonts w:ascii="Arial" w:hAnsi="Arial" w:cs="Arial"/>
                <w:sz w:val="16"/>
                <w:szCs w:val="16"/>
              </w:rPr>
              <w:t>light on light-sensitive species</w:t>
            </w:r>
            <w:r w:rsidRPr="002B1672">
              <w:rPr>
                <w:rFonts w:ascii="Arial" w:hAnsi="Arial" w:cs="Arial"/>
                <w:sz w:val="16"/>
                <w:szCs w:val="16"/>
              </w:rPr>
              <w:t xml:space="preserve"> are well studied. </w:t>
            </w:r>
          </w:p>
        </w:tc>
      </w:tr>
      <w:tr w:rsidR="004C5E73" w:rsidRPr="002B1672" w14:paraId="49F4A339" w14:textId="77777777" w:rsidTr="008332F9">
        <w:trPr>
          <w:cantSplit/>
        </w:trPr>
        <w:tc>
          <w:tcPr>
            <w:tcW w:w="2694" w:type="dxa"/>
            <w:shd w:val="clear" w:color="auto" w:fill="BFBFBF" w:themeFill="background1" w:themeFillShade="BF"/>
          </w:tcPr>
          <w:p w14:paraId="67BF9FC3" w14:textId="77777777" w:rsidR="004C5E73" w:rsidRPr="002B1672" w:rsidRDefault="004C5E73" w:rsidP="00BE5E5A">
            <w:pPr>
              <w:pStyle w:val="Tabletext"/>
              <w:spacing w:line="240" w:lineRule="auto"/>
              <w:jc w:val="left"/>
              <w:rPr>
                <w:rFonts w:ascii="Arial" w:hAnsi="Arial" w:cs="Arial"/>
                <w:b/>
                <w:sz w:val="16"/>
                <w:szCs w:val="16"/>
              </w:rPr>
            </w:pPr>
            <w:r w:rsidRPr="002B1672">
              <w:rPr>
                <w:rFonts w:ascii="Arial" w:hAnsi="Arial" w:cs="Arial"/>
                <w:b/>
                <w:sz w:val="16"/>
                <w:szCs w:val="16"/>
              </w:rPr>
              <w:t>Impact decision framework context</w:t>
            </w:r>
          </w:p>
        </w:tc>
        <w:tc>
          <w:tcPr>
            <w:tcW w:w="6378" w:type="dxa"/>
          </w:tcPr>
          <w:p w14:paraId="3D60E9C3" w14:textId="35ECE07D" w:rsidR="004C5E73" w:rsidRPr="002B1672" w:rsidRDefault="004C5E73" w:rsidP="00E439A6">
            <w:pPr>
              <w:pStyle w:val="Tabletext"/>
              <w:spacing w:line="240" w:lineRule="auto"/>
              <w:jc w:val="left"/>
              <w:rPr>
                <w:rFonts w:ascii="Arial" w:hAnsi="Arial" w:cs="Arial"/>
                <w:sz w:val="16"/>
                <w:szCs w:val="16"/>
              </w:rPr>
            </w:pPr>
            <w:r w:rsidRPr="002B1672">
              <w:rPr>
                <w:rFonts w:ascii="Arial" w:hAnsi="Arial" w:cs="Arial"/>
                <w:sz w:val="16"/>
                <w:szCs w:val="16"/>
              </w:rPr>
              <w:t xml:space="preserve">A (nothing new or unusual, represents business as usual, well understood activity, good practice is well defined). </w:t>
            </w:r>
            <w:r w:rsidR="007B7AC0" w:rsidRPr="004705DB">
              <w:rPr>
                <w:rFonts w:ascii="Arial" w:hAnsi="Arial" w:cs="Arial"/>
                <w:i/>
                <w:sz w:val="16"/>
                <w:szCs w:val="16"/>
              </w:rPr>
              <w:t>ALARP to be demonstrated on adherence to legislation, industry codes and good professional judgement</w:t>
            </w:r>
          </w:p>
        </w:tc>
      </w:tr>
    </w:tbl>
    <w:p w14:paraId="147E19BB" w14:textId="77777777" w:rsidR="0002029E" w:rsidRDefault="0002029E" w:rsidP="00024BA3">
      <w:pPr>
        <w:pStyle w:val="BodyText"/>
      </w:pPr>
    </w:p>
    <w:p w14:paraId="276AA869" w14:textId="48E95710" w:rsidR="00AD4F15" w:rsidRDefault="00271933" w:rsidP="00753793">
      <w:pPr>
        <w:pStyle w:val="Heading2"/>
      </w:pPr>
      <w:bookmarkStart w:id="202" w:name="_Toc345581936"/>
      <w:bookmarkStart w:id="203" w:name="_Toc512862479"/>
      <w:r>
        <w:t xml:space="preserve">IMPACT: </w:t>
      </w:r>
      <w:r w:rsidR="0056539C">
        <w:t xml:space="preserve">Treated </w:t>
      </w:r>
      <w:r w:rsidR="009C62C2">
        <w:t>Sewage and Grey Water</w:t>
      </w:r>
      <w:r w:rsidR="003C0455">
        <w:t xml:space="preserve"> Discharges</w:t>
      </w:r>
      <w:bookmarkEnd w:id="202"/>
      <w:r w:rsidR="00B24B8B">
        <w:t xml:space="preserve"> (Vessels)</w:t>
      </w:r>
      <w:bookmarkEnd w:id="203"/>
    </w:p>
    <w:p w14:paraId="41CB8E8C" w14:textId="77777777" w:rsidR="00AD4F15" w:rsidRDefault="00AD4F15" w:rsidP="00914C00">
      <w:pPr>
        <w:pStyle w:val="Heading3"/>
      </w:pPr>
      <w:r>
        <w:t>Hazard</w:t>
      </w:r>
    </w:p>
    <w:p w14:paraId="392878DC" w14:textId="660B005A" w:rsidR="00AD4F15" w:rsidRPr="00753793" w:rsidRDefault="008647A4" w:rsidP="00AE17E8">
      <w:pPr>
        <w:pStyle w:val="BodyText"/>
        <w:ind w:left="720"/>
        <w:rPr>
          <w:szCs w:val="20"/>
          <w:lang w:eastAsia="en-US"/>
        </w:rPr>
      </w:pPr>
      <w:r w:rsidRPr="00753793">
        <w:rPr>
          <w:szCs w:val="20"/>
          <w:lang w:eastAsia="en-US"/>
        </w:rPr>
        <w:t>The use of ablution, laundry and galley facilities by vessel crew will result in the discharge of sewage and grey water.</w:t>
      </w:r>
      <w:r w:rsidR="008B5618" w:rsidRPr="00753793">
        <w:rPr>
          <w:szCs w:val="20"/>
          <w:lang w:eastAsia="en-US"/>
        </w:rPr>
        <w:t xml:space="preserve"> </w:t>
      </w:r>
      <w:r w:rsidR="003B3BB1" w:rsidRPr="00753793">
        <w:rPr>
          <w:szCs w:val="20"/>
          <w:lang w:eastAsia="en-US"/>
        </w:rPr>
        <w:t xml:space="preserve">While the number of </w:t>
      </w:r>
      <w:r w:rsidR="0056539C" w:rsidRPr="00753793">
        <w:rPr>
          <w:szCs w:val="20"/>
          <w:lang w:eastAsia="en-US"/>
        </w:rPr>
        <w:t>on</w:t>
      </w:r>
      <w:r w:rsidR="00CB7FF2">
        <w:rPr>
          <w:szCs w:val="20"/>
          <w:lang w:eastAsia="en-US"/>
        </w:rPr>
        <w:t>-</w:t>
      </w:r>
      <w:r w:rsidR="0056539C" w:rsidRPr="00753793">
        <w:rPr>
          <w:szCs w:val="20"/>
          <w:lang w:eastAsia="en-US"/>
        </w:rPr>
        <w:t xml:space="preserve">board </w:t>
      </w:r>
      <w:r w:rsidR="003B3BB1" w:rsidRPr="00753793">
        <w:rPr>
          <w:szCs w:val="20"/>
          <w:lang w:eastAsia="en-US"/>
        </w:rPr>
        <w:t xml:space="preserve">the vessel/s </w:t>
      </w:r>
      <w:r w:rsidR="0056539C" w:rsidRPr="00753793">
        <w:rPr>
          <w:szCs w:val="20"/>
          <w:lang w:eastAsia="en-US"/>
        </w:rPr>
        <w:t>a</w:t>
      </w:r>
      <w:r w:rsidR="003B3BB1" w:rsidRPr="00753793">
        <w:rPr>
          <w:szCs w:val="20"/>
          <w:lang w:eastAsia="en-US"/>
        </w:rPr>
        <w:t xml:space="preserve">t </w:t>
      </w:r>
      <w:r w:rsidR="0056539C" w:rsidRPr="00753793">
        <w:rPr>
          <w:szCs w:val="20"/>
          <w:lang w:eastAsia="en-US"/>
        </w:rPr>
        <w:t>any one point in time</w:t>
      </w:r>
      <w:r w:rsidR="003B3BB1" w:rsidRPr="00753793">
        <w:rPr>
          <w:szCs w:val="20"/>
          <w:lang w:eastAsia="en-US"/>
        </w:rPr>
        <w:t xml:space="preserve"> is currently unknown</w:t>
      </w:r>
      <w:r w:rsidR="0056539C" w:rsidRPr="00753793">
        <w:rPr>
          <w:szCs w:val="20"/>
          <w:lang w:eastAsia="en-US"/>
        </w:rPr>
        <w:t xml:space="preserve">, </w:t>
      </w:r>
      <w:r w:rsidR="003B3BB1" w:rsidRPr="00753793">
        <w:rPr>
          <w:szCs w:val="20"/>
          <w:lang w:eastAsia="en-US"/>
        </w:rPr>
        <w:t xml:space="preserve">this activity </w:t>
      </w:r>
      <w:r w:rsidR="0056539C" w:rsidRPr="00753793">
        <w:rPr>
          <w:szCs w:val="20"/>
          <w:lang w:eastAsia="en-US"/>
        </w:rPr>
        <w:t xml:space="preserve">is likely to result in the discharge of several hundred litres of treated sewage and greywater each day. </w:t>
      </w:r>
    </w:p>
    <w:p w14:paraId="60B16E41" w14:textId="77777777" w:rsidR="00AD4F15" w:rsidRDefault="00AD4F15" w:rsidP="00914C00">
      <w:pPr>
        <w:pStyle w:val="Heading3"/>
      </w:pPr>
      <w:r>
        <w:t>Known and Potential Impacts</w:t>
      </w:r>
    </w:p>
    <w:p w14:paraId="651312A8" w14:textId="7A7F2FD0" w:rsidR="008647A4" w:rsidRPr="00753793" w:rsidRDefault="008647A4" w:rsidP="00AE17E8">
      <w:pPr>
        <w:pStyle w:val="BodyText"/>
        <w:spacing w:after="240"/>
        <w:ind w:left="720"/>
        <w:rPr>
          <w:szCs w:val="20"/>
          <w:lang w:eastAsia="en-US"/>
        </w:rPr>
      </w:pPr>
      <w:r w:rsidRPr="00753793">
        <w:rPr>
          <w:szCs w:val="20"/>
          <w:lang w:eastAsia="en-US"/>
        </w:rPr>
        <w:t xml:space="preserve">The known and potential environmental impact of </w:t>
      </w:r>
      <w:r w:rsidR="0056539C" w:rsidRPr="00753793">
        <w:rPr>
          <w:szCs w:val="20"/>
          <w:lang w:eastAsia="en-US"/>
        </w:rPr>
        <w:t xml:space="preserve">treated </w:t>
      </w:r>
      <w:r w:rsidRPr="00753793">
        <w:rPr>
          <w:szCs w:val="20"/>
          <w:lang w:eastAsia="en-US"/>
        </w:rPr>
        <w:t xml:space="preserve">sewage and grey water discharges </w:t>
      </w:r>
      <w:r w:rsidR="000E36C8" w:rsidRPr="00753793">
        <w:rPr>
          <w:szCs w:val="20"/>
          <w:lang w:eastAsia="en-US"/>
        </w:rPr>
        <w:t>is</w:t>
      </w:r>
      <w:r w:rsidRPr="00753793">
        <w:rPr>
          <w:szCs w:val="20"/>
          <w:lang w:eastAsia="en-US"/>
        </w:rPr>
        <w:t xml:space="preserve">: </w:t>
      </w:r>
    </w:p>
    <w:p w14:paraId="27BF936B" w14:textId="0E704C1E" w:rsidR="008647A4" w:rsidRPr="00753793" w:rsidRDefault="00833F21" w:rsidP="0036080A">
      <w:pPr>
        <w:pStyle w:val="Bullet1"/>
        <w:numPr>
          <w:ilvl w:val="0"/>
          <w:numId w:val="40"/>
        </w:numPr>
      </w:pPr>
      <w:r w:rsidRPr="00753793">
        <w:t>Temporary and l</w:t>
      </w:r>
      <w:r w:rsidR="008647A4" w:rsidRPr="00753793">
        <w:t xml:space="preserve">ocalised </w:t>
      </w:r>
      <w:r w:rsidRPr="00753793">
        <w:t xml:space="preserve">reduction in surface water quality (i.e., increase in the nutrient content) around the vessel/s. </w:t>
      </w:r>
    </w:p>
    <w:p w14:paraId="7CF492CB" w14:textId="77777777" w:rsidR="008647A4" w:rsidRPr="00AE17E8" w:rsidRDefault="008647A4" w:rsidP="00AE17E8">
      <w:pPr>
        <w:pStyle w:val="BodyText"/>
        <w:ind w:left="700"/>
        <w:rPr>
          <w:b/>
          <w:u w:val="single"/>
        </w:rPr>
      </w:pPr>
      <w:r w:rsidRPr="00AE17E8">
        <w:rPr>
          <w:b/>
          <w:u w:val="single"/>
        </w:rPr>
        <w:t>EMBA</w:t>
      </w:r>
    </w:p>
    <w:p w14:paraId="51F1C90E" w14:textId="22551F30" w:rsidR="007F3C84" w:rsidRPr="00753793" w:rsidRDefault="008647A4" w:rsidP="00AE17E8">
      <w:pPr>
        <w:pStyle w:val="BodyText"/>
        <w:ind w:left="720"/>
        <w:rPr>
          <w:szCs w:val="20"/>
          <w:lang w:eastAsia="en-US"/>
        </w:rPr>
      </w:pPr>
      <w:r w:rsidRPr="00753793">
        <w:rPr>
          <w:szCs w:val="20"/>
          <w:lang w:eastAsia="en-US"/>
        </w:rPr>
        <w:t xml:space="preserve">The EMBA for </w:t>
      </w:r>
      <w:r w:rsidR="007F3C84" w:rsidRPr="00753793">
        <w:rPr>
          <w:szCs w:val="20"/>
          <w:lang w:eastAsia="en-US"/>
        </w:rPr>
        <w:t xml:space="preserve">sewage and grey water discharges </w:t>
      </w:r>
      <w:r w:rsidRPr="00753793">
        <w:rPr>
          <w:szCs w:val="20"/>
          <w:lang w:eastAsia="en-US"/>
        </w:rPr>
        <w:t xml:space="preserve">associated with vessel activities is likely to be </w:t>
      </w:r>
      <w:r w:rsidR="007F3C84" w:rsidRPr="00753793">
        <w:rPr>
          <w:szCs w:val="20"/>
          <w:lang w:eastAsia="en-US"/>
        </w:rPr>
        <w:t>the top 10 m of the water column and a 50 m radius from the discharge point. This is based on modelling of continuous wastewater discharges (including treated sewage and greywater) undertaken by Woodside for its Torosa South-1 drilling program (in the Scott Reef complex)</w:t>
      </w:r>
      <w:r w:rsidR="002A08D5" w:rsidRPr="00753793">
        <w:rPr>
          <w:szCs w:val="20"/>
          <w:lang w:eastAsia="en-US"/>
        </w:rPr>
        <w:t xml:space="preserve">, which </w:t>
      </w:r>
      <w:r w:rsidR="007F3C84" w:rsidRPr="00753793">
        <w:rPr>
          <w:szCs w:val="20"/>
          <w:lang w:eastAsia="en-US"/>
        </w:rPr>
        <w:t>found:</w:t>
      </w:r>
    </w:p>
    <w:p w14:paraId="43BAF321" w14:textId="0216A093" w:rsidR="007F3C84" w:rsidRPr="00753793" w:rsidRDefault="007F3C84" w:rsidP="0036080A">
      <w:pPr>
        <w:pStyle w:val="Bullet1"/>
        <w:numPr>
          <w:ilvl w:val="0"/>
          <w:numId w:val="40"/>
        </w:numPr>
      </w:pPr>
      <w:r w:rsidRPr="00753793">
        <w:t>Rapid horizontal dispersion of discharges occurs due to wind-driven</w:t>
      </w:r>
      <w:r w:rsidR="00753793">
        <w:t xml:space="preserve"> </w:t>
      </w:r>
      <w:r w:rsidRPr="00753793">
        <w:t>surface water currents;</w:t>
      </w:r>
    </w:p>
    <w:p w14:paraId="760E190B" w14:textId="391ADEED" w:rsidR="007F3C84" w:rsidRPr="00753793" w:rsidRDefault="007F3C84" w:rsidP="0036080A">
      <w:pPr>
        <w:pStyle w:val="Bullet1"/>
        <w:numPr>
          <w:ilvl w:val="0"/>
          <w:numId w:val="40"/>
        </w:numPr>
      </w:pPr>
      <w:r w:rsidRPr="00753793">
        <w:t>Vertical discharge is limited to about the top 10 m of the water column due to the neutrally buoyant nature of the discharge; and</w:t>
      </w:r>
    </w:p>
    <w:p w14:paraId="15E3B5F5" w14:textId="4B8A1581" w:rsidR="007F3C84" w:rsidRPr="00753793" w:rsidRDefault="007F3C84" w:rsidP="0036080A">
      <w:pPr>
        <w:pStyle w:val="Bullet1"/>
        <w:numPr>
          <w:ilvl w:val="0"/>
          <w:numId w:val="40"/>
        </w:numPr>
      </w:pPr>
      <w:r w:rsidRPr="00753793">
        <w:t>A concentration of a component within the discharge stream is reduced to 1% of its original concentration at no less than 50 m from the discharge point under any condition (Woodside, 2008).</w:t>
      </w:r>
    </w:p>
    <w:p w14:paraId="67CC4756" w14:textId="77777777" w:rsidR="008647A4" w:rsidRPr="00AE17E8" w:rsidRDefault="008647A4" w:rsidP="00AE17E8">
      <w:pPr>
        <w:pStyle w:val="BodyText"/>
        <w:ind w:left="720"/>
        <w:rPr>
          <w:b/>
          <w:u w:val="single"/>
        </w:rPr>
      </w:pPr>
      <w:r w:rsidRPr="00AE17E8">
        <w:rPr>
          <w:b/>
          <w:u w:val="single"/>
        </w:rPr>
        <w:t>Receptors within the EMBA</w:t>
      </w:r>
    </w:p>
    <w:p w14:paraId="22D99F9C" w14:textId="77777777" w:rsidR="008647A4" w:rsidRPr="00753793" w:rsidRDefault="008647A4" w:rsidP="00AE17E8">
      <w:pPr>
        <w:pStyle w:val="BodyText"/>
        <w:ind w:left="720"/>
        <w:rPr>
          <w:szCs w:val="20"/>
          <w:lang w:eastAsia="en-US"/>
        </w:rPr>
      </w:pPr>
      <w:r w:rsidRPr="00753793">
        <w:rPr>
          <w:szCs w:val="20"/>
          <w:lang w:eastAsia="en-US"/>
        </w:rPr>
        <w:t xml:space="preserve">Receptors that may occur within this EMBA, either as residents or migrants, are: </w:t>
      </w:r>
    </w:p>
    <w:p w14:paraId="11CCF6B2" w14:textId="77777777" w:rsidR="008647A4" w:rsidRPr="00753793" w:rsidRDefault="008647A4" w:rsidP="0036080A">
      <w:pPr>
        <w:pStyle w:val="Bullet1"/>
        <w:numPr>
          <w:ilvl w:val="0"/>
          <w:numId w:val="40"/>
        </w:numPr>
      </w:pPr>
      <w:r w:rsidRPr="00753793">
        <w:lastRenderedPageBreak/>
        <w:t>Plankton;</w:t>
      </w:r>
    </w:p>
    <w:p w14:paraId="7F20C807" w14:textId="71E43347" w:rsidR="008647A4" w:rsidRPr="00753793" w:rsidRDefault="002A08D5" w:rsidP="0036080A">
      <w:pPr>
        <w:pStyle w:val="Bullet1"/>
        <w:numPr>
          <w:ilvl w:val="0"/>
          <w:numId w:val="40"/>
        </w:numPr>
      </w:pPr>
      <w:r w:rsidRPr="00753793">
        <w:t>Pelagic f</w:t>
      </w:r>
      <w:r w:rsidR="008647A4" w:rsidRPr="00753793">
        <w:t>ish; and</w:t>
      </w:r>
    </w:p>
    <w:p w14:paraId="6D3DC05C" w14:textId="27A6ABAE" w:rsidR="008647A4" w:rsidRPr="00753793" w:rsidRDefault="008647A4" w:rsidP="0036080A">
      <w:pPr>
        <w:pStyle w:val="Bullet1"/>
        <w:numPr>
          <w:ilvl w:val="0"/>
          <w:numId w:val="40"/>
        </w:numPr>
      </w:pPr>
      <w:r w:rsidRPr="00753793">
        <w:t xml:space="preserve">Seabirds.  </w:t>
      </w:r>
    </w:p>
    <w:p w14:paraId="69E07093" w14:textId="77777777" w:rsidR="00AD4F15" w:rsidRDefault="00AD4F15" w:rsidP="00914C00">
      <w:pPr>
        <w:pStyle w:val="Heading3"/>
      </w:pPr>
      <w:r>
        <w:t>Evaluation of Environmental Impacts</w:t>
      </w:r>
    </w:p>
    <w:p w14:paraId="54C7E96F" w14:textId="590EF461" w:rsidR="00FD0365" w:rsidRDefault="000D68A6" w:rsidP="00E439A6">
      <w:pPr>
        <w:pStyle w:val="BodyText"/>
        <w:ind w:left="720"/>
        <w:rPr>
          <w:szCs w:val="20"/>
          <w:lang w:eastAsia="en-US"/>
        </w:rPr>
      </w:pPr>
      <w:r w:rsidRPr="00753793">
        <w:rPr>
          <w:szCs w:val="20"/>
          <w:lang w:eastAsia="en-US"/>
        </w:rPr>
        <w:t xml:space="preserve">Sewage </w:t>
      </w:r>
      <w:r>
        <w:rPr>
          <w:szCs w:val="20"/>
          <w:lang w:eastAsia="en-US"/>
        </w:rPr>
        <w:t>discharges will meet the requirements of MARPOL Annex IV</w:t>
      </w:r>
      <w:r w:rsidR="0036269E">
        <w:rPr>
          <w:szCs w:val="20"/>
          <w:lang w:eastAsia="en-US"/>
        </w:rPr>
        <w:t xml:space="preserve">. Vessels </w:t>
      </w:r>
      <w:r>
        <w:rPr>
          <w:szCs w:val="20"/>
          <w:lang w:eastAsia="en-US"/>
        </w:rPr>
        <w:t xml:space="preserve">usually </w:t>
      </w:r>
      <w:r w:rsidRPr="00753793">
        <w:rPr>
          <w:szCs w:val="20"/>
          <w:lang w:eastAsia="en-US"/>
        </w:rPr>
        <w:t xml:space="preserve">treated </w:t>
      </w:r>
      <w:r w:rsidR="0036269E">
        <w:rPr>
          <w:szCs w:val="20"/>
          <w:lang w:eastAsia="en-US"/>
        </w:rPr>
        <w:t xml:space="preserve">sewage/grey water </w:t>
      </w:r>
      <w:r w:rsidRPr="00753793">
        <w:rPr>
          <w:szCs w:val="20"/>
          <w:lang w:eastAsia="en-US"/>
        </w:rPr>
        <w:t>through a sewage treatment plant (STP) to a tertiary level</w:t>
      </w:r>
      <w:r>
        <w:rPr>
          <w:szCs w:val="20"/>
          <w:lang w:eastAsia="en-US"/>
        </w:rPr>
        <w:t>;</w:t>
      </w:r>
      <w:r w:rsidRPr="00753793">
        <w:rPr>
          <w:szCs w:val="20"/>
          <w:lang w:eastAsia="en-US"/>
        </w:rPr>
        <w:t xml:space="preserve"> </w:t>
      </w:r>
      <w:r w:rsidR="0036269E">
        <w:rPr>
          <w:szCs w:val="20"/>
          <w:lang w:eastAsia="en-US"/>
        </w:rPr>
        <w:t>or</w:t>
      </w:r>
      <w:r>
        <w:rPr>
          <w:szCs w:val="20"/>
          <w:lang w:eastAsia="en-US"/>
        </w:rPr>
        <w:t xml:space="preserve"> if not treated</w:t>
      </w:r>
      <w:r w:rsidR="0036269E">
        <w:rPr>
          <w:szCs w:val="20"/>
          <w:lang w:eastAsia="en-US"/>
        </w:rPr>
        <w:t>,</w:t>
      </w:r>
      <w:r>
        <w:rPr>
          <w:szCs w:val="20"/>
          <w:lang w:eastAsia="en-US"/>
        </w:rPr>
        <w:t xml:space="preserve"> comminuted and disinfected and discharged from the vessel while en-route at distances greater than 4 nm from shore; or discharged from the vessel while en-route at distances greater than 12 nm from shore</w:t>
      </w:r>
      <w:r w:rsidR="00FD0365">
        <w:rPr>
          <w:szCs w:val="20"/>
          <w:lang w:eastAsia="en-US"/>
        </w:rPr>
        <w:t xml:space="preserve">. </w:t>
      </w:r>
    </w:p>
    <w:p w14:paraId="0008B4CB" w14:textId="74E3D5A8" w:rsidR="00671C77" w:rsidRPr="00753793" w:rsidRDefault="00671C77" w:rsidP="00E439A6">
      <w:pPr>
        <w:pStyle w:val="BodyText"/>
        <w:ind w:left="720"/>
        <w:rPr>
          <w:szCs w:val="20"/>
          <w:lang w:eastAsia="en-US"/>
        </w:rPr>
      </w:pPr>
      <w:r w:rsidRPr="00753793">
        <w:rPr>
          <w:szCs w:val="20"/>
          <w:lang w:eastAsia="en-US"/>
        </w:rPr>
        <w:t>Nutrients in sewage, such as phosphorus and nitrogen</w:t>
      </w:r>
      <w:r w:rsidR="000B0B36" w:rsidRPr="00753793">
        <w:rPr>
          <w:szCs w:val="20"/>
          <w:lang w:eastAsia="en-US"/>
        </w:rPr>
        <w:t>,</w:t>
      </w:r>
      <w:r w:rsidRPr="00753793">
        <w:rPr>
          <w:szCs w:val="20"/>
          <w:lang w:eastAsia="en-US"/>
        </w:rPr>
        <w:t xml:space="preserve"> may contribute to eutrophication of receiving waters (although usually only still, calm, inland waters and not offshore waters), causing algal blooms, which can degrade aquatic habitats by reducing light levels and producing certain toxins, some of which are harmful to marine life and humans.</w:t>
      </w:r>
      <w:r w:rsidR="00FD0365">
        <w:rPr>
          <w:szCs w:val="20"/>
          <w:lang w:eastAsia="en-US"/>
        </w:rPr>
        <w:t xml:space="preserve"> Pathogens are also an issue if ingested (not an issue with STP or comminution and disinfection</w:t>
      </w:r>
      <w:r w:rsidR="003B4186">
        <w:rPr>
          <w:szCs w:val="20"/>
          <w:lang w:eastAsia="en-US"/>
        </w:rPr>
        <w:t xml:space="preserve"> treatment options</w:t>
      </w:r>
      <w:r w:rsidR="00FD0365">
        <w:rPr>
          <w:szCs w:val="20"/>
          <w:lang w:eastAsia="en-US"/>
        </w:rPr>
        <w:t>).</w:t>
      </w:r>
    </w:p>
    <w:p w14:paraId="690C9102" w14:textId="7BBB71D7" w:rsidR="00671C77" w:rsidRPr="00753793" w:rsidRDefault="00671C77" w:rsidP="00E439A6">
      <w:pPr>
        <w:pStyle w:val="BodyText"/>
        <w:ind w:left="720"/>
        <w:rPr>
          <w:szCs w:val="20"/>
          <w:lang w:eastAsia="en-US"/>
        </w:rPr>
      </w:pPr>
      <w:r w:rsidRPr="00753793">
        <w:rPr>
          <w:szCs w:val="20"/>
          <w:lang w:eastAsia="en-US"/>
        </w:rPr>
        <w:t>Grey water (used water from the galley, dishwashers, showers, hand basins and laundry) can contain a wide variety of pollutant substances at different strengths, including oil and some organic compounds, hydrocarbons, detergents and grease, metals, suspended solids, chemical nutrients, food waste, coliform bacteria and some medical waste. Grey water is also treated through the STP</w:t>
      </w:r>
      <w:r w:rsidR="000B0B36" w:rsidRPr="00753793">
        <w:rPr>
          <w:szCs w:val="20"/>
          <w:lang w:eastAsia="en-US"/>
        </w:rPr>
        <w:t xml:space="preserve">, so pollutants </w:t>
      </w:r>
      <w:r w:rsidR="003B4186">
        <w:rPr>
          <w:szCs w:val="20"/>
          <w:lang w:eastAsia="en-US"/>
        </w:rPr>
        <w:t>would</w:t>
      </w:r>
      <w:r w:rsidR="000B0B36" w:rsidRPr="00753793">
        <w:rPr>
          <w:szCs w:val="20"/>
          <w:lang w:eastAsia="en-US"/>
        </w:rPr>
        <w:t xml:space="preserve"> be largely removed from the discharge stream</w:t>
      </w:r>
      <w:r w:rsidRPr="00753793">
        <w:rPr>
          <w:szCs w:val="20"/>
          <w:lang w:eastAsia="en-US"/>
        </w:rPr>
        <w:t xml:space="preserve">. </w:t>
      </w:r>
    </w:p>
    <w:p w14:paraId="29CBA6D8" w14:textId="0BFBECF9" w:rsidR="00D05216" w:rsidRPr="00753793" w:rsidRDefault="00D05216" w:rsidP="00E439A6">
      <w:pPr>
        <w:pStyle w:val="BodyText"/>
        <w:ind w:left="720"/>
        <w:rPr>
          <w:szCs w:val="20"/>
          <w:lang w:eastAsia="en-US"/>
        </w:rPr>
      </w:pPr>
      <w:r w:rsidRPr="00753793">
        <w:rPr>
          <w:szCs w:val="20"/>
        </w:rPr>
        <w:t xml:space="preserve">The effects of </w:t>
      </w:r>
      <w:r w:rsidR="00FD0365">
        <w:rPr>
          <w:szCs w:val="20"/>
        </w:rPr>
        <w:t xml:space="preserve">treated </w:t>
      </w:r>
      <w:r w:rsidRPr="00753793">
        <w:rPr>
          <w:szCs w:val="20"/>
        </w:rPr>
        <w:t xml:space="preserve">sewage and sullage discharges on the water quality at Scott Reef were monitored for a drill rig operating near the edge of the deep-water lagoon area at South Reef. Monitoring at stations 50, 100 and 200 m downstream of the rig and at five different water depths confirmed that the discharges were rapidly diluted in the upper 10 m water layer and no elevations in water quality monitoring parameters (e.g., total nitrogen, total phosphorous and selected metals) were recorded above background levels at any station (Woodside, 2011). Conditions associated with this example at Scott Reef are considered conservative given the high numbers of personnel on-board a drill rig compared with </w:t>
      </w:r>
      <w:r w:rsidR="006407CA" w:rsidRPr="00753793">
        <w:rPr>
          <w:szCs w:val="20"/>
        </w:rPr>
        <w:t xml:space="preserve">vessels undertaking </w:t>
      </w:r>
      <w:r w:rsidRPr="00753793">
        <w:rPr>
          <w:szCs w:val="20"/>
        </w:rPr>
        <w:t>IMR activities</w:t>
      </w:r>
      <w:r w:rsidR="006407CA" w:rsidRPr="00753793">
        <w:rPr>
          <w:szCs w:val="20"/>
        </w:rPr>
        <w:t xml:space="preserve">, </w:t>
      </w:r>
      <w:r w:rsidRPr="00753793">
        <w:rPr>
          <w:szCs w:val="20"/>
        </w:rPr>
        <w:t xml:space="preserve">and the environment much less dispersive than vessels </w:t>
      </w:r>
      <w:r w:rsidR="006407CA" w:rsidRPr="00753793">
        <w:rPr>
          <w:szCs w:val="20"/>
        </w:rPr>
        <w:t>that</w:t>
      </w:r>
      <w:r w:rsidRPr="00753793">
        <w:rPr>
          <w:szCs w:val="20"/>
        </w:rPr>
        <w:t xml:space="preserve"> are in constant movement in Bass Strait.</w:t>
      </w:r>
    </w:p>
    <w:p w14:paraId="2223DB96" w14:textId="77777777" w:rsidR="00671C77" w:rsidRPr="00753793" w:rsidRDefault="00671C77" w:rsidP="00E439A6">
      <w:pPr>
        <w:pStyle w:val="BodyText"/>
        <w:ind w:left="720"/>
        <w:rPr>
          <w:szCs w:val="20"/>
          <w:lang w:eastAsia="en-US"/>
        </w:rPr>
      </w:pPr>
      <w:r w:rsidRPr="00753793">
        <w:rPr>
          <w:szCs w:val="20"/>
          <w:lang w:eastAsia="en-US"/>
        </w:rPr>
        <w:t xml:space="preserve">Discharges of treated sewage and grey water will be rapidly diluted in the surface layers of the water column and dispersed by currents. The biological oxygen demand (BOD) of the treated effluent is unlikely to lead to oxygen depletion of the receiving waters (Black </w:t>
      </w:r>
      <w:r w:rsidRPr="00753793">
        <w:rPr>
          <w:i/>
          <w:szCs w:val="20"/>
          <w:lang w:eastAsia="en-US"/>
        </w:rPr>
        <w:t>et al.,</w:t>
      </w:r>
      <w:r w:rsidRPr="00753793">
        <w:rPr>
          <w:szCs w:val="20"/>
          <w:lang w:eastAsia="en-US"/>
        </w:rPr>
        <w:t xml:space="preserve"> 1994), as it will be treated prior to release. On release, surface water currents will assist with oxygenation of the discharge.</w:t>
      </w:r>
    </w:p>
    <w:p w14:paraId="6C76095D" w14:textId="5ABED583" w:rsidR="008647A4" w:rsidRDefault="008647A4" w:rsidP="00E439A6">
      <w:pPr>
        <w:pStyle w:val="BodyText"/>
        <w:ind w:left="720"/>
        <w:rPr>
          <w:szCs w:val="20"/>
          <w:lang w:eastAsia="en-US"/>
        </w:rPr>
      </w:pPr>
      <w:r w:rsidRPr="00753793">
        <w:rPr>
          <w:szCs w:val="20"/>
          <w:lang w:eastAsia="en-US"/>
        </w:rPr>
        <w:t xml:space="preserve">Given the </w:t>
      </w:r>
      <w:r w:rsidR="00403A98" w:rsidRPr="00753793">
        <w:rPr>
          <w:szCs w:val="20"/>
          <w:lang w:eastAsia="en-US"/>
        </w:rPr>
        <w:t xml:space="preserve">low volumes of the discharges, the treatment of the discharge, the </w:t>
      </w:r>
      <w:r w:rsidRPr="00753793">
        <w:rPr>
          <w:szCs w:val="20"/>
          <w:lang w:eastAsia="en-US"/>
        </w:rPr>
        <w:t>high dilution and dispersal</w:t>
      </w:r>
      <w:r w:rsidR="00403A98" w:rsidRPr="00753793">
        <w:rPr>
          <w:szCs w:val="20"/>
          <w:lang w:eastAsia="en-US"/>
        </w:rPr>
        <w:t xml:space="preserve"> factor</w:t>
      </w:r>
      <w:r w:rsidRPr="00753793">
        <w:rPr>
          <w:szCs w:val="20"/>
          <w:lang w:eastAsia="en-US"/>
        </w:rPr>
        <w:t xml:space="preserve">, and short discharge period, the risk of </w:t>
      </w:r>
      <w:r w:rsidR="00403A98" w:rsidRPr="00753793">
        <w:rPr>
          <w:szCs w:val="20"/>
          <w:lang w:eastAsia="en-US"/>
        </w:rPr>
        <w:t xml:space="preserve">treated </w:t>
      </w:r>
      <w:r w:rsidRPr="00753793">
        <w:rPr>
          <w:szCs w:val="20"/>
          <w:lang w:eastAsia="en-US"/>
        </w:rPr>
        <w:t>sewage and grey water discharged from vessels having an adverse effect on marine life is very low</w:t>
      </w:r>
      <w:r w:rsidR="00FD0365">
        <w:rPr>
          <w:szCs w:val="20"/>
          <w:lang w:eastAsia="en-US"/>
        </w:rPr>
        <w:t xml:space="preserve"> (negligible consequence)</w:t>
      </w:r>
      <w:r w:rsidRPr="00753793">
        <w:rPr>
          <w:szCs w:val="20"/>
          <w:lang w:eastAsia="en-US"/>
        </w:rPr>
        <w:t>.</w:t>
      </w:r>
    </w:p>
    <w:p w14:paraId="3391154F" w14:textId="77777777" w:rsidR="00EA3DDF" w:rsidRPr="00753793" w:rsidRDefault="00EA3DDF" w:rsidP="00E439A6">
      <w:pPr>
        <w:pStyle w:val="BodyText"/>
        <w:ind w:left="720"/>
        <w:rPr>
          <w:szCs w:val="20"/>
          <w:lang w:eastAsia="en-US"/>
        </w:rPr>
      </w:pPr>
    </w:p>
    <w:p w14:paraId="066BABEF" w14:textId="77777777" w:rsidR="00AD4F15" w:rsidRPr="00AE17E8" w:rsidRDefault="00AD4F15" w:rsidP="00EA3DDF">
      <w:pPr>
        <w:pStyle w:val="BodyText"/>
        <w:ind w:left="720"/>
        <w:rPr>
          <w:b/>
          <w:u w:val="single"/>
        </w:rPr>
      </w:pPr>
      <w:r w:rsidRPr="00AE17E8">
        <w:rPr>
          <w:b/>
          <w:u w:val="single"/>
        </w:rPr>
        <w:t>Impacts to Matters of NES</w:t>
      </w:r>
    </w:p>
    <w:p w14:paraId="69B37F37" w14:textId="14A0B627" w:rsidR="00AD4F15" w:rsidRPr="00AE17E8" w:rsidRDefault="00AD4F15" w:rsidP="002027A5">
      <w:pPr>
        <w:pStyle w:val="BodyText"/>
        <w:spacing w:after="240"/>
        <w:ind w:left="720"/>
        <w:rPr>
          <w:b/>
          <w:u w:val="single"/>
          <w:lang w:eastAsia="en-US"/>
        </w:rPr>
      </w:pPr>
      <w:r w:rsidRPr="00753793">
        <w:rPr>
          <w:szCs w:val="20"/>
          <w:lang w:eastAsia="en-US"/>
        </w:rPr>
        <w:t xml:space="preserve">The </w:t>
      </w:r>
      <w:r w:rsidR="000E36C8" w:rsidRPr="00753793">
        <w:rPr>
          <w:szCs w:val="20"/>
          <w:lang w:eastAsia="en-US"/>
        </w:rPr>
        <w:t xml:space="preserve">discharge of treated sewage and grey water </w:t>
      </w:r>
      <w:r w:rsidRPr="00753793">
        <w:rPr>
          <w:szCs w:val="20"/>
          <w:lang w:eastAsia="en-US"/>
        </w:rPr>
        <w:t>will not have a ‘significant’ impact to any of the matters of NES applicable to this project</w:t>
      </w:r>
      <w:r w:rsidR="002027A5">
        <w:rPr>
          <w:szCs w:val="20"/>
          <w:lang w:eastAsia="en-US"/>
        </w:rPr>
        <w:t>.</w:t>
      </w:r>
    </w:p>
    <w:p w14:paraId="262442C4" w14:textId="77777777" w:rsidR="00AD4F15" w:rsidRPr="00AE17E8" w:rsidRDefault="00AD4F15" w:rsidP="00AE17E8">
      <w:pPr>
        <w:pStyle w:val="BodyText"/>
        <w:ind w:left="709"/>
        <w:rPr>
          <w:b/>
          <w:u w:val="single"/>
        </w:rPr>
      </w:pPr>
      <w:r w:rsidRPr="00AE17E8">
        <w:rPr>
          <w:b/>
          <w:u w:val="single"/>
        </w:rPr>
        <w:t>Impacts to other areas of Conservation Significance</w:t>
      </w:r>
    </w:p>
    <w:p w14:paraId="11EFDBAD" w14:textId="1000E7BB" w:rsidR="00AD4F15" w:rsidRPr="00BE0DE6" w:rsidRDefault="00AD4F15" w:rsidP="002027A5">
      <w:pPr>
        <w:pStyle w:val="BodyText"/>
        <w:spacing w:after="240"/>
        <w:ind w:left="709"/>
        <w:rPr>
          <w:lang w:eastAsia="en-US"/>
        </w:rPr>
      </w:pPr>
      <w:r w:rsidRPr="00753793">
        <w:rPr>
          <w:szCs w:val="20"/>
          <w:lang w:eastAsia="en-US"/>
        </w:rPr>
        <w:t xml:space="preserve">There are no other areas of conservation significance within the </w:t>
      </w:r>
      <w:r w:rsidR="009F3548" w:rsidRPr="00753793">
        <w:rPr>
          <w:szCs w:val="20"/>
          <w:lang w:eastAsia="en-US"/>
        </w:rPr>
        <w:t>EMBA by sewage and grey water discharges</w:t>
      </w:r>
      <w:r w:rsidRPr="00753793">
        <w:rPr>
          <w:szCs w:val="20"/>
          <w:lang w:eastAsia="en-US"/>
        </w:rPr>
        <w:t>. This discharge will not have any impacts to other areas of conservation significance</w:t>
      </w:r>
      <w:r w:rsidR="002027A5">
        <w:rPr>
          <w:szCs w:val="20"/>
          <w:lang w:eastAsia="en-US"/>
        </w:rPr>
        <w:t>.</w:t>
      </w:r>
    </w:p>
    <w:p w14:paraId="39CB2968" w14:textId="77777777" w:rsidR="00AD4F15" w:rsidRDefault="00AD4F15" w:rsidP="00914C00">
      <w:pPr>
        <w:pStyle w:val="Heading3"/>
      </w:pPr>
      <w:r>
        <w:lastRenderedPageBreak/>
        <w:t>Impact Assessment</w:t>
      </w:r>
    </w:p>
    <w:p w14:paraId="42003F0B" w14:textId="33AFC0E4" w:rsidR="00AD4F15" w:rsidRPr="00753793" w:rsidRDefault="00753793" w:rsidP="00AE17E8">
      <w:pPr>
        <w:pStyle w:val="BodyText"/>
        <w:ind w:left="720"/>
        <w:rPr>
          <w:szCs w:val="20"/>
          <w:lang w:eastAsia="en-US"/>
        </w:rPr>
      </w:pPr>
      <w:r w:rsidRPr="00753793">
        <w:rPr>
          <w:color w:val="FF0000"/>
          <w:szCs w:val="20"/>
          <w:lang w:eastAsia="en-US"/>
        </w:rPr>
        <w:fldChar w:fldCharType="begin"/>
      </w:r>
      <w:r w:rsidRPr="00753793">
        <w:rPr>
          <w:szCs w:val="20"/>
          <w:lang w:eastAsia="en-US"/>
        </w:rPr>
        <w:instrText xml:space="preserve"> REF _Ref473382228 \h </w:instrText>
      </w:r>
      <w:r>
        <w:rPr>
          <w:color w:val="FF0000"/>
          <w:szCs w:val="20"/>
          <w:lang w:eastAsia="en-US"/>
        </w:rPr>
        <w:instrText xml:space="preserve"> \* MERGEFORMAT </w:instrText>
      </w:r>
      <w:r w:rsidRPr="00753793">
        <w:rPr>
          <w:color w:val="FF0000"/>
          <w:szCs w:val="20"/>
          <w:lang w:eastAsia="en-US"/>
        </w:rPr>
      </w:r>
      <w:r w:rsidRPr="00753793">
        <w:rPr>
          <w:color w:val="FF0000"/>
          <w:szCs w:val="20"/>
          <w:lang w:eastAsia="en-US"/>
        </w:rPr>
        <w:fldChar w:fldCharType="separate"/>
      </w:r>
      <w:r w:rsidR="00CC4C35" w:rsidRPr="00753793">
        <w:rPr>
          <w:szCs w:val="20"/>
        </w:rPr>
        <w:t xml:space="preserve">Table </w:t>
      </w:r>
      <w:r w:rsidR="00CC4C35">
        <w:rPr>
          <w:noProof/>
          <w:szCs w:val="20"/>
        </w:rPr>
        <w:t>5</w:t>
      </w:r>
      <w:r w:rsidR="00CC4C35">
        <w:rPr>
          <w:noProof/>
          <w:szCs w:val="20"/>
        </w:rPr>
        <w:noBreakHyphen/>
        <w:t>7</w:t>
      </w:r>
      <w:r w:rsidRPr="00753793">
        <w:rPr>
          <w:color w:val="FF0000"/>
          <w:szCs w:val="20"/>
          <w:lang w:eastAsia="en-US"/>
        </w:rPr>
        <w:fldChar w:fldCharType="end"/>
      </w:r>
      <w:r w:rsidRPr="00753793">
        <w:rPr>
          <w:color w:val="FF0000"/>
          <w:szCs w:val="20"/>
          <w:lang w:eastAsia="en-US"/>
        </w:rPr>
        <w:t xml:space="preserve"> </w:t>
      </w:r>
      <w:r w:rsidR="00AD4F15" w:rsidRPr="00753793">
        <w:rPr>
          <w:szCs w:val="20"/>
          <w:lang w:eastAsia="en-US"/>
        </w:rPr>
        <w:t xml:space="preserve">presents the </w:t>
      </w:r>
      <w:r w:rsidR="00ED444B" w:rsidRPr="00753793">
        <w:rPr>
          <w:szCs w:val="20"/>
          <w:lang w:eastAsia="en-US"/>
        </w:rPr>
        <w:t>impact</w:t>
      </w:r>
      <w:r w:rsidR="00AD4F15" w:rsidRPr="00753793">
        <w:rPr>
          <w:szCs w:val="20"/>
          <w:lang w:eastAsia="en-US"/>
        </w:rPr>
        <w:t xml:space="preserve"> assessment for </w:t>
      </w:r>
      <w:r w:rsidR="0010024A" w:rsidRPr="00753793">
        <w:rPr>
          <w:szCs w:val="20"/>
          <w:lang w:eastAsia="en-US"/>
        </w:rPr>
        <w:t>treated sewage and grey water discharges</w:t>
      </w:r>
      <w:r w:rsidR="00AD4F15" w:rsidRPr="00753793">
        <w:rPr>
          <w:szCs w:val="20"/>
          <w:lang w:eastAsia="en-US"/>
        </w:rPr>
        <w:t xml:space="preserve">. </w:t>
      </w:r>
    </w:p>
    <w:p w14:paraId="1344EFB6" w14:textId="4B719D13" w:rsidR="00ED444B" w:rsidRPr="00ED5388" w:rsidRDefault="00753793" w:rsidP="00B86A7D">
      <w:pPr>
        <w:pStyle w:val="Caption"/>
        <w:outlineLvl w:val="9"/>
        <w:rPr>
          <w:sz w:val="20"/>
          <w:szCs w:val="20"/>
        </w:rPr>
      </w:pPr>
      <w:bookmarkStart w:id="204" w:name="_Ref473382228"/>
      <w:bookmarkStart w:id="205" w:name="_Toc511032598"/>
      <w:r w:rsidRPr="00753793">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7</w:t>
      </w:r>
      <w:r w:rsidR="00103328">
        <w:rPr>
          <w:sz w:val="20"/>
          <w:szCs w:val="20"/>
        </w:rPr>
        <w:fldChar w:fldCharType="end"/>
      </w:r>
      <w:bookmarkEnd w:id="204"/>
      <w:r w:rsidRPr="00753793">
        <w:rPr>
          <w:sz w:val="20"/>
          <w:szCs w:val="20"/>
        </w:rPr>
        <w:t>: EIA for treated sewage and grey water</w:t>
      </w:r>
      <w:bookmarkEnd w:id="205"/>
    </w:p>
    <w:tbl>
      <w:tblPr>
        <w:tblW w:w="9072" w:type="dxa"/>
        <w:tblInd w:w="1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694"/>
        <w:gridCol w:w="6378"/>
      </w:tblGrid>
      <w:tr w:rsidR="002911B2" w:rsidRPr="00753793" w14:paraId="638ACCB4" w14:textId="77777777" w:rsidTr="00ED444B">
        <w:trPr>
          <w:cantSplit/>
        </w:trPr>
        <w:tc>
          <w:tcPr>
            <w:tcW w:w="2694" w:type="dxa"/>
            <w:shd w:val="clear" w:color="auto" w:fill="BFBFBF" w:themeFill="background1" w:themeFillShade="BF"/>
          </w:tcPr>
          <w:p w14:paraId="68F38653" w14:textId="5EDC1285" w:rsidR="002911B2" w:rsidRPr="00753793" w:rsidRDefault="002911B2" w:rsidP="00E439A6">
            <w:pPr>
              <w:pStyle w:val="Tabletext"/>
              <w:spacing w:line="240" w:lineRule="auto"/>
              <w:rPr>
                <w:rFonts w:ascii="Arial" w:hAnsi="Arial" w:cs="Arial"/>
                <w:b/>
                <w:sz w:val="16"/>
                <w:szCs w:val="16"/>
              </w:rPr>
            </w:pPr>
            <w:r>
              <w:rPr>
                <w:rFonts w:ascii="Arial" w:hAnsi="Arial" w:cs="Arial"/>
                <w:b/>
                <w:sz w:val="16"/>
                <w:szCs w:val="16"/>
              </w:rPr>
              <w:t>Aspect:</w:t>
            </w:r>
          </w:p>
        </w:tc>
        <w:tc>
          <w:tcPr>
            <w:tcW w:w="6378" w:type="dxa"/>
          </w:tcPr>
          <w:p w14:paraId="617513F0" w14:textId="3BBF5F32" w:rsidR="002911B2" w:rsidRPr="00753793" w:rsidRDefault="002911B2" w:rsidP="00E439A6">
            <w:pPr>
              <w:pStyle w:val="Tabletext"/>
              <w:spacing w:line="240" w:lineRule="auto"/>
              <w:jc w:val="left"/>
              <w:rPr>
                <w:rFonts w:ascii="Arial" w:hAnsi="Arial" w:cs="Arial"/>
                <w:sz w:val="16"/>
                <w:szCs w:val="16"/>
              </w:rPr>
            </w:pPr>
            <w:r>
              <w:rPr>
                <w:rFonts w:ascii="Arial" w:hAnsi="Arial" w:cs="Arial"/>
                <w:sz w:val="16"/>
                <w:szCs w:val="16"/>
              </w:rPr>
              <w:t>Vessel Sewage Discharge</w:t>
            </w:r>
          </w:p>
        </w:tc>
      </w:tr>
      <w:tr w:rsidR="00ED444B" w:rsidRPr="00753793" w14:paraId="55271476" w14:textId="77777777" w:rsidTr="00ED444B">
        <w:trPr>
          <w:cantSplit/>
        </w:trPr>
        <w:tc>
          <w:tcPr>
            <w:tcW w:w="2694" w:type="dxa"/>
            <w:shd w:val="clear" w:color="auto" w:fill="BFBFBF" w:themeFill="background1" w:themeFillShade="BF"/>
          </w:tcPr>
          <w:p w14:paraId="56ACC433" w14:textId="77777777" w:rsidR="00ED444B" w:rsidRPr="00753793" w:rsidRDefault="00ED444B" w:rsidP="00E439A6">
            <w:pPr>
              <w:pStyle w:val="Tabletext"/>
              <w:spacing w:line="240" w:lineRule="auto"/>
              <w:rPr>
                <w:rFonts w:ascii="Arial" w:hAnsi="Arial" w:cs="Arial"/>
                <w:b/>
                <w:sz w:val="16"/>
                <w:szCs w:val="16"/>
              </w:rPr>
            </w:pPr>
            <w:r w:rsidRPr="00753793">
              <w:rPr>
                <w:rFonts w:ascii="Arial" w:hAnsi="Arial" w:cs="Arial"/>
                <w:b/>
                <w:sz w:val="16"/>
                <w:szCs w:val="16"/>
              </w:rPr>
              <w:t xml:space="preserve">Impact summary </w:t>
            </w:r>
          </w:p>
        </w:tc>
        <w:tc>
          <w:tcPr>
            <w:tcW w:w="6378" w:type="dxa"/>
          </w:tcPr>
          <w:p w14:paraId="3CEFC360" w14:textId="1BE88EDA" w:rsidR="00ED444B" w:rsidRPr="00753793" w:rsidRDefault="00ED444B" w:rsidP="00E439A6">
            <w:pPr>
              <w:pStyle w:val="Tabletext"/>
              <w:spacing w:line="240" w:lineRule="auto"/>
              <w:jc w:val="left"/>
              <w:rPr>
                <w:rFonts w:ascii="Arial" w:hAnsi="Arial" w:cs="Arial"/>
                <w:sz w:val="16"/>
                <w:szCs w:val="16"/>
              </w:rPr>
            </w:pPr>
            <w:r w:rsidRPr="00753793">
              <w:rPr>
                <w:rFonts w:ascii="Arial" w:hAnsi="Arial" w:cs="Arial"/>
                <w:sz w:val="16"/>
                <w:szCs w:val="16"/>
              </w:rPr>
              <w:t>Increase in nutrient con</w:t>
            </w:r>
            <w:r w:rsidR="00E07277" w:rsidRPr="00753793">
              <w:rPr>
                <w:rFonts w:ascii="Arial" w:hAnsi="Arial" w:cs="Arial"/>
                <w:sz w:val="16"/>
                <w:szCs w:val="16"/>
              </w:rPr>
              <w:t>t</w:t>
            </w:r>
            <w:r w:rsidRPr="00753793">
              <w:rPr>
                <w:rFonts w:ascii="Arial" w:hAnsi="Arial" w:cs="Arial"/>
                <w:sz w:val="16"/>
                <w:szCs w:val="16"/>
              </w:rPr>
              <w:t xml:space="preserve">ent of surface waters, which may modify feeding habits of pelagic fish and seabirds.  </w:t>
            </w:r>
          </w:p>
        </w:tc>
      </w:tr>
      <w:tr w:rsidR="00ED444B" w:rsidRPr="00753793" w14:paraId="7C27B833" w14:textId="77777777" w:rsidTr="00ED444B">
        <w:trPr>
          <w:cantSplit/>
        </w:trPr>
        <w:tc>
          <w:tcPr>
            <w:tcW w:w="2694" w:type="dxa"/>
            <w:shd w:val="clear" w:color="auto" w:fill="BFBFBF" w:themeFill="background1" w:themeFillShade="BF"/>
          </w:tcPr>
          <w:p w14:paraId="5748E3DC" w14:textId="77777777" w:rsidR="00ED444B" w:rsidRPr="00753793" w:rsidRDefault="00ED444B" w:rsidP="00E439A6">
            <w:pPr>
              <w:pStyle w:val="Tabletext"/>
              <w:spacing w:line="240" w:lineRule="auto"/>
              <w:jc w:val="left"/>
              <w:rPr>
                <w:rFonts w:ascii="Arial" w:hAnsi="Arial" w:cs="Arial"/>
                <w:b/>
                <w:sz w:val="16"/>
                <w:szCs w:val="16"/>
              </w:rPr>
            </w:pPr>
            <w:r w:rsidRPr="00753793">
              <w:rPr>
                <w:rFonts w:ascii="Arial" w:hAnsi="Arial" w:cs="Arial"/>
                <w:b/>
                <w:sz w:val="16"/>
                <w:szCs w:val="16"/>
              </w:rPr>
              <w:t xml:space="preserve">Extent of impact </w:t>
            </w:r>
          </w:p>
        </w:tc>
        <w:tc>
          <w:tcPr>
            <w:tcW w:w="6378" w:type="dxa"/>
          </w:tcPr>
          <w:p w14:paraId="225A4577" w14:textId="3164E9A3" w:rsidR="00ED444B" w:rsidRPr="00753793" w:rsidRDefault="00ED444B" w:rsidP="00E439A6">
            <w:pPr>
              <w:pStyle w:val="Tabletext"/>
              <w:spacing w:line="240" w:lineRule="auto"/>
              <w:jc w:val="left"/>
              <w:rPr>
                <w:rFonts w:ascii="Arial" w:hAnsi="Arial" w:cs="Arial"/>
                <w:sz w:val="16"/>
                <w:szCs w:val="16"/>
              </w:rPr>
            </w:pPr>
            <w:r w:rsidRPr="00753793">
              <w:rPr>
                <w:rFonts w:ascii="Arial" w:hAnsi="Arial" w:cs="Arial"/>
                <w:sz w:val="16"/>
                <w:szCs w:val="16"/>
              </w:rPr>
              <w:t>Localised (</w:t>
            </w:r>
            <w:r w:rsidR="00E07277" w:rsidRPr="00753793">
              <w:rPr>
                <w:rFonts w:ascii="Arial" w:hAnsi="Arial" w:cs="Arial"/>
                <w:sz w:val="16"/>
                <w:szCs w:val="16"/>
              </w:rPr>
              <w:t>about 10 m vertically and 50 m horizontally</w:t>
            </w:r>
            <w:r w:rsidRPr="00753793">
              <w:rPr>
                <w:rFonts w:ascii="Arial" w:hAnsi="Arial" w:cs="Arial"/>
                <w:sz w:val="16"/>
                <w:szCs w:val="16"/>
              </w:rPr>
              <w:t xml:space="preserve">). </w:t>
            </w:r>
          </w:p>
        </w:tc>
      </w:tr>
      <w:tr w:rsidR="00ED444B" w:rsidRPr="00753793" w14:paraId="1D8E0689" w14:textId="77777777" w:rsidTr="00ED444B">
        <w:trPr>
          <w:cantSplit/>
        </w:trPr>
        <w:tc>
          <w:tcPr>
            <w:tcW w:w="2694" w:type="dxa"/>
            <w:shd w:val="clear" w:color="auto" w:fill="BFBFBF" w:themeFill="background1" w:themeFillShade="BF"/>
          </w:tcPr>
          <w:p w14:paraId="1AD271CB" w14:textId="77777777" w:rsidR="00ED444B" w:rsidRPr="00753793" w:rsidRDefault="00ED444B" w:rsidP="00E439A6">
            <w:pPr>
              <w:pStyle w:val="Tabletext"/>
              <w:spacing w:line="240" w:lineRule="auto"/>
              <w:jc w:val="left"/>
              <w:rPr>
                <w:rFonts w:ascii="Arial" w:hAnsi="Arial" w:cs="Arial"/>
                <w:b/>
                <w:sz w:val="16"/>
                <w:szCs w:val="16"/>
              </w:rPr>
            </w:pPr>
            <w:r w:rsidRPr="00753793">
              <w:rPr>
                <w:rFonts w:ascii="Arial" w:hAnsi="Arial" w:cs="Arial"/>
                <w:b/>
                <w:sz w:val="16"/>
                <w:szCs w:val="16"/>
              </w:rPr>
              <w:t xml:space="preserve">Duration of impact </w:t>
            </w:r>
          </w:p>
        </w:tc>
        <w:tc>
          <w:tcPr>
            <w:tcW w:w="6378" w:type="dxa"/>
          </w:tcPr>
          <w:p w14:paraId="16643691" w14:textId="348CB7BC" w:rsidR="00ED444B" w:rsidRPr="00753793" w:rsidRDefault="00ED444B" w:rsidP="00E439A6">
            <w:pPr>
              <w:pStyle w:val="Tabletext"/>
              <w:spacing w:line="240" w:lineRule="auto"/>
              <w:jc w:val="left"/>
              <w:rPr>
                <w:rFonts w:ascii="Arial" w:hAnsi="Arial" w:cs="Arial"/>
                <w:sz w:val="16"/>
                <w:szCs w:val="16"/>
              </w:rPr>
            </w:pPr>
            <w:r w:rsidRPr="00753793">
              <w:rPr>
                <w:rFonts w:ascii="Arial" w:hAnsi="Arial" w:cs="Arial"/>
                <w:sz w:val="16"/>
                <w:szCs w:val="16"/>
              </w:rPr>
              <w:t>Temporary (</w:t>
            </w:r>
            <w:r w:rsidR="00D8259A" w:rsidRPr="00753793">
              <w:rPr>
                <w:rFonts w:ascii="Arial" w:hAnsi="Arial" w:cs="Arial"/>
                <w:sz w:val="16"/>
                <w:szCs w:val="16"/>
              </w:rPr>
              <w:t>rapid dispersion and dilution</w:t>
            </w:r>
            <w:r w:rsidR="008B7161" w:rsidRPr="00753793">
              <w:rPr>
                <w:rFonts w:ascii="Arial" w:hAnsi="Arial" w:cs="Arial"/>
                <w:sz w:val="16"/>
                <w:szCs w:val="16"/>
              </w:rPr>
              <w:t xml:space="preserve"> – minutes to hours</w:t>
            </w:r>
            <w:r w:rsidRPr="00753793">
              <w:rPr>
                <w:rFonts w:ascii="Arial" w:hAnsi="Arial" w:cs="Arial"/>
                <w:sz w:val="16"/>
                <w:szCs w:val="16"/>
              </w:rPr>
              <w:t>).</w:t>
            </w:r>
          </w:p>
        </w:tc>
      </w:tr>
      <w:tr w:rsidR="00ED444B" w:rsidRPr="00753793" w14:paraId="443B714E" w14:textId="77777777" w:rsidTr="00ED444B">
        <w:trPr>
          <w:cantSplit/>
        </w:trPr>
        <w:tc>
          <w:tcPr>
            <w:tcW w:w="2694" w:type="dxa"/>
            <w:shd w:val="clear" w:color="auto" w:fill="BFBFBF" w:themeFill="background1" w:themeFillShade="BF"/>
          </w:tcPr>
          <w:p w14:paraId="6C9D6F89" w14:textId="77777777" w:rsidR="00ED444B" w:rsidRPr="00753793" w:rsidRDefault="00ED444B" w:rsidP="00E439A6">
            <w:pPr>
              <w:pStyle w:val="Tabletext"/>
              <w:spacing w:line="240" w:lineRule="auto"/>
              <w:jc w:val="left"/>
              <w:rPr>
                <w:rFonts w:ascii="Arial" w:hAnsi="Arial" w:cs="Arial"/>
                <w:b/>
                <w:sz w:val="16"/>
                <w:szCs w:val="16"/>
              </w:rPr>
            </w:pPr>
            <w:r w:rsidRPr="00753793">
              <w:rPr>
                <w:rFonts w:ascii="Arial" w:hAnsi="Arial" w:cs="Arial"/>
                <w:b/>
                <w:sz w:val="16"/>
                <w:szCs w:val="16"/>
              </w:rPr>
              <w:t>Level of certainty of impact</w:t>
            </w:r>
          </w:p>
        </w:tc>
        <w:tc>
          <w:tcPr>
            <w:tcW w:w="6378" w:type="dxa"/>
          </w:tcPr>
          <w:p w14:paraId="6ECCDCB1" w14:textId="4A18A53F" w:rsidR="00ED444B" w:rsidRPr="00753793" w:rsidRDefault="00ED444B" w:rsidP="00E439A6">
            <w:pPr>
              <w:pStyle w:val="Tabletext"/>
              <w:spacing w:line="240" w:lineRule="auto"/>
              <w:jc w:val="left"/>
              <w:rPr>
                <w:rFonts w:ascii="Arial" w:hAnsi="Arial" w:cs="Arial"/>
                <w:sz w:val="16"/>
                <w:szCs w:val="16"/>
              </w:rPr>
            </w:pPr>
            <w:r w:rsidRPr="00753793">
              <w:rPr>
                <w:rFonts w:ascii="Arial" w:hAnsi="Arial" w:cs="Arial"/>
                <w:sz w:val="16"/>
                <w:szCs w:val="16"/>
              </w:rPr>
              <w:t xml:space="preserve">HIGH. The impacts of </w:t>
            </w:r>
            <w:r w:rsidR="00E07277" w:rsidRPr="00753793">
              <w:rPr>
                <w:rFonts w:ascii="Arial" w:hAnsi="Arial" w:cs="Arial"/>
                <w:sz w:val="16"/>
                <w:szCs w:val="16"/>
              </w:rPr>
              <w:t xml:space="preserve">sewage and grey water discharges on the marine environment </w:t>
            </w:r>
            <w:r w:rsidRPr="00753793">
              <w:rPr>
                <w:rFonts w:ascii="Arial" w:hAnsi="Arial" w:cs="Arial"/>
                <w:sz w:val="16"/>
                <w:szCs w:val="16"/>
              </w:rPr>
              <w:t xml:space="preserve">are well studied. </w:t>
            </w:r>
          </w:p>
        </w:tc>
      </w:tr>
      <w:tr w:rsidR="00ED444B" w:rsidRPr="00753793" w14:paraId="429FA6C4" w14:textId="77777777" w:rsidTr="00ED444B">
        <w:trPr>
          <w:cantSplit/>
        </w:trPr>
        <w:tc>
          <w:tcPr>
            <w:tcW w:w="2694" w:type="dxa"/>
            <w:shd w:val="clear" w:color="auto" w:fill="BFBFBF" w:themeFill="background1" w:themeFillShade="BF"/>
          </w:tcPr>
          <w:p w14:paraId="377692AE" w14:textId="77777777" w:rsidR="00ED444B" w:rsidRPr="00753793" w:rsidRDefault="00ED444B" w:rsidP="00A2284F">
            <w:pPr>
              <w:pStyle w:val="Tabletext"/>
              <w:spacing w:line="240" w:lineRule="auto"/>
              <w:jc w:val="left"/>
              <w:rPr>
                <w:rFonts w:ascii="Arial" w:hAnsi="Arial" w:cs="Arial"/>
                <w:b/>
                <w:sz w:val="16"/>
                <w:szCs w:val="16"/>
              </w:rPr>
            </w:pPr>
            <w:r w:rsidRPr="00753793">
              <w:rPr>
                <w:rFonts w:ascii="Arial" w:hAnsi="Arial" w:cs="Arial"/>
                <w:b/>
                <w:sz w:val="16"/>
                <w:szCs w:val="16"/>
              </w:rPr>
              <w:t>Impact decision framework context</w:t>
            </w:r>
          </w:p>
        </w:tc>
        <w:tc>
          <w:tcPr>
            <w:tcW w:w="6378" w:type="dxa"/>
          </w:tcPr>
          <w:p w14:paraId="5AE5F2C7" w14:textId="4BA3CB4F" w:rsidR="00ED444B" w:rsidRPr="00753793" w:rsidRDefault="00ED444B" w:rsidP="00E439A6">
            <w:pPr>
              <w:pStyle w:val="Tabletext"/>
              <w:spacing w:line="240" w:lineRule="auto"/>
              <w:jc w:val="left"/>
              <w:rPr>
                <w:rFonts w:ascii="Arial" w:hAnsi="Arial" w:cs="Arial"/>
                <w:sz w:val="16"/>
                <w:szCs w:val="16"/>
              </w:rPr>
            </w:pPr>
            <w:r w:rsidRPr="00753793">
              <w:rPr>
                <w:rFonts w:ascii="Arial" w:hAnsi="Arial" w:cs="Arial"/>
                <w:sz w:val="16"/>
                <w:szCs w:val="16"/>
              </w:rPr>
              <w:t xml:space="preserve">A (nothing new or unusual, represents business as usual, well understood activity, good practice is well defined). </w:t>
            </w:r>
            <w:r w:rsidR="002911B2" w:rsidRPr="004705DB">
              <w:rPr>
                <w:rFonts w:ascii="Arial" w:hAnsi="Arial" w:cs="Arial"/>
                <w:i/>
                <w:sz w:val="16"/>
                <w:szCs w:val="16"/>
              </w:rPr>
              <w:t>ALARP to be demonstrated on adherence to legislation, industry codes and good professional judgement</w:t>
            </w:r>
          </w:p>
        </w:tc>
      </w:tr>
    </w:tbl>
    <w:p w14:paraId="44ADCA5D" w14:textId="77777777" w:rsidR="0002029E" w:rsidRDefault="0002029E" w:rsidP="00024BA3">
      <w:pPr>
        <w:pStyle w:val="BodyText"/>
      </w:pPr>
    </w:p>
    <w:p w14:paraId="4AD200AD" w14:textId="3FCC3E94" w:rsidR="009F3548" w:rsidRDefault="00332C99" w:rsidP="00825A33">
      <w:pPr>
        <w:pStyle w:val="Heading2"/>
      </w:pPr>
      <w:bookmarkStart w:id="206" w:name="_Toc345581937"/>
      <w:bookmarkStart w:id="207" w:name="_Toc512862480"/>
      <w:r>
        <w:t xml:space="preserve">IMPACT: </w:t>
      </w:r>
      <w:r w:rsidR="009F3548">
        <w:t>Cooling Water and Brine</w:t>
      </w:r>
      <w:r w:rsidR="003C0455">
        <w:t xml:space="preserve"> Discharges</w:t>
      </w:r>
      <w:bookmarkEnd w:id="206"/>
      <w:r w:rsidR="00B24B8B">
        <w:t xml:space="preserve"> (Vessels)</w:t>
      </w:r>
      <w:bookmarkEnd w:id="207"/>
    </w:p>
    <w:p w14:paraId="7570DCA3" w14:textId="77777777" w:rsidR="009F3548" w:rsidRDefault="009F3548" w:rsidP="00914C00">
      <w:pPr>
        <w:pStyle w:val="Heading3"/>
      </w:pPr>
      <w:r>
        <w:t>Hazard</w:t>
      </w:r>
    </w:p>
    <w:p w14:paraId="27E2E0F9" w14:textId="16E9D08F" w:rsidR="004E0E6C" w:rsidRPr="00825A33" w:rsidRDefault="00C74018" w:rsidP="001313DC">
      <w:pPr>
        <w:pStyle w:val="Bullet1"/>
        <w:numPr>
          <w:ilvl w:val="0"/>
          <w:numId w:val="0"/>
        </w:numPr>
        <w:ind w:left="720"/>
      </w:pPr>
      <w:r w:rsidRPr="00825A33">
        <w:t>S</w:t>
      </w:r>
      <w:r w:rsidR="004E0E6C" w:rsidRPr="00825A33">
        <w:t>eawater is used as a heat exchange medium for cooling machinery engines</w:t>
      </w:r>
      <w:r w:rsidRPr="00825A33">
        <w:t xml:space="preserve"> on vessels</w:t>
      </w:r>
      <w:r w:rsidR="004E0E6C" w:rsidRPr="00825A33">
        <w:t>. Brine is created through the vessels desalination processes for potable water generation.</w:t>
      </w:r>
    </w:p>
    <w:p w14:paraId="45DD7B4F" w14:textId="3BF1CFEA" w:rsidR="004E0E6C" w:rsidRPr="00825A33" w:rsidRDefault="004E0E6C" w:rsidP="00AE17E8">
      <w:pPr>
        <w:pStyle w:val="BodyText"/>
        <w:ind w:left="720"/>
        <w:rPr>
          <w:szCs w:val="20"/>
          <w:lang w:eastAsia="en-US"/>
        </w:rPr>
      </w:pPr>
      <w:r w:rsidRPr="00825A33">
        <w:rPr>
          <w:szCs w:val="20"/>
          <w:lang w:eastAsia="en-US"/>
        </w:rPr>
        <w:t xml:space="preserve">Seawater is used as a heat exchange medium for cooling machinery engines and other equipment. Seawater is drawn up from the ocean, where it is de-oxygenated and sterilised by electrolysis (by release of chlorine from the salt solution) and then circulated as coolant for various equipment through the heat exchangers (in the process transferring heat from the machinery), and is then discharged to the ocean at depth (not at surface). Upon discharge, it will be warmer than the ambient water temperature and may contain low concentrations of residual biocide </w:t>
      </w:r>
      <w:r w:rsidR="00100A8E" w:rsidRPr="00825A33">
        <w:rPr>
          <w:szCs w:val="20"/>
          <w:lang w:eastAsia="en-US"/>
        </w:rPr>
        <w:t xml:space="preserve">and scale inhibitors </w:t>
      </w:r>
      <w:r w:rsidRPr="00825A33">
        <w:rPr>
          <w:szCs w:val="20"/>
          <w:lang w:eastAsia="en-US"/>
        </w:rPr>
        <w:t xml:space="preserve">if </w:t>
      </w:r>
      <w:r w:rsidR="00100A8E" w:rsidRPr="00825A33">
        <w:rPr>
          <w:szCs w:val="20"/>
          <w:lang w:eastAsia="en-US"/>
        </w:rPr>
        <w:t xml:space="preserve">they are </w:t>
      </w:r>
      <w:r w:rsidRPr="00825A33">
        <w:rPr>
          <w:szCs w:val="20"/>
          <w:lang w:eastAsia="en-US"/>
        </w:rPr>
        <w:t>used to control biofouling</w:t>
      </w:r>
      <w:r w:rsidR="00100A8E" w:rsidRPr="00825A33">
        <w:rPr>
          <w:szCs w:val="20"/>
          <w:lang w:eastAsia="en-US"/>
        </w:rPr>
        <w:t xml:space="preserve"> and scale formation</w:t>
      </w:r>
      <w:r w:rsidRPr="00825A33">
        <w:rPr>
          <w:szCs w:val="20"/>
          <w:lang w:eastAsia="en-US"/>
        </w:rPr>
        <w:t xml:space="preserve">. </w:t>
      </w:r>
    </w:p>
    <w:p w14:paraId="5CD07125" w14:textId="29F0CDF0" w:rsidR="004E0E6C" w:rsidRPr="00825A33" w:rsidRDefault="004E0E6C" w:rsidP="00AE17E8">
      <w:pPr>
        <w:pStyle w:val="BodyText"/>
        <w:ind w:left="720"/>
        <w:rPr>
          <w:szCs w:val="20"/>
          <w:lang w:eastAsia="en-US"/>
        </w:rPr>
      </w:pPr>
      <w:r w:rsidRPr="00825A33">
        <w:rPr>
          <w:szCs w:val="20"/>
          <w:lang w:eastAsia="en-US"/>
        </w:rPr>
        <w:t xml:space="preserve">The maximum cooling water discharge rate </w:t>
      </w:r>
      <w:r w:rsidR="00C74018" w:rsidRPr="00825A33">
        <w:rPr>
          <w:szCs w:val="20"/>
          <w:lang w:eastAsia="en-US"/>
        </w:rPr>
        <w:t xml:space="preserve">for the vessels that may be used during inspection and maintenance activities is unknown. Also unknown is the temperature at which </w:t>
      </w:r>
      <w:r w:rsidRPr="00825A33">
        <w:rPr>
          <w:szCs w:val="20"/>
          <w:lang w:eastAsia="en-US"/>
        </w:rPr>
        <w:t xml:space="preserve">the heat exchangers </w:t>
      </w:r>
      <w:r w:rsidR="00C74018" w:rsidRPr="00825A33">
        <w:rPr>
          <w:szCs w:val="20"/>
          <w:lang w:eastAsia="en-US"/>
        </w:rPr>
        <w:t xml:space="preserve">are </w:t>
      </w:r>
      <w:r w:rsidRPr="00825A33">
        <w:rPr>
          <w:szCs w:val="20"/>
          <w:lang w:eastAsia="en-US"/>
        </w:rPr>
        <w:t>designed to discharge the cooling water at (</w:t>
      </w:r>
      <w:r w:rsidR="000318EE" w:rsidRPr="00825A33">
        <w:rPr>
          <w:szCs w:val="20"/>
          <w:lang w:eastAsia="en-US"/>
        </w:rPr>
        <w:t xml:space="preserve">generally several degrees </w:t>
      </w:r>
      <w:r w:rsidR="00AE17E8">
        <w:rPr>
          <w:szCs w:val="20"/>
          <w:lang w:eastAsia="en-US"/>
        </w:rPr>
        <w:t>C</w:t>
      </w:r>
      <w:r w:rsidR="00AE17E8" w:rsidRPr="00825A33">
        <w:rPr>
          <w:szCs w:val="20"/>
          <w:lang w:eastAsia="en-US"/>
        </w:rPr>
        <w:t>elsius</w:t>
      </w:r>
      <w:r w:rsidRPr="00825A33">
        <w:rPr>
          <w:szCs w:val="20"/>
          <w:lang w:eastAsia="en-US"/>
        </w:rPr>
        <w:t xml:space="preserve"> above ambient sea temperature). </w:t>
      </w:r>
    </w:p>
    <w:p w14:paraId="4091A688" w14:textId="320B3C06" w:rsidR="004E0E6C" w:rsidRPr="00825A33" w:rsidRDefault="004E0E6C" w:rsidP="00AE17E8">
      <w:pPr>
        <w:pStyle w:val="BodyText"/>
        <w:ind w:left="720"/>
        <w:rPr>
          <w:szCs w:val="20"/>
          <w:lang w:eastAsia="en-US"/>
        </w:rPr>
      </w:pPr>
      <w:r w:rsidRPr="00825A33">
        <w:rPr>
          <w:szCs w:val="20"/>
          <w:lang w:eastAsia="en-US"/>
        </w:rPr>
        <w:t xml:space="preserve">Brine water (hypersaline water) is created through the desalination process that creates freshwater for drinking, showers, cooking etc. This is achieved through reverse osmosis (RO) or distillation resulting in the discharge of seawater with a slightly elevated salinity (~10-15% higher than seawater). The freshwater produced is then stored in tanks on board. Upon discharge, the concentration of </w:t>
      </w:r>
      <w:r w:rsidR="00FE1B0F">
        <w:rPr>
          <w:szCs w:val="20"/>
          <w:lang w:eastAsia="en-US"/>
        </w:rPr>
        <w:t xml:space="preserve">the brine, </w:t>
      </w:r>
      <w:r w:rsidR="000318EE" w:rsidRPr="00825A33">
        <w:rPr>
          <w:szCs w:val="20"/>
          <w:lang w:eastAsia="en-US"/>
        </w:rPr>
        <w:t>based on other modern vessels</w:t>
      </w:r>
      <w:r w:rsidR="00FE1B0F">
        <w:rPr>
          <w:szCs w:val="20"/>
          <w:lang w:eastAsia="en-US"/>
        </w:rPr>
        <w:t>, is</w:t>
      </w:r>
      <w:r w:rsidR="000318EE" w:rsidRPr="00825A33">
        <w:rPr>
          <w:szCs w:val="20"/>
          <w:lang w:eastAsia="en-US"/>
        </w:rPr>
        <w:t xml:space="preserve"> likely </w:t>
      </w:r>
      <w:r w:rsidRPr="00825A33">
        <w:rPr>
          <w:szCs w:val="20"/>
          <w:lang w:eastAsia="en-US"/>
        </w:rPr>
        <w:t>to range from 44-61 pp</w:t>
      </w:r>
      <w:r w:rsidR="00DC183D">
        <w:rPr>
          <w:szCs w:val="20"/>
          <w:lang w:eastAsia="en-US"/>
        </w:rPr>
        <w:t>t</w:t>
      </w:r>
      <w:r w:rsidRPr="00825A33">
        <w:rPr>
          <w:szCs w:val="20"/>
          <w:lang w:eastAsia="en-US"/>
        </w:rPr>
        <w:t>, which is 9-26 pp</w:t>
      </w:r>
      <w:r w:rsidR="00DC183D">
        <w:rPr>
          <w:szCs w:val="20"/>
          <w:lang w:eastAsia="en-US"/>
        </w:rPr>
        <w:t>t</w:t>
      </w:r>
      <w:r w:rsidRPr="00825A33">
        <w:rPr>
          <w:szCs w:val="20"/>
          <w:lang w:eastAsia="en-US"/>
        </w:rPr>
        <w:t xml:space="preserve"> higher than seawater salt concentration (35 pp</w:t>
      </w:r>
      <w:r w:rsidR="00DC183D">
        <w:rPr>
          <w:szCs w:val="20"/>
          <w:lang w:eastAsia="en-US"/>
        </w:rPr>
        <w:t>t</w:t>
      </w:r>
      <w:r w:rsidRPr="00825A33">
        <w:rPr>
          <w:szCs w:val="20"/>
          <w:lang w:eastAsia="en-US"/>
        </w:rPr>
        <w:t>). Brine concentration is dependent on throughput and plant efficiency, with brine concentrations unable to be determined until sea trials.</w:t>
      </w:r>
    </w:p>
    <w:p w14:paraId="06054853" w14:textId="77777777" w:rsidR="009F3548" w:rsidRDefault="009F3548" w:rsidP="00914C00">
      <w:pPr>
        <w:pStyle w:val="Heading3"/>
      </w:pPr>
      <w:r>
        <w:t>Known and Potential Impacts</w:t>
      </w:r>
    </w:p>
    <w:p w14:paraId="13B43D65" w14:textId="5B8B7237" w:rsidR="009F3548" w:rsidRPr="00825A33" w:rsidRDefault="009F3548" w:rsidP="00AE17E8">
      <w:pPr>
        <w:pStyle w:val="BodyText"/>
        <w:spacing w:after="240"/>
        <w:ind w:left="720"/>
        <w:rPr>
          <w:szCs w:val="20"/>
          <w:lang w:eastAsia="en-US"/>
        </w:rPr>
      </w:pPr>
      <w:r w:rsidRPr="00825A33">
        <w:rPr>
          <w:szCs w:val="20"/>
          <w:lang w:eastAsia="en-US"/>
        </w:rPr>
        <w:t xml:space="preserve">The known and potential environmental impact of </w:t>
      </w:r>
      <w:r w:rsidR="00042FBF" w:rsidRPr="00825A33">
        <w:rPr>
          <w:szCs w:val="20"/>
          <w:lang w:eastAsia="en-US"/>
        </w:rPr>
        <w:t>cooling water and brine</w:t>
      </w:r>
      <w:r w:rsidRPr="00825A33">
        <w:rPr>
          <w:szCs w:val="20"/>
          <w:lang w:eastAsia="en-US"/>
        </w:rPr>
        <w:t xml:space="preserve"> discharges </w:t>
      </w:r>
      <w:r w:rsidR="00042FBF" w:rsidRPr="00825A33">
        <w:rPr>
          <w:szCs w:val="20"/>
          <w:lang w:eastAsia="en-US"/>
        </w:rPr>
        <w:t>are</w:t>
      </w:r>
      <w:r w:rsidRPr="00825A33">
        <w:rPr>
          <w:szCs w:val="20"/>
          <w:lang w:eastAsia="en-US"/>
        </w:rPr>
        <w:t xml:space="preserve">: </w:t>
      </w:r>
    </w:p>
    <w:p w14:paraId="0A6C6B7C" w14:textId="46784527" w:rsidR="00FD62F5" w:rsidRPr="00825A33" w:rsidRDefault="00FD62F5" w:rsidP="0036080A">
      <w:pPr>
        <w:pStyle w:val="Bullet1"/>
        <w:numPr>
          <w:ilvl w:val="0"/>
          <w:numId w:val="40"/>
        </w:numPr>
      </w:pPr>
      <w:r w:rsidRPr="00825A33">
        <w:t>Temporary and localised increase in sea water temperature, causing</w:t>
      </w:r>
      <w:r w:rsidR="00825A33">
        <w:t xml:space="preserve"> </w:t>
      </w:r>
      <w:r w:rsidRPr="00825A33">
        <w:t xml:space="preserve">thermal stress to marine biota; </w:t>
      </w:r>
    </w:p>
    <w:p w14:paraId="7C641D54" w14:textId="0F01CF60" w:rsidR="00FD62F5" w:rsidRPr="00825A33" w:rsidRDefault="00FD62F5" w:rsidP="0036080A">
      <w:pPr>
        <w:pStyle w:val="Bullet1"/>
        <w:numPr>
          <w:ilvl w:val="0"/>
          <w:numId w:val="40"/>
        </w:numPr>
      </w:pPr>
      <w:r w:rsidRPr="00825A33">
        <w:t>Temporary and localised increase in sea surface salinity, potentially causing harm to fauna unable to tolerate higher salinity; and</w:t>
      </w:r>
    </w:p>
    <w:p w14:paraId="27C622F1" w14:textId="29E6701C" w:rsidR="00FD62F5" w:rsidRPr="00825A33" w:rsidRDefault="00FD62F5" w:rsidP="0036080A">
      <w:pPr>
        <w:pStyle w:val="Bullet1"/>
        <w:numPr>
          <w:ilvl w:val="0"/>
          <w:numId w:val="40"/>
        </w:numPr>
      </w:pPr>
      <w:r w:rsidRPr="00825A33">
        <w:t>Potential toxicity impacts to marine fauna.</w:t>
      </w:r>
    </w:p>
    <w:p w14:paraId="2416340F" w14:textId="77777777" w:rsidR="009F3548" w:rsidRPr="00AE17E8" w:rsidRDefault="009F3548" w:rsidP="00AE17E8">
      <w:pPr>
        <w:pStyle w:val="BodyText"/>
        <w:ind w:left="700"/>
        <w:rPr>
          <w:b/>
          <w:u w:val="single"/>
        </w:rPr>
      </w:pPr>
      <w:r w:rsidRPr="00AE17E8">
        <w:rPr>
          <w:b/>
          <w:u w:val="single"/>
        </w:rPr>
        <w:t>EMBA</w:t>
      </w:r>
    </w:p>
    <w:p w14:paraId="02D7F739" w14:textId="5EDF70F0" w:rsidR="009F3548" w:rsidRDefault="009F3548" w:rsidP="00AE17E8">
      <w:pPr>
        <w:pStyle w:val="BodyText"/>
        <w:ind w:left="700"/>
        <w:rPr>
          <w:szCs w:val="20"/>
          <w:lang w:eastAsia="en-US"/>
        </w:rPr>
      </w:pPr>
      <w:r w:rsidRPr="00825A33">
        <w:rPr>
          <w:szCs w:val="20"/>
          <w:lang w:eastAsia="en-US"/>
        </w:rPr>
        <w:lastRenderedPageBreak/>
        <w:t xml:space="preserve">The EMBA for </w:t>
      </w:r>
      <w:r w:rsidR="00042FBF" w:rsidRPr="00825A33">
        <w:rPr>
          <w:szCs w:val="20"/>
          <w:lang w:eastAsia="en-US"/>
        </w:rPr>
        <w:t>cooling water and brine</w:t>
      </w:r>
      <w:r w:rsidRPr="00825A33">
        <w:rPr>
          <w:szCs w:val="20"/>
          <w:lang w:eastAsia="en-US"/>
        </w:rPr>
        <w:t xml:space="preserve"> discharges associated with vessel activities is likely to be the top 10 m of the water column and a </w:t>
      </w:r>
      <w:r w:rsidR="00042FBF" w:rsidRPr="00825A33">
        <w:rPr>
          <w:szCs w:val="20"/>
          <w:lang w:eastAsia="en-US"/>
        </w:rPr>
        <w:t>10</w:t>
      </w:r>
      <w:r w:rsidRPr="00825A33">
        <w:rPr>
          <w:szCs w:val="20"/>
          <w:lang w:eastAsia="en-US"/>
        </w:rPr>
        <w:t xml:space="preserve">0 m radius from the discharge point. </w:t>
      </w:r>
    </w:p>
    <w:p w14:paraId="21AFB240" w14:textId="77777777" w:rsidR="00A2284F" w:rsidRPr="00825A33" w:rsidRDefault="00A2284F" w:rsidP="00AE17E8">
      <w:pPr>
        <w:pStyle w:val="BodyText"/>
        <w:ind w:left="700"/>
        <w:rPr>
          <w:szCs w:val="20"/>
          <w:lang w:eastAsia="en-US"/>
        </w:rPr>
      </w:pPr>
    </w:p>
    <w:p w14:paraId="5A735B4F" w14:textId="77777777" w:rsidR="009F3548" w:rsidRPr="00AE17E8" w:rsidRDefault="009F3548" w:rsidP="00AE17E8">
      <w:pPr>
        <w:pStyle w:val="BodyText"/>
        <w:ind w:left="709"/>
        <w:rPr>
          <w:b/>
          <w:u w:val="single"/>
        </w:rPr>
      </w:pPr>
      <w:r w:rsidRPr="00AE17E8">
        <w:rPr>
          <w:b/>
          <w:u w:val="single"/>
        </w:rPr>
        <w:t>Receptors within the EMBA</w:t>
      </w:r>
    </w:p>
    <w:p w14:paraId="1682CDB4" w14:textId="77777777" w:rsidR="009F3548" w:rsidRPr="00825A33" w:rsidRDefault="009F3548" w:rsidP="00AE17E8">
      <w:pPr>
        <w:pStyle w:val="BodyText"/>
        <w:ind w:left="709"/>
        <w:rPr>
          <w:szCs w:val="20"/>
          <w:lang w:eastAsia="en-US"/>
        </w:rPr>
      </w:pPr>
      <w:r w:rsidRPr="00825A33">
        <w:rPr>
          <w:szCs w:val="20"/>
          <w:lang w:eastAsia="en-US"/>
        </w:rPr>
        <w:t xml:space="preserve">Receptors that may occur within this EMBA, either as residents or migrants, are: </w:t>
      </w:r>
    </w:p>
    <w:p w14:paraId="331A2A5D" w14:textId="3663EA75" w:rsidR="009F3548" w:rsidRPr="00825A33" w:rsidRDefault="009F3548" w:rsidP="0036080A">
      <w:pPr>
        <w:pStyle w:val="Bullet1"/>
        <w:numPr>
          <w:ilvl w:val="0"/>
          <w:numId w:val="40"/>
        </w:numPr>
      </w:pPr>
      <w:r w:rsidRPr="00825A33">
        <w:t>Plankton;</w:t>
      </w:r>
      <w:r w:rsidR="0016171B" w:rsidRPr="00825A33">
        <w:t xml:space="preserve"> and</w:t>
      </w:r>
    </w:p>
    <w:p w14:paraId="0DD7FF90" w14:textId="25A497E5" w:rsidR="009F3548" w:rsidRPr="00825A33" w:rsidRDefault="009F3548" w:rsidP="0036080A">
      <w:pPr>
        <w:pStyle w:val="Bullet1"/>
        <w:numPr>
          <w:ilvl w:val="0"/>
          <w:numId w:val="40"/>
        </w:numPr>
      </w:pPr>
      <w:r w:rsidRPr="00825A33">
        <w:t>Pelagic fish</w:t>
      </w:r>
      <w:r w:rsidR="0016171B" w:rsidRPr="00825A33">
        <w:t>.</w:t>
      </w:r>
    </w:p>
    <w:p w14:paraId="2722351B" w14:textId="77777777" w:rsidR="009F3548" w:rsidRDefault="009F3548" w:rsidP="00914C00">
      <w:pPr>
        <w:pStyle w:val="Heading3"/>
      </w:pPr>
      <w:r>
        <w:t>Evaluation of Environmental Impacts</w:t>
      </w:r>
    </w:p>
    <w:p w14:paraId="5F79B100" w14:textId="54D1E630" w:rsidR="00042FBF" w:rsidRPr="00825A33" w:rsidRDefault="0016171B" w:rsidP="00A2284F">
      <w:pPr>
        <w:pStyle w:val="BodyText"/>
        <w:ind w:left="720"/>
        <w:rPr>
          <w:szCs w:val="20"/>
          <w:u w:val="single"/>
          <w:lang w:eastAsia="en-US"/>
        </w:rPr>
      </w:pPr>
      <w:r w:rsidRPr="00825A33">
        <w:rPr>
          <w:szCs w:val="20"/>
          <w:u w:val="single"/>
          <w:lang w:eastAsia="en-US"/>
        </w:rPr>
        <w:t>Temporary and localis</w:t>
      </w:r>
      <w:r w:rsidR="00042FBF" w:rsidRPr="00825A33">
        <w:rPr>
          <w:szCs w:val="20"/>
          <w:u w:val="single"/>
          <w:lang w:eastAsia="en-US"/>
        </w:rPr>
        <w:t>ed increase in sea water temperature</w:t>
      </w:r>
    </w:p>
    <w:p w14:paraId="5A882FAE" w14:textId="77777777" w:rsidR="00042FBF" w:rsidRPr="00825A33" w:rsidRDefault="00042FBF" w:rsidP="00E439A6">
      <w:pPr>
        <w:pStyle w:val="BodyText"/>
        <w:ind w:left="720"/>
        <w:rPr>
          <w:szCs w:val="20"/>
          <w:lang w:eastAsia="en-US"/>
        </w:rPr>
      </w:pPr>
      <w:r w:rsidRPr="00825A33">
        <w:rPr>
          <w:szCs w:val="20"/>
          <w:lang w:eastAsia="en-US"/>
        </w:rPr>
        <w:t>Once in the water column, cooling water will remain in the surface layer, where turbulent mixing and heat transfer with surrounding waters will occur. Prior to reaching background temperatures, the impact of increased seawater temperatures down current of the discharge may result in changes to the physiological processes of marine organisms, such as attraction or avoidance behaviour, stress or potential mortality.</w:t>
      </w:r>
    </w:p>
    <w:p w14:paraId="359A0885" w14:textId="77777777" w:rsidR="00042FBF" w:rsidRPr="00825A33" w:rsidRDefault="00042FBF" w:rsidP="00E439A6">
      <w:pPr>
        <w:pStyle w:val="BodyText"/>
        <w:ind w:left="720"/>
        <w:rPr>
          <w:szCs w:val="20"/>
          <w:lang w:eastAsia="en-US"/>
        </w:rPr>
      </w:pPr>
      <w:r w:rsidRPr="00825A33">
        <w:rPr>
          <w:szCs w:val="20"/>
          <w:lang w:eastAsia="en-US"/>
        </w:rPr>
        <w:t xml:space="preserve">Modelling of continuous waste water discharges (including cooling water) undertaken by Woodside for its Torosa South-1 drilling program in the Scott Reef complex found that discharge water temperature decreases quickly as it mixes with the receiving waters, with the discharge water temperature being less than 1°C above background levels within 100 m (horizontally) of the discharge point, and will be within background levels within 10 m vertically (Woodside, 2008). </w:t>
      </w:r>
    </w:p>
    <w:p w14:paraId="714595C7" w14:textId="77777777" w:rsidR="00042FBF" w:rsidRPr="00825A33" w:rsidRDefault="00042FBF" w:rsidP="00A2284F">
      <w:pPr>
        <w:pStyle w:val="BodyText"/>
        <w:ind w:left="720"/>
        <w:rPr>
          <w:szCs w:val="20"/>
          <w:u w:val="single"/>
          <w:lang w:eastAsia="en-US"/>
        </w:rPr>
      </w:pPr>
      <w:r w:rsidRPr="00825A33">
        <w:rPr>
          <w:szCs w:val="20"/>
          <w:u w:val="single"/>
          <w:lang w:eastAsia="en-US"/>
        </w:rPr>
        <w:t>Temporary and localised increase in sea surface salinity</w:t>
      </w:r>
    </w:p>
    <w:p w14:paraId="158FEDBB" w14:textId="77777777" w:rsidR="00042FBF" w:rsidRPr="00825A33" w:rsidRDefault="00042FBF" w:rsidP="00E439A6">
      <w:pPr>
        <w:pStyle w:val="BodyText"/>
        <w:ind w:left="720"/>
        <w:rPr>
          <w:szCs w:val="20"/>
          <w:lang w:eastAsia="en-US"/>
        </w:rPr>
      </w:pPr>
      <w:r w:rsidRPr="00825A33">
        <w:rPr>
          <w:szCs w:val="20"/>
          <w:lang w:eastAsia="en-US"/>
        </w:rPr>
        <w:t xml:space="preserve">Brine water will sink through the water column where it will be rapidly mixed with receiving waters, and disbursed by ocean currents. Walker and MacComb (1990) found that most marine species are able to tolerate short-term fluctuations in water salinity in the order of 20-30%, and it is expected that most pelagic species passing through a denser saline plume would not suffer adverse impacts. Other than plankton, pelagic species are mobile and would be subject to slightly elevated salinity levels for a very short time as they swim through the ‘plume.’ </w:t>
      </w:r>
    </w:p>
    <w:p w14:paraId="4D9FCAEA" w14:textId="77777777" w:rsidR="00042FBF" w:rsidRPr="00825A33" w:rsidRDefault="00042FBF" w:rsidP="00A2284F">
      <w:pPr>
        <w:pStyle w:val="BodyText"/>
        <w:ind w:left="720"/>
        <w:rPr>
          <w:szCs w:val="20"/>
          <w:u w:val="single"/>
          <w:lang w:eastAsia="en-US"/>
        </w:rPr>
      </w:pPr>
      <w:r w:rsidRPr="00825A33">
        <w:rPr>
          <w:szCs w:val="20"/>
          <w:u w:val="single"/>
          <w:lang w:eastAsia="en-US"/>
        </w:rPr>
        <w:t>Potential toxicity impacts</w:t>
      </w:r>
    </w:p>
    <w:p w14:paraId="063864C1" w14:textId="55729619" w:rsidR="00042FBF" w:rsidRPr="00825A33" w:rsidRDefault="00042FBF" w:rsidP="00E439A6">
      <w:pPr>
        <w:pStyle w:val="BodyText"/>
        <w:ind w:left="720"/>
        <w:rPr>
          <w:szCs w:val="20"/>
          <w:lang w:eastAsia="en-US"/>
        </w:rPr>
      </w:pPr>
      <w:r w:rsidRPr="00825A33">
        <w:rPr>
          <w:szCs w:val="20"/>
          <w:lang w:eastAsia="en-US"/>
        </w:rPr>
        <w:t xml:space="preserve">Scale inhibitors and biocide are likely to be used in the heat exchange and desalination process to avoid fouling of pipework. </w:t>
      </w:r>
      <w:r w:rsidR="00100A8E" w:rsidRPr="00825A33">
        <w:rPr>
          <w:szCs w:val="20"/>
          <w:lang w:eastAsia="en-US"/>
        </w:rPr>
        <w:t>Scale inhibitors are low molecular weight phosphorous compounds</w:t>
      </w:r>
      <w:r w:rsidR="00366567" w:rsidRPr="00825A33">
        <w:rPr>
          <w:szCs w:val="20"/>
          <w:lang w:eastAsia="en-US"/>
        </w:rPr>
        <w:t xml:space="preserve"> that are water-soluble, and only have acute toxicity to marine organisms about two orders of magnitude higher than typically used in the water phase (Black </w:t>
      </w:r>
      <w:r w:rsidR="00366567" w:rsidRPr="00825A33">
        <w:rPr>
          <w:i/>
          <w:szCs w:val="20"/>
          <w:lang w:eastAsia="en-US"/>
        </w:rPr>
        <w:t>et al</w:t>
      </w:r>
      <w:r w:rsidR="00366567" w:rsidRPr="00825A33">
        <w:rPr>
          <w:szCs w:val="20"/>
          <w:lang w:eastAsia="en-US"/>
        </w:rPr>
        <w:t xml:space="preserve">., 1994). The biocides typically used in the industry </w:t>
      </w:r>
      <w:r w:rsidR="000138DC" w:rsidRPr="00825A33">
        <w:rPr>
          <w:szCs w:val="20"/>
          <w:lang w:eastAsia="en-US"/>
        </w:rPr>
        <w:t xml:space="preserve">are highly reactive and degrade rapidly and are very soluble in water (Black </w:t>
      </w:r>
      <w:r w:rsidR="000138DC" w:rsidRPr="00825A33">
        <w:rPr>
          <w:i/>
          <w:szCs w:val="20"/>
          <w:lang w:eastAsia="en-US"/>
        </w:rPr>
        <w:t>et al</w:t>
      </w:r>
      <w:r w:rsidR="000138DC" w:rsidRPr="00825A33">
        <w:rPr>
          <w:szCs w:val="20"/>
          <w:lang w:eastAsia="en-US"/>
        </w:rPr>
        <w:t>., 1994).</w:t>
      </w:r>
    </w:p>
    <w:p w14:paraId="0EB14CBF" w14:textId="42D9F814" w:rsidR="00366567" w:rsidRPr="00825A33" w:rsidRDefault="00366567" w:rsidP="00E439A6">
      <w:pPr>
        <w:pStyle w:val="BodyText"/>
        <w:ind w:left="720"/>
        <w:rPr>
          <w:szCs w:val="20"/>
          <w:lang w:eastAsia="en-US"/>
        </w:rPr>
      </w:pPr>
      <w:r w:rsidRPr="00825A33">
        <w:rPr>
          <w:szCs w:val="20"/>
          <w:lang w:eastAsia="en-US"/>
        </w:rPr>
        <w:t>These chemicals are inherently safe at the low dosages used, as they are usually ‘consumed’ in the inhibition process, ensuring there is little or no residual chemical concentration remaining upon discharge.</w:t>
      </w:r>
    </w:p>
    <w:p w14:paraId="7332F87D" w14:textId="77777777" w:rsidR="009F3548" w:rsidRPr="00AE17E8" w:rsidRDefault="009F3548" w:rsidP="00A2284F">
      <w:pPr>
        <w:pStyle w:val="BodyText"/>
        <w:ind w:left="720"/>
        <w:rPr>
          <w:b/>
          <w:u w:val="single"/>
        </w:rPr>
      </w:pPr>
      <w:r w:rsidRPr="00AE17E8">
        <w:rPr>
          <w:b/>
          <w:u w:val="single"/>
        </w:rPr>
        <w:t>Impacts to Matters of NES</w:t>
      </w:r>
    </w:p>
    <w:p w14:paraId="556154C6" w14:textId="21FA7F76" w:rsidR="009F3548" w:rsidRDefault="009F3548" w:rsidP="00E439A6">
      <w:pPr>
        <w:pStyle w:val="BodyText"/>
        <w:ind w:left="720"/>
        <w:rPr>
          <w:lang w:eastAsia="en-US"/>
        </w:rPr>
      </w:pPr>
      <w:r w:rsidRPr="00825A33">
        <w:rPr>
          <w:szCs w:val="20"/>
          <w:lang w:eastAsia="en-US"/>
        </w:rPr>
        <w:t xml:space="preserve">The discharge of </w:t>
      </w:r>
      <w:r w:rsidR="00781346" w:rsidRPr="00825A33">
        <w:rPr>
          <w:szCs w:val="20"/>
          <w:lang w:eastAsia="en-US"/>
        </w:rPr>
        <w:t>cooling water and brine</w:t>
      </w:r>
      <w:r w:rsidRPr="00825A33">
        <w:rPr>
          <w:szCs w:val="20"/>
          <w:lang w:eastAsia="en-US"/>
        </w:rPr>
        <w:t xml:space="preserve"> will not have a ‘significant’ impact to any of the matters of NES applicable to this project</w:t>
      </w:r>
      <w:r w:rsidR="00911005">
        <w:rPr>
          <w:szCs w:val="20"/>
          <w:lang w:eastAsia="en-US"/>
        </w:rPr>
        <w:t>.</w:t>
      </w:r>
    </w:p>
    <w:p w14:paraId="11FE10F7" w14:textId="77777777" w:rsidR="009F3548" w:rsidRPr="00AE17E8" w:rsidRDefault="009F3548" w:rsidP="00A2284F">
      <w:pPr>
        <w:pStyle w:val="BodyText"/>
        <w:ind w:left="709"/>
        <w:rPr>
          <w:b/>
          <w:u w:val="single"/>
        </w:rPr>
      </w:pPr>
      <w:r w:rsidRPr="00AE17E8">
        <w:rPr>
          <w:b/>
          <w:u w:val="single"/>
        </w:rPr>
        <w:t>Impacts to other areas of Conservation Significance</w:t>
      </w:r>
    </w:p>
    <w:p w14:paraId="2D88EA38" w14:textId="4648B409" w:rsidR="009F3548" w:rsidRPr="00BE0DE6" w:rsidRDefault="009F3548" w:rsidP="00E439A6">
      <w:pPr>
        <w:pStyle w:val="BodyText"/>
        <w:ind w:left="709"/>
        <w:rPr>
          <w:lang w:eastAsia="en-US"/>
        </w:rPr>
      </w:pPr>
      <w:r w:rsidRPr="00825A33">
        <w:rPr>
          <w:szCs w:val="20"/>
          <w:lang w:eastAsia="en-US"/>
        </w:rPr>
        <w:t xml:space="preserve">There are no other areas of conservation significance within the EMBA by </w:t>
      </w:r>
      <w:r w:rsidR="0010024A" w:rsidRPr="00825A33">
        <w:rPr>
          <w:szCs w:val="20"/>
          <w:lang w:eastAsia="en-US"/>
        </w:rPr>
        <w:t>cooling water and brine</w:t>
      </w:r>
      <w:r w:rsidRPr="00825A33">
        <w:rPr>
          <w:szCs w:val="20"/>
          <w:lang w:eastAsia="en-US"/>
        </w:rPr>
        <w:t xml:space="preserve"> discharges. This discharge will not have any impacts to other areas of conservation significance</w:t>
      </w:r>
      <w:r w:rsidR="00911005">
        <w:rPr>
          <w:szCs w:val="20"/>
          <w:lang w:eastAsia="en-US"/>
        </w:rPr>
        <w:t>.</w:t>
      </w:r>
    </w:p>
    <w:p w14:paraId="788E3564" w14:textId="77777777" w:rsidR="009F3548" w:rsidRDefault="009F3548" w:rsidP="00914C00">
      <w:pPr>
        <w:pStyle w:val="Heading3"/>
      </w:pPr>
      <w:r>
        <w:t>Impact Assessment</w:t>
      </w:r>
    </w:p>
    <w:p w14:paraId="62B8F826" w14:textId="004EFA66" w:rsidR="00825A33" w:rsidRDefault="00D223B6" w:rsidP="00DE5215">
      <w:pPr>
        <w:pStyle w:val="BodyText"/>
        <w:ind w:left="720"/>
        <w:rPr>
          <w:szCs w:val="20"/>
          <w:lang w:eastAsia="en-US"/>
        </w:rPr>
      </w:pPr>
      <w:r w:rsidRPr="00D223B6">
        <w:rPr>
          <w:color w:val="FF0000"/>
          <w:szCs w:val="20"/>
          <w:lang w:eastAsia="en-US"/>
        </w:rPr>
        <w:fldChar w:fldCharType="begin"/>
      </w:r>
      <w:r w:rsidRPr="00D223B6">
        <w:rPr>
          <w:szCs w:val="20"/>
          <w:lang w:eastAsia="en-US"/>
        </w:rPr>
        <w:instrText xml:space="preserve"> REF _Ref473383197 \h </w:instrText>
      </w:r>
      <w:r>
        <w:rPr>
          <w:color w:val="FF0000"/>
          <w:szCs w:val="20"/>
          <w:lang w:eastAsia="en-US"/>
        </w:rPr>
        <w:instrText xml:space="preserve"> \* MERGEFORMAT </w:instrText>
      </w:r>
      <w:r w:rsidRPr="00D223B6">
        <w:rPr>
          <w:color w:val="FF0000"/>
          <w:szCs w:val="20"/>
          <w:lang w:eastAsia="en-US"/>
        </w:rPr>
      </w:r>
      <w:r w:rsidRPr="00D223B6">
        <w:rPr>
          <w:color w:val="FF0000"/>
          <w:szCs w:val="20"/>
          <w:lang w:eastAsia="en-US"/>
        </w:rPr>
        <w:fldChar w:fldCharType="separate"/>
      </w:r>
      <w:r w:rsidR="00CC4C35" w:rsidRPr="00D223B6">
        <w:rPr>
          <w:szCs w:val="20"/>
        </w:rPr>
        <w:t xml:space="preserve">Table </w:t>
      </w:r>
      <w:r w:rsidR="00CC4C35">
        <w:rPr>
          <w:noProof/>
          <w:szCs w:val="20"/>
        </w:rPr>
        <w:t>5</w:t>
      </w:r>
      <w:r w:rsidR="00CC4C35">
        <w:rPr>
          <w:noProof/>
          <w:szCs w:val="20"/>
        </w:rPr>
        <w:noBreakHyphen/>
        <w:t>8</w:t>
      </w:r>
      <w:r w:rsidRPr="00D223B6">
        <w:rPr>
          <w:color w:val="FF0000"/>
          <w:szCs w:val="20"/>
          <w:lang w:eastAsia="en-US"/>
        </w:rPr>
        <w:fldChar w:fldCharType="end"/>
      </w:r>
      <w:r w:rsidRPr="00D223B6">
        <w:rPr>
          <w:color w:val="FF0000"/>
          <w:szCs w:val="20"/>
          <w:lang w:eastAsia="en-US"/>
        </w:rPr>
        <w:t xml:space="preserve"> </w:t>
      </w:r>
      <w:r w:rsidR="009F3548" w:rsidRPr="00D223B6">
        <w:rPr>
          <w:szCs w:val="20"/>
          <w:lang w:eastAsia="en-US"/>
        </w:rPr>
        <w:t xml:space="preserve">presents the risk assessment for </w:t>
      </w:r>
      <w:r w:rsidR="0010024A" w:rsidRPr="00D223B6">
        <w:rPr>
          <w:szCs w:val="20"/>
          <w:lang w:eastAsia="en-US"/>
        </w:rPr>
        <w:t>cooling water and brine discharges</w:t>
      </w:r>
      <w:r w:rsidR="009F3548" w:rsidRPr="00D223B6">
        <w:rPr>
          <w:szCs w:val="20"/>
          <w:lang w:eastAsia="en-US"/>
        </w:rPr>
        <w:t>.</w:t>
      </w:r>
    </w:p>
    <w:p w14:paraId="7DEBC9CB" w14:textId="77777777" w:rsidR="00A2284F" w:rsidRPr="00D223B6" w:rsidRDefault="00A2284F" w:rsidP="00DE5215">
      <w:pPr>
        <w:pStyle w:val="BodyText"/>
        <w:ind w:left="720"/>
        <w:rPr>
          <w:szCs w:val="20"/>
          <w:lang w:eastAsia="en-US"/>
        </w:rPr>
      </w:pPr>
    </w:p>
    <w:p w14:paraId="32FE0B20" w14:textId="49AC5E5C" w:rsidR="00676883" w:rsidRPr="00ED5388" w:rsidRDefault="00D223B6" w:rsidP="00B86A7D">
      <w:pPr>
        <w:pStyle w:val="Caption"/>
        <w:outlineLvl w:val="9"/>
        <w:rPr>
          <w:sz w:val="20"/>
          <w:szCs w:val="20"/>
        </w:rPr>
      </w:pPr>
      <w:bookmarkStart w:id="208" w:name="_Ref473383197"/>
      <w:bookmarkStart w:id="209" w:name="_Toc511032599"/>
      <w:r w:rsidRPr="00D223B6">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8</w:t>
      </w:r>
      <w:r w:rsidR="00103328">
        <w:rPr>
          <w:sz w:val="20"/>
          <w:szCs w:val="20"/>
        </w:rPr>
        <w:fldChar w:fldCharType="end"/>
      </w:r>
      <w:bookmarkEnd w:id="208"/>
      <w:r w:rsidRPr="00D223B6">
        <w:rPr>
          <w:sz w:val="20"/>
          <w:szCs w:val="20"/>
        </w:rPr>
        <w:t>: EIA for cooling water and brine discharges</w:t>
      </w:r>
      <w:bookmarkEnd w:id="209"/>
      <w:r w:rsidR="009F3548" w:rsidRPr="00D223B6">
        <w:rPr>
          <w:sz w:val="20"/>
          <w:szCs w:val="20"/>
          <w:lang w:eastAsia="en-US"/>
        </w:rPr>
        <w:t xml:space="preserve"> </w:t>
      </w:r>
    </w:p>
    <w:tbl>
      <w:tblPr>
        <w:tblW w:w="9072" w:type="dxa"/>
        <w:tblInd w:w="1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692"/>
        <w:gridCol w:w="6380"/>
      </w:tblGrid>
      <w:tr w:rsidR="00501CF7" w:rsidRPr="00D223B6" w14:paraId="03E2246D" w14:textId="77777777" w:rsidTr="008D6E79">
        <w:trPr>
          <w:cantSplit/>
        </w:trPr>
        <w:tc>
          <w:tcPr>
            <w:tcW w:w="2692" w:type="dxa"/>
            <w:shd w:val="clear" w:color="auto" w:fill="BFBFBF" w:themeFill="background1" w:themeFillShade="BF"/>
          </w:tcPr>
          <w:p w14:paraId="6C20BE68" w14:textId="159C12F6" w:rsidR="00501CF7" w:rsidRPr="00D223B6" w:rsidRDefault="00501CF7" w:rsidP="00E439A6">
            <w:pPr>
              <w:pStyle w:val="Tabletext"/>
              <w:spacing w:line="240" w:lineRule="auto"/>
              <w:rPr>
                <w:rFonts w:ascii="Arial" w:hAnsi="Arial" w:cs="Arial"/>
                <w:b/>
                <w:sz w:val="16"/>
                <w:szCs w:val="16"/>
              </w:rPr>
            </w:pPr>
            <w:r>
              <w:rPr>
                <w:rFonts w:ascii="Arial" w:hAnsi="Arial" w:cs="Arial"/>
                <w:b/>
                <w:sz w:val="16"/>
                <w:szCs w:val="16"/>
              </w:rPr>
              <w:t>Aspect:</w:t>
            </w:r>
          </w:p>
        </w:tc>
        <w:tc>
          <w:tcPr>
            <w:tcW w:w="6380" w:type="dxa"/>
          </w:tcPr>
          <w:p w14:paraId="3F358954" w14:textId="1F902509" w:rsidR="00501CF7" w:rsidRPr="00D223B6" w:rsidRDefault="00501CF7" w:rsidP="00E439A6">
            <w:pPr>
              <w:pStyle w:val="Tabletext"/>
              <w:spacing w:line="240" w:lineRule="auto"/>
              <w:jc w:val="left"/>
              <w:rPr>
                <w:rFonts w:ascii="Arial" w:hAnsi="Arial" w:cs="Arial"/>
                <w:sz w:val="16"/>
                <w:szCs w:val="16"/>
              </w:rPr>
            </w:pPr>
            <w:r>
              <w:rPr>
                <w:rFonts w:ascii="Arial" w:hAnsi="Arial" w:cs="Arial"/>
                <w:sz w:val="16"/>
                <w:szCs w:val="16"/>
              </w:rPr>
              <w:t>Cooling water and Brine Discharge</w:t>
            </w:r>
          </w:p>
        </w:tc>
      </w:tr>
      <w:tr w:rsidR="00676883" w:rsidRPr="00D223B6" w14:paraId="5231B917" w14:textId="77777777" w:rsidTr="008D6E79">
        <w:trPr>
          <w:cantSplit/>
        </w:trPr>
        <w:tc>
          <w:tcPr>
            <w:tcW w:w="2692" w:type="dxa"/>
            <w:shd w:val="clear" w:color="auto" w:fill="BFBFBF" w:themeFill="background1" w:themeFillShade="BF"/>
          </w:tcPr>
          <w:p w14:paraId="56FD8D4F" w14:textId="77777777" w:rsidR="00676883" w:rsidRPr="00D223B6" w:rsidRDefault="00676883" w:rsidP="00E439A6">
            <w:pPr>
              <w:pStyle w:val="Tabletext"/>
              <w:spacing w:line="240" w:lineRule="auto"/>
              <w:rPr>
                <w:rFonts w:ascii="Arial" w:hAnsi="Arial" w:cs="Arial"/>
                <w:b/>
                <w:sz w:val="16"/>
                <w:szCs w:val="16"/>
              </w:rPr>
            </w:pPr>
            <w:r w:rsidRPr="00D223B6">
              <w:rPr>
                <w:rFonts w:ascii="Arial" w:hAnsi="Arial" w:cs="Arial"/>
                <w:b/>
                <w:sz w:val="16"/>
                <w:szCs w:val="16"/>
              </w:rPr>
              <w:t xml:space="preserve">Impact summary </w:t>
            </w:r>
          </w:p>
        </w:tc>
        <w:tc>
          <w:tcPr>
            <w:tcW w:w="6380" w:type="dxa"/>
          </w:tcPr>
          <w:p w14:paraId="582302DD" w14:textId="5D7A505E" w:rsidR="00676883" w:rsidRPr="00D223B6" w:rsidRDefault="00676883" w:rsidP="00E439A6">
            <w:pPr>
              <w:pStyle w:val="Tabletext"/>
              <w:spacing w:line="240" w:lineRule="auto"/>
              <w:jc w:val="left"/>
              <w:rPr>
                <w:rFonts w:ascii="Arial" w:hAnsi="Arial" w:cs="Arial"/>
                <w:sz w:val="16"/>
                <w:szCs w:val="16"/>
              </w:rPr>
            </w:pPr>
            <w:r w:rsidRPr="00D223B6">
              <w:rPr>
                <w:rFonts w:ascii="Arial" w:hAnsi="Arial" w:cs="Arial"/>
                <w:sz w:val="16"/>
                <w:szCs w:val="16"/>
              </w:rPr>
              <w:t>Increase in</w:t>
            </w:r>
            <w:r w:rsidR="008B7161" w:rsidRPr="00D223B6">
              <w:rPr>
                <w:rFonts w:ascii="Arial" w:hAnsi="Arial" w:cs="Arial"/>
                <w:sz w:val="16"/>
                <w:szCs w:val="16"/>
              </w:rPr>
              <w:t xml:space="preserve"> temperature and salinity of </w:t>
            </w:r>
            <w:r w:rsidRPr="00D223B6">
              <w:rPr>
                <w:rFonts w:ascii="Arial" w:hAnsi="Arial" w:cs="Arial"/>
                <w:sz w:val="16"/>
                <w:szCs w:val="16"/>
              </w:rPr>
              <w:t xml:space="preserve">surface waters.  </w:t>
            </w:r>
          </w:p>
        </w:tc>
      </w:tr>
      <w:tr w:rsidR="00676883" w:rsidRPr="00D223B6" w14:paraId="4767D915" w14:textId="77777777" w:rsidTr="008D6E79">
        <w:trPr>
          <w:cantSplit/>
        </w:trPr>
        <w:tc>
          <w:tcPr>
            <w:tcW w:w="2692" w:type="dxa"/>
            <w:shd w:val="clear" w:color="auto" w:fill="BFBFBF" w:themeFill="background1" w:themeFillShade="BF"/>
          </w:tcPr>
          <w:p w14:paraId="58969B45" w14:textId="77777777" w:rsidR="00676883" w:rsidRPr="00D223B6" w:rsidRDefault="00676883" w:rsidP="00E439A6">
            <w:pPr>
              <w:pStyle w:val="Tabletext"/>
              <w:spacing w:line="240" w:lineRule="auto"/>
              <w:jc w:val="left"/>
              <w:rPr>
                <w:rFonts w:ascii="Arial" w:hAnsi="Arial" w:cs="Arial"/>
                <w:b/>
                <w:sz w:val="16"/>
                <w:szCs w:val="16"/>
              </w:rPr>
            </w:pPr>
            <w:r w:rsidRPr="00D223B6">
              <w:rPr>
                <w:rFonts w:ascii="Arial" w:hAnsi="Arial" w:cs="Arial"/>
                <w:b/>
                <w:sz w:val="16"/>
                <w:szCs w:val="16"/>
              </w:rPr>
              <w:t xml:space="preserve">Extent of impact </w:t>
            </w:r>
          </w:p>
        </w:tc>
        <w:tc>
          <w:tcPr>
            <w:tcW w:w="6380" w:type="dxa"/>
          </w:tcPr>
          <w:p w14:paraId="24CF7FD5" w14:textId="7281CFEC" w:rsidR="00676883" w:rsidRPr="00D223B6" w:rsidRDefault="00676883" w:rsidP="00E439A6">
            <w:pPr>
              <w:pStyle w:val="Tabletext"/>
              <w:spacing w:line="240" w:lineRule="auto"/>
              <w:jc w:val="left"/>
              <w:rPr>
                <w:rFonts w:ascii="Arial" w:hAnsi="Arial" w:cs="Arial"/>
                <w:sz w:val="16"/>
                <w:szCs w:val="16"/>
              </w:rPr>
            </w:pPr>
            <w:r w:rsidRPr="00D223B6">
              <w:rPr>
                <w:rFonts w:ascii="Arial" w:hAnsi="Arial" w:cs="Arial"/>
                <w:sz w:val="16"/>
                <w:szCs w:val="16"/>
              </w:rPr>
              <w:t xml:space="preserve">Localised (about 10 m vertically and </w:t>
            </w:r>
            <w:r w:rsidR="008B7161" w:rsidRPr="00D223B6">
              <w:rPr>
                <w:rFonts w:ascii="Arial" w:hAnsi="Arial" w:cs="Arial"/>
                <w:sz w:val="16"/>
                <w:szCs w:val="16"/>
              </w:rPr>
              <w:t>10</w:t>
            </w:r>
            <w:r w:rsidRPr="00D223B6">
              <w:rPr>
                <w:rFonts w:ascii="Arial" w:hAnsi="Arial" w:cs="Arial"/>
                <w:sz w:val="16"/>
                <w:szCs w:val="16"/>
              </w:rPr>
              <w:t xml:space="preserve">0 m horizontally). </w:t>
            </w:r>
          </w:p>
        </w:tc>
      </w:tr>
      <w:tr w:rsidR="00676883" w:rsidRPr="00D223B6" w14:paraId="54913BCF" w14:textId="77777777" w:rsidTr="008D6E79">
        <w:trPr>
          <w:cantSplit/>
        </w:trPr>
        <w:tc>
          <w:tcPr>
            <w:tcW w:w="2692" w:type="dxa"/>
            <w:shd w:val="clear" w:color="auto" w:fill="BFBFBF" w:themeFill="background1" w:themeFillShade="BF"/>
          </w:tcPr>
          <w:p w14:paraId="75FFD823" w14:textId="77777777" w:rsidR="00676883" w:rsidRPr="00D223B6" w:rsidRDefault="00676883" w:rsidP="00E439A6">
            <w:pPr>
              <w:pStyle w:val="Tabletext"/>
              <w:spacing w:line="240" w:lineRule="auto"/>
              <w:jc w:val="left"/>
              <w:rPr>
                <w:rFonts w:ascii="Arial" w:hAnsi="Arial" w:cs="Arial"/>
                <w:b/>
                <w:sz w:val="16"/>
                <w:szCs w:val="16"/>
              </w:rPr>
            </w:pPr>
            <w:r w:rsidRPr="00D223B6">
              <w:rPr>
                <w:rFonts w:ascii="Arial" w:hAnsi="Arial" w:cs="Arial"/>
                <w:b/>
                <w:sz w:val="16"/>
                <w:szCs w:val="16"/>
              </w:rPr>
              <w:t xml:space="preserve">Duration of impact </w:t>
            </w:r>
          </w:p>
        </w:tc>
        <w:tc>
          <w:tcPr>
            <w:tcW w:w="6380" w:type="dxa"/>
          </w:tcPr>
          <w:p w14:paraId="7313AAED" w14:textId="19079A29" w:rsidR="00676883" w:rsidRPr="00D223B6" w:rsidRDefault="00676883" w:rsidP="00E439A6">
            <w:pPr>
              <w:pStyle w:val="Tabletext"/>
              <w:spacing w:line="240" w:lineRule="auto"/>
              <w:jc w:val="left"/>
              <w:rPr>
                <w:rFonts w:ascii="Arial" w:hAnsi="Arial" w:cs="Arial"/>
                <w:sz w:val="16"/>
                <w:szCs w:val="16"/>
              </w:rPr>
            </w:pPr>
            <w:r w:rsidRPr="00D223B6">
              <w:rPr>
                <w:rFonts w:ascii="Arial" w:hAnsi="Arial" w:cs="Arial"/>
                <w:sz w:val="16"/>
                <w:szCs w:val="16"/>
              </w:rPr>
              <w:t>Temporary (rapid dispersion</w:t>
            </w:r>
            <w:r w:rsidR="008B7161" w:rsidRPr="00D223B6">
              <w:rPr>
                <w:rFonts w:ascii="Arial" w:hAnsi="Arial" w:cs="Arial"/>
                <w:sz w:val="16"/>
                <w:szCs w:val="16"/>
              </w:rPr>
              <w:t>,</w:t>
            </w:r>
            <w:r w:rsidRPr="00D223B6">
              <w:rPr>
                <w:rFonts w:ascii="Arial" w:hAnsi="Arial" w:cs="Arial"/>
                <w:sz w:val="16"/>
                <w:szCs w:val="16"/>
              </w:rPr>
              <w:t xml:space="preserve"> dilution</w:t>
            </w:r>
            <w:r w:rsidR="008B7161" w:rsidRPr="00D223B6">
              <w:rPr>
                <w:rFonts w:ascii="Arial" w:hAnsi="Arial" w:cs="Arial"/>
                <w:sz w:val="16"/>
                <w:szCs w:val="16"/>
              </w:rPr>
              <w:t xml:space="preserve"> and cooling - minutes</w:t>
            </w:r>
            <w:r w:rsidRPr="00D223B6">
              <w:rPr>
                <w:rFonts w:ascii="Arial" w:hAnsi="Arial" w:cs="Arial"/>
                <w:sz w:val="16"/>
                <w:szCs w:val="16"/>
              </w:rPr>
              <w:t>).</w:t>
            </w:r>
          </w:p>
        </w:tc>
      </w:tr>
      <w:tr w:rsidR="00676883" w:rsidRPr="00D223B6" w14:paraId="29F1509C" w14:textId="77777777" w:rsidTr="008D6E79">
        <w:trPr>
          <w:cantSplit/>
        </w:trPr>
        <w:tc>
          <w:tcPr>
            <w:tcW w:w="2692" w:type="dxa"/>
            <w:shd w:val="clear" w:color="auto" w:fill="BFBFBF" w:themeFill="background1" w:themeFillShade="BF"/>
          </w:tcPr>
          <w:p w14:paraId="62B05BD3" w14:textId="77777777" w:rsidR="00676883" w:rsidRPr="00D223B6" w:rsidRDefault="00676883" w:rsidP="00E439A6">
            <w:pPr>
              <w:pStyle w:val="Tabletext"/>
              <w:spacing w:line="240" w:lineRule="auto"/>
              <w:jc w:val="left"/>
              <w:rPr>
                <w:rFonts w:ascii="Arial" w:hAnsi="Arial" w:cs="Arial"/>
                <w:b/>
                <w:sz w:val="16"/>
                <w:szCs w:val="16"/>
              </w:rPr>
            </w:pPr>
            <w:r w:rsidRPr="00D223B6">
              <w:rPr>
                <w:rFonts w:ascii="Arial" w:hAnsi="Arial" w:cs="Arial"/>
                <w:b/>
                <w:sz w:val="16"/>
                <w:szCs w:val="16"/>
              </w:rPr>
              <w:t>Level of certainty of impact</w:t>
            </w:r>
          </w:p>
        </w:tc>
        <w:tc>
          <w:tcPr>
            <w:tcW w:w="6380" w:type="dxa"/>
          </w:tcPr>
          <w:p w14:paraId="22BF8F83" w14:textId="1AAAC016" w:rsidR="00676883" w:rsidRPr="00D223B6" w:rsidRDefault="00676883" w:rsidP="00E439A6">
            <w:pPr>
              <w:pStyle w:val="Tabletext"/>
              <w:spacing w:line="240" w:lineRule="auto"/>
              <w:jc w:val="left"/>
              <w:rPr>
                <w:rFonts w:ascii="Arial" w:hAnsi="Arial" w:cs="Arial"/>
                <w:sz w:val="16"/>
                <w:szCs w:val="16"/>
              </w:rPr>
            </w:pPr>
            <w:r w:rsidRPr="00D223B6">
              <w:rPr>
                <w:rFonts w:ascii="Arial" w:hAnsi="Arial" w:cs="Arial"/>
                <w:sz w:val="16"/>
                <w:szCs w:val="16"/>
              </w:rPr>
              <w:t xml:space="preserve">HIGH. The impacts of </w:t>
            </w:r>
            <w:r w:rsidR="00713BC4" w:rsidRPr="00D223B6">
              <w:rPr>
                <w:rFonts w:ascii="Arial" w:hAnsi="Arial" w:cs="Arial"/>
                <w:sz w:val="16"/>
                <w:szCs w:val="16"/>
              </w:rPr>
              <w:t>cooling water and brine</w:t>
            </w:r>
            <w:r w:rsidRPr="00D223B6">
              <w:rPr>
                <w:rFonts w:ascii="Arial" w:hAnsi="Arial" w:cs="Arial"/>
                <w:sz w:val="16"/>
                <w:szCs w:val="16"/>
              </w:rPr>
              <w:t xml:space="preserve"> discharges on the marine environment are well studied. </w:t>
            </w:r>
          </w:p>
        </w:tc>
      </w:tr>
      <w:tr w:rsidR="00676883" w:rsidRPr="00D223B6" w14:paraId="522FA30C" w14:textId="77777777" w:rsidTr="008D6E79">
        <w:trPr>
          <w:cantSplit/>
        </w:trPr>
        <w:tc>
          <w:tcPr>
            <w:tcW w:w="2692" w:type="dxa"/>
            <w:shd w:val="clear" w:color="auto" w:fill="BFBFBF" w:themeFill="background1" w:themeFillShade="BF"/>
          </w:tcPr>
          <w:p w14:paraId="29AE371B" w14:textId="77777777" w:rsidR="00676883" w:rsidRPr="00D223B6" w:rsidRDefault="00676883" w:rsidP="00A2284F">
            <w:pPr>
              <w:pStyle w:val="Tabletext"/>
              <w:spacing w:line="240" w:lineRule="auto"/>
              <w:jc w:val="left"/>
              <w:rPr>
                <w:rFonts w:ascii="Arial" w:hAnsi="Arial" w:cs="Arial"/>
                <w:b/>
                <w:sz w:val="16"/>
                <w:szCs w:val="16"/>
              </w:rPr>
            </w:pPr>
            <w:r w:rsidRPr="00D223B6">
              <w:rPr>
                <w:rFonts w:ascii="Arial" w:hAnsi="Arial" w:cs="Arial"/>
                <w:b/>
                <w:sz w:val="16"/>
                <w:szCs w:val="16"/>
              </w:rPr>
              <w:t>Impact decision framework context</w:t>
            </w:r>
          </w:p>
        </w:tc>
        <w:tc>
          <w:tcPr>
            <w:tcW w:w="6380" w:type="dxa"/>
          </w:tcPr>
          <w:p w14:paraId="1B84D6C2" w14:textId="54029DE8" w:rsidR="00676883" w:rsidRPr="00D223B6" w:rsidRDefault="00676883" w:rsidP="00E439A6">
            <w:pPr>
              <w:pStyle w:val="Tabletext"/>
              <w:spacing w:line="240" w:lineRule="auto"/>
              <w:jc w:val="left"/>
              <w:rPr>
                <w:rFonts w:ascii="Arial" w:hAnsi="Arial" w:cs="Arial"/>
                <w:sz w:val="16"/>
                <w:szCs w:val="16"/>
              </w:rPr>
            </w:pPr>
            <w:r w:rsidRPr="00D223B6">
              <w:rPr>
                <w:rFonts w:ascii="Arial" w:hAnsi="Arial" w:cs="Arial"/>
                <w:sz w:val="16"/>
                <w:szCs w:val="16"/>
              </w:rPr>
              <w:t xml:space="preserve">A (nothing new or unusual, represents business as usual, well understood activity, good practice is well </w:t>
            </w:r>
            <w:r w:rsidRPr="00501CF7">
              <w:rPr>
                <w:rFonts w:ascii="Arial" w:hAnsi="Arial" w:cs="Arial"/>
                <w:sz w:val="16"/>
                <w:szCs w:val="16"/>
              </w:rPr>
              <w:t xml:space="preserve">defined). </w:t>
            </w:r>
            <w:r w:rsidR="00501CF7" w:rsidRPr="004705DB">
              <w:rPr>
                <w:rFonts w:ascii="Arial" w:hAnsi="Arial" w:cs="Arial"/>
                <w:i/>
                <w:sz w:val="16"/>
                <w:szCs w:val="16"/>
              </w:rPr>
              <w:t>ALARP to be demonstrated on adherence to legislation, industry codes and good professional judgement</w:t>
            </w:r>
          </w:p>
        </w:tc>
      </w:tr>
    </w:tbl>
    <w:p w14:paraId="5A392ACC" w14:textId="77777777" w:rsidR="0002029E" w:rsidRDefault="0002029E" w:rsidP="00024BA3">
      <w:pPr>
        <w:pStyle w:val="BodyText"/>
      </w:pPr>
    </w:p>
    <w:p w14:paraId="1F425629" w14:textId="165E1521" w:rsidR="0092765B" w:rsidRDefault="00B364CD" w:rsidP="00D223B6">
      <w:pPr>
        <w:pStyle w:val="Heading2"/>
      </w:pPr>
      <w:bookmarkStart w:id="210" w:name="_Toc345581938"/>
      <w:bookmarkStart w:id="211" w:name="_Toc512862481"/>
      <w:r>
        <w:t xml:space="preserve">IMPACT: </w:t>
      </w:r>
      <w:r w:rsidR="0092765B">
        <w:t>Putresc</w:t>
      </w:r>
      <w:r w:rsidR="001F77CA">
        <w:t>i</w:t>
      </w:r>
      <w:r w:rsidR="0092765B">
        <w:t>ble Waste</w:t>
      </w:r>
      <w:r w:rsidR="003C0455">
        <w:t xml:space="preserve"> Discharges</w:t>
      </w:r>
      <w:bookmarkEnd w:id="210"/>
      <w:r w:rsidR="00974BE1">
        <w:t xml:space="preserve"> (Vessels)</w:t>
      </w:r>
      <w:bookmarkEnd w:id="211"/>
    </w:p>
    <w:p w14:paraId="4EF0146C" w14:textId="77777777" w:rsidR="0092765B" w:rsidRDefault="0092765B" w:rsidP="00914C00">
      <w:pPr>
        <w:pStyle w:val="Heading3"/>
      </w:pPr>
      <w:r>
        <w:t>Hazard</w:t>
      </w:r>
    </w:p>
    <w:p w14:paraId="0D5F282E" w14:textId="49FABDE5" w:rsidR="004923B3" w:rsidRPr="00D223B6" w:rsidRDefault="004923B3" w:rsidP="001313DC">
      <w:pPr>
        <w:pStyle w:val="Bullet1"/>
        <w:numPr>
          <w:ilvl w:val="0"/>
          <w:numId w:val="0"/>
        </w:numPr>
        <w:ind w:left="720"/>
      </w:pPr>
      <w:r w:rsidRPr="00D223B6">
        <w:t xml:space="preserve">The </w:t>
      </w:r>
      <w:r w:rsidR="005A18BC" w:rsidRPr="00D223B6">
        <w:t xml:space="preserve">generation of food waste from the vessel galley </w:t>
      </w:r>
      <w:r w:rsidRPr="00D223B6">
        <w:t xml:space="preserve">will result in the discharge of </w:t>
      </w:r>
      <w:r w:rsidR="005A18BC" w:rsidRPr="00D223B6">
        <w:t xml:space="preserve">macerated </w:t>
      </w:r>
      <w:r w:rsidRPr="00D223B6">
        <w:t>putrescible waste</w:t>
      </w:r>
      <w:r w:rsidR="005A18BC" w:rsidRPr="00D223B6">
        <w:t>.</w:t>
      </w:r>
    </w:p>
    <w:p w14:paraId="1D40085A" w14:textId="2CA838B6" w:rsidR="004923B3" w:rsidRDefault="004923B3" w:rsidP="001313DC">
      <w:pPr>
        <w:pStyle w:val="Bullet1"/>
        <w:numPr>
          <w:ilvl w:val="0"/>
          <w:numId w:val="0"/>
        </w:numPr>
        <w:ind w:left="720"/>
      </w:pPr>
      <w:r w:rsidRPr="00D223B6">
        <w:t xml:space="preserve">It is expected that the average volume of putrescible waste discharged overboard from the </w:t>
      </w:r>
      <w:r w:rsidR="005A18BC" w:rsidRPr="00D223B6">
        <w:t>vessel</w:t>
      </w:r>
      <w:r w:rsidRPr="00D223B6">
        <w:t xml:space="preserve"> will vary depending on the number of Persons on Board (POB) and the types of meals prepared, but would be in the order </w:t>
      </w:r>
      <w:r w:rsidR="001F5537" w:rsidRPr="00D223B6">
        <w:t xml:space="preserve">up </w:t>
      </w:r>
      <w:r w:rsidR="005A18BC" w:rsidRPr="00D223B6">
        <w:t xml:space="preserve">to </w:t>
      </w:r>
      <w:r w:rsidR="00230AB9" w:rsidRPr="00D223B6">
        <w:t>1</w:t>
      </w:r>
      <w:r w:rsidR="005A18BC" w:rsidRPr="00D223B6">
        <w:t xml:space="preserve">0 </w:t>
      </w:r>
      <w:r w:rsidRPr="00D223B6">
        <w:t xml:space="preserve">kg/day. </w:t>
      </w:r>
    </w:p>
    <w:p w14:paraId="29840D48" w14:textId="77777777" w:rsidR="0092765B" w:rsidRDefault="0092765B" w:rsidP="00914C00">
      <w:pPr>
        <w:pStyle w:val="Heading3"/>
      </w:pPr>
      <w:r>
        <w:t>Known and Potential Impacts</w:t>
      </w:r>
    </w:p>
    <w:p w14:paraId="73B52802" w14:textId="77777777" w:rsidR="004923B3" w:rsidRPr="00D223B6" w:rsidRDefault="004923B3" w:rsidP="00DE5215">
      <w:pPr>
        <w:pStyle w:val="BodyText"/>
        <w:spacing w:after="240"/>
        <w:ind w:left="720"/>
        <w:rPr>
          <w:szCs w:val="20"/>
          <w:lang w:eastAsia="en-US"/>
        </w:rPr>
      </w:pPr>
      <w:r w:rsidRPr="00D223B6">
        <w:rPr>
          <w:szCs w:val="20"/>
          <w:lang w:eastAsia="en-US"/>
        </w:rPr>
        <w:t xml:space="preserve">The known and potential environmental impacts of putrescible waste discharge are: </w:t>
      </w:r>
    </w:p>
    <w:p w14:paraId="07CCCF2A" w14:textId="3A273A93" w:rsidR="004923B3" w:rsidRPr="00D223B6" w:rsidRDefault="005B5E96" w:rsidP="0036080A">
      <w:pPr>
        <w:pStyle w:val="Bullet1"/>
        <w:numPr>
          <w:ilvl w:val="0"/>
          <w:numId w:val="40"/>
        </w:numPr>
      </w:pPr>
      <w:r w:rsidRPr="00D223B6">
        <w:t>T</w:t>
      </w:r>
      <w:r w:rsidR="004923B3" w:rsidRPr="00D223B6">
        <w:t>emporary and localised increase in the nutrient content of surrounding surface waters; and</w:t>
      </w:r>
    </w:p>
    <w:p w14:paraId="5734412B" w14:textId="1F337DAF" w:rsidR="004923B3" w:rsidRPr="00D223B6" w:rsidRDefault="004923B3" w:rsidP="0036080A">
      <w:pPr>
        <w:pStyle w:val="Bullet1"/>
        <w:numPr>
          <w:ilvl w:val="0"/>
          <w:numId w:val="40"/>
        </w:numPr>
      </w:pPr>
      <w:r w:rsidRPr="00D223B6">
        <w:t xml:space="preserve">Increase in scavenging behaviour of marine fauna and seabirds. </w:t>
      </w:r>
    </w:p>
    <w:p w14:paraId="19B9FF06" w14:textId="77777777" w:rsidR="0092765B" w:rsidRPr="00DE5215" w:rsidRDefault="0092765B" w:rsidP="00DE5215">
      <w:pPr>
        <w:pStyle w:val="BodyText"/>
        <w:ind w:left="700"/>
        <w:rPr>
          <w:b/>
          <w:u w:val="single"/>
        </w:rPr>
      </w:pPr>
      <w:r w:rsidRPr="00DE5215">
        <w:rPr>
          <w:b/>
          <w:u w:val="single"/>
        </w:rPr>
        <w:t>EMBA</w:t>
      </w:r>
    </w:p>
    <w:p w14:paraId="0F794C65" w14:textId="3DD3F36A" w:rsidR="0092765B" w:rsidRDefault="0092765B" w:rsidP="00DE5215">
      <w:pPr>
        <w:pStyle w:val="BodyText"/>
        <w:ind w:left="700"/>
        <w:rPr>
          <w:szCs w:val="20"/>
          <w:lang w:eastAsia="en-US"/>
        </w:rPr>
      </w:pPr>
      <w:r w:rsidRPr="00D223B6">
        <w:rPr>
          <w:szCs w:val="20"/>
          <w:lang w:eastAsia="en-US"/>
        </w:rPr>
        <w:t xml:space="preserve">The EMBA for </w:t>
      </w:r>
      <w:r w:rsidR="00333E42" w:rsidRPr="00D223B6">
        <w:rPr>
          <w:szCs w:val="20"/>
          <w:lang w:eastAsia="en-US"/>
        </w:rPr>
        <w:t xml:space="preserve">putrescible waste </w:t>
      </w:r>
      <w:r w:rsidRPr="00D223B6">
        <w:rPr>
          <w:szCs w:val="20"/>
          <w:lang w:eastAsia="en-US"/>
        </w:rPr>
        <w:t>discharges associated with vessel activities</w:t>
      </w:r>
      <w:r w:rsidR="00C77B39">
        <w:rPr>
          <w:szCs w:val="20"/>
          <w:lang w:eastAsia="en-US"/>
        </w:rPr>
        <w:t>, given the small intermittent volumes released and the dynamic marine environment is expected to be localised</w:t>
      </w:r>
      <w:r w:rsidRPr="00D223B6">
        <w:rPr>
          <w:szCs w:val="20"/>
          <w:lang w:eastAsia="en-US"/>
        </w:rPr>
        <w:t xml:space="preserve"> </w:t>
      </w:r>
      <w:r w:rsidR="00C77B39">
        <w:rPr>
          <w:szCs w:val="20"/>
          <w:lang w:eastAsia="en-US"/>
        </w:rPr>
        <w:t>around</w:t>
      </w:r>
      <w:r w:rsidRPr="00D223B6">
        <w:rPr>
          <w:szCs w:val="20"/>
          <w:lang w:eastAsia="en-US"/>
        </w:rPr>
        <w:t xml:space="preserve"> the discharge point. </w:t>
      </w:r>
    </w:p>
    <w:p w14:paraId="072DF21E" w14:textId="40FF47D0" w:rsidR="00911005" w:rsidRPr="00D223B6" w:rsidRDefault="00911005" w:rsidP="00911005">
      <w:pPr>
        <w:pStyle w:val="Bullet1"/>
        <w:numPr>
          <w:ilvl w:val="0"/>
          <w:numId w:val="0"/>
        </w:numPr>
        <w:ind w:left="720"/>
      </w:pPr>
      <w:r>
        <w:t>As per MARPOL Annex V, putrescible wastes cannot be discharged within 3 Nm from the coastline and so will not be discharged in State Waters.</w:t>
      </w:r>
    </w:p>
    <w:p w14:paraId="411D5EAF" w14:textId="60E2FF7B" w:rsidR="0092765B" w:rsidRPr="00DE5215" w:rsidRDefault="0092765B" w:rsidP="00DE5215">
      <w:pPr>
        <w:pStyle w:val="BodyText"/>
        <w:ind w:left="709"/>
        <w:rPr>
          <w:b/>
          <w:u w:val="single"/>
        </w:rPr>
      </w:pPr>
      <w:r w:rsidRPr="00DE5215">
        <w:rPr>
          <w:b/>
          <w:u w:val="single"/>
        </w:rPr>
        <w:t>Receptors within the EMBA</w:t>
      </w:r>
    </w:p>
    <w:p w14:paraId="1EC637D8" w14:textId="77777777" w:rsidR="0092765B" w:rsidRPr="00D223B6" w:rsidRDefault="0092765B" w:rsidP="00DE5215">
      <w:pPr>
        <w:pStyle w:val="BodyText"/>
        <w:ind w:left="709"/>
        <w:rPr>
          <w:rFonts w:cs="Arial"/>
          <w:szCs w:val="20"/>
          <w:lang w:eastAsia="en-US"/>
        </w:rPr>
      </w:pPr>
      <w:r w:rsidRPr="00D223B6">
        <w:rPr>
          <w:rFonts w:cs="Arial"/>
          <w:szCs w:val="20"/>
          <w:lang w:eastAsia="en-US"/>
        </w:rPr>
        <w:t xml:space="preserve">Receptors that may occur within this EMBA, either as residents or migrants, are: </w:t>
      </w:r>
    </w:p>
    <w:p w14:paraId="35590BE5" w14:textId="36824561" w:rsidR="0092765B" w:rsidRPr="00D223B6" w:rsidRDefault="0092765B" w:rsidP="0036080A">
      <w:pPr>
        <w:pStyle w:val="Bullet1"/>
        <w:numPr>
          <w:ilvl w:val="0"/>
          <w:numId w:val="40"/>
        </w:numPr>
      </w:pPr>
      <w:r w:rsidRPr="00D223B6">
        <w:t xml:space="preserve">Plankton; </w:t>
      </w:r>
    </w:p>
    <w:p w14:paraId="6B417026" w14:textId="77777777" w:rsidR="009F2C2B" w:rsidRPr="00D223B6" w:rsidRDefault="0092765B" w:rsidP="0036080A">
      <w:pPr>
        <w:pStyle w:val="Bullet1"/>
        <w:numPr>
          <w:ilvl w:val="0"/>
          <w:numId w:val="40"/>
        </w:numPr>
      </w:pPr>
      <w:r w:rsidRPr="00D223B6">
        <w:t>Pelagic fish</w:t>
      </w:r>
      <w:r w:rsidR="009F2C2B" w:rsidRPr="00D223B6">
        <w:t>; and</w:t>
      </w:r>
    </w:p>
    <w:p w14:paraId="342A3366" w14:textId="4D043C18" w:rsidR="0092765B" w:rsidRPr="00D223B6" w:rsidRDefault="009F2C2B" w:rsidP="0036080A">
      <w:pPr>
        <w:pStyle w:val="Bullet1"/>
        <w:numPr>
          <w:ilvl w:val="0"/>
          <w:numId w:val="40"/>
        </w:numPr>
      </w:pPr>
      <w:r w:rsidRPr="00D223B6">
        <w:t>Seabirds</w:t>
      </w:r>
      <w:r w:rsidR="0092765B" w:rsidRPr="00D223B6">
        <w:t>.</w:t>
      </w:r>
    </w:p>
    <w:p w14:paraId="52029669" w14:textId="77777777" w:rsidR="0092765B" w:rsidRDefault="0092765B" w:rsidP="00914C00">
      <w:pPr>
        <w:pStyle w:val="Heading3"/>
      </w:pPr>
      <w:r>
        <w:t>Evaluation of Environmental Impacts</w:t>
      </w:r>
    </w:p>
    <w:p w14:paraId="4C87F29F" w14:textId="77777777" w:rsidR="004923B3" w:rsidRDefault="004923B3" w:rsidP="00DE5215">
      <w:pPr>
        <w:pStyle w:val="BodyText"/>
        <w:ind w:left="720"/>
        <w:rPr>
          <w:szCs w:val="20"/>
          <w:lang w:eastAsia="en-US"/>
        </w:rPr>
      </w:pPr>
      <w:r w:rsidRPr="00D223B6">
        <w:rPr>
          <w:szCs w:val="20"/>
          <w:lang w:eastAsia="en-US"/>
        </w:rPr>
        <w:t xml:space="preserve">The overboard discharge of macerated food wastes has the result of creating a localised and temporary increase in the nutrient load of the surface waters. This may in turn act as a food source for scavenging marine fauna or seabirds, whose numbers may temporarily increase as a result. However, the rapid consumption of this food waste by scavenging fauna, and its physical and microbial breakdown, ensures that the impacts of putrescible waste discharges are insignificant. </w:t>
      </w:r>
    </w:p>
    <w:p w14:paraId="6B223A1C" w14:textId="77777777" w:rsidR="0092765B" w:rsidRPr="00DE5215" w:rsidRDefault="0092765B" w:rsidP="00DE5215">
      <w:pPr>
        <w:pStyle w:val="BodyText"/>
        <w:ind w:left="720"/>
        <w:rPr>
          <w:b/>
          <w:u w:val="single"/>
        </w:rPr>
      </w:pPr>
      <w:r w:rsidRPr="00DE5215">
        <w:rPr>
          <w:b/>
          <w:u w:val="single"/>
        </w:rPr>
        <w:t>Impacts to Matters of NES</w:t>
      </w:r>
    </w:p>
    <w:p w14:paraId="58E33DBC" w14:textId="16E8899C" w:rsidR="0092765B" w:rsidRDefault="0092765B" w:rsidP="00911005">
      <w:pPr>
        <w:pStyle w:val="BodyText"/>
        <w:spacing w:after="240"/>
        <w:ind w:left="720"/>
        <w:rPr>
          <w:lang w:eastAsia="en-US"/>
        </w:rPr>
      </w:pPr>
      <w:r w:rsidRPr="00D223B6">
        <w:rPr>
          <w:szCs w:val="20"/>
          <w:lang w:eastAsia="en-US"/>
        </w:rPr>
        <w:lastRenderedPageBreak/>
        <w:t xml:space="preserve">The discharge of </w:t>
      </w:r>
      <w:r w:rsidR="00AD2E49" w:rsidRPr="00D223B6">
        <w:rPr>
          <w:szCs w:val="20"/>
          <w:lang w:eastAsia="en-US"/>
        </w:rPr>
        <w:t>putrescible waste</w:t>
      </w:r>
      <w:r w:rsidRPr="00D223B6">
        <w:rPr>
          <w:szCs w:val="20"/>
          <w:lang w:eastAsia="en-US"/>
        </w:rPr>
        <w:t xml:space="preserve"> will not have a ‘significant’ impact to any of the matters of NES applicable to this project</w:t>
      </w:r>
      <w:r w:rsidR="00911005">
        <w:rPr>
          <w:szCs w:val="20"/>
          <w:lang w:eastAsia="en-US"/>
        </w:rPr>
        <w:t>.</w:t>
      </w:r>
    </w:p>
    <w:p w14:paraId="20C42A45" w14:textId="77777777" w:rsidR="0092765B" w:rsidRPr="00DE5215" w:rsidRDefault="0092765B" w:rsidP="00DE5215">
      <w:pPr>
        <w:pStyle w:val="BodyText"/>
        <w:ind w:left="709"/>
        <w:rPr>
          <w:b/>
          <w:u w:val="single"/>
        </w:rPr>
      </w:pPr>
      <w:r w:rsidRPr="00DE5215">
        <w:rPr>
          <w:b/>
          <w:u w:val="single"/>
        </w:rPr>
        <w:t>Impacts to other areas of Conservation Significance</w:t>
      </w:r>
    </w:p>
    <w:p w14:paraId="02540A5A" w14:textId="5E37C821" w:rsidR="0092765B" w:rsidRPr="00BE0DE6" w:rsidRDefault="0092765B" w:rsidP="00911005">
      <w:pPr>
        <w:pStyle w:val="BodyText"/>
        <w:spacing w:after="240"/>
        <w:ind w:left="709"/>
        <w:rPr>
          <w:lang w:eastAsia="en-US"/>
        </w:rPr>
      </w:pPr>
      <w:r w:rsidRPr="00D223B6">
        <w:rPr>
          <w:szCs w:val="20"/>
          <w:lang w:eastAsia="en-US"/>
        </w:rPr>
        <w:t xml:space="preserve">There are no other areas of conservation significance within the EMBA by </w:t>
      </w:r>
      <w:r w:rsidR="00AD2E49" w:rsidRPr="00D223B6">
        <w:rPr>
          <w:szCs w:val="20"/>
          <w:lang w:eastAsia="en-US"/>
        </w:rPr>
        <w:t xml:space="preserve">putrescible waste </w:t>
      </w:r>
      <w:r w:rsidRPr="00D223B6">
        <w:rPr>
          <w:szCs w:val="20"/>
          <w:lang w:eastAsia="en-US"/>
        </w:rPr>
        <w:t>discharges. This discharge will not have any impacts to other areas of conservation significance</w:t>
      </w:r>
      <w:r w:rsidR="00911005">
        <w:rPr>
          <w:szCs w:val="20"/>
          <w:lang w:eastAsia="en-US"/>
        </w:rPr>
        <w:t>.</w:t>
      </w:r>
    </w:p>
    <w:p w14:paraId="6D1DC8BA" w14:textId="77777777" w:rsidR="0092765B" w:rsidRDefault="0092765B" w:rsidP="00914C00">
      <w:pPr>
        <w:pStyle w:val="Heading3"/>
      </w:pPr>
      <w:r>
        <w:t>Impact Assessment</w:t>
      </w:r>
    </w:p>
    <w:p w14:paraId="7D221310" w14:textId="6DD18816" w:rsidR="0092765B" w:rsidRPr="00D223B6" w:rsidRDefault="00D223B6" w:rsidP="00DE5215">
      <w:pPr>
        <w:pStyle w:val="BodyText"/>
        <w:ind w:left="709"/>
      </w:pPr>
      <w:r w:rsidRPr="00D223B6">
        <w:rPr>
          <w:color w:val="FF0000"/>
          <w:lang w:eastAsia="en-US"/>
        </w:rPr>
        <w:fldChar w:fldCharType="begin"/>
      </w:r>
      <w:r w:rsidRPr="00D223B6">
        <w:rPr>
          <w:color w:val="FF0000"/>
          <w:lang w:eastAsia="en-US"/>
        </w:rPr>
        <w:instrText xml:space="preserve"> REF _Ref473383795 \h </w:instrText>
      </w:r>
      <w:r>
        <w:rPr>
          <w:color w:val="FF0000"/>
          <w:lang w:eastAsia="en-US"/>
        </w:rPr>
        <w:instrText xml:space="preserve"> \* MERGEFORMAT </w:instrText>
      </w:r>
      <w:r w:rsidRPr="00D223B6">
        <w:rPr>
          <w:color w:val="FF0000"/>
          <w:lang w:eastAsia="en-US"/>
        </w:rPr>
      </w:r>
      <w:r w:rsidRPr="00D223B6">
        <w:rPr>
          <w:color w:val="FF0000"/>
          <w:lang w:eastAsia="en-US"/>
        </w:rPr>
        <w:fldChar w:fldCharType="separate"/>
      </w:r>
      <w:r w:rsidR="00CC4C35" w:rsidRPr="00CC4C35">
        <w:t xml:space="preserve">Table </w:t>
      </w:r>
      <w:r w:rsidR="00CC4C35" w:rsidRPr="00CC4C35">
        <w:rPr>
          <w:noProof/>
        </w:rPr>
        <w:t>5</w:t>
      </w:r>
      <w:r w:rsidR="00CC4C35" w:rsidRPr="00CC4C35">
        <w:rPr>
          <w:noProof/>
        </w:rPr>
        <w:noBreakHyphen/>
        <w:t>9</w:t>
      </w:r>
      <w:r w:rsidRPr="00D223B6">
        <w:rPr>
          <w:color w:val="FF0000"/>
          <w:lang w:eastAsia="en-US"/>
        </w:rPr>
        <w:fldChar w:fldCharType="end"/>
      </w:r>
      <w:r w:rsidRPr="00D223B6">
        <w:rPr>
          <w:color w:val="FF0000"/>
          <w:lang w:eastAsia="en-US"/>
        </w:rPr>
        <w:t xml:space="preserve"> </w:t>
      </w:r>
      <w:r w:rsidR="0092765B" w:rsidRPr="00D223B6">
        <w:rPr>
          <w:lang w:eastAsia="en-US"/>
        </w:rPr>
        <w:t xml:space="preserve">presents the risk assessment for </w:t>
      </w:r>
      <w:r w:rsidR="00AD2E49" w:rsidRPr="00D223B6">
        <w:rPr>
          <w:lang w:eastAsia="en-US"/>
        </w:rPr>
        <w:t>putrescible waste</w:t>
      </w:r>
      <w:r w:rsidR="0092765B" w:rsidRPr="00D223B6">
        <w:rPr>
          <w:lang w:eastAsia="en-US"/>
        </w:rPr>
        <w:t xml:space="preserve"> discharges.</w:t>
      </w:r>
    </w:p>
    <w:p w14:paraId="23E890CC" w14:textId="581259FB" w:rsidR="001F5537" w:rsidRPr="00ED5388" w:rsidRDefault="00D223B6" w:rsidP="00B86A7D">
      <w:pPr>
        <w:pStyle w:val="Caption"/>
        <w:outlineLvl w:val="9"/>
        <w:rPr>
          <w:sz w:val="20"/>
          <w:szCs w:val="20"/>
        </w:rPr>
      </w:pPr>
      <w:bookmarkStart w:id="212" w:name="_Ref473383795"/>
      <w:bookmarkStart w:id="213" w:name="_Toc511032600"/>
      <w:r w:rsidRPr="00D223B6">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9</w:t>
      </w:r>
      <w:r w:rsidR="00103328">
        <w:rPr>
          <w:sz w:val="20"/>
          <w:szCs w:val="20"/>
        </w:rPr>
        <w:fldChar w:fldCharType="end"/>
      </w:r>
      <w:bookmarkEnd w:id="212"/>
      <w:r w:rsidRPr="00D223B6">
        <w:rPr>
          <w:sz w:val="20"/>
          <w:szCs w:val="20"/>
        </w:rPr>
        <w:t>: EIA for putrescible waste discharges</w:t>
      </w:r>
      <w:bookmarkEnd w:id="213"/>
    </w:p>
    <w:tbl>
      <w:tblPr>
        <w:tblW w:w="9072" w:type="dxa"/>
        <w:tblInd w:w="1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694"/>
        <w:gridCol w:w="6378"/>
      </w:tblGrid>
      <w:tr w:rsidR="00641A36" w:rsidRPr="00D223B6" w14:paraId="56BE53FD" w14:textId="77777777" w:rsidTr="001F5537">
        <w:trPr>
          <w:cantSplit/>
        </w:trPr>
        <w:tc>
          <w:tcPr>
            <w:tcW w:w="2694" w:type="dxa"/>
            <w:shd w:val="clear" w:color="auto" w:fill="BFBFBF" w:themeFill="background1" w:themeFillShade="BF"/>
          </w:tcPr>
          <w:p w14:paraId="569B7DF2" w14:textId="5EA8F34A" w:rsidR="00641A36" w:rsidRPr="00D223B6" w:rsidRDefault="00641A36" w:rsidP="00E439A6">
            <w:pPr>
              <w:pStyle w:val="Tabletext"/>
              <w:spacing w:line="240" w:lineRule="auto"/>
              <w:rPr>
                <w:rFonts w:ascii="Arial" w:hAnsi="Arial" w:cs="Arial"/>
                <w:b/>
                <w:sz w:val="16"/>
                <w:szCs w:val="16"/>
              </w:rPr>
            </w:pPr>
            <w:r>
              <w:rPr>
                <w:rFonts w:ascii="Arial" w:hAnsi="Arial" w:cs="Arial"/>
                <w:b/>
                <w:sz w:val="16"/>
                <w:szCs w:val="16"/>
              </w:rPr>
              <w:t>Aspect:</w:t>
            </w:r>
          </w:p>
        </w:tc>
        <w:tc>
          <w:tcPr>
            <w:tcW w:w="6378" w:type="dxa"/>
          </w:tcPr>
          <w:p w14:paraId="263B948B" w14:textId="5E5FC528" w:rsidR="00641A36" w:rsidRPr="00D223B6" w:rsidRDefault="00641A36" w:rsidP="00E439A6">
            <w:pPr>
              <w:pStyle w:val="Tabletext"/>
              <w:spacing w:line="240" w:lineRule="auto"/>
              <w:jc w:val="left"/>
              <w:rPr>
                <w:rFonts w:ascii="Arial" w:hAnsi="Arial" w:cs="Arial"/>
                <w:sz w:val="16"/>
                <w:szCs w:val="16"/>
              </w:rPr>
            </w:pPr>
            <w:r>
              <w:rPr>
                <w:rFonts w:ascii="Arial" w:hAnsi="Arial" w:cs="Arial"/>
                <w:sz w:val="16"/>
                <w:szCs w:val="16"/>
              </w:rPr>
              <w:t>Food-scrap discharges from vessel</w:t>
            </w:r>
          </w:p>
        </w:tc>
      </w:tr>
      <w:tr w:rsidR="001F5537" w:rsidRPr="00D223B6" w14:paraId="2D38928C" w14:textId="77777777" w:rsidTr="001F5537">
        <w:trPr>
          <w:cantSplit/>
        </w:trPr>
        <w:tc>
          <w:tcPr>
            <w:tcW w:w="2694" w:type="dxa"/>
            <w:shd w:val="clear" w:color="auto" w:fill="BFBFBF" w:themeFill="background1" w:themeFillShade="BF"/>
          </w:tcPr>
          <w:p w14:paraId="2C07A40C" w14:textId="77777777" w:rsidR="001F5537" w:rsidRPr="00D223B6" w:rsidRDefault="001F5537" w:rsidP="00E439A6">
            <w:pPr>
              <w:pStyle w:val="Tabletext"/>
              <w:spacing w:line="240" w:lineRule="auto"/>
              <w:rPr>
                <w:rFonts w:ascii="Arial" w:hAnsi="Arial" w:cs="Arial"/>
                <w:b/>
                <w:sz w:val="16"/>
                <w:szCs w:val="16"/>
              </w:rPr>
            </w:pPr>
            <w:r w:rsidRPr="00D223B6">
              <w:rPr>
                <w:rFonts w:ascii="Arial" w:hAnsi="Arial" w:cs="Arial"/>
                <w:b/>
                <w:sz w:val="16"/>
                <w:szCs w:val="16"/>
              </w:rPr>
              <w:t xml:space="preserve">Impact summary </w:t>
            </w:r>
          </w:p>
        </w:tc>
        <w:tc>
          <w:tcPr>
            <w:tcW w:w="6378" w:type="dxa"/>
          </w:tcPr>
          <w:p w14:paraId="3C2D3434" w14:textId="5691321D" w:rsidR="001F5537" w:rsidRPr="00D223B6" w:rsidRDefault="001F5537" w:rsidP="00E439A6">
            <w:pPr>
              <w:pStyle w:val="Tabletext"/>
              <w:spacing w:line="240" w:lineRule="auto"/>
              <w:jc w:val="left"/>
              <w:rPr>
                <w:rFonts w:ascii="Arial" w:hAnsi="Arial" w:cs="Arial"/>
                <w:sz w:val="16"/>
                <w:szCs w:val="16"/>
              </w:rPr>
            </w:pPr>
            <w:r w:rsidRPr="00D223B6">
              <w:rPr>
                <w:rFonts w:ascii="Arial" w:hAnsi="Arial" w:cs="Arial"/>
                <w:sz w:val="16"/>
                <w:szCs w:val="16"/>
              </w:rPr>
              <w:t xml:space="preserve">Increase in nutrient content of surface waters, which may </w:t>
            </w:r>
            <w:r w:rsidR="00D872A4" w:rsidRPr="00D223B6">
              <w:rPr>
                <w:rFonts w:ascii="Arial" w:hAnsi="Arial" w:cs="Arial"/>
                <w:sz w:val="16"/>
                <w:szCs w:val="16"/>
              </w:rPr>
              <w:t xml:space="preserve">lead to scavenging behaviour of </w:t>
            </w:r>
            <w:r w:rsidRPr="00D223B6">
              <w:rPr>
                <w:rFonts w:ascii="Arial" w:hAnsi="Arial" w:cs="Arial"/>
                <w:sz w:val="16"/>
                <w:szCs w:val="16"/>
              </w:rPr>
              <w:t xml:space="preserve">pelagic fish and seabirds.  </w:t>
            </w:r>
          </w:p>
        </w:tc>
      </w:tr>
      <w:tr w:rsidR="001F5537" w:rsidRPr="00D223B6" w14:paraId="094809D2" w14:textId="77777777" w:rsidTr="001F5537">
        <w:trPr>
          <w:cantSplit/>
        </w:trPr>
        <w:tc>
          <w:tcPr>
            <w:tcW w:w="2694" w:type="dxa"/>
            <w:shd w:val="clear" w:color="auto" w:fill="BFBFBF" w:themeFill="background1" w:themeFillShade="BF"/>
          </w:tcPr>
          <w:p w14:paraId="6E5ACEA9" w14:textId="77777777" w:rsidR="001F5537" w:rsidRPr="00D223B6" w:rsidRDefault="001F5537" w:rsidP="00E439A6">
            <w:pPr>
              <w:pStyle w:val="Tabletext"/>
              <w:spacing w:line="240" w:lineRule="auto"/>
              <w:jc w:val="left"/>
              <w:rPr>
                <w:rFonts w:ascii="Arial" w:hAnsi="Arial" w:cs="Arial"/>
                <w:b/>
                <w:sz w:val="16"/>
                <w:szCs w:val="16"/>
              </w:rPr>
            </w:pPr>
            <w:r w:rsidRPr="00D223B6">
              <w:rPr>
                <w:rFonts w:ascii="Arial" w:hAnsi="Arial" w:cs="Arial"/>
                <w:b/>
                <w:sz w:val="16"/>
                <w:szCs w:val="16"/>
              </w:rPr>
              <w:t xml:space="preserve">Extent of impact </w:t>
            </w:r>
          </w:p>
        </w:tc>
        <w:tc>
          <w:tcPr>
            <w:tcW w:w="6378" w:type="dxa"/>
          </w:tcPr>
          <w:p w14:paraId="2CB72660" w14:textId="6A63109F" w:rsidR="001F5537" w:rsidRPr="00D223B6" w:rsidRDefault="00911005" w:rsidP="00E439A6">
            <w:pPr>
              <w:pStyle w:val="Tabletext"/>
              <w:spacing w:line="240" w:lineRule="auto"/>
              <w:jc w:val="left"/>
              <w:rPr>
                <w:rFonts w:ascii="Arial" w:hAnsi="Arial" w:cs="Arial"/>
                <w:sz w:val="16"/>
                <w:szCs w:val="16"/>
              </w:rPr>
            </w:pPr>
            <w:r w:rsidRPr="00D223B6">
              <w:rPr>
                <w:rFonts w:ascii="Arial" w:hAnsi="Arial" w:cs="Arial"/>
                <w:sz w:val="16"/>
                <w:szCs w:val="16"/>
              </w:rPr>
              <w:t xml:space="preserve">Localised </w:t>
            </w:r>
            <w:r>
              <w:rPr>
                <w:rFonts w:ascii="Arial" w:hAnsi="Arial" w:cs="Arial"/>
                <w:sz w:val="16"/>
                <w:szCs w:val="16"/>
              </w:rPr>
              <w:t>around</w:t>
            </w:r>
            <w:r w:rsidR="00895F9B">
              <w:rPr>
                <w:rFonts w:ascii="Arial" w:hAnsi="Arial" w:cs="Arial"/>
                <w:sz w:val="16"/>
                <w:szCs w:val="16"/>
              </w:rPr>
              <w:t xml:space="preserve"> discharge point</w:t>
            </w:r>
            <w:r w:rsidR="001F5537" w:rsidRPr="00D223B6">
              <w:rPr>
                <w:rFonts w:ascii="Arial" w:hAnsi="Arial" w:cs="Arial"/>
                <w:sz w:val="16"/>
                <w:szCs w:val="16"/>
              </w:rPr>
              <w:t xml:space="preserve"> </w:t>
            </w:r>
          </w:p>
        </w:tc>
      </w:tr>
      <w:tr w:rsidR="001F5537" w:rsidRPr="00D223B6" w14:paraId="0E35A6BF" w14:textId="77777777" w:rsidTr="001F5537">
        <w:trPr>
          <w:cantSplit/>
        </w:trPr>
        <w:tc>
          <w:tcPr>
            <w:tcW w:w="2694" w:type="dxa"/>
            <w:shd w:val="clear" w:color="auto" w:fill="BFBFBF" w:themeFill="background1" w:themeFillShade="BF"/>
          </w:tcPr>
          <w:p w14:paraId="2BAD61B5" w14:textId="77777777" w:rsidR="001F5537" w:rsidRPr="00D223B6" w:rsidRDefault="001F5537" w:rsidP="00E439A6">
            <w:pPr>
              <w:pStyle w:val="Tabletext"/>
              <w:spacing w:line="240" w:lineRule="auto"/>
              <w:jc w:val="left"/>
              <w:rPr>
                <w:rFonts w:ascii="Arial" w:hAnsi="Arial" w:cs="Arial"/>
                <w:b/>
                <w:sz w:val="16"/>
                <w:szCs w:val="16"/>
              </w:rPr>
            </w:pPr>
            <w:r w:rsidRPr="00D223B6">
              <w:rPr>
                <w:rFonts w:ascii="Arial" w:hAnsi="Arial" w:cs="Arial"/>
                <w:b/>
                <w:sz w:val="16"/>
                <w:szCs w:val="16"/>
              </w:rPr>
              <w:t xml:space="preserve">Duration of impact </w:t>
            </w:r>
          </w:p>
        </w:tc>
        <w:tc>
          <w:tcPr>
            <w:tcW w:w="6378" w:type="dxa"/>
          </w:tcPr>
          <w:p w14:paraId="358A1ADF" w14:textId="77777777" w:rsidR="001F5537" w:rsidRPr="00D223B6" w:rsidRDefault="001F5537" w:rsidP="00E439A6">
            <w:pPr>
              <w:pStyle w:val="Tabletext"/>
              <w:spacing w:line="240" w:lineRule="auto"/>
              <w:jc w:val="left"/>
              <w:rPr>
                <w:rFonts w:ascii="Arial" w:hAnsi="Arial" w:cs="Arial"/>
                <w:sz w:val="16"/>
                <w:szCs w:val="16"/>
              </w:rPr>
            </w:pPr>
            <w:r w:rsidRPr="00D223B6">
              <w:rPr>
                <w:rFonts w:ascii="Arial" w:hAnsi="Arial" w:cs="Arial"/>
                <w:sz w:val="16"/>
                <w:szCs w:val="16"/>
              </w:rPr>
              <w:t>Temporary (rapid dispersion and dilution – minutes to hours).</w:t>
            </w:r>
          </w:p>
        </w:tc>
      </w:tr>
      <w:tr w:rsidR="001F5537" w:rsidRPr="00D223B6" w14:paraId="3CAAC244" w14:textId="77777777" w:rsidTr="001F5537">
        <w:trPr>
          <w:cantSplit/>
        </w:trPr>
        <w:tc>
          <w:tcPr>
            <w:tcW w:w="2694" w:type="dxa"/>
            <w:shd w:val="clear" w:color="auto" w:fill="BFBFBF" w:themeFill="background1" w:themeFillShade="BF"/>
          </w:tcPr>
          <w:p w14:paraId="3B4A96AC" w14:textId="77777777" w:rsidR="001F5537" w:rsidRPr="00D223B6" w:rsidRDefault="001F5537" w:rsidP="00E439A6">
            <w:pPr>
              <w:pStyle w:val="Tabletext"/>
              <w:spacing w:line="240" w:lineRule="auto"/>
              <w:jc w:val="left"/>
              <w:rPr>
                <w:rFonts w:ascii="Arial" w:hAnsi="Arial" w:cs="Arial"/>
                <w:b/>
                <w:sz w:val="16"/>
                <w:szCs w:val="16"/>
              </w:rPr>
            </w:pPr>
            <w:r w:rsidRPr="00D223B6">
              <w:rPr>
                <w:rFonts w:ascii="Arial" w:hAnsi="Arial" w:cs="Arial"/>
                <w:b/>
                <w:sz w:val="16"/>
                <w:szCs w:val="16"/>
              </w:rPr>
              <w:t>Level of certainty of impact</w:t>
            </w:r>
          </w:p>
        </w:tc>
        <w:tc>
          <w:tcPr>
            <w:tcW w:w="6378" w:type="dxa"/>
          </w:tcPr>
          <w:p w14:paraId="3783218C" w14:textId="258435CD" w:rsidR="001F5537" w:rsidRPr="00D223B6" w:rsidRDefault="001F5537" w:rsidP="00E439A6">
            <w:pPr>
              <w:pStyle w:val="Tabletext"/>
              <w:spacing w:line="240" w:lineRule="auto"/>
              <w:jc w:val="left"/>
              <w:rPr>
                <w:rFonts w:ascii="Arial" w:hAnsi="Arial" w:cs="Arial"/>
                <w:sz w:val="16"/>
                <w:szCs w:val="16"/>
              </w:rPr>
            </w:pPr>
            <w:r w:rsidRPr="00D223B6">
              <w:rPr>
                <w:rFonts w:ascii="Arial" w:hAnsi="Arial" w:cs="Arial"/>
                <w:sz w:val="16"/>
                <w:szCs w:val="16"/>
              </w:rPr>
              <w:t xml:space="preserve">HIGH. The impacts of </w:t>
            </w:r>
            <w:r w:rsidR="00973334" w:rsidRPr="00D223B6">
              <w:rPr>
                <w:rFonts w:ascii="Arial" w:hAnsi="Arial" w:cs="Arial"/>
                <w:sz w:val="16"/>
                <w:szCs w:val="16"/>
              </w:rPr>
              <w:t>putrescible waste</w:t>
            </w:r>
            <w:r w:rsidRPr="00D223B6">
              <w:rPr>
                <w:rFonts w:ascii="Arial" w:hAnsi="Arial" w:cs="Arial"/>
                <w:sz w:val="16"/>
                <w:szCs w:val="16"/>
              </w:rPr>
              <w:t xml:space="preserve"> discharges on the marine environment are well studied. </w:t>
            </w:r>
          </w:p>
        </w:tc>
      </w:tr>
      <w:tr w:rsidR="001F5537" w:rsidRPr="00D223B6" w14:paraId="0C77A268" w14:textId="77777777" w:rsidTr="001F5537">
        <w:trPr>
          <w:cantSplit/>
        </w:trPr>
        <w:tc>
          <w:tcPr>
            <w:tcW w:w="2694" w:type="dxa"/>
            <w:shd w:val="clear" w:color="auto" w:fill="BFBFBF" w:themeFill="background1" w:themeFillShade="BF"/>
          </w:tcPr>
          <w:p w14:paraId="7DEB6C56" w14:textId="77777777" w:rsidR="001F5537" w:rsidRPr="00D223B6" w:rsidRDefault="001F5537" w:rsidP="003C089E">
            <w:pPr>
              <w:pStyle w:val="Tabletext"/>
              <w:spacing w:line="240" w:lineRule="auto"/>
              <w:jc w:val="left"/>
              <w:rPr>
                <w:rFonts w:ascii="Arial" w:hAnsi="Arial" w:cs="Arial"/>
                <w:b/>
                <w:sz w:val="16"/>
                <w:szCs w:val="16"/>
              </w:rPr>
            </w:pPr>
            <w:r w:rsidRPr="00D223B6">
              <w:rPr>
                <w:rFonts w:ascii="Arial" w:hAnsi="Arial" w:cs="Arial"/>
                <w:b/>
                <w:sz w:val="16"/>
                <w:szCs w:val="16"/>
              </w:rPr>
              <w:t>Impact decision framework context</w:t>
            </w:r>
          </w:p>
        </w:tc>
        <w:tc>
          <w:tcPr>
            <w:tcW w:w="6378" w:type="dxa"/>
          </w:tcPr>
          <w:p w14:paraId="4BA823F1" w14:textId="101C02A0" w:rsidR="001F5537" w:rsidRPr="00D223B6" w:rsidRDefault="001F5537" w:rsidP="00E439A6">
            <w:pPr>
              <w:pStyle w:val="Tabletext"/>
              <w:spacing w:line="240" w:lineRule="auto"/>
              <w:jc w:val="left"/>
              <w:rPr>
                <w:rFonts w:ascii="Arial" w:hAnsi="Arial" w:cs="Arial"/>
                <w:sz w:val="16"/>
                <w:szCs w:val="16"/>
              </w:rPr>
            </w:pPr>
            <w:r w:rsidRPr="00D223B6">
              <w:rPr>
                <w:rFonts w:ascii="Arial" w:hAnsi="Arial" w:cs="Arial"/>
                <w:sz w:val="16"/>
                <w:szCs w:val="16"/>
              </w:rPr>
              <w:t xml:space="preserve">A (nothing new or unusual, represents business as usual, well understood activity, good practice is well defined). </w:t>
            </w:r>
            <w:r w:rsidR="00641A36" w:rsidRPr="004705DB">
              <w:rPr>
                <w:rFonts w:ascii="Arial" w:hAnsi="Arial" w:cs="Arial"/>
                <w:i/>
                <w:sz w:val="16"/>
                <w:szCs w:val="16"/>
              </w:rPr>
              <w:t>ALARP to be demonstrated on adherence to legislation, industry codes and good professional judgement</w:t>
            </w:r>
          </w:p>
        </w:tc>
      </w:tr>
    </w:tbl>
    <w:p w14:paraId="10DB682E" w14:textId="77777777" w:rsidR="00090C87" w:rsidRDefault="00090C87" w:rsidP="00024BA3">
      <w:pPr>
        <w:pStyle w:val="BodyText"/>
      </w:pPr>
    </w:p>
    <w:p w14:paraId="19849444" w14:textId="6401D7F4" w:rsidR="001F77CA" w:rsidRDefault="00D01191" w:rsidP="00402CD7">
      <w:pPr>
        <w:pStyle w:val="Heading2"/>
      </w:pPr>
      <w:bookmarkStart w:id="214" w:name="_Toc345581939"/>
      <w:bookmarkStart w:id="215" w:name="_Toc512862482"/>
      <w:r>
        <w:t xml:space="preserve">IMPACT: </w:t>
      </w:r>
      <w:r w:rsidR="001F77CA">
        <w:t>Bilge Water</w:t>
      </w:r>
      <w:r w:rsidR="003C0455">
        <w:t xml:space="preserve"> Discharges</w:t>
      </w:r>
      <w:bookmarkEnd w:id="214"/>
      <w:r w:rsidR="00974BE1">
        <w:t xml:space="preserve"> (Vessels)</w:t>
      </w:r>
      <w:bookmarkEnd w:id="215"/>
    </w:p>
    <w:p w14:paraId="0E38AACE" w14:textId="77777777" w:rsidR="001F77CA" w:rsidRDefault="001F77CA" w:rsidP="00914C00">
      <w:pPr>
        <w:pStyle w:val="Heading3"/>
      </w:pPr>
      <w:r>
        <w:t>Hazard</w:t>
      </w:r>
    </w:p>
    <w:p w14:paraId="4CA63505" w14:textId="75A90446" w:rsidR="001F77CA" w:rsidRPr="0003680F" w:rsidRDefault="0043282A" w:rsidP="001313DC">
      <w:pPr>
        <w:pStyle w:val="Bullet1"/>
        <w:numPr>
          <w:ilvl w:val="0"/>
          <w:numId w:val="0"/>
        </w:numPr>
        <w:ind w:left="720"/>
      </w:pPr>
      <w:r w:rsidRPr="0003680F">
        <w:t xml:space="preserve">Bilge tanks receive fluids from </w:t>
      </w:r>
      <w:r w:rsidR="001C3848" w:rsidRPr="0003680F">
        <w:t xml:space="preserve">closed </w:t>
      </w:r>
      <w:r w:rsidRPr="0003680F">
        <w:t xml:space="preserve">deck </w:t>
      </w:r>
      <w:r w:rsidR="001C3848" w:rsidRPr="0003680F">
        <w:t xml:space="preserve">drainage </w:t>
      </w:r>
      <w:r w:rsidRPr="0003680F">
        <w:t>and machinery spaces that may contain contaminants such as oil, detergents, solvents, chemicals and solid waste.</w:t>
      </w:r>
      <w:r w:rsidR="001C3848" w:rsidRPr="0003680F">
        <w:t xml:space="preserve"> An oily water separator (OWS) then </w:t>
      </w:r>
      <w:r w:rsidRPr="0003680F">
        <w:t>treat</w:t>
      </w:r>
      <w:r w:rsidR="001C3848" w:rsidRPr="0003680F">
        <w:t>s</w:t>
      </w:r>
      <w:r w:rsidRPr="0003680F">
        <w:t xml:space="preserve"> prior to discharge overboard </w:t>
      </w:r>
      <w:r w:rsidR="00141C35" w:rsidRPr="0003680F">
        <w:t xml:space="preserve">in order to </w:t>
      </w:r>
      <w:r w:rsidRPr="0003680F">
        <w:t>meet the MARPO</w:t>
      </w:r>
      <w:r w:rsidR="002E7E8C" w:rsidRPr="0003680F">
        <w:t>L</w:t>
      </w:r>
      <w:r w:rsidRPr="0003680F">
        <w:t xml:space="preserve"> requirement of no greater than 15 ppm oil-in-water </w:t>
      </w:r>
      <w:r w:rsidR="00141C35" w:rsidRPr="0003680F">
        <w:t>(</w:t>
      </w:r>
      <w:r w:rsidRPr="0003680F">
        <w:t>OIW</w:t>
      </w:r>
      <w:r w:rsidR="00141C35" w:rsidRPr="0003680F">
        <w:t>)</w:t>
      </w:r>
      <w:r w:rsidRPr="0003680F">
        <w:t xml:space="preserve"> overboard.</w:t>
      </w:r>
    </w:p>
    <w:p w14:paraId="1A056B99" w14:textId="77777777" w:rsidR="001F77CA" w:rsidRDefault="001F77CA" w:rsidP="00914C00">
      <w:pPr>
        <w:pStyle w:val="Heading3"/>
      </w:pPr>
      <w:r>
        <w:t>Known and Potential Impacts</w:t>
      </w:r>
    </w:p>
    <w:p w14:paraId="43A29E25" w14:textId="13CFB204" w:rsidR="00D47ACD" w:rsidRPr="0003680F" w:rsidRDefault="00D47ACD" w:rsidP="00DE5215">
      <w:pPr>
        <w:pStyle w:val="BodyText"/>
        <w:spacing w:after="240"/>
        <w:ind w:left="720"/>
        <w:rPr>
          <w:szCs w:val="20"/>
          <w:lang w:eastAsia="en-US"/>
        </w:rPr>
      </w:pPr>
      <w:r w:rsidRPr="0003680F">
        <w:rPr>
          <w:szCs w:val="20"/>
          <w:lang w:eastAsia="en-US"/>
        </w:rPr>
        <w:t xml:space="preserve">The known and potential environmental impacts of the discharge of </w:t>
      </w:r>
      <w:r w:rsidR="002E7E8C" w:rsidRPr="0003680F">
        <w:rPr>
          <w:szCs w:val="20"/>
          <w:lang w:eastAsia="en-US"/>
        </w:rPr>
        <w:t xml:space="preserve">bilge water discharges </w:t>
      </w:r>
      <w:r w:rsidRPr="0003680F">
        <w:rPr>
          <w:szCs w:val="20"/>
          <w:lang w:eastAsia="en-US"/>
        </w:rPr>
        <w:t xml:space="preserve">are: </w:t>
      </w:r>
    </w:p>
    <w:p w14:paraId="5099CD01" w14:textId="24A98C84" w:rsidR="00D47ACD" w:rsidRPr="0003680F" w:rsidRDefault="002E7E8C" w:rsidP="0036080A">
      <w:pPr>
        <w:pStyle w:val="Bullet1"/>
        <w:numPr>
          <w:ilvl w:val="0"/>
          <w:numId w:val="40"/>
        </w:numPr>
      </w:pPr>
      <w:r w:rsidRPr="0003680F">
        <w:t>Temporary and localised reduction of surrounding surface water quality; and</w:t>
      </w:r>
    </w:p>
    <w:p w14:paraId="375A77DB" w14:textId="532D9468" w:rsidR="00D47ACD" w:rsidRPr="0003680F" w:rsidRDefault="002E7E8C" w:rsidP="0036080A">
      <w:pPr>
        <w:pStyle w:val="Bullet1"/>
        <w:numPr>
          <w:ilvl w:val="0"/>
          <w:numId w:val="40"/>
        </w:numPr>
      </w:pPr>
      <w:r w:rsidRPr="0003680F">
        <w:t>Acute toxicity to marine fauna through ingestion of contaminated water</w:t>
      </w:r>
      <w:r w:rsidR="00141C35" w:rsidRPr="0003680F">
        <w:t xml:space="preserve"> (in</w:t>
      </w:r>
      <w:r w:rsidR="0003680F">
        <w:t xml:space="preserve"> </w:t>
      </w:r>
      <w:r w:rsidR="00141C35" w:rsidRPr="0003680F">
        <w:t xml:space="preserve">the event of malfunction </w:t>
      </w:r>
      <w:r w:rsidR="009220F8" w:rsidRPr="0003680F">
        <w:t>of the OWS)</w:t>
      </w:r>
      <w:r w:rsidRPr="0003680F">
        <w:t>.</w:t>
      </w:r>
    </w:p>
    <w:p w14:paraId="38A0CF7D" w14:textId="77777777" w:rsidR="001F77CA" w:rsidRPr="00DE5215" w:rsidRDefault="001F77CA" w:rsidP="00DE5215">
      <w:pPr>
        <w:pStyle w:val="BodyText"/>
        <w:ind w:left="700"/>
        <w:rPr>
          <w:b/>
          <w:u w:val="single"/>
        </w:rPr>
      </w:pPr>
      <w:r w:rsidRPr="00DE5215">
        <w:rPr>
          <w:b/>
          <w:u w:val="single"/>
        </w:rPr>
        <w:t>EMBA</w:t>
      </w:r>
    </w:p>
    <w:p w14:paraId="0C44C45B" w14:textId="6FA86B23" w:rsidR="001F77CA" w:rsidRPr="0003680F" w:rsidRDefault="00C77B39" w:rsidP="00DE5215">
      <w:pPr>
        <w:pStyle w:val="BodyText"/>
        <w:ind w:left="700"/>
        <w:rPr>
          <w:szCs w:val="20"/>
          <w:lang w:eastAsia="en-US"/>
        </w:rPr>
      </w:pPr>
      <w:r w:rsidRPr="00D223B6">
        <w:rPr>
          <w:szCs w:val="20"/>
          <w:lang w:eastAsia="en-US"/>
        </w:rPr>
        <w:t xml:space="preserve">The EMBA for </w:t>
      </w:r>
      <w:r>
        <w:rPr>
          <w:szCs w:val="20"/>
          <w:lang w:eastAsia="en-US"/>
        </w:rPr>
        <w:t>treated bilge</w:t>
      </w:r>
      <w:r w:rsidRPr="00D223B6">
        <w:rPr>
          <w:szCs w:val="20"/>
          <w:lang w:eastAsia="en-US"/>
        </w:rPr>
        <w:t xml:space="preserve"> discharges associated with vessel activities</w:t>
      </w:r>
      <w:r>
        <w:rPr>
          <w:szCs w:val="20"/>
          <w:lang w:eastAsia="en-US"/>
        </w:rPr>
        <w:t>, given the small intermittent volumes released and the dynamic marine environment is expected to be localised</w:t>
      </w:r>
      <w:r w:rsidRPr="00D223B6">
        <w:rPr>
          <w:szCs w:val="20"/>
          <w:lang w:eastAsia="en-US"/>
        </w:rPr>
        <w:t xml:space="preserve"> </w:t>
      </w:r>
      <w:r>
        <w:rPr>
          <w:szCs w:val="20"/>
          <w:lang w:eastAsia="en-US"/>
        </w:rPr>
        <w:t>around</w:t>
      </w:r>
      <w:r w:rsidRPr="00D223B6">
        <w:rPr>
          <w:szCs w:val="20"/>
          <w:lang w:eastAsia="en-US"/>
        </w:rPr>
        <w:t xml:space="preserve"> the </w:t>
      </w:r>
      <w:r>
        <w:rPr>
          <w:szCs w:val="20"/>
          <w:lang w:eastAsia="en-US"/>
        </w:rPr>
        <w:t>release</w:t>
      </w:r>
      <w:r w:rsidRPr="00D223B6">
        <w:rPr>
          <w:szCs w:val="20"/>
          <w:lang w:eastAsia="en-US"/>
        </w:rPr>
        <w:t xml:space="preserve"> point</w:t>
      </w:r>
      <w:r w:rsidR="001F77CA" w:rsidRPr="0003680F">
        <w:rPr>
          <w:szCs w:val="20"/>
          <w:lang w:eastAsia="en-US"/>
        </w:rPr>
        <w:t xml:space="preserve">. </w:t>
      </w:r>
    </w:p>
    <w:p w14:paraId="5283FBB1" w14:textId="77777777" w:rsidR="001F77CA" w:rsidRPr="00DE5215" w:rsidRDefault="001F77CA" w:rsidP="00DE5215">
      <w:pPr>
        <w:pStyle w:val="BodyText"/>
        <w:ind w:left="709"/>
        <w:rPr>
          <w:b/>
          <w:u w:val="single"/>
        </w:rPr>
      </w:pPr>
      <w:r w:rsidRPr="00DE5215">
        <w:rPr>
          <w:b/>
          <w:u w:val="single"/>
        </w:rPr>
        <w:t>Receptors within the EMBA</w:t>
      </w:r>
    </w:p>
    <w:p w14:paraId="2C5BA578" w14:textId="77777777" w:rsidR="001F77CA" w:rsidRPr="0003680F" w:rsidRDefault="001F77CA" w:rsidP="00DE5215">
      <w:pPr>
        <w:pStyle w:val="BodyText"/>
        <w:ind w:left="709"/>
        <w:rPr>
          <w:szCs w:val="20"/>
          <w:lang w:eastAsia="en-US"/>
        </w:rPr>
      </w:pPr>
      <w:r w:rsidRPr="0003680F">
        <w:rPr>
          <w:szCs w:val="20"/>
          <w:lang w:eastAsia="en-US"/>
        </w:rPr>
        <w:t xml:space="preserve">Receptors that may occur within this EMBA, either as residents or migrants, are: </w:t>
      </w:r>
    </w:p>
    <w:p w14:paraId="52E7C336" w14:textId="7A719766" w:rsidR="001F77CA" w:rsidRPr="0003680F" w:rsidRDefault="001F77CA" w:rsidP="0036080A">
      <w:pPr>
        <w:pStyle w:val="Bullet1"/>
        <w:numPr>
          <w:ilvl w:val="0"/>
          <w:numId w:val="40"/>
        </w:numPr>
      </w:pPr>
      <w:r w:rsidRPr="0003680F">
        <w:t xml:space="preserve">Plankton; </w:t>
      </w:r>
      <w:r w:rsidR="00A47C89" w:rsidRPr="0003680F">
        <w:t>and</w:t>
      </w:r>
    </w:p>
    <w:p w14:paraId="2038C78F" w14:textId="27B44EFC" w:rsidR="001F77CA" w:rsidRPr="0003680F" w:rsidRDefault="001F77CA" w:rsidP="0036080A">
      <w:pPr>
        <w:pStyle w:val="Bullet1"/>
        <w:numPr>
          <w:ilvl w:val="0"/>
          <w:numId w:val="40"/>
        </w:numPr>
      </w:pPr>
      <w:r w:rsidRPr="0003680F">
        <w:t>Pelagic fish</w:t>
      </w:r>
      <w:r w:rsidR="00A47C89" w:rsidRPr="0003680F">
        <w:t>.</w:t>
      </w:r>
    </w:p>
    <w:p w14:paraId="3B665B0D" w14:textId="77777777" w:rsidR="001F77CA" w:rsidRDefault="001F77CA" w:rsidP="00914C00">
      <w:pPr>
        <w:pStyle w:val="Heading3"/>
      </w:pPr>
      <w:r>
        <w:t>Evaluation of Environmental Impacts</w:t>
      </w:r>
    </w:p>
    <w:p w14:paraId="02C15D97" w14:textId="0B931D15" w:rsidR="00A47C89" w:rsidRPr="0003680F" w:rsidRDefault="00A47C89" w:rsidP="00DE5215">
      <w:pPr>
        <w:pStyle w:val="BodyText"/>
        <w:ind w:left="720"/>
        <w:rPr>
          <w:szCs w:val="20"/>
          <w:u w:val="single"/>
          <w:lang w:eastAsia="en-US"/>
        </w:rPr>
      </w:pPr>
      <w:r w:rsidRPr="0003680F">
        <w:rPr>
          <w:szCs w:val="20"/>
          <w:u w:val="single"/>
          <w:lang w:eastAsia="en-US"/>
        </w:rPr>
        <w:t>Temporary and localised reduction of surface water quality</w:t>
      </w:r>
    </w:p>
    <w:p w14:paraId="4F301025" w14:textId="341F3112" w:rsidR="00A47C89" w:rsidRPr="0003680F" w:rsidRDefault="00160FF0" w:rsidP="00DE5215">
      <w:pPr>
        <w:pStyle w:val="BodyText"/>
        <w:ind w:left="720"/>
        <w:rPr>
          <w:szCs w:val="20"/>
          <w:lang w:eastAsia="en-US"/>
        </w:rPr>
      </w:pPr>
      <w:r w:rsidRPr="0003680F">
        <w:rPr>
          <w:szCs w:val="20"/>
          <w:lang w:eastAsia="en-US"/>
        </w:rPr>
        <w:lastRenderedPageBreak/>
        <w:t>Small volumes and l</w:t>
      </w:r>
      <w:r w:rsidR="00532269" w:rsidRPr="0003680F">
        <w:rPr>
          <w:szCs w:val="20"/>
          <w:lang w:eastAsia="en-US"/>
        </w:rPr>
        <w:t xml:space="preserve">ow concentrations of oily water </w:t>
      </w:r>
      <w:r w:rsidR="00F470C5" w:rsidRPr="0003680F">
        <w:rPr>
          <w:szCs w:val="20"/>
          <w:lang w:eastAsia="en-US"/>
        </w:rPr>
        <w:t xml:space="preserve">(&lt;15 ppm) </w:t>
      </w:r>
      <w:r w:rsidR="00532269" w:rsidRPr="0003680F">
        <w:rPr>
          <w:szCs w:val="20"/>
          <w:lang w:eastAsia="en-US"/>
        </w:rPr>
        <w:t xml:space="preserve">from </w:t>
      </w:r>
      <w:r w:rsidR="00A47C89" w:rsidRPr="0003680F">
        <w:rPr>
          <w:szCs w:val="20"/>
          <w:lang w:eastAsia="en-US"/>
        </w:rPr>
        <w:t xml:space="preserve">bilge discharges </w:t>
      </w:r>
      <w:r w:rsidR="00686163" w:rsidRPr="0003680F">
        <w:rPr>
          <w:szCs w:val="20"/>
          <w:lang w:eastAsia="en-US"/>
        </w:rPr>
        <w:t>may</w:t>
      </w:r>
      <w:r w:rsidR="00A47C89" w:rsidRPr="0003680F">
        <w:rPr>
          <w:szCs w:val="20"/>
          <w:lang w:eastAsia="en-US"/>
        </w:rPr>
        <w:t xml:space="preserve"> temporarily reduce water quality. </w:t>
      </w:r>
      <w:r w:rsidR="00F470C5" w:rsidRPr="0003680F">
        <w:rPr>
          <w:szCs w:val="20"/>
          <w:lang w:eastAsia="en-US"/>
        </w:rPr>
        <w:t>The</w:t>
      </w:r>
      <w:r w:rsidR="00A47C89" w:rsidRPr="0003680F">
        <w:rPr>
          <w:szCs w:val="20"/>
          <w:lang w:eastAsia="en-US"/>
        </w:rPr>
        <w:t xml:space="preserve"> bilge water</w:t>
      </w:r>
      <w:r w:rsidR="00F470C5" w:rsidRPr="0003680F">
        <w:rPr>
          <w:szCs w:val="20"/>
          <w:lang w:eastAsia="en-US"/>
        </w:rPr>
        <w:t xml:space="preserve"> will</w:t>
      </w:r>
      <w:r w:rsidR="00A47C89" w:rsidRPr="0003680F">
        <w:rPr>
          <w:szCs w:val="20"/>
          <w:lang w:eastAsia="en-US"/>
        </w:rPr>
        <w:t xml:space="preserve"> be rapidly diluted, dis</w:t>
      </w:r>
      <w:r w:rsidR="00F470C5" w:rsidRPr="0003680F">
        <w:rPr>
          <w:szCs w:val="20"/>
          <w:lang w:eastAsia="en-US"/>
        </w:rPr>
        <w:t>pe</w:t>
      </w:r>
      <w:r w:rsidR="00A47C89" w:rsidRPr="0003680F">
        <w:rPr>
          <w:szCs w:val="20"/>
          <w:lang w:eastAsia="en-US"/>
        </w:rPr>
        <w:t xml:space="preserve">rsed and </w:t>
      </w:r>
      <w:r w:rsidR="00F470C5" w:rsidRPr="0003680F">
        <w:rPr>
          <w:szCs w:val="20"/>
          <w:lang w:eastAsia="en-US"/>
        </w:rPr>
        <w:t>bio</w:t>
      </w:r>
      <w:r w:rsidR="00A47C89" w:rsidRPr="0003680F">
        <w:rPr>
          <w:szCs w:val="20"/>
          <w:lang w:eastAsia="en-US"/>
        </w:rPr>
        <w:t xml:space="preserve">degraded to undetectable levels. </w:t>
      </w:r>
    </w:p>
    <w:p w14:paraId="01E82E52" w14:textId="77777777" w:rsidR="00A47C89" w:rsidRPr="0003680F" w:rsidRDefault="00A47C89" w:rsidP="00DE5215">
      <w:pPr>
        <w:pStyle w:val="BodyText"/>
        <w:ind w:left="720"/>
        <w:rPr>
          <w:szCs w:val="20"/>
          <w:u w:val="single"/>
          <w:lang w:eastAsia="en-US"/>
        </w:rPr>
      </w:pPr>
      <w:r w:rsidRPr="0003680F">
        <w:rPr>
          <w:szCs w:val="20"/>
          <w:u w:val="single"/>
          <w:lang w:eastAsia="en-US"/>
        </w:rPr>
        <w:t>Acute toxicity to marine fauna</w:t>
      </w:r>
    </w:p>
    <w:p w14:paraId="43459FDC" w14:textId="0622BEEF" w:rsidR="00A47C89" w:rsidRPr="0003680F" w:rsidRDefault="00160FF0" w:rsidP="00DE5215">
      <w:pPr>
        <w:pStyle w:val="BodyText"/>
        <w:ind w:left="720"/>
        <w:rPr>
          <w:szCs w:val="20"/>
          <w:lang w:eastAsia="en-US"/>
        </w:rPr>
      </w:pPr>
      <w:r w:rsidRPr="0003680F">
        <w:rPr>
          <w:szCs w:val="20"/>
          <w:lang w:eastAsia="en-US"/>
        </w:rPr>
        <w:t>Small volumes and low concentrations of oily water from bilge discharges may temporarily reduce water quality are</w:t>
      </w:r>
      <w:r w:rsidR="00A47C89" w:rsidRPr="0003680F">
        <w:rPr>
          <w:szCs w:val="20"/>
          <w:lang w:eastAsia="en-US"/>
        </w:rPr>
        <w:t xml:space="preserve"> not expected </w:t>
      </w:r>
      <w:r w:rsidRPr="0003680F">
        <w:rPr>
          <w:szCs w:val="20"/>
          <w:lang w:eastAsia="en-US"/>
        </w:rPr>
        <w:t>to</w:t>
      </w:r>
      <w:r w:rsidR="00A47C89" w:rsidRPr="0003680F">
        <w:rPr>
          <w:szCs w:val="20"/>
          <w:lang w:eastAsia="en-US"/>
        </w:rPr>
        <w:t xml:space="preserve"> induce acute or chronic toxicity impacts to marine fauna or plankton through ingestion or absorption through the skin.</w:t>
      </w:r>
      <w:r w:rsidR="00974BE1" w:rsidRPr="0003680F">
        <w:rPr>
          <w:szCs w:val="20"/>
          <w:lang w:eastAsia="en-US"/>
        </w:rPr>
        <w:t xml:space="preserve"> </w:t>
      </w:r>
    </w:p>
    <w:p w14:paraId="74DE5271" w14:textId="77777777" w:rsidR="001F77CA" w:rsidRPr="00DE5215" w:rsidRDefault="001F77CA" w:rsidP="00DE5215">
      <w:pPr>
        <w:pStyle w:val="BodyText"/>
        <w:ind w:left="720"/>
        <w:rPr>
          <w:b/>
          <w:u w:val="single"/>
        </w:rPr>
      </w:pPr>
      <w:r w:rsidRPr="00DE5215">
        <w:rPr>
          <w:b/>
          <w:u w:val="single"/>
        </w:rPr>
        <w:t>Impacts to Matters of NES</w:t>
      </w:r>
    </w:p>
    <w:p w14:paraId="2C99424A" w14:textId="63F24584" w:rsidR="001F77CA" w:rsidRDefault="001F77CA" w:rsidP="00911005">
      <w:pPr>
        <w:pStyle w:val="BodyText"/>
        <w:spacing w:after="240"/>
        <w:ind w:left="720"/>
        <w:rPr>
          <w:lang w:eastAsia="en-US"/>
        </w:rPr>
      </w:pPr>
      <w:r w:rsidRPr="0003680F">
        <w:rPr>
          <w:szCs w:val="20"/>
          <w:lang w:eastAsia="en-US"/>
        </w:rPr>
        <w:t xml:space="preserve">The discharge of </w:t>
      </w:r>
      <w:r w:rsidR="006D3076" w:rsidRPr="0003680F">
        <w:rPr>
          <w:szCs w:val="20"/>
          <w:lang w:eastAsia="en-US"/>
        </w:rPr>
        <w:t xml:space="preserve">bilge water </w:t>
      </w:r>
      <w:r w:rsidRPr="0003680F">
        <w:rPr>
          <w:szCs w:val="20"/>
          <w:lang w:eastAsia="en-US"/>
        </w:rPr>
        <w:t>will not have a ‘significant’ impact to any of the matters of NES applicable to this project</w:t>
      </w:r>
    </w:p>
    <w:p w14:paraId="0E90E016" w14:textId="77777777" w:rsidR="001F77CA" w:rsidRPr="00DE5215" w:rsidRDefault="001F77CA" w:rsidP="00DE5215">
      <w:pPr>
        <w:pStyle w:val="BodyText"/>
        <w:ind w:left="709"/>
        <w:rPr>
          <w:b/>
          <w:u w:val="single"/>
        </w:rPr>
      </w:pPr>
      <w:r w:rsidRPr="00DE5215">
        <w:rPr>
          <w:b/>
          <w:u w:val="single"/>
        </w:rPr>
        <w:t>Impacts to other areas of Conservation Significance</w:t>
      </w:r>
    </w:p>
    <w:p w14:paraId="3C27441C" w14:textId="32DF7083" w:rsidR="001F77CA" w:rsidRPr="00BE0DE6" w:rsidRDefault="001F77CA" w:rsidP="00911005">
      <w:pPr>
        <w:pStyle w:val="BodyText"/>
        <w:spacing w:after="240"/>
        <w:ind w:left="709"/>
        <w:rPr>
          <w:lang w:eastAsia="en-US"/>
        </w:rPr>
      </w:pPr>
      <w:r w:rsidRPr="0003680F">
        <w:rPr>
          <w:szCs w:val="20"/>
          <w:lang w:eastAsia="en-US"/>
        </w:rPr>
        <w:t xml:space="preserve">There are no other areas of conservation significance within the EMBA by </w:t>
      </w:r>
      <w:r w:rsidR="006D3076" w:rsidRPr="0003680F">
        <w:rPr>
          <w:szCs w:val="20"/>
          <w:lang w:eastAsia="en-US"/>
        </w:rPr>
        <w:t>bilge water discharges</w:t>
      </w:r>
      <w:r w:rsidRPr="0003680F">
        <w:rPr>
          <w:szCs w:val="20"/>
          <w:lang w:eastAsia="en-US"/>
        </w:rPr>
        <w:t>. This discharge will not have any impacts to other areas of conservation significance</w:t>
      </w:r>
      <w:r w:rsidR="00911005">
        <w:rPr>
          <w:szCs w:val="20"/>
          <w:lang w:eastAsia="en-US"/>
        </w:rPr>
        <w:t>.</w:t>
      </w:r>
    </w:p>
    <w:p w14:paraId="496CB5BF" w14:textId="77777777" w:rsidR="001F77CA" w:rsidRDefault="001F77CA" w:rsidP="00914C00">
      <w:pPr>
        <w:pStyle w:val="Heading3"/>
      </w:pPr>
      <w:r>
        <w:t>Impact Assessment</w:t>
      </w:r>
    </w:p>
    <w:p w14:paraId="09082BCA" w14:textId="0E4FE441" w:rsidR="001F77CA" w:rsidRPr="0003680F" w:rsidRDefault="0003680F" w:rsidP="00DE5215">
      <w:pPr>
        <w:pStyle w:val="BodyText"/>
        <w:ind w:left="709"/>
        <w:rPr>
          <w:lang w:eastAsia="en-US"/>
        </w:rPr>
      </w:pPr>
      <w:r w:rsidRPr="0003680F">
        <w:rPr>
          <w:color w:val="FF0000"/>
          <w:lang w:eastAsia="en-US"/>
        </w:rPr>
        <w:fldChar w:fldCharType="begin"/>
      </w:r>
      <w:r w:rsidRPr="0003680F">
        <w:rPr>
          <w:color w:val="FF0000"/>
          <w:lang w:eastAsia="en-US"/>
        </w:rPr>
        <w:instrText xml:space="preserve"> REF _Ref473384808 \h </w:instrText>
      </w:r>
      <w:r>
        <w:rPr>
          <w:color w:val="FF0000"/>
          <w:lang w:eastAsia="en-US"/>
        </w:rPr>
        <w:instrText xml:space="preserve"> \* MERGEFORMAT </w:instrText>
      </w:r>
      <w:r w:rsidRPr="0003680F">
        <w:rPr>
          <w:color w:val="FF0000"/>
          <w:lang w:eastAsia="en-US"/>
        </w:rPr>
      </w:r>
      <w:r w:rsidRPr="0003680F">
        <w:rPr>
          <w:color w:val="FF0000"/>
          <w:lang w:eastAsia="en-US"/>
        </w:rPr>
        <w:fldChar w:fldCharType="separate"/>
      </w:r>
      <w:r w:rsidR="00CC4C35" w:rsidRPr="00CC4C35">
        <w:t xml:space="preserve">Table </w:t>
      </w:r>
      <w:r w:rsidR="00CC4C35" w:rsidRPr="00CC4C35">
        <w:rPr>
          <w:noProof/>
        </w:rPr>
        <w:t>5</w:t>
      </w:r>
      <w:r w:rsidR="00CC4C35" w:rsidRPr="00CC4C35">
        <w:rPr>
          <w:noProof/>
        </w:rPr>
        <w:noBreakHyphen/>
        <w:t>10</w:t>
      </w:r>
      <w:r w:rsidRPr="0003680F">
        <w:rPr>
          <w:color w:val="FF0000"/>
          <w:lang w:eastAsia="en-US"/>
        </w:rPr>
        <w:fldChar w:fldCharType="end"/>
      </w:r>
      <w:r w:rsidRPr="0003680F">
        <w:rPr>
          <w:color w:val="FF0000"/>
          <w:lang w:eastAsia="en-US"/>
        </w:rPr>
        <w:t xml:space="preserve"> </w:t>
      </w:r>
      <w:r w:rsidR="001F77CA" w:rsidRPr="0003680F">
        <w:rPr>
          <w:lang w:eastAsia="en-US"/>
        </w:rPr>
        <w:t xml:space="preserve">presents the risk assessment for </w:t>
      </w:r>
      <w:r w:rsidR="006D3076" w:rsidRPr="0003680F">
        <w:rPr>
          <w:lang w:eastAsia="en-US"/>
        </w:rPr>
        <w:t xml:space="preserve">bilge water </w:t>
      </w:r>
      <w:r w:rsidR="001F77CA" w:rsidRPr="0003680F">
        <w:rPr>
          <w:lang w:eastAsia="en-US"/>
        </w:rPr>
        <w:t>discharges.</w:t>
      </w:r>
    </w:p>
    <w:p w14:paraId="1AAA7CF3" w14:textId="38C92959" w:rsidR="0058247E" w:rsidRPr="00ED5388" w:rsidRDefault="0003680F" w:rsidP="00B86A7D">
      <w:pPr>
        <w:pStyle w:val="Caption"/>
        <w:outlineLvl w:val="9"/>
        <w:rPr>
          <w:sz w:val="20"/>
          <w:szCs w:val="20"/>
        </w:rPr>
      </w:pPr>
      <w:bookmarkStart w:id="216" w:name="_Ref473384808"/>
      <w:bookmarkStart w:id="217" w:name="_Toc511032601"/>
      <w:r w:rsidRPr="0003680F">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10</w:t>
      </w:r>
      <w:r w:rsidR="00103328">
        <w:rPr>
          <w:sz w:val="20"/>
          <w:szCs w:val="20"/>
        </w:rPr>
        <w:fldChar w:fldCharType="end"/>
      </w:r>
      <w:bookmarkEnd w:id="216"/>
      <w:r w:rsidRPr="0003680F">
        <w:rPr>
          <w:sz w:val="20"/>
          <w:szCs w:val="20"/>
        </w:rPr>
        <w:t>: EIA for treated bilge water discharge</w:t>
      </w:r>
      <w:bookmarkEnd w:id="217"/>
    </w:p>
    <w:tbl>
      <w:tblPr>
        <w:tblW w:w="9072" w:type="dxa"/>
        <w:tblInd w:w="1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694"/>
        <w:gridCol w:w="6378"/>
      </w:tblGrid>
      <w:tr w:rsidR="00641A36" w:rsidRPr="0003680F" w14:paraId="2520D8CC" w14:textId="77777777" w:rsidTr="0058247E">
        <w:trPr>
          <w:cantSplit/>
        </w:trPr>
        <w:tc>
          <w:tcPr>
            <w:tcW w:w="2694" w:type="dxa"/>
            <w:shd w:val="clear" w:color="auto" w:fill="BFBFBF" w:themeFill="background1" w:themeFillShade="BF"/>
          </w:tcPr>
          <w:p w14:paraId="7FC019F5" w14:textId="7829BE1B" w:rsidR="00641A36" w:rsidRPr="0003680F" w:rsidRDefault="00641A36" w:rsidP="00E439A6">
            <w:pPr>
              <w:pStyle w:val="Tabletext"/>
              <w:spacing w:line="240" w:lineRule="auto"/>
              <w:rPr>
                <w:rFonts w:ascii="Arial" w:hAnsi="Arial" w:cs="Arial"/>
                <w:b/>
                <w:sz w:val="16"/>
                <w:szCs w:val="16"/>
              </w:rPr>
            </w:pPr>
            <w:r>
              <w:rPr>
                <w:rFonts w:ascii="Arial" w:hAnsi="Arial" w:cs="Arial"/>
                <w:b/>
                <w:sz w:val="16"/>
                <w:szCs w:val="16"/>
              </w:rPr>
              <w:t>Aspect;</w:t>
            </w:r>
          </w:p>
        </w:tc>
        <w:tc>
          <w:tcPr>
            <w:tcW w:w="6378" w:type="dxa"/>
          </w:tcPr>
          <w:p w14:paraId="07B0CFCE" w14:textId="746F1442" w:rsidR="00641A36" w:rsidRPr="0003680F" w:rsidRDefault="00641A36" w:rsidP="00E439A6">
            <w:pPr>
              <w:pStyle w:val="Tabletext"/>
              <w:spacing w:line="240" w:lineRule="auto"/>
              <w:jc w:val="left"/>
              <w:rPr>
                <w:rFonts w:ascii="Arial" w:hAnsi="Arial" w:cs="Arial"/>
                <w:sz w:val="16"/>
                <w:szCs w:val="16"/>
              </w:rPr>
            </w:pPr>
            <w:r>
              <w:rPr>
                <w:rFonts w:ascii="Arial" w:hAnsi="Arial" w:cs="Arial"/>
                <w:sz w:val="16"/>
                <w:szCs w:val="16"/>
              </w:rPr>
              <w:t>Treated Bilge Water Discharge (Vessel)</w:t>
            </w:r>
          </w:p>
        </w:tc>
      </w:tr>
      <w:tr w:rsidR="0058247E" w:rsidRPr="0003680F" w14:paraId="2CB34C88" w14:textId="77777777" w:rsidTr="0058247E">
        <w:trPr>
          <w:cantSplit/>
        </w:trPr>
        <w:tc>
          <w:tcPr>
            <w:tcW w:w="2694" w:type="dxa"/>
            <w:shd w:val="clear" w:color="auto" w:fill="BFBFBF" w:themeFill="background1" w:themeFillShade="BF"/>
          </w:tcPr>
          <w:p w14:paraId="19883CDD" w14:textId="77777777" w:rsidR="0058247E" w:rsidRPr="0003680F" w:rsidRDefault="0058247E" w:rsidP="00E439A6">
            <w:pPr>
              <w:pStyle w:val="Tabletext"/>
              <w:spacing w:line="240" w:lineRule="auto"/>
              <w:rPr>
                <w:rFonts w:ascii="Arial" w:hAnsi="Arial" w:cs="Arial"/>
                <w:b/>
                <w:sz w:val="16"/>
                <w:szCs w:val="16"/>
              </w:rPr>
            </w:pPr>
            <w:r w:rsidRPr="0003680F">
              <w:rPr>
                <w:rFonts w:ascii="Arial" w:hAnsi="Arial" w:cs="Arial"/>
                <w:b/>
                <w:sz w:val="16"/>
                <w:szCs w:val="16"/>
              </w:rPr>
              <w:t xml:space="preserve">Impact summary </w:t>
            </w:r>
          </w:p>
        </w:tc>
        <w:tc>
          <w:tcPr>
            <w:tcW w:w="6378" w:type="dxa"/>
          </w:tcPr>
          <w:p w14:paraId="5D73CAAF" w14:textId="77777777" w:rsidR="0058247E" w:rsidRPr="0003680F" w:rsidRDefault="00F04010" w:rsidP="00E439A6">
            <w:pPr>
              <w:pStyle w:val="Tabletext"/>
              <w:spacing w:line="240" w:lineRule="auto"/>
              <w:jc w:val="left"/>
              <w:rPr>
                <w:rFonts w:ascii="Arial" w:hAnsi="Arial" w:cs="Arial"/>
                <w:sz w:val="16"/>
                <w:szCs w:val="16"/>
              </w:rPr>
            </w:pPr>
            <w:r w:rsidRPr="0003680F">
              <w:rPr>
                <w:rFonts w:ascii="Arial" w:hAnsi="Arial" w:cs="Arial"/>
                <w:sz w:val="16"/>
                <w:szCs w:val="16"/>
              </w:rPr>
              <w:t>Pollution of surface waters</w:t>
            </w:r>
            <w:r w:rsidR="0058247E" w:rsidRPr="0003680F">
              <w:rPr>
                <w:rFonts w:ascii="Arial" w:hAnsi="Arial" w:cs="Arial"/>
                <w:sz w:val="16"/>
                <w:szCs w:val="16"/>
              </w:rPr>
              <w:t xml:space="preserve">.  </w:t>
            </w:r>
          </w:p>
          <w:p w14:paraId="1A93A1CF" w14:textId="3E3388AC" w:rsidR="00F04010" w:rsidRPr="0003680F" w:rsidRDefault="00F04010" w:rsidP="00E439A6">
            <w:pPr>
              <w:pStyle w:val="Tabletext"/>
              <w:spacing w:line="240" w:lineRule="auto"/>
              <w:jc w:val="left"/>
              <w:rPr>
                <w:rFonts w:ascii="Arial" w:hAnsi="Arial" w:cs="Arial"/>
                <w:sz w:val="16"/>
                <w:szCs w:val="16"/>
              </w:rPr>
            </w:pPr>
            <w:r w:rsidRPr="0003680F">
              <w:rPr>
                <w:rFonts w:ascii="Arial" w:hAnsi="Arial" w:cs="Arial"/>
                <w:sz w:val="16"/>
                <w:szCs w:val="16"/>
              </w:rPr>
              <w:t>Acute toxicity to marine fauna exposed to pollution.</w:t>
            </w:r>
          </w:p>
        </w:tc>
      </w:tr>
      <w:tr w:rsidR="0058247E" w:rsidRPr="0003680F" w14:paraId="7F1EFDF8" w14:textId="77777777" w:rsidTr="0058247E">
        <w:trPr>
          <w:cantSplit/>
        </w:trPr>
        <w:tc>
          <w:tcPr>
            <w:tcW w:w="2694" w:type="dxa"/>
            <w:shd w:val="clear" w:color="auto" w:fill="BFBFBF" w:themeFill="background1" w:themeFillShade="BF"/>
          </w:tcPr>
          <w:p w14:paraId="758BB812" w14:textId="77777777" w:rsidR="0058247E" w:rsidRPr="0003680F" w:rsidRDefault="0058247E" w:rsidP="00E439A6">
            <w:pPr>
              <w:pStyle w:val="Tabletext"/>
              <w:spacing w:line="240" w:lineRule="auto"/>
              <w:jc w:val="left"/>
              <w:rPr>
                <w:rFonts w:ascii="Arial" w:hAnsi="Arial" w:cs="Arial"/>
                <w:b/>
                <w:sz w:val="16"/>
                <w:szCs w:val="16"/>
              </w:rPr>
            </w:pPr>
            <w:r w:rsidRPr="0003680F">
              <w:rPr>
                <w:rFonts w:ascii="Arial" w:hAnsi="Arial" w:cs="Arial"/>
                <w:b/>
                <w:sz w:val="16"/>
                <w:szCs w:val="16"/>
              </w:rPr>
              <w:t xml:space="preserve">Extent of impact </w:t>
            </w:r>
          </w:p>
        </w:tc>
        <w:tc>
          <w:tcPr>
            <w:tcW w:w="6378" w:type="dxa"/>
          </w:tcPr>
          <w:p w14:paraId="0C21935D" w14:textId="5CC495FF" w:rsidR="0058247E" w:rsidRPr="0003680F" w:rsidRDefault="0058247E" w:rsidP="00E439A6">
            <w:pPr>
              <w:pStyle w:val="Tabletext"/>
              <w:spacing w:line="240" w:lineRule="auto"/>
              <w:jc w:val="left"/>
              <w:rPr>
                <w:rFonts w:ascii="Arial" w:hAnsi="Arial" w:cs="Arial"/>
                <w:sz w:val="16"/>
                <w:szCs w:val="16"/>
              </w:rPr>
            </w:pPr>
            <w:r w:rsidRPr="0003680F">
              <w:rPr>
                <w:rFonts w:ascii="Arial" w:hAnsi="Arial" w:cs="Arial"/>
                <w:sz w:val="16"/>
                <w:szCs w:val="16"/>
              </w:rPr>
              <w:t xml:space="preserve">Localised (about </w:t>
            </w:r>
            <w:r w:rsidR="00E8747E" w:rsidRPr="0003680F">
              <w:rPr>
                <w:rFonts w:ascii="Arial" w:hAnsi="Arial" w:cs="Arial"/>
                <w:sz w:val="16"/>
                <w:szCs w:val="16"/>
              </w:rPr>
              <w:t>discharge point</w:t>
            </w:r>
            <w:r w:rsidRPr="0003680F">
              <w:rPr>
                <w:rFonts w:ascii="Arial" w:hAnsi="Arial" w:cs="Arial"/>
                <w:sz w:val="16"/>
                <w:szCs w:val="16"/>
              </w:rPr>
              <w:t xml:space="preserve">). </w:t>
            </w:r>
          </w:p>
        </w:tc>
      </w:tr>
      <w:tr w:rsidR="0058247E" w:rsidRPr="0003680F" w14:paraId="0E282566" w14:textId="77777777" w:rsidTr="0058247E">
        <w:trPr>
          <w:cantSplit/>
        </w:trPr>
        <w:tc>
          <w:tcPr>
            <w:tcW w:w="2694" w:type="dxa"/>
            <w:shd w:val="clear" w:color="auto" w:fill="BFBFBF" w:themeFill="background1" w:themeFillShade="BF"/>
          </w:tcPr>
          <w:p w14:paraId="63021338" w14:textId="77777777" w:rsidR="0058247E" w:rsidRPr="0003680F" w:rsidRDefault="0058247E" w:rsidP="00E439A6">
            <w:pPr>
              <w:pStyle w:val="Tabletext"/>
              <w:spacing w:line="240" w:lineRule="auto"/>
              <w:jc w:val="left"/>
              <w:rPr>
                <w:rFonts w:ascii="Arial" w:hAnsi="Arial" w:cs="Arial"/>
                <w:b/>
                <w:sz w:val="16"/>
                <w:szCs w:val="16"/>
              </w:rPr>
            </w:pPr>
            <w:r w:rsidRPr="0003680F">
              <w:rPr>
                <w:rFonts w:ascii="Arial" w:hAnsi="Arial" w:cs="Arial"/>
                <w:b/>
                <w:sz w:val="16"/>
                <w:szCs w:val="16"/>
              </w:rPr>
              <w:t xml:space="preserve">Duration of impact </w:t>
            </w:r>
          </w:p>
        </w:tc>
        <w:tc>
          <w:tcPr>
            <w:tcW w:w="6378" w:type="dxa"/>
          </w:tcPr>
          <w:p w14:paraId="61A83C8F" w14:textId="77777777" w:rsidR="0058247E" w:rsidRPr="0003680F" w:rsidRDefault="0058247E" w:rsidP="00E439A6">
            <w:pPr>
              <w:pStyle w:val="Tabletext"/>
              <w:spacing w:line="240" w:lineRule="auto"/>
              <w:jc w:val="left"/>
              <w:rPr>
                <w:rFonts w:ascii="Arial" w:hAnsi="Arial" w:cs="Arial"/>
                <w:sz w:val="16"/>
                <w:szCs w:val="16"/>
              </w:rPr>
            </w:pPr>
            <w:r w:rsidRPr="0003680F">
              <w:rPr>
                <w:rFonts w:ascii="Arial" w:hAnsi="Arial" w:cs="Arial"/>
                <w:sz w:val="16"/>
                <w:szCs w:val="16"/>
              </w:rPr>
              <w:t>Temporary (rapid dispersion and dilution – minutes to hours).</w:t>
            </w:r>
          </w:p>
        </w:tc>
      </w:tr>
      <w:tr w:rsidR="0058247E" w:rsidRPr="0003680F" w14:paraId="3AF70E32" w14:textId="77777777" w:rsidTr="0058247E">
        <w:trPr>
          <w:cantSplit/>
        </w:trPr>
        <w:tc>
          <w:tcPr>
            <w:tcW w:w="2694" w:type="dxa"/>
            <w:shd w:val="clear" w:color="auto" w:fill="BFBFBF" w:themeFill="background1" w:themeFillShade="BF"/>
          </w:tcPr>
          <w:p w14:paraId="352F7FAA" w14:textId="77777777" w:rsidR="0058247E" w:rsidRPr="0003680F" w:rsidRDefault="0058247E" w:rsidP="00E439A6">
            <w:pPr>
              <w:pStyle w:val="Tabletext"/>
              <w:spacing w:line="240" w:lineRule="auto"/>
              <w:jc w:val="left"/>
              <w:rPr>
                <w:rFonts w:ascii="Arial" w:hAnsi="Arial" w:cs="Arial"/>
                <w:b/>
                <w:sz w:val="16"/>
                <w:szCs w:val="16"/>
              </w:rPr>
            </w:pPr>
            <w:r w:rsidRPr="0003680F">
              <w:rPr>
                <w:rFonts w:ascii="Arial" w:hAnsi="Arial" w:cs="Arial"/>
                <w:b/>
                <w:sz w:val="16"/>
                <w:szCs w:val="16"/>
              </w:rPr>
              <w:t>Level of certainty of impact</w:t>
            </w:r>
          </w:p>
        </w:tc>
        <w:tc>
          <w:tcPr>
            <w:tcW w:w="6378" w:type="dxa"/>
          </w:tcPr>
          <w:p w14:paraId="7A416CC7" w14:textId="0AB14D01" w:rsidR="0058247E" w:rsidRPr="0003680F" w:rsidRDefault="0058247E" w:rsidP="00E439A6">
            <w:pPr>
              <w:pStyle w:val="Tabletext"/>
              <w:spacing w:line="240" w:lineRule="auto"/>
              <w:jc w:val="left"/>
              <w:rPr>
                <w:rFonts w:ascii="Arial" w:hAnsi="Arial" w:cs="Arial"/>
                <w:sz w:val="16"/>
                <w:szCs w:val="16"/>
              </w:rPr>
            </w:pPr>
            <w:r w:rsidRPr="0003680F">
              <w:rPr>
                <w:rFonts w:ascii="Arial" w:hAnsi="Arial" w:cs="Arial"/>
                <w:sz w:val="16"/>
                <w:szCs w:val="16"/>
              </w:rPr>
              <w:t xml:space="preserve">HIGH. The impacts of </w:t>
            </w:r>
            <w:r w:rsidR="00F04010" w:rsidRPr="0003680F">
              <w:rPr>
                <w:rFonts w:ascii="Arial" w:hAnsi="Arial" w:cs="Arial"/>
                <w:sz w:val="16"/>
                <w:szCs w:val="16"/>
              </w:rPr>
              <w:t>oily water</w:t>
            </w:r>
            <w:r w:rsidRPr="0003680F">
              <w:rPr>
                <w:rFonts w:ascii="Arial" w:hAnsi="Arial" w:cs="Arial"/>
                <w:sz w:val="16"/>
                <w:szCs w:val="16"/>
              </w:rPr>
              <w:t xml:space="preserve"> discharges on the marine environment are well studied. </w:t>
            </w:r>
          </w:p>
        </w:tc>
      </w:tr>
      <w:tr w:rsidR="0058247E" w:rsidRPr="0003680F" w14:paraId="4815E529" w14:textId="77777777" w:rsidTr="0058247E">
        <w:trPr>
          <w:cantSplit/>
        </w:trPr>
        <w:tc>
          <w:tcPr>
            <w:tcW w:w="2694" w:type="dxa"/>
            <w:shd w:val="clear" w:color="auto" w:fill="BFBFBF" w:themeFill="background1" w:themeFillShade="BF"/>
          </w:tcPr>
          <w:p w14:paraId="32E87067" w14:textId="77777777" w:rsidR="0058247E" w:rsidRPr="0003680F" w:rsidRDefault="0058247E" w:rsidP="003C089E">
            <w:pPr>
              <w:pStyle w:val="Tabletext"/>
              <w:spacing w:line="240" w:lineRule="auto"/>
              <w:jc w:val="left"/>
              <w:rPr>
                <w:rFonts w:ascii="Arial" w:hAnsi="Arial" w:cs="Arial"/>
                <w:b/>
                <w:sz w:val="16"/>
                <w:szCs w:val="16"/>
              </w:rPr>
            </w:pPr>
            <w:r w:rsidRPr="0003680F">
              <w:rPr>
                <w:rFonts w:ascii="Arial" w:hAnsi="Arial" w:cs="Arial"/>
                <w:b/>
                <w:sz w:val="16"/>
                <w:szCs w:val="16"/>
              </w:rPr>
              <w:t>Impact decision framework context</w:t>
            </w:r>
          </w:p>
        </w:tc>
        <w:tc>
          <w:tcPr>
            <w:tcW w:w="6378" w:type="dxa"/>
          </w:tcPr>
          <w:p w14:paraId="1A2CE9E6" w14:textId="396CDB68" w:rsidR="0058247E" w:rsidRPr="0003680F" w:rsidRDefault="0058247E" w:rsidP="00E439A6">
            <w:pPr>
              <w:pStyle w:val="Tabletext"/>
              <w:spacing w:line="240" w:lineRule="auto"/>
              <w:jc w:val="left"/>
              <w:rPr>
                <w:rFonts w:ascii="Arial" w:hAnsi="Arial" w:cs="Arial"/>
                <w:sz w:val="16"/>
                <w:szCs w:val="16"/>
              </w:rPr>
            </w:pPr>
            <w:r w:rsidRPr="0003680F">
              <w:rPr>
                <w:rFonts w:ascii="Arial" w:hAnsi="Arial" w:cs="Arial"/>
                <w:sz w:val="16"/>
                <w:szCs w:val="16"/>
              </w:rPr>
              <w:t>A (nothing new or unusual</w:t>
            </w:r>
            <w:r w:rsidRPr="00641A36">
              <w:rPr>
                <w:rFonts w:ascii="Arial" w:hAnsi="Arial" w:cs="Arial"/>
                <w:sz w:val="16"/>
                <w:szCs w:val="16"/>
              </w:rPr>
              <w:t xml:space="preserve">, represents business as usual, well understood activity, good practice is well defined). </w:t>
            </w:r>
            <w:r w:rsidR="00641A36" w:rsidRPr="004705DB">
              <w:rPr>
                <w:rFonts w:ascii="Arial" w:hAnsi="Arial" w:cs="Arial"/>
                <w:i/>
                <w:sz w:val="16"/>
                <w:szCs w:val="16"/>
              </w:rPr>
              <w:t>ALARP to be demonstrated on adherence to legislation, industry codes and good professional judgement</w:t>
            </w:r>
          </w:p>
        </w:tc>
      </w:tr>
    </w:tbl>
    <w:p w14:paraId="24B49697" w14:textId="46425BE0" w:rsidR="00DE5215" w:rsidRDefault="00DE5215" w:rsidP="00DE5215">
      <w:pPr>
        <w:pStyle w:val="BodyText"/>
      </w:pPr>
    </w:p>
    <w:p w14:paraId="5C8751B8" w14:textId="26765556" w:rsidR="00653E56" w:rsidRDefault="00A95BEA" w:rsidP="00E34449">
      <w:pPr>
        <w:pStyle w:val="Heading2"/>
      </w:pPr>
      <w:bookmarkStart w:id="218" w:name="_Toc512862483"/>
      <w:r>
        <w:t>RISK</w:t>
      </w:r>
      <w:r w:rsidR="004240E9">
        <w:t xml:space="preserve">: </w:t>
      </w:r>
      <w:r w:rsidR="009C5FA9">
        <w:t xml:space="preserve">Discharge of </w:t>
      </w:r>
      <w:r w:rsidR="00FE3DAF">
        <w:t>Contaminated Deck Drainage</w:t>
      </w:r>
      <w:r w:rsidR="004D3F04">
        <w:t xml:space="preserve"> (Vessels)</w:t>
      </w:r>
      <w:bookmarkEnd w:id="218"/>
    </w:p>
    <w:p w14:paraId="4E56E406" w14:textId="77777777" w:rsidR="00653E56" w:rsidRDefault="00653E56" w:rsidP="00914C00">
      <w:pPr>
        <w:pStyle w:val="Heading3"/>
      </w:pPr>
      <w:r>
        <w:t>Hazard</w:t>
      </w:r>
    </w:p>
    <w:p w14:paraId="1E507014" w14:textId="47D6F318" w:rsidR="00653E56" w:rsidRPr="00E34449" w:rsidRDefault="00653E56" w:rsidP="001313DC">
      <w:pPr>
        <w:pStyle w:val="Bullet1"/>
        <w:numPr>
          <w:ilvl w:val="0"/>
          <w:numId w:val="0"/>
        </w:numPr>
        <w:ind w:left="720"/>
      </w:pPr>
      <w:r w:rsidRPr="00E34449">
        <w:t xml:space="preserve">The following activities </w:t>
      </w:r>
      <w:r w:rsidR="00A95BEA" w:rsidRPr="00E34449">
        <w:t>may</w:t>
      </w:r>
      <w:r w:rsidRPr="00E34449">
        <w:t xml:space="preserve"> result in the discharge of contaminated deck </w:t>
      </w:r>
      <w:r w:rsidR="00FE3DAF" w:rsidRPr="00E34449">
        <w:t xml:space="preserve">drainage </w:t>
      </w:r>
      <w:r w:rsidRPr="00E34449">
        <w:t>water to the ocean:</w:t>
      </w:r>
    </w:p>
    <w:p w14:paraId="0EE8685D" w14:textId="3AB559C1" w:rsidR="00653E56" w:rsidRPr="00E34449" w:rsidRDefault="00653E56" w:rsidP="0036080A">
      <w:pPr>
        <w:pStyle w:val="Bullet1"/>
        <w:numPr>
          <w:ilvl w:val="0"/>
          <w:numId w:val="40"/>
        </w:numPr>
      </w:pPr>
      <w:r w:rsidRPr="00E34449">
        <w:t>Deck washing, ocean spray, ‘green’ water and rain that capture minor contaminants such as oil, grease and detergents on the deck prior to</w:t>
      </w:r>
      <w:r w:rsidR="00E34449">
        <w:t xml:space="preserve"> </w:t>
      </w:r>
      <w:r w:rsidRPr="00E34449">
        <w:t xml:space="preserve">draining overboard; </w:t>
      </w:r>
      <w:r w:rsidR="00FE3DAF" w:rsidRPr="00E34449">
        <w:t>and</w:t>
      </w:r>
    </w:p>
    <w:p w14:paraId="6FD11884" w14:textId="77777777" w:rsidR="00653E56" w:rsidRPr="00E34449" w:rsidRDefault="00653E56" w:rsidP="0036080A">
      <w:pPr>
        <w:pStyle w:val="Bullet1"/>
        <w:numPr>
          <w:ilvl w:val="0"/>
          <w:numId w:val="40"/>
        </w:numPr>
      </w:pPr>
      <w:r w:rsidRPr="00E34449">
        <w:t xml:space="preserve">A chemical, oil or grease spill or leak on deck that is washed overboard. </w:t>
      </w:r>
    </w:p>
    <w:p w14:paraId="43A6767D" w14:textId="1DFF260D" w:rsidR="00653E56" w:rsidRPr="00E34449" w:rsidRDefault="00653E56" w:rsidP="001313DC">
      <w:pPr>
        <w:pStyle w:val="Bullet1"/>
        <w:numPr>
          <w:ilvl w:val="0"/>
          <w:numId w:val="0"/>
        </w:numPr>
        <w:ind w:left="720"/>
      </w:pPr>
      <w:r w:rsidRPr="00E34449">
        <w:t>Generally, all de</w:t>
      </w:r>
      <w:r w:rsidR="00FE3DAF" w:rsidRPr="00E34449">
        <w:t>c</w:t>
      </w:r>
      <w:r w:rsidRPr="00E34449">
        <w:t>k drains in non-hazardous areas drain directly overboard</w:t>
      </w:r>
      <w:r w:rsidR="00FE3DAF" w:rsidRPr="00E34449">
        <w:t xml:space="preserve"> (and are not routed to the bilge water tank for treatment)</w:t>
      </w:r>
      <w:r w:rsidRPr="00E34449">
        <w:t>.</w:t>
      </w:r>
    </w:p>
    <w:p w14:paraId="641C8109" w14:textId="77777777" w:rsidR="00653E56" w:rsidRDefault="00653E56" w:rsidP="00914C00">
      <w:pPr>
        <w:pStyle w:val="Heading3"/>
      </w:pPr>
      <w:r>
        <w:t>Known and Potential Impacts</w:t>
      </w:r>
    </w:p>
    <w:p w14:paraId="348F1820" w14:textId="606385E1" w:rsidR="00653E56" w:rsidRPr="00E34449" w:rsidRDefault="00653E56" w:rsidP="00DE5215">
      <w:pPr>
        <w:pStyle w:val="BodyText"/>
        <w:spacing w:after="240"/>
        <w:ind w:left="720"/>
        <w:rPr>
          <w:szCs w:val="20"/>
          <w:lang w:eastAsia="en-US"/>
        </w:rPr>
      </w:pPr>
      <w:r w:rsidRPr="00E34449">
        <w:rPr>
          <w:szCs w:val="20"/>
          <w:lang w:eastAsia="en-US"/>
        </w:rPr>
        <w:t xml:space="preserve">The known and potential environmental impacts of the discharge of contaminated deck water discharges are: </w:t>
      </w:r>
    </w:p>
    <w:p w14:paraId="709D6601" w14:textId="21EBB09C" w:rsidR="00653E56" w:rsidRPr="00E34449" w:rsidRDefault="00653E56" w:rsidP="0036080A">
      <w:pPr>
        <w:pStyle w:val="Bullet1"/>
        <w:numPr>
          <w:ilvl w:val="0"/>
          <w:numId w:val="40"/>
        </w:numPr>
      </w:pPr>
      <w:r w:rsidRPr="00E34449">
        <w:t>Temporary and localised reduction of surrounding surface water quality; and</w:t>
      </w:r>
    </w:p>
    <w:p w14:paraId="615F2128" w14:textId="77777777" w:rsidR="00653E56" w:rsidRPr="00E34449" w:rsidRDefault="00653E56" w:rsidP="0036080A">
      <w:pPr>
        <w:pStyle w:val="Bullet1"/>
        <w:numPr>
          <w:ilvl w:val="0"/>
          <w:numId w:val="40"/>
        </w:numPr>
      </w:pPr>
      <w:r w:rsidRPr="00E34449">
        <w:t>Acute toxicity to marine fauna through ingestion of contaminated water.</w:t>
      </w:r>
    </w:p>
    <w:p w14:paraId="1987F1D8" w14:textId="77777777" w:rsidR="00653E56" w:rsidRPr="00DE5215" w:rsidRDefault="00653E56" w:rsidP="00DE5215">
      <w:pPr>
        <w:pStyle w:val="BodyText"/>
        <w:ind w:left="700"/>
        <w:rPr>
          <w:b/>
          <w:u w:val="single"/>
        </w:rPr>
      </w:pPr>
      <w:r w:rsidRPr="00DE5215">
        <w:rPr>
          <w:b/>
          <w:u w:val="single"/>
        </w:rPr>
        <w:lastRenderedPageBreak/>
        <w:t>EMBA</w:t>
      </w:r>
    </w:p>
    <w:p w14:paraId="0F55BE0B" w14:textId="45128A14" w:rsidR="00653E56" w:rsidRPr="00E34449" w:rsidRDefault="00C77B39" w:rsidP="00DE5215">
      <w:pPr>
        <w:pStyle w:val="BodyText"/>
        <w:ind w:left="700"/>
        <w:rPr>
          <w:szCs w:val="20"/>
          <w:lang w:eastAsia="en-US"/>
        </w:rPr>
      </w:pPr>
      <w:r w:rsidRPr="00D223B6">
        <w:rPr>
          <w:szCs w:val="20"/>
          <w:lang w:eastAsia="en-US"/>
        </w:rPr>
        <w:t xml:space="preserve">The EMBA for </w:t>
      </w:r>
      <w:r>
        <w:rPr>
          <w:szCs w:val="20"/>
          <w:lang w:eastAsia="en-US"/>
        </w:rPr>
        <w:t>contaminated deck drainage</w:t>
      </w:r>
      <w:r w:rsidRPr="00D223B6">
        <w:rPr>
          <w:szCs w:val="20"/>
          <w:lang w:eastAsia="en-US"/>
        </w:rPr>
        <w:t xml:space="preserve"> associated with vessel activities</w:t>
      </w:r>
      <w:r>
        <w:rPr>
          <w:szCs w:val="20"/>
          <w:lang w:eastAsia="en-US"/>
        </w:rPr>
        <w:t>, given the small intermittent volumes released and the dynamic marine environment is expected to be localised</w:t>
      </w:r>
      <w:r w:rsidRPr="00D223B6">
        <w:rPr>
          <w:szCs w:val="20"/>
          <w:lang w:eastAsia="en-US"/>
        </w:rPr>
        <w:t xml:space="preserve"> </w:t>
      </w:r>
      <w:r>
        <w:rPr>
          <w:szCs w:val="20"/>
          <w:lang w:eastAsia="en-US"/>
        </w:rPr>
        <w:t>around</w:t>
      </w:r>
      <w:r w:rsidRPr="00D223B6">
        <w:rPr>
          <w:szCs w:val="20"/>
          <w:lang w:eastAsia="en-US"/>
        </w:rPr>
        <w:t xml:space="preserve"> the </w:t>
      </w:r>
      <w:r>
        <w:rPr>
          <w:szCs w:val="20"/>
          <w:lang w:eastAsia="en-US"/>
        </w:rPr>
        <w:t>release</w:t>
      </w:r>
      <w:r w:rsidRPr="00D223B6">
        <w:rPr>
          <w:szCs w:val="20"/>
          <w:lang w:eastAsia="en-US"/>
        </w:rPr>
        <w:t xml:space="preserve"> point</w:t>
      </w:r>
      <w:r w:rsidR="00653E56" w:rsidRPr="00E34449">
        <w:rPr>
          <w:szCs w:val="20"/>
          <w:lang w:eastAsia="en-US"/>
        </w:rPr>
        <w:t xml:space="preserve">. </w:t>
      </w:r>
    </w:p>
    <w:p w14:paraId="7BD87C87" w14:textId="77777777" w:rsidR="00653E56" w:rsidRPr="00DE5215" w:rsidRDefault="00653E56" w:rsidP="00DE5215">
      <w:pPr>
        <w:pStyle w:val="BodyText"/>
        <w:ind w:left="709"/>
        <w:rPr>
          <w:b/>
          <w:u w:val="single"/>
        </w:rPr>
      </w:pPr>
      <w:r w:rsidRPr="00DE5215">
        <w:rPr>
          <w:b/>
          <w:u w:val="single"/>
        </w:rPr>
        <w:t>Receptors within the EMBA</w:t>
      </w:r>
    </w:p>
    <w:p w14:paraId="3B2E36C3" w14:textId="77777777" w:rsidR="00653E56" w:rsidRPr="00E34449" w:rsidRDefault="00653E56" w:rsidP="00DE5215">
      <w:pPr>
        <w:pStyle w:val="BodyText"/>
        <w:ind w:left="709"/>
        <w:rPr>
          <w:szCs w:val="20"/>
          <w:lang w:eastAsia="en-US"/>
        </w:rPr>
      </w:pPr>
      <w:r w:rsidRPr="00E34449">
        <w:rPr>
          <w:szCs w:val="20"/>
          <w:lang w:eastAsia="en-US"/>
        </w:rPr>
        <w:t xml:space="preserve">Receptors that may occur within this EMBA, either as residents or migrants, are: </w:t>
      </w:r>
    </w:p>
    <w:p w14:paraId="76F7AA15" w14:textId="77777777" w:rsidR="00653E56" w:rsidRPr="00E34449" w:rsidRDefault="00653E56" w:rsidP="0036080A">
      <w:pPr>
        <w:pStyle w:val="Bullet1"/>
        <w:numPr>
          <w:ilvl w:val="0"/>
          <w:numId w:val="40"/>
        </w:numPr>
      </w:pPr>
      <w:r w:rsidRPr="00E34449">
        <w:t>Plankton; and</w:t>
      </w:r>
    </w:p>
    <w:p w14:paraId="1644E044" w14:textId="77777777" w:rsidR="00653E56" w:rsidRPr="00E34449" w:rsidRDefault="00653E56" w:rsidP="0036080A">
      <w:pPr>
        <w:pStyle w:val="Bullet1"/>
        <w:numPr>
          <w:ilvl w:val="0"/>
          <w:numId w:val="40"/>
        </w:numPr>
      </w:pPr>
      <w:r w:rsidRPr="00E34449">
        <w:t>Pelagic fish.</w:t>
      </w:r>
    </w:p>
    <w:p w14:paraId="6B5C5543" w14:textId="77777777" w:rsidR="00653E56" w:rsidRDefault="00653E56" w:rsidP="00914C00">
      <w:pPr>
        <w:pStyle w:val="Heading3"/>
      </w:pPr>
      <w:r>
        <w:t>Evaluation of Environmental Impacts</w:t>
      </w:r>
    </w:p>
    <w:p w14:paraId="503FCCE5" w14:textId="77777777" w:rsidR="00653E56" w:rsidRPr="00E34449" w:rsidRDefault="00653E56" w:rsidP="00DE5215">
      <w:pPr>
        <w:pStyle w:val="BodyText"/>
        <w:ind w:left="720"/>
        <w:rPr>
          <w:szCs w:val="20"/>
          <w:u w:val="single"/>
          <w:lang w:eastAsia="en-US"/>
        </w:rPr>
      </w:pPr>
      <w:r w:rsidRPr="00E34449">
        <w:rPr>
          <w:szCs w:val="20"/>
          <w:u w:val="single"/>
          <w:lang w:eastAsia="en-US"/>
        </w:rPr>
        <w:t>Temporary and localised reduction of surface water quality</w:t>
      </w:r>
    </w:p>
    <w:p w14:paraId="3AA45A36" w14:textId="42CD05EC" w:rsidR="00653E56" w:rsidRPr="00E34449" w:rsidRDefault="00653E56" w:rsidP="00DE5215">
      <w:pPr>
        <w:pStyle w:val="BodyText"/>
        <w:ind w:left="720"/>
        <w:rPr>
          <w:szCs w:val="20"/>
          <w:lang w:eastAsia="en-US"/>
        </w:rPr>
      </w:pPr>
      <w:r w:rsidRPr="00E34449">
        <w:rPr>
          <w:szCs w:val="20"/>
          <w:lang w:eastAsia="en-US"/>
        </w:rPr>
        <w:t xml:space="preserve">Traces of chemicals discharged to the ocean through open deck drainage and bilge discharges have a very low potential to temporarily reduce water quality and cause physiological damage to marine fauna that may ingest or absorb chemicals. Given the absence of sensitive habitat types in the water column of the EMBA for these discharges, the greatest risk will be to plankton and pelagic fish. </w:t>
      </w:r>
      <w:r w:rsidR="0049596C" w:rsidRPr="00E34449">
        <w:rPr>
          <w:szCs w:val="20"/>
          <w:lang w:eastAsia="en-US"/>
        </w:rPr>
        <w:t>O</w:t>
      </w:r>
      <w:r w:rsidRPr="00E34449">
        <w:rPr>
          <w:szCs w:val="20"/>
          <w:lang w:eastAsia="en-US"/>
        </w:rPr>
        <w:t>nly trace quantities of contaminants would be expected in deck drainage discharge</w:t>
      </w:r>
      <w:r w:rsidR="0049596C" w:rsidRPr="00E34449">
        <w:rPr>
          <w:szCs w:val="20"/>
          <w:lang w:eastAsia="en-US"/>
        </w:rPr>
        <w:t>s</w:t>
      </w:r>
      <w:r w:rsidRPr="00E34449">
        <w:rPr>
          <w:szCs w:val="20"/>
          <w:lang w:eastAsia="en-US"/>
        </w:rPr>
        <w:t>, and these would be rapidly diluted, dis</w:t>
      </w:r>
      <w:r w:rsidR="0049596C" w:rsidRPr="00E34449">
        <w:rPr>
          <w:szCs w:val="20"/>
          <w:lang w:eastAsia="en-US"/>
        </w:rPr>
        <w:t xml:space="preserve">persed </w:t>
      </w:r>
      <w:r w:rsidRPr="00E34449">
        <w:rPr>
          <w:szCs w:val="20"/>
          <w:lang w:eastAsia="en-US"/>
        </w:rPr>
        <w:t xml:space="preserve">and degraded to undetectable levels. </w:t>
      </w:r>
    </w:p>
    <w:p w14:paraId="4E25AE78" w14:textId="77777777" w:rsidR="00653E56" w:rsidRPr="00E34449" w:rsidRDefault="00653E56" w:rsidP="00DE5215">
      <w:pPr>
        <w:pStyle w:val="BodyText"/>
        <w:ind w:left="720"/>
        <w:rPr>
          <w:szCs w:val="20"/>
          <w:u w:val="single"/>
          <w:lang w:eastAsia="en-US"/>
        </w:rPr>
      </w:pPr>
      <w:r w:rsidRPr="00E34449">
        <w:rPr>
          <w:szCs w:val="20"/>
          <w:u w:val="single"/>
          <w:lang w:eastAsia="en-US"/>
        </w:rPr>
        <w:t>Acute toxicity to marine fauna</w:t>
      </w:r>
    </w:p>
    <w:p w14:paraId="16A31E2B" w14:textId="77777777" w:rsidR="00653E56" w:rsidRPr="00E34449" w:rsidRDefault="00653E56" w:rsidP="00DE5215">
      <w:pPr>
        <w:pStyle w:val="BodyText"/>
        <w:ind w:left="720"/>
        <w:rPr>
          <w:szCs w:val="20"/>
          <w:lang w:eastAsia="en-US"/>
        </w:rPr>
      </w:pPr>
      <w:r w:rsidRPr="00E34449">
        <w:rPr>
          <w:szCs w:val="20"/>
          <w:lang w:eastAsia="en-US"/>
        </w:rPr>
        <w:t>Given the very small volumes of such chemicals or hydrocarbons (oil, grease) that may be accidentally discharged overboard, the high rates of dilution and dispersion in the open ocean environment and the temporary nature of vessel activities, it is not expected that these very small quantities of hydrocarbons would induce acute or chronic toxicity impacts to marine fauna or plankton through ingestion or absorption through the skin.</w:t>
      </w:r>
    </w:p>
    <w:p w14:paraId="0AC912AB" w14:textId="77777777" w:rsidR="00653E56" w:rsidRPr="00DE5215" w:rsidRDefault="00653E56" w:rsidP="00DE5215">
      <w:pPr>
        <w:pStyle w:val="BodyText"/>
        <w:ind w:left="720"/>
        <w:rPr>
          <w:b/>
          <w:u w:val="single"/>
        </w:rPr>
      </w:pPr>
      <w:r w:rsidRPr="00DE5215">
        <w:rPr>
          <w:b/>
          <w:u w:val="single"/>
        </w:rPr>
        <w:t>Impacts to Matters of NES</w:t>
      </w:r>
    </w:p>
    <w:p w14:paraId="4FE2942A" w14:textId="49A859D8" w:rsidR="00653E56" w:rsidRDefault="00653E56" w:rsidP="00911005">
      <w:pPr>
        <w:pStyle w:val="BodyText"/>
        <w:spacing w:after="240"/>
        <w:ind w:left="720"/>
        <w:rPr>
          <w:lang w:eastAsia="en-US"/>
        </w:rPr>
      </w:pPr>
      <w:r w:rsidRPr="00E34449">
        <w:rPr>
          <w:szCs w:val="20"/>
          <w:lang w:eastAsia="en-US"/>
        </w:rPr>
        <w:t>The discharge of deck drainage will not have a ‘significant’ impact to any of the matters of NES applicable to this project</w:t>
      </w:r>
      <w:r w:rsidR="00911005">
        <w:rPr>
          <w:szCs w:val="20"/>
          <w:lang w:eastAsia="en-US"/>
        </w:rPr>
        <w:t>.</w:t>
      </w:r>
    </w:p>
    <w:p w14:paraId="425AF443" w14:textId="77777777" w:rsidR="00653E56" w:rsidRPr="00DE5215" w:rsidRDefault="00653E56" w:rsidP="00DE5215">
      <w:pPr>
        <w:pStyle w:val="BodyText"/>
        <w:ind w:left="709"/>
        <w:rPr>
          <w:b/>
          <w:u w:val="single"/>
        </w:rPr>
      </w:pPr>
      <w:r w:rsidRPr="00DE5215">
        <w:rPr>
          <w:b/>
          <w:u w:val="single"/>
        </w:rPr>
        <w:t>Impacts to other areas of Conservation Significance</w:t>
      </w:r>
    </w:p>
    <w:p w14:paraId="582E6830" w14:textId="29C29BC5" w:rsidR="00653E56" w:rsidRPr="00BE0DE6" w:rsidRDefault="00653E56" w:rsidP="00911005">
      <w:pPr>
        <w:pStyle w:val="BodyText"/>
        <w:spacing w:after="240"/>
        <w:ind w:left="709"/>
        <w:rPr>
          <w:lang w:eastAsia="en-US"/>
        </w:rPr>
      </w:pPr>
      <w:r w:rsidRPr="00E34449">
        <w:rPr>
          <w:szCs w:val="20"/>
          <w:lang w:eastAsia="en-US"/>
        </w:rPr>
        <w:t xml:space="preserve">There are no other areas of conservation significance within the EMBA by </w:t>
      </w:r>
      <w:r w:rsidR="006E2A29" w:rsidRPr="00E34449">
        <w:rPr>
          <w:szCs w:val="20"/>
          <w:lang w:eastAsia="en-US"/>
        </w:rPr>
        <w:t xml:space="preserve">contaminated </w:t>
      </w:r>
      <w:r w:rsidRPr="00E34449">
        <w:rPr>
          <w:szCs w:val="20"/>
          <w:lang w:eastAsia="en-US"/>
        </w:rPr>
        <w:t>deck drainage discharges. This discharge will not have any impacts to other areas of conservation significance</w:t>
      </w:r>
      <w:r w:rsidR="00911005">
        <w:rPr>
          <w:szCs w:val="20"/>
          <w:lang w:eastAsia="en-US"/>
        </w:rPr>
        <w:t>.</w:t>
      </w:r>
    </w:p>
    <w:p w14:paraId="075FCD36" w14:textId="1A90A6FA" w:rsidR="00653E56" w:rsidRDefault="00E34449" w:rsidP="00595CBC">
      <w:pPr>
        <w:pStyle w:val="Heading3"/>
      </w:pPr>
      <w:r>
        <w:t>Risk</w:t>
      </w:r>
      <w:r w:rsidR="00653E56">
        <w:t xml:space="preserve"> Assessment</w:t>
      </w:r>
    </w:p>
    <w:p w14:paraId="015046F2" w14:textId="2F2FE9D2" w:rsidR="00653E56" w:rsidRDefault="00E34449" w:rsidP="00DE5215">
      <w:pPr>
        <w:pStyle w:val="BodyText"/>
        <w:ind w:left="709"/>
        <w:rPr>
          <w:lang w:eastAsia="en-US"/>
        </w:rPr>
      </w:pPr>
      <w:r>
        <w:rPr>
          <w:color w:val="FF0000"/>
          <w:lang w:eastAsia="en-US"/>
        </w:rPr>
        <w:fldChar w:fldCharType="begin"/>
      </w:r>
      <w:r>
        <w:rPr>
          <w:color w:val="FF0000"/>
          <w:lang w:eastAsia="en-US"/>
        </w:rPr>
        <w:instrText xml:space="preserve"> REF _Ref473385793 \h </w:instrText>
      </w:r>
      <w:r>
        <w:rPr>
          <w:color w:val="FF0000"/>
          <w:lang w:eastAsia="en-US"/>
        </w:rPr>
      </w:r>
      <w:r>
        <w:rPr>
          <w:color w:val="FF0000"/>
          <w:lang w:eastAsia="en-US"/>
        </w:rPr>
        <w:fldChar w:fldCharType="separate"/>
      </w:r>
      <w:r w:rsidR="00CC4C35" w:rsidRPr="00E34449">
        <w:rPr>
          <w:szCs w:val="20"/>
        </w:rPr>
        <w:t xml:space="preserve">Table </w:t>
      </w:r>
      <w:r w:rsidR="00CC4C35">
        <w:rPr>
          <w:noProof/>
          <w:szCs w:val="20"/>
        </w:rPr>
        <w:t>5</w:t>
      </w:r>
      <w:r w:rsidR="00CC4C35">
        <w:rPr>
          <w:szCs w:val="20"/>
        </w:rPr>
        <w:noBreakHyphen/>
      </w:r>
      <w:r w:rsidR="00CC4C35">
        <w:rPr>
          <w:noProof/>
          <w:szCs w:val="20"/>
        </w:rPr>
        <w:t>11</w:t>
      </w:r>
      <w:r>
        <w:rPr>
          <w:color w:val="FF0000"/>
          <w:lang w:eastAsia="en-US"/>
        </w:rPr>
        <w:fldChar w:fldCharType="end"/>
      </w:r>
      <w:r>
        <w:rPr>
          <w:color w:val="FF0000"/>
          <w:lang w:eastAsia="en-US"/>
        </w:rPr>
        <w:t xml:space="preserve"> </w:t>
      </w:r>
      <w:r w:rsidR="00653E56" w:rsidRPr="00E34449">
        <w:rPr>
          <w:lang w:eastAsia="en-US"/>
        </w:rPr>
        <w:t xml:space="preserve">presents the risk assessment for </w:t>
      </w:r>
      <w:r w:rsidR="006E2A29" w:rsidRPr="00E34449">
        <w:rPr>
          <w:lang w:eastAsia="en-US"/>
        </w:rPr>
        <w:t>contaminated deck drainage</w:t>
      </w:r>
      <w:r>
        <w:rPr>
          <w:lang w:eastAsia="en-US"/>
        </w:rPr>
        <w:t xml:space="preserve"> </w:t>
      </w:r>
      <w:r w:rsidR="00653E56" w:rsidRPr="00E34449">
        <w:rPr>
          <w:lang w:eastAsia="en-US"/>
        </w:rPr>
        <w:t>discharges.</w:t>
      </w:r>
    </w:p>
    <w:p w14:paraId="7FBE5979" w14:textId="06D4B2CF" w:rsidR="00653E56" w:rsidRPr="00ED5388" w:rsidRDefault="00E34449" w:rsidP="00B86A7D">
      <w:pPr>
        <w:pStyle w:val="Caption"/>
        <w:outlineLvl w:val="9"/>
        <w:rPr>
          <w:sz w:val="20"/>
          <w:szCs w:val="20"/>
        </w:rPr>
      </w:pPr>
      <w:bookmarkStart w:id="219" w:name="_Ref473385793"/>
      <w:bookmarkStart w:id="220" w:name="_Toc511032602"/>
      <w:r w:rsidRPr="00E34449">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11</w:t>
      </w:r>
      <w:r w:rsidR="00103328">
        <w:rPr>
          <w:sz w:val="20"/>
          <w:szCs w:val="20"/>
        </w:rPr>
        <w:fldChar w:fldCharType="end"/>
      </w:r>
      <w:bookmarkEnd w:id="219"/>
      <w:r w:rsidRPr="00E34449">
        <w:rPr>
          <w:sz w:val="20"/>
          <w:szCs w:val="20"/>
        </w:rPr>
        <w:t>: Risk assessment for contaminated deck drainage discharges</w:t>
      </w:r>
      <w:bookmarkEnd w:id="220"/>
    </w:p>
    <w:tbl>
      <w:tblPr>
        <w:tblW w:w="9072" w:type="dxa"/>
        <w:tblInd w:w="1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977"/>
        <w:gridCol w:w="6095"/>
      </w:tblGrid>
      <w:tr w:rsidR="00993682" w:rsidRPr="00E34449" w14:paraId="64DCCCB9" w14:textId="77777777" w:rsidTr="000D4F09">
        <w:trPr>
          <w:cantSplit/>
        </w:trPr>
        <w:tc>
          <w:tcPr>
            <w:tcW w:w="2977" w:type="dxa"/>
            <w:shd w:val="clear" w:color="auto" w:fill="BFBFBF" w:themeFill="background1" w:themeFillShade="BF"/>
          </w:tcPr>
          <w:p w14:paraId="5BE837C4" w14:textId="05A6AEE6" w:rsidR="00993682" w:rsidRPr="00E34449" w:rsidRDefault="00993682" w:rsidP="00E439A6">
            <w:pPr>
              <w:pStyle w:val="Tabletext"/>
              <w:spacing w:line="240" w:lineRule="auto"/>
              <w:rPr>
                <w:rFonts w:ascii="Arial" w:hAnsi="Arial" w:cs="Arial"/>
                <w:b/>
                <w:sz w:val="16"/>
                <w:szCs w:val="16"/>
              </w:rPr>
            </w:pPr>
            <w:r>
              <w:rPr>
                <w:rFonts w:ascii="Arial" w:hAnsi="Arial" w:cs="Arial"/>
                <w:b/>
                <w:sz w:val="16"/>
                <w:szCs w:val="16"/>
              </w:rPr>
              <w:t>Aspect:</w:t>
            </w:r>
          </w:p>
        </w:tc>
        <w:tc>
          <w:tcPr>
            <w:tcW w:w="6095" w:type="dxa"/>
          </w:tcPr>
          <w:p w14:paraId="76B04F3D" w14:textId="6690714A" w:rsidR="00993682" w:rsidRPr="00E34449" w:rsidRDefault="00993682" w:rsidP="00E439A6">
            <w:pPr>
              <w:pStyle w:val="Tabletext"/>
              <w:spacing w:line="240" w:lineRule="auto"/>
              <w:jc w:val="left"/>
              <w:rPr>
                <w:rFonts w:ascii="Arial" w:hAnsi="Arial" w:cs="Arial"/>
                <w:sz w:val="16"/>
                <w:szCs w:val="16"/>
              </w:rPr>
            </w:pPr>
            <w:r>
              <w:rPr>
                <w:rFonts w:ascii="Arial" w:hAnsi="Arial" w:cs="Arial"/>
                <w:sz w:val="16"/>
                <w:szCs w:val="16"/>
              </w:rPr>
              <w:t>Discharge of deck water (Vessel)</w:t>
            </w:r>
          </w:p>
        </w:tc>
      </w:tr>
      <w:tr w:rsidR="00653E56" w:rsidRPr="00E34449" w14:paraId="6ACCAAB8" w14:textId="77777777" w:rsidTr="000D4F09">
        <w:trPr>
          <w:cantSplit/>
        </w:trPr>
        <w:tc>
          <w:tcPr>
            <w:tcW w:w="2977" w:type="dxa"/>
            <w:shd w:val="clear" w:color="auto" w:fill="BFBFBF" w:themeFill="background1" w:themeFillShade="BF"/>
          </w:tcPr>
          <w:p w14:paraId="447B7390" w14:textId="77777777" w:rsidR="00653E56" w:rsidRPr="00E34449" w:rsidRDefault="00653E56" w:rsidP="00E439A6">
            <w:pPr>
              <w:pStyle w:val="Tabletext"/>
              <w:spacing w:line="240" w:lineRule="auto"/>
              <w:rPr>
                <w:rFonts w:ascii="Arial" w:hAnsi="Arial" w:cs="Arial"/>
                <w:b/>
                <w:sz w:val="16"/>
                <w:szCs w:val="16"/>
              </w:rPr>
            </w:pPr>
            <w:r w:rsidRPr="00E34449">
              <w:rPr>
                <w:rFonts w:ascii="Arial" w:hAnsi="Arial" w:cs="Arial"/>
                <w:b/>
                <w:sz w:val="16"/>
                <w:szCs w:val="16"/>
              </w:rPr>
              <w:t xml:space="preserve">Impact summary </w:t>
            </w:r>
          </w:p>
        </w:tc>
        <w:tc>
          <w:tcPr>
            <w:tcW w:w="6095" w:type="dxa"/>
          </w:tcPr>
          <w:p w14:paraId="4F0D4363" w14:textId="77777777" w:rsidR="00653E56" w:rsidRPr="00E34449" w:rsidRDefault="00653E56" w:rsidP="00E439A6">
            <w:pPr>
              <w:pStyle w:val="Tabletext"/>
              <w:spacing w:line="240" w:lineRule="auto"/>
              <w:jc w:val="left"/>
              <w:rPr>
                <w:rFonts w:ascii="Arial" w:hAnsi="Arial" w:cs="Arial"/>
                <w:sz w:val="16"/>
                <w:szCs w:val="16"/>
              </w:rPr>
            </w:pPr>
            <w:r w:rsidRPr="00E34449">
              <w:rPr>
                <w:rFonts w:ascii="Arial" w:hAnsi="Arial" w:cs="Arial"/>
                <w:sz w:val="16"/>
                <w:szCs w:val="16"/>
              </w:rPr>
              <w:t xml:space="preserve">Pollution of surface waters.  </w:t>
            </w:r>
          </w:p>
          <w:p w14:paraId="4ADF1244" w14:textId="77777777" w:rsidR="00653E56" w:rsidRPr="00E34449" w:rsidRDefault="00653E56" w:rsidP="00E439A6">
            <w:pPr>
              <w:pStyle w:val="Tabletext"/>
              <w:spacing w:line="240" w:lineRule="auto"/>
              <w:jc w:val="left"/>
              <w:rPr>
                <w:rFonts w:ascii="Arial" w:hAnsi="Arial" w:cs="Arial"/>
                <w:sz w:val="16"/>
                <w:szCs w:val="16"/>
              </w:rPr>
            </w:pPr>
            <w:r w:rsidRPr="00E34449">
              <w:rPr>
                <w:rFonts w:ascii="Arial" w:hAnsi="Arial" w:cs="Arial"/>
                <w:sz w:val="16"/>
                <w:szCs w:val="16"/>
              </w:rPr>
              <w:t>Acute toxicity to marine fauna exposed to pollution.</w:t>
            </w:r>
          </w:p>
        </w:tc>
      </w:tr>
      <w:tr w:rsidR="00653E56" w:rsidRPr="00E34449" w14:paraId="030C3614" w14:textId="77777777" w:rsidTr="000D4F09">
        <w:trPr>
          <w:cantSplit/>
        </w:trPr>
        <w:tc>
          <w:tcPr>
            <w:tcW w:w="2977" w:type="dxa"/>
            <w:shd w:val="clear" w:color="auto" w:fill="BFBFBF" w:themeFill="background1" w:themeFillShade="BF"/>
          </w:tcPr>
          <w:p w14:paraId="48BE43E3" w14:textId="77777777" w:rsidR="00653E56" w:rsidRPr="00E34449" w:rsidRDefault="00653E56" w:rsidP="00E439A6">
            <w:pPr>
              <w:pStyle w:val="Tabletext"/>
              <w:spacing w:line="240" w:lineRule="auto"/>
              <w:jc w:val="left"/>
              <w:rPr>
                <w:rFonts w:ascii="Arial" w:hAnsi="Arial" w:cs="Arial"/>
                <w:b/>
                <w:sz w:val="16"/>
                <w:szCs w:val="16"/>
              </w:rPr>
            </w:pPr>
            <w:r w:rsidRPr="00E34449">
              <w:rPr>
                <w:rFonts w:ascii="Arial" w:hAnsi="Arial" w:cs="Arial"/>
                <w:b/>
                <w:sz w:val="16"/>
                <w:szCs w:val="16"/>
              </w:rPr>
              <w:t xml:space="preserve">Extent of impact </w:t>
            </w:r>
          </w:p>
        </w:tc>
        <w:tc>
          <w:tcPr>
            <w:tcW w:w="6095" w:type="dxa"/>
          </w:tcPr>
          <w:p w14:paraId="463F3CCC" w14:textId="58ABB31C" w:rsidR="00653E56" w:rsidRPr="00E34449" w:rsidRDefault="00653E56" w:rsidP="00E439A6">
            <w:pPr>
              <w:pStyle w:val="Tabletext"/>
              <w:spacing w:line="240" w:lineRule="auto"/>
              <w:jc w:val="left"/>
              <w:rPr>
                <w:rFonts w:ascii="Arial" w:hAnsi="Arial" w:cs="Arial"/>
                <w:sz w:val="16"/>
                <w:szCs w:val="16"/>
              </w:rPr>
            </w:pPr>
            <w:r w:rsidRPr="00E34449">
              <w:rPr>
                <w:rFonts w:ascii="Arial" w:hAnsi="Arial" w:cs="Arial"/>
                <w:sz w:val="16"/>
                <w:szCs w:val="16"/>
              </w:rPr>
              <w:t xml:space="preserve">Localised (about discharge point). </w:t>
            </w:r>
          </w:p>
        </w:tc>
      </w:tr>
      <w:tr w:rsidR="00653E56" w:rsidRPr="00E34449" w14:paraId="1FF56D46" w14:textId="77777777" w:rsidTr="000D4F09">
        <w:trPr>
          <w:cantSplit/>
        </w:trPr>
        <w:tc>
          <w:tcPr>
            <w:tcW w:w="2977" w:type="dxa"/>
            <w:shd w:val="clear" w:color="auto" w:fill="BFBFBF" w:themeFill="background1" w:themeFillShade="BF"/>
          </w:tcPr>
          <w:p w14:paraId="06835A30" w14:textId="77777777" w:rsidR="00653E56" w:rsidRPr="00E34449" w:rsidRDefault="00653E56" w:rsidP="00E439A6">
            <w:pPr>
              <w:pStyle w:val="Tabletext"/>
              <w:spacing w:line="240" w:lineRule="auto"/>
              <w:jc w:val="left"/>
              <w:rPr>
                <w:rFonts w:ascii="Arial" w:hAnsi="Arial" w:cs="Arial"/>
                <w:b/>
                <w:sz w:val="16"/>
                <w:szCs w:val="16"/>
              </w:rPr>
            </w:pPr>
            <w:r w:rsidRPr="00E34449">
              <w:rPr>
                <w:rFonts w:ascii="Arial" w:hAnsi="Arial" w:cs="Arial"/>
                <w:b/>
                <w:sz w:val="16"/>
                <w:szCs w:val="16"/>
              </w:rPr>
              <w:t xml:space="preserve">Duration of impact </w:t>
            </w:r>
          </w:p>
        </w:tc>
        <w:tc>
          <w:tcPr>
            <w:tcW w:w="6095" w:type="dxa"/>
          </w:tcPr>
          <w:p w14:paraId="78278A66" w14:textId="77777777" w:rsidR="00653E56" w:rsidRPr="00E34449" w:rsidRDefault="00653E56" w:rsidP="00E439A6">
            <w:pPr>
              <w:pStyle w:val="Tabletext"/>
              <w:spacing w:line="240" w:lineRule="auto"/>
              <w:jc w:val="left"/>
              <w:rPr>
                <w:rFonts w:ascii="Arial" w:hAnsi="Arial" w:cs="Arial"/>
                <w:sz w:val="16"/>
                <w:szCs w:val="16"/>
              </w:rPr>
            </w:pPr>
            <w:r w:rsidRPr="00E34449">
              <w:rPr>
                <w:rFonts w:ascii="Arial" w:hAnsi="Arial" w:cs="Arial"/>
                <w:sz w:val="16"/>
                <w:szCs w:val="16"/>
              </w:rPr>
              <w:t>Temporary (rapid dispersion and dilution – minutes to hours).</w:t>
            </w:r>
          </w:p>
        </w:tc>
      </w:tr>
      <w:tr w:rsidR="00653E56" w:rsidRPr="00E34449" w14:paraId="6CFF3B69" w14:textId="77777777" w:rsidTr="000D4F09">
        <w:trPr>
          <w:cantSplit/>
        </w:trPr>
        <w:tc>
          <w:tcPr>
            <w:tcW w:w="2977" w:type="dxa"/>
            <w:shd w:val="clear" w:color="auto" w:fill="BFBFBF" w:themeFill="background1" w:themeFillShade="BF"/>
          </w:tcPr>
          <w:p w14:paraId="256DD54C" w14:textId="77777777" w:rsidR="00653E56" w:rsidRPr="00E34449" w:rsidRDefault="00653E56" w:rsidP="00E439A6">
            <w:pPr>
              <w:pStyle w:val="Tabletext"/>
              <w:spacing w:line="240" w:lineRule="auto"/>
              <w:jc w:val="left"/>
              <w:rPr>
                <w:rFonts w:ascii="Arial" w:hAnsi="Arial" w:cs="Arial"/>
                <w:b/>
                <w:sz w:val="16"/>
                <w:szCs w:val="16"/>
              </w:rPr>
            </w:pPr>
            <w:r w:rsidRPr="00E34449">
              <w:rPr>
                <w:rFonts w:ascii="Arial" w:hAnsi="Arial" w:cs="Arial"/>
                <w:b/>
                <w:sz w:val="16"/>
                <w:szCs w:val="16"/>
              </w:rPr>
              <w:t>Level of certainty of impact</w:t>
            </w:r>
          </w:p>
        </w:tc>
        <w:tc>
          <w:tcPr>
            <w:tcW w:w="6095" w:type="dxa"/>
          </w:tcPr>
          <w:p w14:paraId="019C874D" w14:textId="77777777" w:rsidR="00653E56" w:rsidRPr="00E34449" w:rsidRDefault="00653E56" w:rsidP="00E439A6">
            <w:pPr>
              <w:pStyle w:val="Tabletext"/>
              <w:spacing w:line="240" w:lineRule="auto"/>
              <w:jc w:val="left"/>
              <w:rPr>
                <w:rFonts w:ascii="Arial" w:hAnsi="Arial" w:cs="Arial"/>
                <w:sz w:val="16"/>
                <w:szCs w:val="16"/>
              </w:rPr>
            </w:pPr>
            <w:r w:rsidRPr="00E34449">
              <w:rPr>
                <w:rFonts w:ascii="Arial" w:hAnsi="Arial" w:cs="Arial"/>
                <w:sz w:val="16"/>
                <w:szCs w:val="16"/>
              </w:rPr>
              <w:t xml:space="preserve">HIGH. The impacts of oily water discharges on the marine environment are well studied. </w:t>
            </w:r>
          </w:p>
        </w:tc>
      </w:tr>
      <w:tr w:rsidR="00653E56" w:rsidRPr="00E34449" w14:paraId="4668A6A6" w14:textId="77777777" w:rsidTr="000D4F09">
        <w:trPr>
          <w:cantSplit/>
        </w:trPr>
        <w:tc>
          <w:tcPr>
            <w:tcW w:w="2977" w:type="dxa"/>
            <w:shd w:val="clear" w:color="auto" w:fill="BFBFBF" w:themeFill="background1" w:themeFillShade="BF"/>
          </w:tcPr>
          <w:p w14:paraId="16970BF5" w14:textId="77777777" w:rsidR="00653E56" w:rsidRPr="00E34449" w:rsidRDefault="00653E56" w:rsidP="003C089E">
            <w:pPr>
              <w:pStyle w:val="Tabletext"/>
              <w:spacing w:line="240" w:lineRule="auto"/>
              <w:jc w:val="left"/>
              <w:rPr>
                <w:rFonts w:ascii="Arial" w:hAnsi="Arial" w:cs="Arial"/>
                <w:b/>
                <w:sz w:val="16"/>
                <w:szCs w:val="16"/>
              </w:rPr>
            </w:pPr>
            <w:r w:rsidRPr="00E34449">
              <w:rPr>
                <w:rFonts w:ascii="Arial" w:hAnsi="Arial" w:cs="Arial"/>
                <w:b/>
                <w:sz w:val="16"/>
                <w:szCs w:val="16"/>
              </w:rPr>
              <w:t>Impact decision framework context</w:t>
            </w:r>
          </w:p>
        </w:tc>
        <w:tc>
          <w:tcPr>
            <w:tcW w:w="6095" w:type="dxa"/>
          </w:tcPr>
          <w:p w14:paraId="3BB268BB" w14:textId="414F7F94" w:rsidR="00653E56" w:rsidRPr="00E34449" w:rsidRDefault="00653E56" w:rsidP="00E439A6">
            <w:pPr>
              <w:pStyle w:val="Tabletext"/>
              <w:spacing w:line="240" w:lineRule="auto"/>
              <w:jc w:val="left"/>
              <w:rPr>
                <w:rFonts w:ascii="Arial" w:hAnsi="Arial" w:cs="Arial"/>
                <w:sz w:val="16"/>
                <w:szCs w:val="16"/>
              </w:rPr>
            </w:pPr>
            <w:r w:rsidRPr="00E34449">
              <w:rPr>
                <w:rFonts w:ascii="Arial" w:hAnsi="Arial" w:cs="Arial"/>
                <w:sz w:val="16"/>
                <w:szCs w:val="16"/>
              </w:rPr>
              <w:t xml:space="preserve">A (nothing new or unusual, </w:t>
            </w:r>
            <w:r w:rsidRPr="00993682">
              <w:rPr>
                <w:rFonts w:ascii="Arial" w:hAnsi="Arial" w:cs="Arial"/>
                <w:sz w:val="16"/>
                <w:szCs w:val="16"/>
              </w:rPr>
              <w:t xml:space="preserve">represents business as usual, well understood activity, good practice is well defined). </w:t>
            </w:r>
            <w:r w:rsidR="00993682" w:rsidRPr="004705DB">
              <w:rPr>
                <w:rFonts w:ascii="Arial" w:hAnsi="Arial" w:cs="Arial"/>
                <w:i/>
                <w:sz w:val="16"/>
                <w:szCs w:val="16"/>
              </w:rPr>
              <w:t>ALARP to be demonstrated on adherence to legislation, industry codes and good professional judgement</w:t>
            </w:r>
          </w:p>
        </w:tc>
      </w:tr>
    </w:tbl>
    <w:p w14:paraId="4939E139" w14:textId="77777777" w:rsidR="004D3F04" w:rsidRPr="00CF50AC" w:rsidRDefault="004D3F04" w:rsidP="005960C2">
      <w:pPr>
        <w:pStyle w:val="Heading2"/>
      </w:pPr>
      <w:bookmarkStart w:id="221" w:name="_Toc345581942"/>
      <w:bookmarkStart w:id="222" w:name="_Toc512862484"/>
      <w:r w:rsidRPr="00CF50AC">
        <w:lastRenderedPageBreak/>
        <w:t>RISK: Production Chemical Release</w:t>
      </w:r>
      <w:bookmarkEnd w:id="221"/>
      <w:bookmarkEnd w:id="222"/>
    </w:p>
    <w:p w14:paraId="4C822298" w14:textId="77777777" w:rsidR="004D3F04" w:rsidRDefault="004D3F04" w:rsidP="00595CBC">
      <w:pPr>
        <w:pStyle w:val="Heading3"/>
      </w:pPr>
      <w:r>
        <w:t>Hazard</w:t>
      </w:r>
    </w:p>
    <w:p w14:paraId="377607B9" w14:textId="77777777" w:rsidR="004D3F04" w:rsidRPr="005960C2" w:rsidRDefault="004D3F04" w:rsidP="001313DC">
      <w:pPr>
        <w:pStyle w:val="Bullet1"/>
        <w:numPr>
          <w:ilvl w:val="0"/>
          <w:numId w:val="0"/>
        </w:numPr>
        <w:ind w:left="720"/>
      </w:pPr>
      <w:r w:rsidRPr="005960C2">
        <w:t>The following unplanned activity has the potential to result in production chemicals being discharged to the ocean:</w:t>
      </w:r>
    </w:p>
    <w:p w14:paraId="46130A44" w14:textId="77777777" w:rsidR="004D3F04" w:rsidRPr="005960C2" w:rsidRDefault="004D3F04" w:rsidP="0036080A">
      <w:pPr>
        <w:pStyle w:val="Bullet1"/>
        <w:numPr>
          <w:ilvl w:val="0"/>
          <w:numId w:val="40"/>
        </w:numPr>
      </w:pPr>
      <w:r w:rsidRPr="005960C2">
        <w:t>Partial or full failure of the EHU due to:</w:t>
      </w:r>
    </w:p>
    <w:p w14:paraId="665CCD29" w14:textId="77777777" w:rsidR="004D3F04" w:rsidRPr="005960C2" w:rsidRDefault="004D3F04" w:rsidP="001313DC">
      <w:pPr>
        <w:pStyle w:val="Bullet2"/>
      </w:pPr>
      <w:r w:rsidRPr="005960C2">
        <w:t>Reverse flow of gas to umbilical (non-return valve failure).</w:t>
      </w:r>
    </w:p>
    <w:p w14:paraId="18A89115" w14:textId="77777777" w:rsidR="004D3F04" w:rsidRPr="005960C2" w:rsidRDefault="004D3F04" w:rsidP="001313DC">
      <w:pPr>
        <w:pStyle w:val="Bullet2"/>
      </w:pPr>
      <w:r w:rsidRPr="005960C2">
        <w:t>Impact:</w:t>
      </w:r>
    </w:p>
    <w:p w14:paraId="15D296D1" w14:textId="77777777" w:rsidR="004D3F04" w:rsidRPr="005960C2" w:rsidRDefault="004D3F04" w:rsidP="001313DC">
      <w:pPr>
        <w:pStyle w:val="Bullet2"/>
      </w:pPr>
      <w:r w:rsidRPr="005960C2">
        <w:t>Dropped objects.</w:t>
      </w:r>
    </w:p>
    <w:p w14:paraId="4AF08EA4" w14:textId="77777777" w:rsidR="004D3F04" w:rsidRPr="005960C2" w:rsidRDefault="004D3F04" w:rsidP="001313DC">
      <w:pPr>
        <w:pStyle w:val="Bullet2"/>
      </w:pPr>
      <w:r w:rsidRPr="005960C2">
        <w:t>Anchoring or trawling.</w:t>
      </w:r>
    </w:p>
    <w:p w14:paraId="099D04B2" w14:textId="77777777" w:rsidR="004D3F04" w:rsidRPr="005960C2" w:rsidRDefault="004D3F04" w:rsidP="001313DC">
      <w:pPr>
        <w:pStyle w:val="Bullet2"/>
      </w:pPr>
      <w:r w:rsidRPr="005960C2">
        <w:t>Fatigue:</w:t>
      </w:r>
    </w:p>
    <w:p w14:paraId="67C9CF58" w14:textId="77777777" w:rsidR="004D3F04" w:rsidRPr="005960C2" w:rsidRDefault="004D3F04" w:rsidP="001313DC">
      <w:pPr>
        <w:pStyle w:val="Bullet2"/>
      </w:pPr>
      <w:r w:rsidRPr="005960C2">
        <w:t>Earthquake.</w:t>
      </w:r>
    </w:p>
    <w:p w14:paraId="44244307" w14:textId="77777777" w:rsidR="004D3F04" w:rsidRPr="005960C2" w:rsidRDefault="004D3F04" w:rsidP="001313DC">
      <w:pPr>
        <w:pStyle w:val="Bullet2"/>
      </w:pPr>
      <w:r w:rsidRPr="005960C2">
        <w:t xml:space="preserve">Free span. </w:t>
      </w:r>
    </w:p>
    <w:p w14:paraId="3E2C3823" w14:textId="77777777" w:rsidR="004D3F04" w:rsidRPr="005960C2" w:rsidRDefault="004D3F04" w:rsidP="001313DC">
      <w:pPr>
        <w:pStyle w:val="Bullet2"/>
      </w:pPr>
      <w:r w:rsidRPr="005960C2">
        <w:t>Storm damage.</w:t>
      </w:r>
    </w:p>
    <w:p w14:paraId="41727354" w14:textId="77777777" w:rsidR="004D3F04" w:rsidRPr="005960C2" w:rsidRDefault="004D3F04" w:rsidP="001313DC">
      <w:pPr>
        <w:pStyle w:val="Bullet1"/>
        <w:numPr>
          <w:ilvl w:val="0"/>
          <w:numId w:val="0"/>
        </w:numPr>
        <w:ind w:left="720"/>
      </w:pPr>
      <w:r w:rsidRPr="005960C2">
        <w:t>The maximum volume of product of each chemical held in the EHU is:</w:t>
      </w:r>
    </w:p>
    <w:p w14:paraId="5EBF2479" w14:textId="0EE59D13" w:rsidR="004D3F04" w:rsidRPr="005960C2" w:rsidRDefault="004D3F04" w:rsidP="0036080A">
      <w:pPr>
        <w:pStyle w:val="Bullet1"/>
        <w:numPr>
          <w:ilvl w:val="0"/>
          <w:numId w:val="40"/>
        </w:numPr>
      </w:pPr>
      <w:r w:rsidRPr="005960C2">
        <w:t>4 m</w:t>
      </w:r>
      <w:r w:rsidRPr="003D0C5D">
        <w:t>3</w:t>
      </w:r>
      <w:r w:rsidRPr="005960C2">
        <w:t xml:space="preserve"> of MEG (including </w:t>
      </w:r>
      <w:r w:rsidR="0085646E">
        <w:t>scale</w:t>
      </w:r>
      <w:r w:rsidR="0085646E" w:rsidRPr="005960C2">
        <w:t xml:space="preserve"> </w:t>
      </w:r>
      <w:r w:rsidRPr="005960C2">
        <w:t xml:space="preserve">inhibitor) (has an ‘E’ </w:t>
      </w:r>
      <w:r w:rsidR="0085646E">
        <w:t xml:space="preserve">and ‘D’ </w:t>
      </w:r>
      <w:r w:rsidRPr="005960C2">
        <w:t>non-CHARM OCNS</w:t>
      </w:r>
      <w:r w:rsidR="005960C2">
        <w:t xml:space="preserve"> </w:t>
      </w:r>
      <w:r w:rsidRPr="005960C2">
        <w:t>rating</w:t>
      </w:r>
      <w:r w:rsidR="0085646E">
        <w:t xml:space="preserve"> respectively</w:t>
      </w:r>
      <w:r w:rsidRPr="005960C2">
        <w:t xml:space="preserve">); </w:t>
      </w:r>
    </w:p>
    <w:p w14:paraId="65E71052" w14:textId="77777777" w:rsidR="004D3F04" w:rsidRPr="005960C2" w:rsidRDefault="004D3F04" w:rsidP="0036080A">
      <w:pPr>
        <w:pStyle w:val="Bullet1"/>
        <w:numPr>
          <w:ilvl w:val="0"/>
          <w:numId w:val="40"/>
        </w:numPr>
      </w:pPr>
      <w:r w:rsidRPr="005960C2">
        <w:t>1.3 m</w:t>
      </w:r>
      <w:r w:rsidRPr="003D0C5D">
        <w:t>3</w:t>
      </w:r>
      <w:r w:rsidRPr="005960C2">
        <w:t xml:space="preserve"> of methanol (has an ‘E’ non-CHARM OCNS rating); and</w:t>
      </w:r>
    </w:p>
    <w:p w14:paraId="6C69F5E0" w14:textId="3DCD8FD4" w:rsidR="004D3F04" w:rsidRDefault="0077498D" w:rsidP="0036080A">
      <w:pPr>
        <w:pStyle w:val="Bullet1"/>
        <w:numPr>
          <w:ilvl w:val="0"/>
          <w:numId w:val="40"/>
        </w:numPr>
      </w:pPr>
      <w:r>
        <w:t>6</w:t>
      </w:r>
      <w:r w:rsidR="004D3F04" w:rsidRPr="005960C2">
        <w:t xml:space="preserve"> m</w:t>
      </w:r>
      <w:r w:rsidR="004D3F04" w:rsidRPr="003D0C5D">
        <w:t>3</w:t>
      </w:r>
      <w:r w:rsidR="004D3F04" w:rsidRPr="005960C2">
        <w:t xml:space="preserve"> </w:t>
      </w:r>
      <w:r>
        <w:t xml:space="preserve">per core </w:t>
      </w:r>
      <w:r w:rsidR="004D3F04" w:rsidRPr="005960C2">
        <w:t>of hydraulic fluid (has a ‘D’ non-CHARM OCNS rating) (</w:t>
      </w:r>
      <w:r w:rsidR="00DE5215">
        <w:t xml:space="preserve">4 cores - </w:t>
      </w:r>
      <w:r>
        <w:t>24</w:t>
      </w:r>
      <w:r w:rsidR="0085646E" w:rsidRPr="005960C2">
        <w:t xml:space="preserve"> </w:t>
      </w:r>
      <w:r w:rsidR="004D3F04" w:rsidRPr="005960C2">
        <w:t>m</w:t>
      </w:r>
      <w:r w:rsidR="004D3F04" w:rsidRPr="003D0C5D">
        <w:t>3</w:t>
      </w:r>
      <w:r w:rsidR="004D3F04" w:rsidRPr="005960C2">
        <w:t xml:space="preserve"> total inventory).</w:t>
      </w:r>
    </w:p>
    <w:p w14:paraId="380A7548" w14:textId="2921B0CC" w:rsidR="004D3F04" w:rsidRDefault="004D3F04" w:rsidP="00595CBC">
      <w:pPr>
        <w:pStyle w:val="Heading3"/>
      </w:pPr>
      <w:r>
        <w:t>Known and Potential Impacts</w:t>
      </w:r>
    </w:p>
    <w:p w14:paraId="04421C02" w14:textId="77777777" w:rsidR="004D3F04" w:rsidRPr="005960C2" w:rsidRDefault="004D3F04" w:rsidP="00DE5215">
      <w:pPr>
        <w:pStyle w:val="BodyText"/>
        <w:spacing w:after="240"/>
        <w:ind w:left="720"/>
        <w:rPr>
          <w:szCs w:val="20"/>
          <w:lang w:eastAsia="en-US"/>
        </w:rPr>
      </w:pPr>
      <w:r w:rsidRPr="005960C2">
        <w:rPr>
          <w:szCs w:val="20"/>
          <w:lang w:eastAsia="en-US"/>
        </w:rPr>
        <w:t>The known and potential impacts of the release of low-toxicity, highly diluted chemicals (MEG, methanol, corrosion inhibitor and hydraulic fluid) are:</w:t>
      </w:r>
    </w:p>
    <w:p w14:paraId="77392BD3" w14:textId="77777777" w:rsidR="004D3F04" w:rsidRPr="005960C2" w:rsidRDefault="004D3F04" w:rsidP="0036080A">
      <w:pPr>
        <w:pStyle w:val="Bullet1"/>
        <w:numPr>
          <w:ilvl w:val="0"/>
          <w:numId w:val="40"/>
        </w:numPr>
      </w:pPr>
      <w:r w:rsidRPr="005960C2">
        <w:t>A temporary and localised reduction in water quality; and</w:t>
      </w:r>
    </w:p>
    <w:p w14:paraId="67533935" w14:textId="6B4CFA19" w:rsidR="004D3F04" w:rsidRPr="005960C2" w:rsidRDefault="004D3F04" w:rsidP="0036080A">
      <w:pPr>
        <w:pStyle w:val="Bullet1"/>
        <w:numPr>
          <w:ilvl w:val="0"/>
          <w:numId w:val="40"/>
        </w:numPr>
      </w:pPr>
      <w:r w:rsidRPr="005960C2">
        <w:t xml:space="preserve">Toxicity to </w:t>
      </w:r>
      <w:r w:rsidRPr="00BF5698">
        <w:t>exposed marine fauna</w:t>
      </w:r>
      <w:r w:rsidR="00C77B39" w:rsidRPr="00BF5698">
        <w:t xml:space="preserve"> and benthic species</w:t>
      </w:r>
      <w:r w:rsidR="00BF5698" w:rsidRPr="00BF5698">
        <w:t>.</w:t>
      </w:r>
    </w:p>
    <w:p w14:paraId="7EC69452" w14:textId="77777777" w:rsidR="004D3F04" w:rsidRPr="00DE5215" w:rsidRDefault="004D3F04" w:rsidP="00DE5215">
      <w:pPr>
        <w:pStyle w:val="BodyText"/>
        <w:ind w:left="709"/>
        <w:rPr>
          <w:b/>
          <w:u w:val="single"/>
        </w:rPr>
      </w:pPr>
      <w:r w:rsidRPr="00DE5215">
        <w:rPr>
          <w:b/>
          <w:u w:val="single"/>
        </w:rPr>
        <w:t>EMBA</w:t>
      </w:r>
    </w:p>
    <w:p w14:paraId="2335077A" w14:textId="0508409A" w:rsidR="004D3F04" w:rsidRPr="005960C2" w:rsidRDefault="00BF5698" w:rsidP="00DE5215">
      <w:pPr>
        <w:pStyle w:val="BodyText"/>
        <w:ind w:left="709"/>
        <w:rPr>
          <w:szCs w:val="20"/>
          <w:lang w:eastAsia="en-US"/>
        </w:rPr>
      </w:pPr>
      <w:r>
        <w:rPr>
          <w:szCs w:val="20"/>
          <w:lang w:eastAsia="en-US"/>
        </w:rPr>
        <w:t>Given the small volumes of chemical released and the rapid dilution which will be experienced in the high energy marine environment of the Otway Basin, t</w:t>
      </w:r>
      <w:r w:rsidR="004D3F04" w:rsidRPr="005960C2">
        <w:rPr>
          <w:szCs w:val="20"/>
          <w:lang w:eastAsia="en-US"/>
        </w:rPr>
        <w:t xml:space="preserve">he EMBA for chemical release is </w:t>
      </w:r>
      <w:r>
        <w:rPr>
          <w:szCs w:val="20"/>
          <w:lang w:eastAsia="en-US"/>
        </w:rPr>
        <w:t>expected to be localised around</w:t>
      </w:r>
      <w:r w:rsidR="004D3F04" w:rsidRPr="005960C2">
        <w:rPr>
          <w:szCs w:val="20"/>
          <w:lang w:eastAsia="en-US"/>
        </w:rPr>
        <w:t xml:space="preserve"> the discharge point. </w:t>
      </w:r>
    </w:p>
    <w:p w14:paraId="43AA284C" w14:textId="77777777" w:rsidR="004D3F04" w:rsidRPr="00DE5215" w:rsidRDefault="004D3F04" w:rsidP="00DE5215">
      <w:pPr>
        <w:pStyle w:val="BodyText"/>
        <w:ind w:left="709"/>
        <w:rPr>
          <w:b/>
          <w:u w:val="single"/>
        </w:rPr>
      </w:pPr>
      <w:r w:rsidRPr="00DE5215">
        <w:rPr>
          <w:b/>
          <w:u w:val="single"/>
        </w:rPr>
        <w:t>Receptors within the EMBA</w:t>
      </w:r>
    </w:p>
    <w:p w14:paraId="71D8C5BF" w14:textId="77777777" w:rsidR="004D3F04" w:rsidRPr="005960C2" w:rsidRDefault="004D3F04" w:rsidP="00DE5215">
      <w:pPr>
        <w:pStyle w:val="BodyText"/>
        <w:ind w:left="709"/>
        <w:rPr>
          <w:szCs w:val="20"/>
          <w:lang w:eastAsia="en-US"/>
        </w:rPr>
      </w:pPr>
      <w:r w:rsidRPr="005960C2">
        <w:rPr>
          <w:szCs w:val="20"/>
          <w:lang w:eastAsia="en-US"/>
        </w:rPr>
        <w:t xml:space="preserve">Receptors that may occur within this EMBA, either as residents or migrants, are: </w:t>
      </w:r>
    </w:p>
    <w:p w14:paraId="24271DEF" w14:textId="2AC0420C" w:rsidR="004D3F04" w:rsidRPr="00876326" w:rsidRDefault="004D3F04" w:rsidP="0036080A">
      <w:pPr>
        <w:pStyle w:val="Bullet1"/>
        <w:numPr>
          <w:ilvl w:val="0"/>
          <w:numId w:val="40"/>
        </w:numPr>
      </w:pPr>
      <w:r w:rsidRPr="00876326">
        <w:t>Benthic species</w:t>
      </w:r>
      <w:r w:rsidR="00BF5698" w:rsidRPr="00876326">
        <w:t xml:space="preserve"> including filter-feeding epifauna</w:t>
      </w:r>
      <w:r w:rsidR="00876326" w:rsidRPr="00876326">
        <w:t xml:space="preserve"> such as sponges</w:t>
      </w:r>
      <w:r w:rsidR="00347FA7">
        <w:t>, macroalage</w:t>
      </w:r>
      <w:r w:rsidR="00B2626A">
        <w:t xml:space="preserve"> and rocky hard substrate species</w:t>
      </w:r>
      <w:r w:rsidR="00347FA7">
        <w:t xml:space="preserve"> such as bryozoans (water depths &gt; 60 m)</w:t>
      </w:r>
      <w:r w:rsidRPr="00876326">
        <w:t>;</w:t>
      </w:r>
    </w:p>
    <w:p w14:paraId="0BB422E2" w14:textId="554DDFFB" w:rsidR="004D3F04" w:rsidRPr="005960C2" w:rsidRDefault="004D3F04" w:rsidP="0036080A">
      <w:pPr>
        <w:pStyle w:val="Bullet1"/>
        <w:numPr>
          <w:ilvl w:val="0"/>
          <w:numId w:val="40"/>
        </w:numPr>
      </w:pPr>
      <w:r w:rsidRPr="005960C2">
        <w:t xml:space="preserve">Pelagic </w:t>
      </w:r>
      <w:r w:rsidR="00347FA7">
        <w:t xml:space="preserve">and demersal </w:t>
      </w:r>
      <w:r w:rsidRPr="005960C2">
        <w:t>fish; and</w:t>
      </w:r>
    </w:p>
    <w:p w14:paraId="18AAEF67" w14:textId="77777777" w:rsidR="004D3F04" w:rsidRPr="005960C2" w:rsidRDefault="004D3F04" w:rsidP="0036080A">
      <w:pPr>
        <w:pStyle w:val="Bullet1"/>
        <w:numPr>
          <w:ilvl w:val="0"/>
          <w:numId w:val="40"/>
        </w:numPr>
      </w:pPr>
      <w:r w:rsidRPr="005960C2">
        <w:t>Plankton.</w:t>
      </w:r>
    </w:p>
    <w:p w14:paraId="70AEF7D7" w14:textId="77777777" w:rsidR="004D3F04" w:rsidRDefault="004D3F04" w:rsidP="00595CBC">
      <w:pPr>
        <w:pStyle w:val="Heading3"/>
      </w:pPr>
      <w:r>
        <w:t>Evaluation of Environmental Impacts</w:t>
      </w:r>
    </w:p>
    <w:p w14:paraId="0366E081" w14:textId="28A2F6B7" w:rsidR="004D3F04" w:rsidRPr="005960C2" w:rsidRDefault="004D3F04" w:rsidP="00DE5215">
      <w:pPr>
        <w:pStyle w:val="BodyText"/>
        <w:ind w:left="720"/>
        <w:rPr>
          <w:szCs w:val="20"/>
          <w:u w:val="single"/>
          <w:lang w:eastAsia="en-US"/>
        </w:rPr>
      </w:pPr>
      <w:r w:rsidRPr="005960C2">
        <w:rPr>
          <w:szCs w:val="20"/>
          <w:u w:val="single"/>
          <w:lang w:eastAsia="en-US"/>
        </w:rPr>
        <w:t>Temporary and localised reduction of water quality</w:t>
      </w:r>
    </w:p>
    <w:p w14:paraId="1CBF6FD6" w14:textId="7E5B6EAC" w:rsidR="004D3F04" w:rsidRDefault="004D3F04" w:rsidP="003C089E">
      <w:pPr>
        <w:pStyle w:val="BodyText"/>
        <w:ind w:left="720"/>
        <w:rPr>
          <w:szCs w:val="20"/>
          <w:lang w:eastAsia="en-US"/>
        </w:rPr>
      </w:pPr>
      <w:r w:rsidRPr="005960C2">
        <w:rPr>
          <w:szCs w:val="20"/>
          <w:lang w:eastAsia="en-US"/>
        </w:rPr>
        <w:t xml:space="preserve">The low volume of low toxicity chemicals that may be released from the EHU to the ocean has a very low potential to temporarily reduce water quality and cause physiological damage to marine </w:t>
      </w:r>
      <w:r w:rsidR="00876326">
        <w:rPr>
          <w:szCs w:val="20"/>
          <w:lang w:eastAsia="en-US"/>
        </w:rPr>
        <w:t xml:space="preserve">and benthic </w:t>
      </w:r>
      <w:r w:rsidRPr="005960C2">
        <w:rPr>
          <w:szCs w:val="20"/>
          <w:lang w:eastAsia="en-US"/>
        </w:rPr>
        <w:t xml:space="preserve">fauna that may ingest or absorb chemicals. </w:t>
      </w:r>
      <w:r w:rsidR="00876326">
        <w:rPr>
          <w:szCs w:val="20"/>
          <w:lang w:eastAsia="en-US"/>
        </w:rPr>
        <w:t>T</w:t>
      </w:r>
      <w:r w:rsidRPr="005960C2">
        <w:rPr>
          <w:szCs w:val="20"/>
          <w:lang w:eastAsia="en-US"/>
        </w:rPr>
        <w:t>he greatest risk will be to plankton and pelagic fish as the plume of chemicals disperse</w:t>
      </w:r>
      <w:r w:rsidR="00876326">
        <w:rPr>
          <w:szCs w:val="20"/>
          <w:lang w:eastAsia="en-US"/>
        </w:rPr>
        <w:t xml:space="preserve"> or to benthic fauna immediate adjacent to the leak site</w:t>
      </w:r>
      <w:r w:rsidRPr="005960C2">
        <w:rPr>
          <w:szCs w:val="20"/>
          <w:lang w:eastAsia="en-US"/>
        </w:rPr>
        <w:t xml:space="preserve">. This </w:t>
      </w:r>
      <w:r w:rsidR="0077498D">
        <w:rPr>
          <w:szCs w:val="20"/>
          <w:lang w:eastAsia="en-US"/>
        </w:rPr>
        <w:t xml:space="preserve">limited volume </w:t>
      </w:r>
      <w:r w:rsidRPr="005960C2">
        <w:rPr>
          <w:szCs w:val="20"/>
          <w:lang w:eastAsia="en-US"/>
        </w:rPr>
        <w:t>discharge would be rapidly diluted, dis</w:t>
      </w:r>
      <w:r w:rsidR="007D4D27">
        <w:rPr>
          <w:szCs w:val="20"/>
          <w:lang w:eastAsia="en-US"/>
        </w:rPr>
        <w:t>persed</w:t>
      </w:r>
      <w:r w:rsidRPr="005960C2">
        <w:rPr>
          <w:szCs w:val="20"/>
          <w:lang w:eastAsia="en-US"/>
        </w:rPr>
        <w:t xml:space="preserve"> </w:t>
      </w:r>
      <w:r w:rsidRPr="005960C2">
        <w:rPr>
          <w:szCs w:val="20"/>
          <w:lang w:eastAsia="en-US"/>
        </w:rPr>
        <w:lastRenderedPageBreak/>
        <w:t xml:space="preserve">and degraded </w:t>
      </w:r>
      <w:r w:rsidR="0077498D">
        <w:rPr>
          <w:szCs w:val="20"/>
          <w:lang w:eastAsia="en-US"/>
        </w:rPr>
        <w:t xml:space="preserve">rapidly </w:t>
      </w:r>
      <w:r w:rsidRPr="005960C2">
        <w:rPr>
          <w:szCs w:val="20"/>
          <w:lang w:eastAsia="en-US"/>
        </w:rPr>
        <w:t>to undetectable levels</w:t>
      </w:r>
      <w:r w:rsidR="00876326">
        <w:rPr>
          <w:szCs w:val="20"/>
          <w:lang w:eastAsia="en-US"/>
        </w:rPr>
        <w:t xml:space="preserve"> rapidly in the dispersive Otway marine environment</w:t>
      </w:r>
      <w:r w:rsidRPr="005960C2">
        <w:rPr>
          <w:szCs w:val="20"/>
          <w:lang w:eastAsia="en-US"/>
        </w:rPr>
        <w:t xml:space="preserve">. </w:t>
      </w:r>
    </w:p>
    <w:p w14:paraId="77321657" w14:textId="77777777" w:rsidR="004D3F04" w:rsidRPr="005960C2" w:rsidRDefault="004D3F04" w:rsidP="003C089E">
      <w:pPr>
        <w:pStyle w:val="BodyText"/>
        <w:ind w:left="720"/>
        <w:rPr>
          <w:szCs w:val="20"/>
          <w:u w:val="single"/>
          <w:lang w:eastAsia="en-US"/>
        </w:rPr>
      </w:pPr>
      <w:r w:rsidRPr="005960C2">
        <w:rPr>
          <w:szCs w:val="20"/>
          <w:u w:val="single"/>
          <w:lang w:eastAsia="en-US"/>
        </w:rPr>
        <w:t>Toxicity to marine fauna</w:t>
      </w:r>
    </w:p>
    <w:p w14:paraId="5790113F" w14:textId="48A2501F" w:rsidR="004D3F04" w:rsidRDefault="0061242C" w:rsidP="00626C17">
      <w:pPr>
        <w:pStyle w:val="BodyText"/>
        <w:ind w:left="720"/>
        <w:rPr>
          <w:szCs w:val="20"/>
          <w:lang w:eastAsia="en-US"/>
        </w:rPr>
      </w:pPr>
      <w:r w:rsidRPr="00DE5215">
        <w:rPr>
          <w:szCs w:val="20"/>
          <w:lang w:eastAsia="en-US"/>
        </w:rPr>
        <w:t>EHU</w:t>
      </w:r>
      <w:r>
        <w:rPr>
          <w:szCs w:val="20"/>
          <w:lang w:eastAsia="en-US"/>
        </w:rPr>
        <w:t xml:space="preserve">: </w:t>
      </w:r>
      <w:r w:rsidR="004D3F04" w:rsidRPr="005960C2">
        <w:rPr>
          <w:szCs w:val="20"/>
          <w:lang w:eastAsia="en-US"/>
        </w:rPr>
        <w:t>The low environmental toxicity of each chemical</w:t>
      </w:r>
      <w:r w:rsidR="002A0D04">
        <w:rPr>
          <w:szCs w:val="20"/>
          <w:lang w:eastAsia="en-US"/>
        </w:rPr>
        <w:t xml:space="preserve"> in the EHU</w:t>
      </w:r>
      <w:r w:rsidR="004D3F04" w:rsidRPr="005960C2">
        <w:rPr>
          <w:szCs w:val="20"/>
          <w:lang w:eastAsia="en-US"/>
        </w:rPr>
        <w:t xml:space="preserve">, combined with their low concentrations, small volumes and the action of rapid dispersion and dilution in the open ocean will ensure no acute or chronic toxicity impacts to marine </w:t>
      </w:r>
      <w:r w:rsidR="00876326">
        <w:rPr>
          <w:szCs w:val="20"/>
          <w:lang w:eastAsia="en-US"/>
        </w:rPr>
        <w:t xml:space="preserve">or benthic </w:t>
      </w:r>
      <w:r w:rsidR="004D3F04" w:rsidRPr="005960C2">
        <w:rPr>
          <w:szCs w:val="20"/>
          <w:lang w:eastAsia="en-US"/>
        </w:rPr>
        <w:t xml:space="preserve">fauna or plankton through ingestion or absorption </w:t>
      </w:r>
      <w:r w:rsidR="002A0D04">
        <w:rPr>
          <w:szCs w:val="20"/>
          <w:lang w:eastAsia="en-US"/>
        </w:rPr>
        <w:t>(negligible consequence)</w:t>
      </w:r>
      <w:r w:rsidR="004D3F04" w:rsidRPr="005960C2">
        <w:rPr>
          <w:szCs w:val="20"/>
          <w:lang w:eastAsia="en-US"/>
        </w:rPr>
        <w:t xml:space="preserve">. </w:t>
      </w:r>
    </w:p>
    <w:p w14:paraId="4CF291A7" w14:textId="77777777" w:rsidR="004D3F04" w:rsidRPr="00DE5215" w:rsidRDefault="004D3F04" w:rsidP="00626C17">
      <w:pPr>
        <w:pStyle w:val="BodyText"/>
        <w:ind w:left="720"/>
        <w:rPr>
          <w:b/>
          <w:u w:val="single"/>
        </w:rPr>
      </w:pPr>
      <w:r w:rsidRPr="00DE5215">
        <w:rPr>
          <w:b/>
          <w:u w:val="single"/>
        </w:rPr>
        <w:t>Impacts to Matters of NES</w:t>
      </w:r>
    </w:p>
    <w:p w14:paraId="32B155AE" w14:textId="0162F26B" w:rsidR="00014C38" w:rsidRDefault="004D3F04" w:rsidP="00E439A6">
      <w:pPr>
        <w:pStyle w:val="BodyText"/>
        <w:ind w:left="720"/>
        <w:rPr>
          <w:szCs w:val="20"/>
          <w:lang w:eastAsia="en-US"/>
        </w:rPr>
      </w:pPr>
      <w:r w:rsidRPr="005960C2">
        <w:rPr>
          <w:szCs w:val="20"/>
          <w:lang w:eastAsia="en-US"/>
        </w:rPr>
        <w:t>The discharge of production chemicals will not have a ‘significant’ impact to any of the matters of NES applicable to this project</w:t>
      </w:r>
      <w:r w:rsidR="00014C38">
        <w:rPr>
          <w:szCs w:val="20"/>
          <w:lang w:eastAsia="en-US"/>
        </w:rPr>
        <w:t>.</w:t>
      </w:r>
    </w:p>
    <w:p w14:paraId="49F2A3EE" w14:textId="79C26BDF" w:rsidR="004D3F04" w:rsidRPr="00DE5215" w:rsidRDefault="004D3F04" w:rsidP="00E439A6">
      <w:pPr>
        <w:pStyle w:val="BodyText"/>
        <w:ind w:left="720"/>
        <w:rPr>
          <w:b/>
          <w:u w:val="single"/>
        </w:rPr>
      </w:pPr>
      <w:r w:rsidRPr="00DE5215">
        <w:rPr>
          <w:b/>
          <w:u w:val="single"/>
        </w:rPr>
        <w:t>Impacts to other areas of Conservation Significance</w:t>
      </w:r>
    </w:p>
    <w:p w14:paraId="073F5971" w14:textId="1D6F0AFD" w:rsidR="00014C38" w:rsidRDefault="004D3F04" w:rsidP="00E439A6">
      <w:pPr>
        <w:pStyle w:val="BodyText"/>
        <w:ind w:left="709"/>
      </w:pPr>
      <w:r w:rsidRPr="005960C2">
        <w:rPr>
          <w:szCs w:val="20"/>
          <w:lang w:eastAsia="en-US"/>
        </w:rPr>
        <w:t>There are no other areas of conservation significance within the EMBA by a production chemical discharge. This discharge will not have any impacts to other areas of conservation significance</w:t>
      </w:r>
      <w:r w:rsidR="00014C38">
        <w:rPr>
          <w:szCs w:val="20"/>
          <w:lang w:eastAsia="en-US"/>
        </w:rPr>
        <w:t>.</w:t>
      </w:r>
    </w:p>
    <w:p w14:paraId="23439CE5" w14:textId="4E149906" w:rsidR="004D3F04" w:rsidRDefault="00F94759" w:rsidP="001371AD">
      <w:pPr>
        <w:pStyle w:val="Heading3"/>
      </w:pPr>
      <w:r>
        <w:t>Risk</w:t>
      </w:r>
      <w:r w:rsidR="004D3F04">
        <w:t xml:space="preserve"> Assessment</w:t>
      </w:r>
    </w:p>
    <w:p w14:paraId="73E6CEEF" w14:textId="79589D29" w:rsidR="004D3F04" w:rsidRDefault="00FB508F" w:rsidP="00DE5215">
      <w:pPr>
        <w:pStyle w:val="BodyText"/>
        <w:ind w:left="720"/>
        <w:rPr>
          <w:lang w:eastAsia="en-US"/>
        </w:rPr>
      </w:pPr>
      <w:r w:rsidRPr="00FB508F">
        <w:rPr>
          <w:color w:val="FF0000"/>
          <w:lang w:eastAsia="en-US"/>
        </w:rPr>
        <w:fldChar w:fldCharType="begin"/>
      </w:r>
      <w:r w:rsidRPr="00FB508F">
        <w:rPr>
          <w:color w:val="FF0000"/>
          <w:lang w:eastAsia="en-US"/>
        </w:rPr>
        <w:instrText xml:space="preserve"> REF _Ref473386711 \h </w:instrText>
      </w:r>
      <w:r>
        <w:rPr>
          <w:color w:val="FF0000"/>
          <w:lang w:eastAsia="en-US"/>
        </w:rPr>
        <w:instrText xml:space="preserve"> \* MERGEFORMAT </w:instrText>
      </w:r>
      <w:r w:rsidRPr="00FB508F">
        <w:rPr>
          <w:color w:val="FF0000"/>
          <w:lang w:eastAsia="en-US"/>
        </w:rPr>
      </w:r>
      <w:r w:rsidRPr="00FB508F">
        <w:rPr>
          <w:color w:val="FF0000"/>
          <w:lang w:eastAsia="en-US"/>
        </w:rPr>
        <w:fldChar w:fldCharType="separate"/>
      </w:r>
      <w:r w:rsidR="00CC4C35" w:rsidRPr="00CC4C35">
        <w:t xml:space="preserve">Table </w:t>
      </w:r>
      <w:r w:rsidR="00CC4C35" w:rsidRPr="00CC4C35">
        <w:rPr>
          <w:noProof/>
        </w:rPr>
        <w:t>5</w:t>
      </w:r>
      <w:r w:rsidR="00CC4C35" w:rsidRPr="00CC4C35">
        <w:rPr>
          <w:noProof/>
        </w:rPr>
        <w:noBreakHyphen/>
        <w:t>12</w:t>
      </w:r>
      <w:r w:rsidRPr="00FB508F">
        <w:rPr>
          <w:color w:val="FF0000"/>
          <w:lang w:eastAsia="en-US"/>
        </w:rPr>
        <w:fldChar w:fldCharType="end"/>
      </w:r>
      <w:r w:rsidRPr="00FB508F">
        <w:rPr>
          <w:color w:val="FF0000"/>
          <w:lang w:eastAsia="en-US"/>
        </w:rPr>
        <w:t xml:space="preserve"> </w:t>
      </w:r>
      <w:r w:rsidR="004D3F04" w:rsidRPr="00FB508F">
        <w:rPr>
          <w:lang w:eastAsia="en-US"/>
        </w:rPr>
        <w:t>presents the risk assessment for an unplanned production chemical release</w:t>
      </w:r>
      <w:r w:rsidR="004D3F04">
        <w:rPr>
          <w:lang w:eastAsia="en-US"/>
        </w:rPr>
        <w:t>.</w:t>
      </w:r>
    </w:p>
    <w:p w14:paraId="789DAD8B" w14:textId="5A7A43FE" w:rsidR="004D3F04" w:rsidRPr="00ED5388" w:rsidRDefault="00FB508F" w:rsidP="00B86A7D">
      <w:pPr>
        <w:pStyle w:val="Caption"/>
        <w:outlineLvl w:val="9"/>
        <w:rPr>
          <w:sz w:val="20"/>
          <w:szCs w:val="20"/>
        </w:rPr>
      </w:pPr>
      <w:bookmarkStart w:id="223" w:name="_Ref473386711"/>
      <w:bookmarkStart w:id="224" w:name="_Toc511032603"/>
      <w:r w:rsidRPr="00FB508F">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12</w:t>
      </w:r>
      <w:r w:rsidR="00103328">
        <w:rPr>
          <w:sz w:val="20"/>
          <w:szCs w:val="20"/>
        </w:rPr>
        <w:fldChar w:fldCharType="end"/>
      </w:r>
      <w:bookmarkEnd w:id="223"/>
      <w:r w:rsidRPr="00FB508F">
        <w:rPr>
          <w:sz w:val="20"/>
          <w:szCs w:val="20"/>
        </w:rPr>
        <w:t>: ERA for unplanned production chemical release</w:t>
      </w:r>
      <w:bookmarkEnd w:id="224"/>
    </w:p>
    <w:tbl>
      <w:tblPr>
        <w:tblW w:w="9072" w:type="dxa"/>
        <w:tblInd w:w="1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268"/>
        <w:gridCol w:w="6804"/>
      </w:tblGrid>
      <w:tr w:rsidR="00C0232D" w:rsidRPr="00FB508F" w14:paraId="24DD4320" w14:textId="77777777" w:rsidTr="004D3F04">
        <w:trPr>
          <w:cantSplit/>
        </w:trPr>
        <w:tc>
          <w:tcPr>
            <w:tcW w:w="2268" w:type="dxa"/>
            <w:shd w:val="clear" w:color="auto" w:fill="BFBFBF" w:themeFill="background1" w:themeFillShade="BF"/>
          </w:tcPr>
          <w:p w14:paraId="11A1C87E" w14:textId="5764E0AA" w:rsidR="00C0232D" w:rsidRPr="00FB508F" w:rsidRDefault="00C0232D" w:rsidP="00E439A6">
            <w:pPr>
              <w:pStyle w:val="Tabletext"/>
              <w:spacing w:line="240" w:lineRule="auto"/>
              <w:rPr>
                <w:rFonts w:ascii="Arial" w:hAnsi="Arial" w:cs="Arial"/>
                <w:b/>
                <w:sz w:val="16"/>
                <w:szCs w:val="16"/>
              </w:rPr>
            </w:pPr>
            <w:r>
              <w:rPr>
                <w:rFonts w:ascii="Arial" w:hAnsi="Arial" w:cs="Arial"/>
                <w:b/>
                <w:sz w:val="16"/>
                <w:szCs w:val="16"/>
              </w:rPr>
              <w:t>Aspect:</w:t>
            </w:r>
          </w:p>
        </w:tc>
        <w:tc>
          <w:tcPr>
            <w:tcW w:w="6804" w:type="dxa"/>
          </w:tcPr>
          <w:p w14:paraId="0695334A" w14:textId="540BC2E2" w:rsidR="00C0232D" w:rsidRPr="00FB508F" w:rsidRDefault="00C0232D" w:rsidP="00E439A6">
            <w:pPr>
              <w:pStyle w:val="Tabletext"/>
              <w:spacing w:line="240" w:lineRule="auto"/>
              <w:jc w:val="left"/>
              <w:rPr>
                <w:rFonts w:ascii="Arial" w:hAnsi="Arial" w:cs="Arial"/>
                <w:sz w:val="16"/>
                <w:szCs w:val="16"/>
              </w:rPr>
            </w:pPr>
            <w:r>
              <w:rPr>
                <w:rFonts w:ascii="Arial" w:hAnsi="Arial" w:cs="Arial"/>
                <w:sz w:val="16"/>
                <w:szCs w:val="16"/>
              </w:rPr>
              <w:t>Production Chemical Release</w:t>
            </w:r>
          </w:p>
        </w:tc>
      </w:tr>
      <w:tr w:rsidR="004D3F04" w:rsidRPr="00FB508F" w14:paraId="5602EC07" w14:textId="77777777" w:rsidTr="004D3F04">
        <w:trPr>
          <w:cantSplit/>
        </w:trPr>
        <w:tc>
          <w:tcPr>
            <w:tcW w:w="2268" w:type="dxa"/>
            <w:shd w:val="clear" w:color="auto" w:fill="BFBFBF" w:themeFill="background1" w:themeFillShade="BF"/>
          </w:tcPr>
          <w:p w14:paraId="54179E1D" w14:textId="77777777" w:rsidR="004D3F04" w:rsidRPr="00FB508F" w:rsidRDefault="004D3F04" w:rsidP="00E439A6">
            <w:pPr>
              <w:pStyle w:val="Tabletext"/>
              <w:spacing w:line="240" w:lineRule="auto"/>
              <w:rPr>
                <w:rFonts w:ascii="Arial" w:hAnsi="Arial" w:cs="Arial"/>
                <w:b/>
                <w:sz w:val="16"/>
                <w:szCs w:val="16"/>
              </w:rPr>
            </w:pPr>
            <w:r w:rsidRPr="00FB508F">
              <w:rPr>
                <w:rFonts w:ascii="Arial" w:hAnsi="Arial" w:cs="Arial"/>
                <w:b/>
                <w:sz w:val="16"/>
                <w:szCs w:val="16"/>
              </w:rPr>
              <w:t xml:space="preserve">Impact summary </w:t>
            </w:r>
          </w:p>
        </w:tc>
        <w:tc>
          <w:tcPr>
            <w:tcW w:w="6804" w:type="dxa"/>
          </w:tcPr>
          <w:p w14:paraId="291998AD" w14:textId="51E6D556" w:rsidR="004D3F04" w:rsidRPr="00FB508F" w:rsidRDefault="004D3F04" w:rsidP="00E439A6">
            <w:pPr>
              <w:pStyle w:val="Tabletext"/>
              <w:spacing w:line="240" w:lineRule="auto"/>
              <w:jc w:val="left"/>
              <w:rPr>
                <w:rFonts w:ascii="Arial" w:hAnsi="Arial" w:cs="Arial"/>
                <w:sz w:val="16"/>
                <w:szCs w:val="16"/>
              </w:rPr>
            </w:pPr>
            <w:r w:rsidRPr="00FB508F">
              <w:rPr>
                <w:rFonts w:ascii="Arial" w:hAnsi="Arial" w:cs="Arial"/>
                <w:sz w:val="16"/>
                <w:szCs w:val="16"/>
              </w:rPr>
              <w:t xml:space="preserve">Marine pollution, potentially leading to </w:t>
            </w:r>
            <w:r w:rsidR="00895F9B">
              <w:rPr>
                <w:rFonts w:ascii="Arial" w:hAnsi="Arial" w:cs="Arial"/>
                <w:sz w:val="16"/>
                <w:szCs w:val="16"/>
              </w:rPr>
              <w:t>impacts to ma</w:t>
            </w:r>
            <w:r w:rsidRPr="00FB508F">
              <w:rPr>
                <w:rFonts w:ascii="Arial" w:hAnsi="Arial" w:cs="Arial"/>
                <w:sz w:val="16"/>
                <w:szCs w:val="16"/>
              </w:rPr>
              <w:t>rine</w:t>
            </w:r>
            <w:r w:rsidR="00895F9B">
              <w:rPr>
                <w:rFonts w:ascii="Arial" w:hAnsi="Arial" w:cs="Arial"/>
                <w:sz w:val="16"/>
                <w:szCs w:val="16"/>
              </w:rPr>
              <w:t xml:space="preserve"> and benthic</w:t>
            </w:r>
            <w:r w:rsidRPr="00FB508F">
              <w:rPr>
                <w:rFonts w:ascii="Arial" w:hAnsi="Arial" w:cs="Arial"/>
                <w:sz w:val="16"/>
                <w:szCs w:val="16"/>
              </w:rPr>
              <w:t xml:space="preserve"> fauna</w:t>
            </w:r>
            <w:r w:rsidR="00895F9B">
              <w:rPr>
                <w:rFonts w:ascii="Arial" w:hAnsi="Arial" w:cs="Arial"/>
                <w:sz w:val="16"/>
                <w:szCs w:val="16"/>
              </w:rPr>
              <w:t>.</w:t>
            </w:r>
            <w:r w:rsidRPr="00FB508F">
              <w:rPr>
                <w:rFonts w:ascii="Arial" w:hAnsi="Arial" w:cs="Arial"/>
                <w:sz w:val="16"/>
                <w:szCs w:val="16"/>
              </w:rPr>
              <w:t xml:space="preserve"> </w:t>
            </w:r>
          </w:p>
        </w:tc>
      </w:tr>
      <w:tr w:rsidR="004D3F04" w:rsidRPr="00FB508F" w14:paraId="510BB28C" w14:textId="77777777" w:rsidTr="004D3F04">
        <w:trPr>
          <w:cantSplit/>
        </w:trPr>
        <w:tc>
          <w:tcPr>
            <w:tcW w:w="2268" w:type="dxa"/>
            <w:shd w:val="clear" w:color="auto" w:fill="BFBFBF" w:themeFill="background1" w:themeFillShade="BF"/>
          </w:tcPr>
          <w:p w14:paraId="4925B7D0" w14:textId="77777777" w:rsidR="004D3F04" w:rsidRPr="00FB508F" w:rsidRDefault="004D3F04" w:rsidP="00E439A6">
            <w:pPr>
              <w:pStyle w:val="Tabletext"/>
              <w:spacing w:line="240" w:lineRule="auto"/>
              <w:jc w:val="left"/>
              <w:rPr>
                <w:rFonts w:ascii="Arial" w:hAnsi="Arial" w:cs="Arial"/>
                <w:b/>
                <w:sz w:val="16"/>
                <w:szCs w:val="16"/>
              </w:rPr>
            </w:pPr>
            <w:r w:rsidRPr="00FB508F">
              <w:rPr>
                <w:rFonts w:ascii="Arial" w:hAnsi="Arial" w:cs="Arial"/>
                <w:b/>
                <w:sz w:val="16"/>
                <w:szCs w:val="16"/>
              </w:rPr>
              <w:t xml:space="preserve">Extent of impact </w:t>
            </w:r>
          </w:p>
        </w:tc>
        <w:tc>
          <w:tcPr>
            <w:tcW w:w="6804" w:type="dxa"/>
          </w:tcPr>
          <w:p w14:paraId="47097649" w14:textId="77432D49" w:rsidR="004D3F04" w:rsidRPr="00FB508F" w:rsidRDefault="00014C38" w:rsidP="00E439A6">
            <w:pPr>
              <w:pStyle w:val="Tabletext"/>
              <w:spacing w:line="240" w:lineRule="auto"/>
              <w:jc w:val="left"/>
              <w:rPr>
                <w:rFonts w:ascii="Arial" w:hAnsi="Arial" w:cs="Arial"/>
                <w:sz w:val="16"/>
                <w:szCs w:val="16"/>
              </w:rPr>
            </w:pPr>
            <w:r w:rsidRPr="00FB508F">
              <w:rPr>
                <w:rFonts w:ascii="Arial" w:hAnsi="Arial" w:cs="Arial"/>
                <w:sz w:val="16"/>
                <w:szCs w:val="16"/>
              </w:rPr>
              <w:t xml:space="preserve">Localised </w:t>
            </w:r>
            <w:r>
              <w:rPr>
                <w:rFonts w:ascii="Arial" w:hAnsi="Arial" w:cs="Arial"/>
                <w:sz w:val="16"/>
                <w:szCs w:val="16"/>
              </w:rPr>
              <w:t>around</w:t>
            </w:r>
            <w:r w:rsidR="00895F9B">
              <w:rPr>
                <w:rFonts w:ascii="Arial" w:hAnsi="Arial" w:cs="Arial"/>
                <w:sz w:val="16"/>
                <w:szCs w:val="16"/>
              </w:rPr>
              <w:t xml:space="preserve"> release site</w:t>
            </w:r>
          </w:p>
        </w:tc>
      </w:tr>
      <w:tr w:rsidR="004D3F04" w:rsidRPr="00FB508F" w14:paraId="5B4E00F9" w14:textId="77777777" w:rsidTr="004D3F04">
        <w:trPr>
          <w:cantSplit/>
        </w:trPr>
        <w:tc>
          <w:tcPr>
            <w:tcW w:w="2268" w:type="dxa"/>
            <w:shd w:val="clear" w:color="auto" w:fill="BFBFBF" w:themeFill="background1" w:themeFillShade="BF"/>
          </w:tcPr>
          <w:p w14:paraId="48CD9181" w14:textId="77777777" w:rsidR="004D3F04" w:rsidRPr="00FB508F" w:rsidRDefault="004D3F04" w:rsidP="00E439A6">
            <w:pPr>
              <w:pStyle w:val="Tabletext"/>
              <w:spacing w:line="240" w:lineRule="auto"/>
              <w:jc w:val="left"/>
              <w:rPr>
                <w:rFonts w:ascii="Arial" w:hAnsi="Arial" w:cs="Arial"/>
                <w:b/>
                <w:sz w:val="16"/>
                <w:szCs w:val="16"/>
              </w:rPr>
            </w:pPr>
            <w:r w:rsidRPr="00FB508F">
              <w:rPr>
                <w:rFonts w:ascii="Arial" w:hAnsi="Arial" w:cs="Arial"/>
                <w:b/>
                <w:sz w:val="16"/>
                <w:szCs w:val="16"/>
              </w:rPr>
              <w:t xml:space="preserve">Duration of impact </w:t>
            </w:r>
          </w:p>
        </w:tc>
        <w:tc>
          <w:tcPr>
            <w:tcW w:w="6804" w:type="dxa"/>
          </w:tcPr>
          <w:p w14:paraId="1153EA3E" w14:textId="58205B27" w:rsidR="004D3F04" w:rsidRPr="00FB508F" w:rsidRDefault="004D3F04" w:rsidP="00E439A6">
            <w:pPr>
              <w:pStyle w:val="Tabletext"/>
              <w:spacing w:line="240" w:lineRule="auto"/>
              <w:jc w:val="left"/>
              <w:rPr>
                <w:rFonts w:ascii="Arial" w:hAnsi="Arial" w:cs="Arial"/>
                <w:sz w:val="16"/>
                <w:szCs w:val="16"/>
              </w:rPr>
            </w:pPr>
            <w:r w:rsidRPr="00FB508F">
              <w:rPr>
                <w:rFonts w:ascii="Arial" w:hAnsi="Arial" w:cs="Arial"/>
                <w:sz w:val="16"/>
                <w:szCs w:val="16"/>
              </w:rPr>
              <w:t>Temporary (rapid dispersion and dilution – hours).</w:t>
            </w:r>
          </w:p>
        </w:tc>
      </w:tr>
      <w:tr w:rsidR="004D3F04" w:rsidRPr="00FB508F" w14:paraId="39934E3D" w14:textId="77777777" w:rsidTr="004D3F04">
        <w:trPr>
          <w:cantSplit/>
        </w:trPr>
        <w:tc>
          <w:tcPr>
            <w:tcW w:w="2268" w:type="dxa"/>
            <w:shd w:val="clear" w:color="auto" w:fill="BFBFBF" w:themeFill="background1" w:themeFillShade="BF"/>
          </w:tcPr>
          <w:p w14:paraId="5A882FFD" w14:textId="77777777" w:rsidR="004D3F04" w:rsidRPr="00FB508F" w:rsidRDefault="004D3F04" w:rsidP="00E439A6">
            <w:pPr>
              <w:pStyle w:val="Tabletext"/>
              <w:spacing w:line="240" w:lineRule="auto"/>
              <w:jc w:val="left"/>
              <w:rPr>
                <w:rFonts w:ascii="Arial" w:hAnsi="Arial" w:cs="Arial"/>
                <w:b/>
                <w:sz w:val="16"/>
                <w:szCs w:val="16"/>
              </w:rPr>
            </w:pPr>
            <w:r w:rsidRPr="00FB508F">
              <w:rPr>
                <w:rFonts w:ascii="Arial" w:hAnsi="Arial" w:cs="Arial"/>
                <w:b/>
                <w:sz w:val="16"/>
                <w:szCs w:val="16"/>
              </w:rPr>
              <w:t>Level of certainty of impact</w:t>
            </w:r>
          </w:p>
        </w:tc>
        <w:tc>
          <w:tcPr>
            <w:tcW w:w="6804" w:type="dxa"/>
          </w:tcPr>
          <w:p w14:paraId="35A5ED74" w14:textId="77777777" w:rsidR="004D3F04" w:rsidRPr="00FB508F" w:rsidRDefault="004D3F04" w:rsidP="00E439A6">
            <w:pPr>
              <w:pStyle w:val="Tabletext"/>
              <w:spacing w:line="240" w:lineRule="auto"/>
              <w:jc w:val="left"/>
              <w:rPr>
                <w:rFonts w:ascii="Arial" w:hAnsi="Arial" w:cs="Arial"/>
                <w:sz w:val="16"/>
                <w:szCs w:val="16"/>
              </w:rPr>
            </w:pPr>
            <w:r w:rsidRPr="00FB508F">
              <w:rPr>
                <w:rFonts w:ascii="Arial" w:hAnsi="Arial" w:cs="Arial"/>
                <w:sz w:val="16"/>
                <w:szCs w:val="16"/>
              </w:rPr>
              <w:t xml:space="preserve">HIGH. The impacts of production chemicals on the marine environment are well studied. </w:t>
            </w:r>
          </w:p>
        </w:tc>
      </w:tr>
      <w:tr w:rsidR="004D3F04" w:rsidRPr="00FB508F" w14:paraId="367ECA41" w14:textId="77777777" w:rsidTr="004D3F04">
        <w:trPr>
          <w:cantSplit/>
        </w:trPr>
        <w:tc>
          <w:tcPr>
            <w:tcW w:w="2268" w:type="dxa"/>
            <w:shd w:val="clear" w:color="auto" w:fill="BFBFBF" w:themeFill="background1" w:themeFillShade="BF"/>
          </w:tcPr>
          <w:p w14:paraId="632D3E7E" w14:textId="77777777" w:rsidR="004D3F04" w:rsidRPr="00FB508F" w:rsidRDefault="004D3F04" w:rsidP="003C089E">
            <w:pPr>
              <w:pStyle w:val="Tabletext"/>
              <w:spacing w:line="240" w:lineRule="auto"/>
              <w:jc w:val="left"/>
              <w:rPr>
                <w:rFonts w:ascii="Arial" w:hAnsi="Arial" w:cs="Arial"/>
                <w:b/>
                <w:sz w:val="16"/>
                <w:szCs w:val="16"/>
              </w:rPr>
            </w:pPr>
            <w:r w:rsidRPr="00FB508F">
              <w:rPr>
                <w:rFonts w:ascii="Arial" w:hAnsi="Arial" w:cs="Arial"/>
                <w:b/>
                <w:sz w:val="16"/>
                <w:szCs w:val="16"/>
              </w:rPr>
              <w:t>Impact decision framework context</w:t>
            </w:r>
          </w:p>
        </w:tc>
        <w:tc>
          <w:tcPr>
            <w:tcW w:w="6804" w:type="dxa"/>
          </w:tcPr>
          <w:p w14:paraId="59C35ACA" w14:textId="67965629" w:rsidR="004D3F04" w:rsidRPr="00FB508F" w:rsidRDefault="004D3F04" w:rsidP="00E439A6">
            <w:pPr>
              <w:pStyle w:val="Tabletext"/>
              <w:spacing w:line="240" w:lineRule="auto"/>
              <w:jc w:val="left"/>
              <w:rPr>
                <w:rFonts w:ascii="Arial" w:hAnsi="Arial" w:cs="Arial"/>
                <w:sz w:val="16"/>
                <w:szCs w:val="16"/>
              </w:rPr>
            </w:pPr>
            <w:r w:rsidRPr="00FB508F">
              <w:rPr>
                <w:rFonts w:ascii="Arial" w:hAnsi="Arial" w:cs="Arial"/>
                <w:sz w:val="16"/>
                <w:szCs w:val="16"/>
              </w:rPr>
              <w:t xml:space="preserve">A (nothing new or unusual, represents business as usual, well understood activity, good practice is well defined). </w:t>
            </w:r>
            <w:r w:rsidR="00C0232D" w:rsidRPr="004705DB">
              <w:rPr>
                <w:rFonts w:ascii="Arial" w:hAnsi="Arial" w:cs="Arial"/>
                <w:i/>
                <w:sz w:val="16"/>
                <w:szCs w:val="16"/>
              </w:rPr>
              <w:t>ALARP demonstrated via compliance with legislation, codes and standards; adoption of good industry practice and application of professional judgement</w:t>
            </w:r>
          </w:p>
        </w:tc>
      </w:tr>
    </w:tbl>
    <w:p w14:paraId="7420E93D" w14:textId="77777777" w:rsidR="004D3F04" w:rsidRDefault="004D3F04" w:rsidP="00024BA3">
      <w:pPr>
        <w:pStyle w:val="BodyText"/>
        <w:rPr>
          <w:lang w:eastAsia="en-US"/>
        </w:rPr>
      </w:pPr>
    </w:p>
    <w:p w14:paraId="2DA0C46B" w14:textId="77777777" w:rsidR="004D3F04" w:rsidRPr="00A02212" w:rsidRDefault="004D3F04" w:rsidP="00FB508F">
      <w:pPr>
        <w:pStyle w:val="Heading2"/>
      </w:pPr>
      <w:bookmarkStart w:id="225" w:name="_Toc345581944"/>
      <w:bookmarkStart w:id="226" w:name="_Ref473520621"/>
      <w:bookmarkStart w:id="227" w:name="_Toc512862485"/>
      <w:r w:rsidRPr="00A02212">
        <w:t>RISK: Displacement of Third-Party Vessels</w:t>
      </w:r>
      <w:bookmarkEnd w:id="225"/>
      <w:bookmarkEnd w:id="226"/>
      <w:bookmarkEnd w:id="227"/>
    </w:p>
    <w:p w14:paraId="0B9C0F12" w14:textId="77777777" w:rsidR="004D3F04" w:rsidRDefault="004D3F04" w:rsidP="001371AD">
      <w:pPr>
        <w:pStyle w:val="Heading3"/>
      </w:pPr>
      <w:r>
        <w:t>Hazard</w:t>
      </w:r>
    </w:p>
    <w:p w14:paraId="7CFAE2FA" w14:textId="711C0B8B" w:rsidR="004D3F04" w:rsidRPr="00FB508F" w:rsidRDefault="004D3F04" w:rsidP="00DE5215">
      <w:pPr>
        <w:pStyle w:val="BodyText"/>
        <w:ind w:left="720"/>
        <w:rPr>
          <w:szCs w:val="20"/>
        </w:rPr>
      </w:pPr>
      <w:r w:rsidRPr="00FB508F">
        <w:rPr>
          <w:szCs w:val="20"/>
        </w:rPr>
        <w:t xml:space="preserve">The physical presence of a vessel/s undertaking </w:t>
      </w:r>
      <w:r w:rsidR="00A02212">
        <w:rPr>
          <w:szCs w:val="20"/>
        </w:rPr>
        <w:t>IMR</w:t>
      </w:r>
      <w:r w:rsidR="00A02212" w:rsidRPr="00FB508F">
        <w:rPr>
          <w:szCs w:val="20"/>
        </w:rPr>
        <w:t xml:space="preserve"> </w:t>
      </w:r>
      <w:r w:rsidRPr="00FB508F">
        <w:rPr>
          <w:szCs w:val="20"/>
        </w:rPr>
        <w:t xml:space="preserve">activities may have an adverse effect on third-party vessel operators, such as commercial fishing vessels </w:t>
      </w:r>
      <w:r w:rsidR="00A02212">
        <w:rPr>
          <w:szCs w:val="20"/>
        </w:rPr>
        <w:t xml:space="preserve">and commercial shipping </w:t>
      </w:r>
      <w:r w:rsidRPr="00FB508F">
        <w:rPr>
          <w:szCs w:val="20"/>
        </w:rPr>
        <w:t xml:space="preserve">(noting that vessel presence for maintenance activities will be a rare occurrence). </w:t>
      </w:r>
    </w:p>
    <w:p w14:paraId="3FE28EED" w14:textId="11BEBD87" w:rsidR="004D3F04" w:rsidRPr="00FB508F" w:rsidRDefault="004D3F04" w:rsidP="00DE5215">
      <w:pPr>
        <w:pStyle w:val="BodyText"/>
        <w:ind w:left="720"/>
        <w:rPr>
          <w:szCs w:val="20"/>
        </w:rPr>
      </w:pPr>
      <w:r w:rsidRPr="00FB508F">
        <w:rPr>
          <w:szCs w:val="20"/>
        </w:rPr>
        <w:t xml:space="preserve">Note that this section deals with interference in a socio-economic sense; collision hazard (and consequent diesel spill impacts) is addressed </w:t>
      </w:r>
      <w:r w:rsidRPr="00402CD7">
        <w:rPr>
          <w:szCs w:val="20"/>
        </w:rPr>
        <w:t xml:space="preserve">in Section </w:t>
      </w:r>
      <w:r w:rsidR="00F95C52">
        <w:rPr>
          <w:szCs w:val="20"/>
        </w:rPr>
        <w:fldChar w:fldCharType="begin"/>
      </w:r>
      <w:r w:rsidR="00F95C52">
        <w:rPr>
          <w:szCs w:val="20"/>
        </w:rPr>
        <w:instrText xml:space="preserve"> REF _Ref482939136 \r \h </w:instrText>
      </w:r>
      <w:r w:rsidR="00F95C52">
        <w:rPr>
          <w:szCs w:val="20"/>
        </w:rPr>
      </w:r>
      <w:r w:rsidR="00F95C52">
        <w:rPr>
          <w:szCs w:val="20"/>
        </w:rPr>
        <w:fldChar w:fldCharType="separate"/>
      </w:r>
      <w:r w:rsidR="00CC4C35">
        <w:rPr>
          <w:szCs w:val="20"/>
        </w:rPr>
        <w:t>3.7.3</w:t>
      </w:r>
      <w:r w:rsidR="00F95C52">
        <w:rPr>
          <w:szCs w:val="20"/>
        </w:rPr>
        <w:fldChar w:fldCharType="end"/>
      </w:r>
      <w:r w:rsidRPr="00402CD7">
        <w:rPr>
          <w:szCs w:val="20"/>
        </w:rPr>
        <w:t>.</w:t>
      </w:r>
    </w:p>
    <w:p w14:paraId="7191E88B" w14:textId="1D9072A5" w:rsidR="004D3F04" w:rsidRPr="00FB508F" w:rsidRDefault="004D3F04" w:rsidP="00DE5215">
      <w:pPr>
        <w:pStyle w:val="BodyText"/>
        <w:ind w:left="720"/>
        <w:rPr>
          <w:szCs w:val="20"/>
        </w:rPr>
      </w:pPr>
      <w:r w:rsidRPr="00FB508F">
        <w:rPr>
          <w:szCs w:val="20"/>
        </w:rPr>
        <w:t>Also note that interference with commercial and/or recreational divers</w:t>
      </w:r>
      <w:r w:rsidR="00A02212">
        <w:rPr>
          <w:szCs w:val="20"/>
        </w:rPr>
        <w:t xml:space="preserve"> and</w:t>
      </w:r>
      <w:r w:rsidRPr="00FB508F">
        <w:rPr>
          <w:szCs w:val="20"/>
        </w:rPr>
        <w:t xml:space="preserve"> swimmers is not considered credible because: </w:t>
      </w:r>
    </w:p>
    <w:p w14:paraId="05932385" w14:textId="0CC18194" w:rsidR="004D3F04" w:rsidRPr="00FB508F" w:rsidRDefault="004D3F04" w:rsidP="0036080A">
      <w:pPr>
        <w:pStyle w:val="Bullet1"/>
        <w:numPr>
          <w:ilvl w:val="0"/>
          <w:numId w:val="40"/>
        </w:numPr>
      </w:pPr>
      <w:r w:rsidRPr="00FB508F">
        <w:t>Divers – there are no recognised dive sites in the immediate vicinity of the assets.</w:t>
      </w:r>
    </w:p>
    <w:p w14:paraId="78C66514" w14:textId="77777777" w:rsidR="004D3F04" w:rsidRPr="00FB508F" w:rsidRDefault="004D3F04" w:rsidP="0036080A">
      <w:pPr>
        <w:pStyle w:val="Bullet1"/>
        <w:numPr>
          <w:ilvl w:val="0"/>
          <w:numId w:val="40"/>
        </w:numPr>
      </w:pPr>
      <w:r w:rsidRPr="00FB508F">
        <w:t xml:space="preserve">Swimmers – the assets are located too far from the shore. </w:t>
      </w:r>
    </w:p>
    <w:p w14:paraId="6E20A035" w14:textId="30EDFBCF" w:rsidR="004D3F04" w:rsidRPr="00FB508F" w:rsidRDefault="00A02212" w:rsidP="001313DC">
      <w:pPr>
        <w:pStyle w:val="Bullet1"/>
        <w:numPr>
          <w:ilvl w:val="0"/>
          <w:numId w:val="0"/>
        </w:numPr>
        <w:ind w:left="697"/>
      </w:pPr>
      <w:r>
        <w:t xml:space="preserve">The CHN assets are located on the </w:t>
      </w:r>
      <w:r w:rsidR="0008217F">
        <w:t xml:space="preserve">northern extremity of </w:t>
      </w:r>
      <w:r>
        <w:t xml:space="preserve">commercial </w:t>
      </w:r>
      <w:r w:rsidR="004D3F04" w:rsidRPr="00FB508F">
        <w:t xml:space="preserve">shipping </w:t>
      </w:r>
      <w:r w:rsidR="0008217F">
        <w:t>lanes</w:t>
      </w:r>
      <w:r w:rsidR="00014C38">
        <w:t>.</w:t>
      </w:r>
    </w:p>
    <w:p w14:paraId="74AEF97A" w14:textId="77777777" w:rsidR="004D3F04" w:rsidRDefault="004D3F04" w:rsidP="001371AD">
      <w:pPr>
        <w:pStyle w:val="Heading3"/>
      </w:pPr>
      <w:r>
        <w:t>Known and Potential Impacts</w:t>
      </w:r>
    </w:p>
    <w:p w14:paraId="77A5B0A2" w14:textId="77777777" w:rsidR="004D3F04" w:rsidRPr="00BA7154" w:rsidRDefault="004D3F04" w:rsidP="00DE5215">
      <w:pPr>
        <w:pStyle w:val="BodyText"/>
        <w:ind w:left="720"/>
        <w:rPr>
          <w:rFonts w:cs="Arial"/>
          <w:szCs w:val="20"/>
          <w:lang w:eastAsia="en-US"/>
        </w:rPr>
      </w:pPr>
      <w:r w:rsidRPr="00BA7154">
        <w:rPr>
          <w:rFonts w:cs="Arial"/>
          <w:szCs w:val="20"/>
          <w:lang w:eastAsia="en-US"/>
        </w:rPr>
        <w:t xml:space="preserve">The known and potential impacts of interference with commercial fishing vessels are: </w:t>
      </w:r>
    </w:p>
    <w:p w14:paraId="24293622" w14:textId="343D4ACE" w:rsidR="00A02212" w:rsidRDefault="00A02212" w:rsidP="0036080A">
      <w:pPr>
        <w:pStyle w:val="Bullet1"/>
        <w:numPr>
          <w:ilvl w:val="0"/>
          <w:numId w:val="40"/>
        </w:numPr>
      </w:pPr>
      <w:r>
        <w:t xml:space="preserve">Displacement/disruption to transiting commercial shipping (route deviation); </w:t>
      </w:r>
    </w:p>
    <w:p w14:paraId="2A7625AC" w14:textId="5C0E8626" w:rsidR="004D3F04" w:rsidRPr="00BA7154" w:rsidRDefault="004D3F04" w:rsidP="0036080A">
      <w:pPr>
        <w:pStyle w:val="Bullet1"/>
        <w:numPr>
          <w:ilvl w:val="0"/>
          <w:numId w:val="40"/>
        </w:numPr>
      </w:pPr>
      <w:r w:rsidRPr="00BA7154">
        <w:t>Damage to or loss of fishing equipment; and</w:t>
      </w:r>
    </w:p>
    <w:p w14:paraId="119003D7" w14:textId="77777777" w:rsidR="004D3F04" w:rsidRDefault="004D3F04" w:rsidP="0036080A">
      <w:pPr>
        <w:pStyle w:val="Bullet1"/>
        <w:numPr>
          <w:ilvl w:val="0"/>
          <w:numId w:val="40"/>
        </w:numPr>
      </w:pPr>
      <w:r w:rsidRPr="00BA7154">
        <w:lastRenderedPageBreak/>
        <w:t>Loss of commercial fish catches.</w:t>
      </w:r>
    </w:p>
    <w:p w14:paraId="5CF0061A" w14:textId="77777777" w:rsidR="004D3F04" w:rsidRPr="00DE5215" w:rsidRDefault="004D3F04" w:rsidP="00DE5215">
      <w:pPr>
        <w:pStyle w:val="BodyText"/>
        <w:ind w:left="700"/>
        <w:rPr>
          <w:b/>
          <w:u w:val="single"/>
        </w:rPr>
      </w:pPr>
      <w:r w:rsidRPr="00DE5215">
        <w:rPr>
          <w:b/>
          <w:u w:val="single"/>
        </w:rPr>
        <w:t>EMBA</w:t>
      </w:r>
    </w:p>
    <w:p w14:paraId="7F26F9B8" w14:textId="77777777" w:rsidR="004D3F04" w:rsidRPr="00BA7154" w:rsidRDefault="004D3F04" w:rsidP="00DE5215">
      <w:pPr>
        <w:pStyle w:val="BodyText"/>
        <w:ind w:left="700"/>
        <w:rPr>
          <w:szCs w:val="20"/>
          <w:lang w:eastAsia="en-US"/>
        </w:rPr>
      </w:pPr>
      <w:r w:rsidRPr="00BA7154">
        <w:rPr>
          <w:szCs w:val="20"/>
          <w:lang w:eastAsia="en-US"/>
        </w:rPr>
        <w:t xml:space="preserve">The EMBA for interference with third-party vessels is likely to be the immediate area around the two interacting vessels or fishing equipment. </w:t>
      </w:r>
    </w:p>
    <w:p w14:paraId="58648265" w14:textId="77777777" w:rsidR="004D3F04" w:rsidRPr="00DE5215" w:rsidRDefault="004D3F04" w:rsidP="00DE5215">
      <w:pPr>
        <w:pStyle w:val="BodyText"/>
        <w:ind w:left="720"/>
        <w:rPr>
          <w:b/>
          <w:u w:val="single"/>
        </w:rPr>
      </w:pPr>
      <w:r w:rsidRPr="00DE5215">
        <w:rPr>
          <w:b/>
          <w:u w:val="single"/>
        </w:rPr>
        <w:t>Receptors within the EMBA</w:t>
      </w:r>
    </w:p>
    <w:p w14:paraId="22EB436C" w14:textId="77777777" w:rsidR="004D3F04" w:rsidRPr="00BA7154" w:rsidRDefault="004D3F04" w:rsidP="006021B1">
      <w:pPr>
        <w:pStyle w:val="BodyText"/>
        <w:ind w:left="720"/>
        <w:rPr>
          <w:szCs w:val="20"/>
          <w:lang w:eastAsia="en-US"/>
        </w:rPr>
      </w:pPr>
      <w:r w:rsidRPr="00BA7154">
        <w:rPr>
          <w:szCs w:val="20"/>
          <w:lang w:eastAsia="en-US"/>
        </w:rPr>
        <w:t xml:space="preserve">Receptors that may occur within this EMBA, either as residents or migrants, are: </w:t>
      </w:r>
    </w:p>
    <w:p w14:paraId="36863AD6" w14:textId="77777777" w:rsidR="004D3F04" w:rsidRPr="00BA7154" w:rsidRDefault="004D3F04" w:rsidP="0036080A">
      <w:pPr>
        <w:pStyle w:val="Bullet1"/>
        <w:numPr>
          <w:ilvl w:val="0"/>
          <w:numId w:val="40"/>
        </w:numPr>
      </w:pPr>
      <w:r w:rsidRPr="00BA7154">
        <w:t>Commercial fish species;</w:t>
      </w:r>
    </w:p>
    <w:p w14:paraId="568BEAD9" w14:textId="77777777" w:rsidR="004D3F04" w:rsidRPr="00BA7154" w:rsidRDefault="004D3F04" w:rsidP="0036080A">
      <w:pPr>
        <w:pStyle w:val="Bullet1"/>
        <w:numPr>
          <w:ilvl w:val="0"/>
          <w:numId w:val="40"/>
        </w:numPr>
      </w:pPr>
      <w:r w:rsidRPr="00BA7154">
        <w:t>Fishing equipment; and</w:t>
      </w:r>
    </w:p>
    <w:p w14:paraId="50BD6F22" w14:textId="77777777" w:rsidR="004D3F04" w:rsidRPr="00BA7154" w:rsidRDefault="004D3F04" w:rsidP="0036080A">
      <w:pPr>
        <w:pStyle w:val="Bullet1"/>
        <w:numPr>
          <w:ilvl w:val="0"/>
          <w:numId w:val="40"/>
        </w:numPr>
      </w:pPr>
      <w:r w:rsidRPr="00BA7154">
        <w:t>Third-party vessels.</w:t>
      </w:r>
    </w:p>
    <w:p w14:paraId="0E5D3F33" w14:textId="77777777" w:rsidR="004D3F04" w:rsidRDefault="004D3F04" w:rsidP="001371AD">
      <w:pPr>
        <w:pStyle w:val="Heading3"/>
      </w:pPr>
      <w:r>
        <w:t>Evaluation of Environmental Impacts</w:t>
      </w:r>
    </w:p>
    <w:p w14:paraId="2A4E44D2" w14:textId="77777777" w:rsidR="004D3F04" w:rsidRPr="00BA7154" w:rsidRDefault="004D3F04" w:rsidP="006021B1">
      <w:pPr>
        <w:pStyle w:val="BodyText"/>
        <w:ind w:left="720"/>
        <w:rPr>
          <w:szCs w:val="20"/>
          <w:u w:val="single"/>
        </w:rPr>
      </w:pPr>
      <w:r w:rsidRPr="00BA7154">
        <w:rPr>
          <w:szCs w:val="20"/>
          <w:u w:val="single"/>
        </w:rPr>
        <w:t>Disruption to third-party vessels</w:t>
      </w:r>
    </w:p>
    <w:p w14:paraId="324ECF2E" w14:textId="2F136A1C" w:rsidR="00465917" w:rsidRDefault="004D3F04" w:rsidP="00FA36A5">
      <w:pPr>
        <w:pStyle w:val="BodyText"/>
        <w:ind w:left="720"/>
        <w:rPr>
          <w:szCs w:val="20"/>
        </w:rPr>
      </w:pPr>
      <w:r w:rsidRPr="00BA7154">
        <w:rPr>
          <w:szCs w:val="20"/>
        </w:rPr>
        <w:t xml:space="preserve">Vessels undertaking </w:t>
      </w:r>
      <w:r w:rsidR="00465917">
        <w:rPr>
          <w:szCs w:val="20"/>
        </w:rPr>
        <w:t>IMR</w:t>
      </w:r>
      <w:r w:rsidR="00465917" w:rsidRPr="00BA7154">
        <w:rPr>
          <w:szCs w:val="20"/>
        </w:rPr>
        <w:t xml:space="preserve"> </w:t>
      </w:r>
      <w:r w:rsidRPr="00BA7154">
        <w:rPr>
          <w:szCs w:val="20"/>
        </w:rPr>
        <w:t xml:space="preserve">activities will potentially exclude other </w:t>
      </w:r>
      <w:r w:rsidR="00465917">
        <w:rPr>
          <w:szCs w:val="20"/>
        </w:rPr>
        <w:t xml:space="preserve">third party marine </w:t>
      </w:r>
      <w:r w:rsidRPr="00BA7154">
        <w:rPr>
          <w:szCs w:val="20"/>
        </w:rPr>
        <w:t xml:space="preserve">users </w:t>
      </w:r>
      <w:r w:rsidR="00465917">
        <w:rPr>
          <w:szCs w:val="20"/>
        </w:rPr>
        <w:t>during the activity on the CHN pipeline</w:t>
      </w:r>
      <w:r w:rsidR="00014C38">
        <w:rPr>
          <w:szCs w:val="20"/>
        </w:rPr>
        <w:t>.</w:t>
      </w:r>
    </w:p>
    <w:p w14:paraId="2B12F9D4" w14:textId="148D49DD" w:rsidR="00465917" w:rsidRDefault="004D3F04" w:rsidP="00FA36A5">
      <w:pPr>
        <w:pStyle w:val="BodyText"/>
        <w:ind w:left="720"/>
        <w:rPr>
          <w:szCs w:val="20"/>
        </w:rPr>
      </w:pPr>
      <w:r w:rsidRPr="00BA7154">
        <w:rPr>
          <w:szCs w:val="20"/>
        </w:rPr>
        <w:t xml:space="preserve">The consequence of displacing other users is considered negligible given the </w:t>
      </w:r>
      <w:r w:rsidR="00465917">
        <w:rPr>
          <w:szCs w:val="20"/>
        </w:rPr>
        <w:t xml:space="preserve">low usage of the area by fishermen and the </w:t>
      </w:r>
      <w:r w:rsidR="00F95C52">
        <w:rPr>
          <w:szCs w:val="20"/>
        </w:rPr>
        <w:t>location of the CHN assets at the northern extremity of commercial shipping areas</w:t>
      </w:r>
      <w:r w:rsidRPr="00BA7154">
        <w:rPr>
          <w:szCs w:val="20"/>
        </w:rPr>
        <w:t xml:space="preserve">. </w:t>
      </w:r>
      <w:r w:rsidR="00465917">
        <w:rPr>
          <w:szCs w:val="20"/>
        </w:rPr>
        <w:t xml:space="preserve">It is relevant to note that in the initial placement of the CHN pipeline, the corridor considered and minimised alignment with lobster fishing areas. </w:t>
      </w:r>
    </w:p>
    <w:p w14:paraId="5E4542B5" w14:textId="43EF791D" w:rsidR="00465917" w:rsidRDefault="00465917" w:rsidP="00FA36A5">
      <w:pPr>
        <w:pStyle w:val="BodyText"/>
        <w:ind w:left="720"/>
        <w:rPr>
          <w:szCs w:val="20"/>
        </w:rPr>
      </w:pPr>
      <w:r>
        <w:rPr>
          <w:szCs w:val="20"/>
        </w:rPr>
        <w:t>Other fisheries which may be present in the CHN asset area are the Victorian wrasse and snapper fishery; the Commonwealth trawl sector and shark gillnet fishery. Fishing intensity plots for the Commonwealth fisheries identify that they have a low presence</w:t>
      </w:r>
      <w:r w:rsidR="004212D0">
        <w:rPr>
          <w:szCs w:val="20"/>
        </w:rPr>
        <w:t xml:space="preserve"> in the area</w:t>
      </w:r>
      <w:r>
        <w:rPr>
          <w:szCs w:val="20"/>
        </w:rPr>
        <w:t xml:space="preserve">. Fishing intensity for state fisheries </w:t>
      </w:r>
      <w:r w:rsidR="004212D0">
        <w:rPr>
          <w:szCs w:val="20"/>
        </w:rPr>
        <w:t>could not be obtained.</w:t>
      </w:r>
    </w:p>
    <w:p w14:paraId="59AFAF93" w14:textId="4CDB8846" w:rsidR="004212D0" w:rsidRDefault="004212D0" w:rsidP="00FA36A5">
      <w:pPr>
        <w:pStyle w:val="BodyText"/>
        <w:ind w:left="720"/>
        <w:rPr>
          <w:szCs w:val="20"/>
        </w:rPr>
      </w:pPr>
      <w:r>
        <w:rPr>
          <w:szCs w:val="20"/>
        </w:rPr>
        <w:t xml:space="preserve">On the basis of this available information, whiles disruption is possible (minor consequence), with awareness controls implemented, disruption is considered remote.  </w:t>
      </w:r>
    </w:p>
    <w:p w14:paraId="0058A1A6" w14:textId="203D3262" w:rsidR="00DE5215" w:rsidRDefault="004D3F04" w:rsidP="00FA36A5">
      <w:pPr>
        <w:pStyle w:val="BodyText"/>
        <w:ind w:left="720"/>
        <w:rPr>
          <w:szCs w:val="20"/>
          <w:u w:val="single"/>
        </w:rPr>
      </w:pPr>
      <w:r w:rsidRPr="00BA7154">
        <w:rPr>
          <w:szCs w:val="20"/>
        </w:rPr>
        <w:t xml:space="preserve">In the event of </w:t>
      </w:r>
      <w:r w:rsidR="00465917">
        <w:rPr>
          <w:szCs w:val="20"/>
        </w:rPr>
        <w:t xml:space="preserve">spatial conflict the </w:t>
      </w:r>
      <w:r w:rsidR="003C089E">
        <w:rPr>
          <w:szCs w:val="20"/>
        </w:rPr>
        <w:t>worst-case</w:t>
      </w:r>
      <w:r w:rsidR="00465917">
        <w:rPr>
          <w:szCs w:val="20"/>
        </w:rPr>
        <w:t xml:space="preserve"> outcome is a </w:t>
      </w:r>
      <w:r w:rsidRPr="00BA7154">
        <w:rPr>
          <w:szCs w:val="20"/>
        </w:rPr>
        <w:t xml:space="preserve">collision. Should the force of a collision be enough to breach a vessel hull (which is unlikely to the low speed or stationary nature of a support vessel undertaking IMR activities), a diesel spill may eventuate (this is </w:t>
      </w:r>
      <w:r w:rsidRPr="00402CD7">
        <w:rPr>
          <w:szCs w:val="20"/>
        </w:rPr>
        <w:t xml:space="preserve">addressed in Section </w:t>
      </w:r>
      <w:r w:rsidR="00F95C52">
        <w:rPr>
          <w:szCs w:val="20"/>
        </w:rPr>
        <w:fldChar w:fldCharType="begin"/>
      </w:r>
      <w:r w:rsidR="00F95C52">
        <w:rPr>
          <w:szCs w:val="20"/>
        </w:rPr>
        <w:instrText xml:space="preserve"> REF _Ref482939489 \r \h </w:instrText>
      </w:r>
      <w:r w:rsidR="00F95C52">
        <w:rPr>
          <w:szCs w:val="20"/>
        </w:rPr>
      </w:r>
      <w:r w:rsidR="00F95C52">
        <w:rPr>
          <w:szCs w:val="20"/>
        </w:rPr>
        <w:fldChar w:fldCharType="separate"/>
      </w:r>
      <w:r w:rsidR="00CC4C35">
        <w:rPr>
          <w:szCs w:val="20"/>
        </w:rPr>
        <w:t>5.18</w:t>
      </w:r>
      <w:r w:rsidR="00F95C52">
        <w:rPr>
          <w:szCs w:val="20"/>
        </w:rPr>
        <w:fldChar w:fldCharType="end"/>
      </w:r>
      <w:r w:rsidRPr="00402CD7">
        <w:rPr>
          <w:szCs w:val="20"/>
        </w:rPr>
        <w:t>).</w:t>
      </w:r>
    </w:p>
    <w:p w14:paraId="4797CD56" w14:textId="5EFF39C8" w:rsidR="004D3F04" w:rsidRPr="00BA7154" w:rsidRDefault="004D3F04" w:rsidP="006021B1">
      <w:pPr>
        <w:pStyle w:val="BodyText"/>
        <w:ind w:left="720"/>
        <w:rPr>
          <w:szCs w:val="20"/>
          <w:u w:val="single"/>
        </w:rPr>
      </w:pPr>
      <w:r w:rsidRPr="00BA7154">
        <w:rPr>
          <w:szCs w:val="20"/>
          <w:u w:val="single"/>
        </w:rPr>
        <w:t>Damage to or loss of fishing equipment and loss of catch</w:t>
      </w:r>
    </w:p>
    <w:p w14:paraId="25AD352F" w14:textId="7B7A8EF6" w:rsidR="004D3F04" w:rsidRPr="00BA7154" w:rsidRDefault="004D3F04" w:rsidP="006021B1">
      <w:pPr>
        <w:pStyle w:val="BodyText"/>
        <w:ind w:left="720"/>
        <w:rPr>
          <w:szCs w:val="20"/>
        </w:rPr>
      </w:pPr>
      <w:r w:rsidRPr="00BA7154">
        <w:rPr>
          <w:szCs w:val="20"/>
        </w:rPr>
        <w:t xml:space="preserve">Consultation with relevant fishers since the gas fields have become operational has revealed no material concerns regarding the minor loss of area available to commercial fishing. </w:t>
      </w:r>
    </w:p>
    <w:p w14:paraId="00DE16DB" w14:textId="2BFC3BD4" w:rsidR="004D3F04" w:rsidRPr="00BA7154" w:rsidRDefault="004D3F04" w:rsidP="006021B1">
      <w:pPr>
        <w:pStyle w:val="BodyText"/>
        <w:ind w:left="720"/>
        <w:rPr>
          <w:szCs w:val="20"/>
        </w:rPr>
      </w:pPr>
      <w:r w:rsidRPr="00BA7154">
        <w:rPr>
          <w:szCs w:val="20"/>
        </w:rPr>
        <w:t xml:space="preserve">Interactions between the </w:t>
      </w:r>
      <w:r w:rsidR="004212D0">
        <w:rPr>
          <w:szCs w:val="20"/>
        </w:rPr>
        <w:t>IMR</w:t>
      </w:r>
      <w:r w:rsidR="004212D0" w:rsidRPr="00BA7154">
        <w:rPr>
          <w:szCs w:val="20"/>
        </w:rPr>
        <w:t xml:space="preserve"> </w:t>
      </w:r>
      <w:r w:rsidRPr="00BA7154">
        <w:rPr>
          <w:szCs w:val="20"/>
        </w:rPr>
        <w:t xml:space="preserve">vessel/s and other vessel traffic is likely to be minimal, mostly because of the slow moving and stationary nature of the </w:t>
      </w:r>
      <w:r w:rsidR="004212D0">
        <w:rPr>
          <w:szCs w:val="20"/>
        </w:rPr>
        <w:t xml:space="preserve">IMR </w:t>
      </w:r>
      <w:r w:rsidRPr="00BA7154">
        <w:rPr>
          <w:szCs w:val="20"/>
        </w:rPr>
        <w:t>vessel, its high visibility (due to size</w:t>
      </w:r>
      <w:r w:rsidR="004E1AD4">
        <w:rPr>
          <w:szCs w:val="20"/>
        </w:rPr>
        <w:t xml:space="preserve"> and navigational warnings</w:t>
      </w:r>
      <w:r w:rsidRPr="00BA7154">
        <w:rPr>
          <w:szCs w:val="20"/>
        </w:rPr>
        <w:t xml:space="preserve">) and ease of manoeuvrability to avoid a collision. Due to this visibility, it is also unlikely that fishing gear (such as lobster pots or trawl nets) would be damaged, as fishing vessels would detour around the </w:t>
      </w:r>
      <w:r w:rsidR="004E1AD4">
        <w:rPr>
          <w:szCs w:val="20"/>
        </w:rPr>
        <w:t>IMR</w:t>
      </w:r>
      <w:r w:rsidR="004E1AD4" w:rsidRPr="00BA7154">
        <w:rPr>
          <w:szCs w:val="20"/>
        </w:rPr>
        <w:t xml:space="preserve"> </w:t>
      </w:r>
      <w:r w:rsidRPr="00BA7154">
        <w:rPr>
          <w:szCs w:val="20"/>
        </w:rPr>
        <w:t xml:space="preserve">vessel/s once communication between the vessels is made.  </w:t>
      </w:r>
    </w:p>
    <w:p w14:paraId="3B5A9B7C" w14:textId="426CE2BE" w:rsidR="004212D0" w:rsidRDefault="004D3F04" w:rsidP="006021B1">
      <w:pPr>
        <w:pStyle w:val="BodyText"/>
        <w:ind w:left="720"/>
        <w:rPr>
          <w:szCs w:val="20"/>
        </w:rPr>
      </w:pPr>
      <w:r w:rsidRPr="00BA7154">
        <w:rPr>
          <w:szCs w:val="20"/>
        </w:rPr>
        <w:t xml:space="preserve">Given the short duration of each IMR campaign, , the risk of </w:t>
      </w:r>
      <w:r w:rsidR="004212D0">
        <w:rPr>
          <w:szCs w:val="20"/>
        </w:rPr>
        <w:t>damage to fishing equipment and loss of catch (negligible consequence) is considered unlikely.</w:t>
      </w:r>
    </w:p>
    <w:p w14:paraId="4C8AEF94" w14:textId="77777777" w:rsidR="004D3F04" w:rsidRPr="00DE5215" w:rsidRDefault="004D3F04" w:rsidP="00DE5215">
      <w:pPr>
        <w:pStyle w:val="BodyText"/>
        <w:ind w:left="720"/>
        <w:rPr>
          <w:b/>
          <w:u w:val="single"/>
        </w:rPr>
      </w:pPr>
      <w:r w:rsidRPr="00DE5215">
        <w:rPr>
          <w:b/>
          <w:u w:val="single"/>
        </w:rPr>
        <w:t>Impacts to Matters of NES</w:t>
      </w:r>
    </w:p>
    <w:p w14:paraId="2D060F66" w14:textId="4B0A6565" w:rsidR="004D3F04" w:rsidRPr="00DE5215" w:rsidRDefault="004D3F04" w:rsidP="00014C38">
      <w:pPr>
        <w:pStyle w:val="BodyText"/>
        <w:spacing w:after="240"/>
        <w:ind w:left="720"/>
        <w:rPr>
          <w:b/>
          <w:u w:val="single"/>
          <w:lang w:eastAsia="en-US"/>
        </w:rPr>
      </w:pPr>
      <w:r w:rsidRPr="00BA7154">
        <w:rPr>
          <w:szCs w:val="20"/>
          <w:lang w:eastAsia="en-US"/>
        </w:rPr>
        <w:t>The potential interference with third-party vessels will not have a ‘significant’ impact to any of the matters of NES applicable to this project</w:t>
      </w:r>
      <w:r w:rsidR="00014C38">
        <w:rPr>
          <w:szCs w:val="20"/>
          <w:lang w:eastAsia="en-US"/>
        </w:rPr>
        <w:t>.</w:t>
      </w:r>
    </w:p>
    <w:p w14:paraId="5C899358" w14:textId="77777777" w:rsidR="004D3F04" w:rsidRPr="00DE5215" w:rsidRDefault="004D3F04" w:rsidP="00DE5215">
      <w:pPr>
        <w:pStyle w:val="BodyText"/>
        <w:ind w:left="709"/>
        <w:rPr>
          <w:b/>
          <w:u w:val="single"/>
        </w:rPr>
      </w:pPr>
      <w:r w:rsidRPr="00DE5215">
        <w:rPr>
          <w:b/>
          <w:u w:val="single"/>
        </w:rPr>
        <w:t>Impacts to other areas of Conservation Significance</w:t>
      </w:r>
    </w:p>
    <w:p w14:paraId="66E11043" w14:textId="5C49E713" w:rsidR="004D3F04" w:rsidRDefault="004D3F04" w:rsidP="00014C38">
      <w:pPr>
        <w:pStyle w:val="BodyText"/>
        <w:spacing w:after="240"/>
        <w:ind w:left="720"/>
        <w:rPr>
          <w:lang w:eastAsia="en-US"/>
        </w:rPr>
      </w:pPr>
      <w:r w:rsidRPr="00BA7154">
        <w:rPr>
          <w:szCs w:val="20"/>
          <w:lang w:eastAsia="en-US"/>
        </w:rPr>
        <w:t>There are no other areas of conservation significance within the EMBA for potential interference with third-party vessels. This activity will not have any impacts to other areas of conservation significance</w:t>
      </w:r>
      <w:r w:rsidR="00014C38">
        <w:rPr>
          <w:szCs w:val="20"/>
          <w:lang w:eastAsia="en-US"/>
        </w:rPr>
        <w:t>.</w:t>
      </w:r>
    </w:p>
    <w:p w14:paraId="0005B882" w14:textId="77777777" w:rsidR="00CC4C35" w:rsidRDefault="00BA7154" w:rsidP="00CC4C35">
      <w:pPr>
        <w:pStyle w:val="Heading3"/>
      </w:pPr>
      <w:r>
        <w:lastRenderedPageBreak/>
        <w:t>Risk</w:t>
      </w:r>
      <w:r w:rsidR="004D3F04">
        <w:t xml:space="preserve"> Assessment</w:t>
      </w:r>
      <w:r w:rsidRPr="00BA7154">
        <w:rPr>
          <w:color w:val="FF0000"/>
        </w:rPr>
        <w:fldChar w:fldCharType="begin"/>
      </w:r>
      <w:r w:rsidRPr="00FA36A5">
        <w:rPr>
          <w:color w:val="FF0000"/>
        </w:rPr>
        <w:instrText xml:space="preserve"> REF _Ref473395337 \h  \* MERGEFORMAT </w:instrText>
      </w:r>
      <w:r w:rsidRPr="00BA7154">
        <w:rPr>
          <w:color w:val="FF0000"/>
        </w:rPr>
      </w:r>
      <w:r w:rsidRPr="00BA7154">
        <w:rPr>
          <w:color w:val="FF0000"/>
        </w:rPr>
        <w:fldChar w:fldCharType="separate"/>
      </w:r>
    </w:p>
    <w:p w14:paraId="22797E3C" w14:textId="4266948A" w:rsidR="00DE5215" w:rsidRDefault="00CC4C35" w:rsidP="00FA36A5">
      <w:pPr>
        <w:pStyle w:val="BodyText"/>
        <w:ind w:left="720"/>
      </w:pPr>
      <w:r w:rsidRPr="00CC4C35">
        <w:t>Table</w:t>
      </w:r>
      <w:r w:rsidRPr="00BA7154">
        <w:rPr>
          <w:szCs w:val="20"/>
        </w:rPr>
        <w:t xml:space="preserve"> </w:t>
      </w:r>
      <w:r>
        <w:rPr>
          <w:noProof/>
          <w:szCs w:val="20"/>
        </w:rPr>
        <w:t>5</w:t>
      </w:r>
      <w:r>
        <w:rPr>
          <w:noProof/>
          <w:szCs w:val="20"/>
        </w:rPr>
        <w:noBreakHyphen/>
        <w:t>13</w:t>
      </w:r>
      <w:r w:rsidR="00BA7154" w:rsidRPr="00BA7154">
        <w:rPr>
          <w:color w:val="FF0000"/>
          <w:lang w:eastAsia="en-US"/>
        </w:rPr>
        <w:fldChar w:fldCharType="end"/>
      </w:r>
      <w:r w:rsidR="00BA7154" w:rsidRPr="00BA7154">
        <w:rPr>
          <w:color w:val="FF0000"/>
          <w:lang w:eastAsia="en-US"/>
        </w:rPr>
        <w:t xml:space="preserve"> </w:t>
      </w:r>
      <w:r w:rsidR="004D3F04" w:rsidRPr="00BA7154">
        <w:rPr>
          <w:lang w:eastAsia="en-US"/>
        </w:rPr>
        <w:t>presents the risk assessment for interference with third-party</w:t>
      </w:r>
      <w:r w:rsidR="00BA7154">
        <w:rPr>
          <w:lang w:eastAsia="en-US"/>
        </w:rPr>
        <w:t xml:space="preserve"> </w:t>
      </w:r>
      <w:r w:rsidR="004D3F04" w:rsidRPr="00BA7154">
        <w:rPr>
          <w:lang w:eastAsia="en-US"/>
        </w:rPr>
        <w:t>vessels.</w:t>
      </w:r>
      <w:bookmarkStart w:id="228" w:name="_Ref473395337"/>
    </w:p>
    <w:p w14:paraId="4D0E5A4A" w14:textId="2B65C02C" w:rsidR="004D3F04" w:rsidRPr="00ED5388" w:rsidRDefault="00BA7154" w:rsidP="00B86A7D">
      <w:pPr>
        <w:pStyle w:val="Caption"/>
        <w:outlineLvl w:val="9"/>
        <w:rPr>
          <w:sz w:val="20"/>
          <w:szCs w:val="20"/>
        </w:rPr>
      </w:pPr>
      <w:bookmarkStart w:id="229" w:name="_Toc511032604"/>
      <w:r w:rsidRPr="00BA7154">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13</w:t>
      </w:r>
      <w:r w:rsidR="00103328">
        <w:rPr>
          <w:sz w:val="20"/>
          <w:szCs w:val="20"/>
        </w:rPr>
        <w:fldChar w:fldCharType="end"/>
      </w:r>
      <w:bookmarkEnd w:id="228"/>
      <w:r w:rsidRPr="00BA7154">
        <w:rPr>
          <w:sz w:val="20"/>
          <w:szCs w:val="20"/>
        </w:rPr>
        <w:t>: ERA for displacement of third-party vessels</w:t>
      </w:r>
      <w:bookmarkEnd w:id="229"/>
    </w:p>
    <w:tbl>
      <w:tblPr>
        <w:tblW w:w="9072" w:type="dxa"/>
        <w:tblInd w:w="1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127"/>
        <w:gridCol w:w="6945"/>
      </w:tblGrid>
      <w:tr w:rsidR="00E366B4" w:rsidRPr="00DE5215" w14:paraId="686ED814" w14:textId="77777777" w:rsidTr="00C471B1">
        <w:trPr>
          <w:cantSplit/>
        </w:trPr>
        <w:tc>
          <w:tcPr>
            <w:tcW w:w="2127" w:type="dxa"/>
            <w:shd w:val="clear" w:color="auto" w:fill="BFBFBF" w:themeFill="background1" w:themeFillShade="BF"/>
          </w:tcPr>
          <w:p w14:paraId="0F40E847" w14:textId="7F646A6D" w:rsidR="00E366B4" w:rsidRPr="00DE5215" w:rsidRDefault="00E366B4" w:rsidP="00E439A6">
            <w:pPr>
              <w:pStyle w:val="Tabletext"/>
              <w:spacing w:line="240" w:lineRule="auto"/>
              <w:rPr>
                <w:rFonts w:ascii="Arial" w:hAnsi="Arial" w:cs="Arial"/>
                <w:b/>
                <w:sz w:val="16"/>
                <w:szCs w:val="16"/>
              </w:rPr>
            </w:pPr>
            <w:r w:rsidRPr="00DE5215">
              <w:rPr>
                <w:rFonts w:ascii="Arial" w:hAnsi="Arial" w:cs="Arial"/>
                <w:b/>
                <w:sz w:val="16"/>
                <w:szCs w:val="16"/>
              </w:rPr>
              <w:t>Aspect:</w:t>
            </w:r>
          </w:p>
        </w:tc>
        <w:tc>
          <w:tcPr>
            <w:tcW w:w="6945" w:type="dxa"/>
          </w:tcPr>
          <w:p w14:paraId="481BAAA8" w14:textId="0E95F91F" w:rsidR="00E366B4" w:rsidRPr="00DE5215" w:rsidRDefault="00E366B4" w:rsidP="00FD60B9">
            <w:pPr>
              <w:pStyle w:val="Tabletext"/>
              <w:spacing w:line="240" w:lineRule="auto"/>
              <w:jc w:val="left"/>
              <w:rPr>
                <w:rFonts w:ascii="Arial" w:hAnsi="Arial" w:cs="Arial"/>
                <w:sz w:val="16"/>
                <w:szCs w:val="16"/>
              </w:rPr>
            </w:pPr>
            <w:r w:rsidRPr="00DE5215">
              <w:rPr>
                <w:rFonts w:ascii="Arial" w:hAnsi="Arial" w:cs="Arial"/>
                <w:sz w:val="16"/>
                <w:szCs w:val="16"/>
              </w:rPr>
              <w:t>IMR Vessel Presence</w:t>
            </w:r>
          </w:p>
        </w:tc>
      </w:tr>
      <w:tr w:rsidR="004D3F04" w:rsidRPr="00DE5215" w14:paraId="0FE78480" w14:textId="77777777" w:rsidTr="00C471B1">
        <w:trPr>
          <w:cantSplit/>
        </w:trPr>
        <w:tc>
          <w:tcPr>
            <w:tcW w:w="2127" w:type="dxa"/>
            <w:shd w:val="clear" w:color="auto" w:fill="BFBFBF" w:themeFill="background1" w:themeFillShade="BF"/>
          </w:tcPr>
          <w:p w14:paraId="3AAAB23C" w14:textId="77777777" w:rsidR="004D3F04" w:rsidRPr="00DE5215" w:rsidRDefault="004D3F04" w:rsidP="00E439A6">
            <w:pPr>
              <w:pStyle w:val="Tabletext"/>
              <w:spacing w:line="240" w:lineRule="auto"/>
              <w:rPr>
                <w:rFonts w:ascii="Arial" w:hAnsi="Arial" w:cs="Arial"/>
                <w:b/>
                <w:sz w:val="16"/>
                <w:szCs w:val="16"/>
              </w:rPr>
            </w:pPr>
            <w:r w:rsidRPr="00DE5215">
              <w:rPr>
                <w:rFonts w:ascii="Arial" w:hAnsi="Arial" w:cs="Arial"/>
                <w:b/>
                <w:sz w:val="16"/>
                <w:szCs w:val="16"/>
              </w:rPr>
              <w:t xml:space="preserve">Impact summary </w:t>
            </w:r>
          </w:p>
        </w:tc>
        <w:tc>
          <w:tcPr>
            <w:tcW w:w="6945" w:type="dxa"/>
          </w:tcPr>
          <w:p w14:paraId="41846A1C" w14:textId="77777777" w:rsidR="004D3F04" w:rsidRPr="00DE5215" w:rsidRDefault="004D3F04" w:rsidP="00FD60B9">
            <w:pPr>
              <w:pStyle w:val="Tabletext"/>
              <w:spacing w:line="240" w:lineRule="auto"/>
              <w:jc w:val="left"/>
              <w:rPr>
                <w:rFonts w:ascii="Arial" w:hAnsi="Arial" w:cs="Arial"/>
                <w:sz w:val="16"/>
                <w:szCs w:val="16"/>
              </w:rPr>
            </w:pPr>
            <w:r w:rsidRPr="00DE5215">
              <w:rPr>
                <w:rFonts w:ascii="Arial" w:hAnsi="Arial" w:cs="Arial"/>
                <w:sz w:val="16"/>
                <w:szCs w:val="16"/>
              </w:rPr>
              <w:t>Vessel collision, vessel navigation disruptions, exclusion from commercial fishing grounds, loss of commercial fish catches.</w:t>
            </w:r>
          </w:p>
        </w:tc>
      </w:tr>
      <w:tr w:rsidR="004D3F04" w:rsidRPr="00DE5215" w14:paraId="1A428FE9" w14:textId="77777777" w:rsidTr="00C471B1">
        <w:trPr>
          <w:cantSplit/>
        </w:trPr>
        <w:tc>
          <w:tcPr>
            <w:tcW w:w="2127" w:type="dxa"/>
            <w:shd w:val="clear" w:color="auto" w:fill="BFBFBF" w:themeFill="background1" w:themeFillShade="BF"/>
          </w:tcPr>
          <w:p w14:paraId="3FD2CB30" w14:textId="77777777" w:rsidR="004D3F04" w:rsidRPr="00DE5215" w:rsidRDefault="004D3F04" w:rsidP="00E439A6">
            <w:pPr>
              <w:pStyle w:val="Tabletext"/>
              <w:spacing w:line="240" w:lineRule="auto"/>
              <w:jc w:val="left"/>
              <w:rPr>
                <w:rFonts w:ascii="Arial" w:hAnsi="Arial" w:cs="Arial"/>
                <w:b/>
                <w:sz w:val="16"/>
                <w:szCs w:val="16"/>
              </w:rPr>
            </w:pPr>
            <w:r w:rsidRPr="00DE5215">
              <w:rPr>
                <w:rFonts w:ascii="Arial" w:hAnsi="Arial" w:cs="Arial"/>
                <w:b/>
                <w:sz w:val="16"/>
                <w:szCs w:val="16"/>
              </w:rPr>
              <w:t xml:space="preserve">Extent of impact </w:t>
            </w:r>
          </w:p>
        </w:tc>
        <w:tc>
          <w:tcPr>
            <w:tcW w:w="6945" w:type="dxa"/>
          </w:tcPr>
          <w:p w14:paraId="14C9BC1E" w14:textId="77777777" w:rsidR="004D3F04" w:rsidRPr="00DE5215" w:rsidRDefault="004D3F04" w:rsidP="00FD60B9">
            <w:pPr>
              <w:pStyle w:val="Tabletext"/>
              <w:spacing w:line="240" w:lineRule="auto"/>
              <w:jc w:val="left"/>
              <w:rPr>
                <w:rFonts w:ascii="Arial" w:hAnsi="Arial" w:cs="Arial"/>
                <w:sz w:val="16"/>
                <w:szCs w:val="16"/>
              </w:rPr>
            </w:pPr>
            <w:r w:rsidRPr="00DE5215">
              <w:rPr>
                <w:rFonts w:ascii="Arial" w:hAnsi="Arial" w:cs="Arial"/>
                <w:sz w:val="16"/>
                <w:szCs w:val="16"/>
              </w:rPr>
              <w:t xml:space="preserve">Highly localised (immediate area around vessels). </w:t>
            </w:r>
          </w:p>
        </w:tc>
      </w:tr>
      <w:tr w:rsidR="004D3F04" w:rsidRPr="00DE5215" w14:paraId="791602EB" w14:textId="77777777" w:rsidTr="00C471B1">
        <w:trPr>
          <w:cantSplit/>
        </w:trPr>
        <w:tc>
          <w:tcPr>
            <w:tcW w:w="2127" w:type="dxa"/>
            <w:shd w:val="clear" w:color="auto" w:fill="BFBFBF" w:themeFill="background1" w:themeFillShade="BF"/>
          </w:tcPr>
          <w:p w14:paraId="06979C4A" w14:textId="77777777" w:rsidR="004D3F04" w:rsidRPr="00DE5215" w:rsidRDefault="004D3F04" w:rsidP="00E439A6">
            <w:pPr>
              <w:pStyle w:val="Tabletext"/>
              <w:spacing w:line="240" w:lineRule="auto"/>
              <w:jc w:val="left"/>
              <w:rPr>
                <w:rFonts w:ascii="Arial" w:hAnsi="Arial" w:cs="Arial"/>
                <w:b/>
                <w:sz w:val="16"/>
                <w:szCs w:val="16"/>
              </w:rPr>
            </w:pPr>
            <w:r w:rsidRPr="00DE5215">
              <w:rPr>
                <w:rFonts w:ascii="Arial" w:hAnsi="Arial" w:cs="Arial"/>
                <w:b/>
                <w:sz w:val="16"/>
                <w:szCs w:val="16"/>
              </w:rPr>
              <w:t xml:space="preserve">Duration of impact </w:t>
            </w:r>
          </w:p>
        </w:tc>
        <w:tc>
          <w:tcPr>
            <w:tcW w:w="6945" w:type="dxa"/>
          </w:tcPr>
          <w:p w14:paraId="015370AB" w14:textId="11B60E2B" w:rsidR="004D3F04" w:rsidRPr="00DE5215" w:rsidRDefault="004D3F04" w:rsidP="00FD60B9">
            <w:pPr>
              <w:pStyle w:val="Tabletext"/>
              <w:spacing w:line="240" w:lineRule="auto"/>
              <w:jc w:val="left"/>
              <w:rPr>
                <w:rFonts w:ascii="Arial" w:hAnsi="Arial" w:cs="Arial"/>
                <w:sz w:val="16"/>
                <w:szCs w:val="16"/>
              </w:rPr>
            </w:pPr>
            <w:r w:rsidRPr="00DE5215">
              <w:rPr>
                <w:rFonts w:ascii="Arial" w:hAnsi="Arial" w:cs="Arial"/>
                <w:sz w:val="16"/>
                <w:szCs w:val="16"/>
              </w:rPr>
              <w:t>Short-term (minutes to hours for a third-party vessel detour).</w:t>
            </w:r>
          </w:p>
        </w:tc>
      </w:tr>
      <w:tr w:rsidR="004D3F04" w:rsidRPr="00DE5215" w14:paraId="6D948FB7" w14:textId="77777777" w:rsidTr="00C471B1">
        <w:trPr>
          <w:cantSplit/>
        </w:trPr>
        <w:tc>
          <w:tcPr>
            <w:tcW w:w="2127" w:type="dxa"/>
            <w:shd w:val="clear" w:color="auto" w:fill="BFBFBF" w:themeFill="background1" w:themeFillShade="BF"/>
          </w:tcPr>
          <w:p w14:paraId="5C7AF76B" w14:textId="77777777" w:rsidR="004D3F04" w:rsidRPr="00DE5215" w:rsidRDefault="004D3F04" w:rsidP="00E439A6">
            <w:pPr>
              <w:pStyle w:val="Tabletext"/>
              <w:spacing w:line="240" w:lineRule="auto"/>
              <w:jc w:val="left"/>
              <w:rPr>
                <w:rFonts w:ascii="Arial" w:hAnsi="Arial" w:cs="Arial"/>
                <w:b/>
                <w:sz w:val="16"/>
                <w:szCs w:val="16"/>
              </w:rPr>
            </w:pPr>
            <w:r w:rsidRPr="00DE5215">
              <w:rPr>
                <w:rFonts w:ascii="Arial" w:hAnsi="Arial" w:cs="Arial"/>
                <w:b/>
                <w:sz w:val="16"/>
                <w:szCs w:val="16"/>
              </w:rPr>
              <w:t>Level of certainty of impact</w:t>
            </w:r>
          </w:p>
        </w:tc>
        <w:tc>
          <w:tcPr>
            <w:tcW w:w="6945" w:type="dxa"/>
          </w:tcPr>
          <w:p w14:paraId="7472A799" w14:textId="633BC686" w:rsidR="004D3F04" w:rsidRPr="00DE5215" w:rsidRDefault="004D3F04" w:rsidP="00FD60B9">
            <w:pPr>
              <w:pStyle w:val="Tabletext"/>
              <w:spacing w:line="240" w:lineRule="auto"/>
              <w:jc w:val="left"/>
              <w:rPr>
                <w:rFonts w:ascii="Arial" w:hAnsi="Arial" w:cs="Arial"/>
                <w:sz w:val="16"/>
                <w:szCs w:val="16"/>
              </w:rPr>
            </w:pPr>
            <w:r w:rsidRPr="00DE5215">
              <w:rPr>
                <w:rFonts w:ascii="Arial" w:hAnsi="Arial" w:cs="Arial"/>
                <w:sz w:val="16"/>
                <w:szCs w:val="16"/>
              </w:rPr>
              <w:t xml:space="preserve">HIGH. </w:t>
            </w:r>
            <w:r w:rsidR="004E1AD4" w:rsidRPr="00DE5215">
              <w:rPr>
                <w:rFonts w:ascii="Arial" w:hAnsi="Arial" w:cs="Arial"/>
                <w:sz w:val="16"/>
                <w:szCs w:val="16"/>
              </w:rPr>
              <w:t>Impacts associated with commercial fishing and shippi</w:t>
            </w:r>
            <w:r w:rsidR="00DE5215" w:rsidRPr="00DE5215">
              <w:rPr>
                <w:rFonts w:ascii="Arial" w:hAnsi="Arial" w:cs="Arial"/>
                <w:sz w:val="16"/>
                <w:szCs w:val="16"/>
              </w:rPr>
              <w:t xml:space="preserve">ng in the area </w:t>
            </w:r>
            <w:r w:rsidR="00DE5215">
              <w:rPr>
                <w:rFonts w:ascii="Arial" w:hAnsi="Arial" w:cs="Arial"/>
                <w:sz w:val="16"/>
                <w:szCs w:val="16"/>
              </w:rPr>
              <w:t>is</w:t>
            </w:r>
            <w:r w:rsidR="00DE5215" w:rsidRPr="00DE5215">
              <w:rPr>
                <w:rFonts w:ascii="Arial" w:hAnsi="Arial" w:cs="Arial"/>
                <w:sz w:val="16"/>
                <w:szCs w:val="16"/>
              </w:rPr>
              <w:t xml:space="preserve"> well understo</w:t>
            </w:r>
            <w:r w:rsidR="004E1AD4" w:rsidRPr="00DE5215">
              <w:rPr>
                <w:rFonts w:ascii="Arial" w:hAnsi="Arial" w:cs="Arial"/>
                <w:sz w:val="16"/>
                <w:szCs w:val="16"/>
              </w:rPr>
              <w:t>od. Measures implemented have been and will continue to be effective in mitigating this risk.</w:t>
            </w:r>
            <w:r w:rsidRPr="00DE5215">
              <w:rPr>
                <w:rFonts w:ascii="Arial" w:hAnsi="Arial" w:cs="Arial"/>
                <w:sz w:val="16"/>
                <w:szCs w:val="16"/>
              </w:rPr>
              <w:t xml:space="preserve"> </w:t>
            </w:r>
          </w:p>
        </w:tc>
      </w:tr>
      <w:tr w:rsidR="004D3F04" w:rsidRPr="00DE5215" w14:paraId="389A0AB8" w14:textId="77777777" w:rsidTr="00C471B1">
        <w:trPr>
          <w:cantSplit/>
        </w:trPr>
        <w:tc>
          <w:tcPr>
            <w:tcW w:w="2127" w:type="dxa"/>
            <w:shd w:val="clear" w:color="auto" w:fill="BFBFBF" w:themeFill="background1" w:themeFillShade="BF"/>
          </w:tcPr>
          <w:p w14:paraId="775A587D" w14:textId="77777777" w:rsidR="004D3F04" w:rsidRPr="00DE5215" w:rsidRDefault="004D3F04" w:rsidP="00FD60B9">
            <w:pPr>
              <w:pStyle w:val="Tabletext"/>
              <w:spacing w:line="240" w:lineRule="auto"/>
              <w:jc w:val="left"/>
              <w:rPr>
                <w:rFonts w:ascii="Arial" w:hAnsi="Arial" w:cs="Arial"/>
                <w:b/>
                <w:sz w:val="16"/>
                <w:szCs w:val="16"/>
              </w:rPr>
            </w:pPr>
            <w:r w:rsidRPr="00DE5215">
              <w:rPr>
                <w:rFonts w:ascii="Arial" w:hAnsi="Arial" w:cs="Arial"/>
                <w:b/>
                <w:sz w:val="16"/>
                <w:szCs w:val="16"/>
              </w:rPr>
              <w:t>Impact decision framework context</w:t>
            </w:r>
          </w:p>
        </w:tc>
        <w:tc>
          <w:tcPr>
            <w:tcW w:w="6945" w:type="dxa"/>
          </w:tcPr>
          <w:p w14:paraId="60019ABC" w14:textId="1DDEEF8D" w:rsidR="004D3F04" w:rsidRPr="00DE5215" w:rsidRDefault="004D3F04" w:rsidP="00626C17">
            <w:pPr>
              <w:pStyle w:val="Tabletext"/>
              <w:spacing w:line="240" w:lineRule="auto"/>
              <w:jc w:val="left"/>
              <w:rPr>
                <w:rFonts w:ascii="Arial" w:hAnsi="Arial" w:cs="Arial"/>
                <w:sz w:val="16"/>
                <w:szCs w:val="16"/>
              </w:rPr>
            </w:pPr>
            <w:r w:rsidRPr="00DE5215">
              <w:rPr>
                <w:rFonts w:ascii="Arial" w:hAnsi="Arial" w:cs="Arial"/>
                <w:sz w:val="16"/>
                <w:szCs w:val="16"/>
              </w:rPr>
              <w:t xml:space="preserve">A (nothing new or unusual, represents business as usual, well understood activity, good practice is well defined). </w:t>
            </w:r>
            <w:r w:rsidR="00E366B4" w:rsidRPr="00DE5215">
              <w:rPr>
                <w:rFonts w:ascii="Arial" w:hAnsi="Arial" w:cs="Arial"/>
                <w:i/>
                <w:sz w:val="16"/>
                <w:szCs w:val="16"/>
              </w:rPr>
              <w:t>ALARP to be demonstrated on adherence to legislation, industry codes and good professional judgement</w:t>
            </w:r>
          </w:p>
        </w:tc>
      </w:tr>
    </w:tbl>
    <w:p w14:paraId="73E13DBC" w14:textId="77777777" w:rsidR="004D3F04" w:rsidRDefault="004D3F04" w:rsidP="00E4229E">
      <w:pPr>
        <w:pStyle w:val="Heading2"/>
      </w:pPr>
      <w:bookmarkStart w:id="230" w:name="_Toc345581945"/>
      <w:bookmarkStart w:id="231" w:name="_Toc512862486"/>
      <w:r>
        <w:t>RISK: Introduction of Invasive Marine Species</w:t>
      </w:r>
      <w:bookmarkEnd w:id="230"/>
      <w:bookmarkEnd w:id="231"/>
    </w:p>
    <w:p w14:paraId="230A5161" w14:textId="77777777" w:rsidR="004D3F04" w:rsidRDefault="004D3F04" w:rsidP="001371AD">
      <w:pPr>
        <w:pStyle w:val="Heading3"/>
      </w:pPr>
      <w:r>
        <w:t>Hazard</w:t>
      </w:r>
    </w:p>
    <w:p w14:paraId="5DE0C849" w14:textId="5081A08E" w:rsidR="004D3F04" w:rsidRPr="00E4229E" w:rsidRDefault="004D3F04" w:rsidP="001313DC">
      <w:pPr>
        <w:pStyle w:val="Bullet1"/>
        <w:numPr>
          <w:ilvl w:val="0"/>
          <w:numId w:val="0"/>
        </w:numPr>
        <w:ind w:left="720"/>
      </w:pPr>
      <w:r w:rsidRPr="00E4229E">
        <w:t xml:space="preserve">The following activity has the potential to result in the introduction of IMS around the </w:t>
      </w:r>
      <w:r w:rsidR="00BA0611">
        <w:t>CHN</w:t>
      </w:r>
      <w:r w:rsidRPr="00E4229E">
        <w:t xml:space="preserve"> assets:</w:t>
      </w:r>
    </w:p>
    <w:p w14:paraId="13706E64" w14:textId="477B4143" w:rsidR="004D3F04" w:rsidRPr="00E4229E" w:rsidRDefault="004D3F04" w:rsidP="0036080A">
      <w:pPr>
        <w:pStyle w:val="Bullet1"/>
        <w:numPr>
          <w:ilvl w:val="0"/>
          <w:numId w:val="40"/>
        </w:numPr>
      </w:pPr>
      <w:r w:rsidRPr="00E4229E">
        <w:t xml:space="preserve">Discharge of vessel ballast water containing foreign species; </w:t>
      </w:r>
    </w:p>
    <w:p w14:paraId="040FAC80" w14:textId="79444D14" w:rsidR="00DC2ACA" w:rsidRDefault="004D3F04" w:rsidP="0036080A">
      <w:pPr>
        <w:pStyle w:val="Bullet1"/>
        <w:numPr>
          <w:ilvl w:val="0"/>
          <w:numId w:val="40"/>
        </w:numPr>
      </w:pPr>
      <w:r w:rsidRPr="00E4229E">
        <w:t>Translocation of foreign species through biofouling of the vessel hull, niches (e.g., sea chests, bilges, strainers)</w:t>
      </w:r>
      <w:r w:rsidR="00DC2ACA">
        <w:t>;</w:t>
      </w:r>
      <w:r w:rsidRPr="00E4229E">
        <w:t xml:space="preserve"> or </w:t>
      </w:r>
    </w:p>
    <w:p w14:paraId="5B47ABF2" w14:textId="685949F8" w:rsidR="004D3F04" w:rsidRPr="00E4229E" w:rsidRDefault="004D3F04" w:rsidP="0036080A">
      <w:pPr>
        <w:pStyle w:val="Bullet1"/>
        <w:numPr>
          <w:ilvl w:val="0"/>
          <w:numId w:val="40"/>
        </w:numPr>
      </w:pPr>
      <w:r w:rsidRPr="00E4229E">
        <w:t xml:space="preserve">ROV equipment. </w:t>
      </w:r>
    </w:p>
    <w:p w14:paraId="679C56E7" w14:textId="740D3352" w:rsidR="004D3F04" w:rsidRPr="00077821" w:rsidRDefault="004D3F04" w:rsidP="001313DC">
      <w:pPr>
        <w:pStyle w:val="Bullet1"/>
        <w:numPr>
          <w:ilvl w:val="0"/>
          <w:numId w:val="0"/>
        </w:numPr>
        <w:ind w:left="720"/>
      </w:pPr>
      <w:r w:rsidRPr="00E4229E">
        <w:t xml:space="preserve">While on location, the vessel/s </w:t>
      </w:r>
      <w:r w:rsidR="00DE5215">
        <w:t xml:space="preserve">may </w:t>
      </w:r>
      <w:r w:rsidRPr="00E4229E">
        <w:t xml:space="preserve">ballast and de-ballast to improve stability, even out vessel stresses and adjust vessel draft, list and trim, with regard to the weight of equipment on board at any one time. The </w:t>
      </w:r>
      <w:r w:rsidR="00DC183D">
        <w:t>Commonwealth</w:t>
      </w:r>
      <w:r w:rsidRPr="00E4229E">
        <w:t xml:space="preserve"> Biosecurity department indicates that ballast water is responsible for 20-30% of all marine pest incursions into Australian waters (</w:t>
      </w:r>
      <w:r w:rsidRPr="00077821">
        <w:t xml:space="preserve">DAWR, </w:t>
      </w:r>
      <w:r w:rsidRPr="00083759">
        <w:t>2015</w:t>
      </w:r>
      <w:r w:rsidR="00DC2ACA" w:rsidRPr="00083759">
        <w:t>a</w:t>
      </w:r>
      <w:r w:rsidRPr="00077821">
        <w:t>). The DAWR (formerly AQIS) declares that al</w:t>
      </w:r>
      <w:r w:rsidRPr="00A65CD4">
        <w:t>l saltwater from ports or coastal waters outside Australia’s territorial seas present</w:t>
      </w:r>
      <w:r w:rsidRPr="00077821">
        <w:t>s a high risk of introducing foreign marine pests into Australia (AQIS, 2011).</w:t>
      </w:r>
    </w:p>
    <w:p w14:paraId="73BEBCA6" w14:textId="3A76775B" w:rsidR="004D3F04" w:rsidRPr="00E4229E" w:rsidRDefault="004D3F04" w:rsidP="001313DC">
      <w:pPr>
        <w:pStyle w:val="Bullet1"/>
        <w:numPr>
          <w:ilvl w:val="0"/>
          <w:numId w:val="0"/>
        </w:numPr>
        <w:ind w:left="720"/>
      </w:pPr>
      <w:r w:rsidRPr="00077821">
        <w:t>Biofouling is the accumulation of aquatic micro-organisms, algae, plants and animals on vessel hulls and submerged surfaces. More than 250 non-indigenous marine species have established in Australian waters, with research indicating that biofouling has been responsible for more foreign marine introductions than ballast water (DAWR, 2015</w:t>
      </w:r>
      <w:r w:rsidR="00DC2ACA" w:rsidRPr="00083759">
        <w:t>b</w:t>
      </w:r>
      <w:r w:rsidRPr="00077821">
        <w:t>).</w:t>
      </w:r>
    </w:p>
    <w:p w14:paraId="7758193F" w14:textId="77777777" w:rsidR="004D3F04" w:rsidRDefault="004D3F04" w:rsidP="001371AD">
      <w:pPr>
        <w:pStyle w:val="Heading3"/>
      </w:pPr>
      <w:r>
        <w:t>Known and Potential Impacts</w:t>
      </w:r>
    </w:p>
    <w:p w14:paraId="09CD8A4A" w14:textId="77777777" w:rsidR="004D3F04" w:rsidRPr="00E4229E" w:rsidRDefault="004D3F04" w:rsidP="00DE5215">
      <w:pPr>
        <w:pStyle w:val="BodyText"/>
        <w:spacing w:after="240"/>
        <w:ind w:left="720"/>
        <w:rPr>
          <w:szCs w:val="20"/>
          <w:lang w:eastAsia="en-US"/>
        </w:rPr>
      </w:pPr>
      <w:r w:rsidRPr="00E4229E">
        <w:rPr>
          <w:szCs w:val="20"/>
          <w:lang w:eastAsia="en-US"/>
        </w:rPr>
        <w:t xml:space="preserve">The known and potential impacts of IMS introduction (assuming their survival, colonisation and spread) include: </w:t>
      </w:r>
    </w:p>
    <w:p w14:paraId="2D3EEADD" w14:textId="77777777" w:rsidR="004D3F04" w:rsidRPr="00E4229E" w:rsidRDefault="004D3F04" w:rsidP="0036080A">
      <w:pPr>
        <w:pStyle w:val="Bullet1"/>
        <w:numPr>
          <w:ilvl w:val="0"/>
          <w:numId w:val="40"/>
        </w:numPr>
      </w:pPr>
      <w:r w:rsidRPr="00E4229E">
        <w:t>Reduction in native marine species diversity and abundance;</w:t>
      </w:r>
    </w:p>
    <w:p w14:paraId="61C4D9AE" w14:textId="77777777" w:rsidR="004D3F04" w:rsidRPr="00E4229E" w:rsidRDefault="004D3F04" w:rsidP="0036080A">
      <w:pPr>
        <w:pStyle w:val="Bullet1"/>
        <w:numPr>
          <w:ilvl w:val="0"/>
          <w:numId w:val="40"/>
        </w:numPr>
      </w:pPr>
      <w:r w:rsidRPr="00E4229E">
        <w:t>Displacement of native marine species;</w:t>
      </w:r>
    </w:p>
    <w:p w14:paraId="57DFC74B" w14:textId="77777777" w:rsidR="004D3F04" w:rsidRPr="00E4229E" w:rsidRDefault="004D3F04" w:rsidP="0036080A">
      <w:pPr>
        <w:pStyle w:val="Bullet1"/>
        <w:numPr>
          <w:ilvl w:val="0"/>
          <w:numId w:val="40"/>
        </w:numPr>
      </w:pPr>
      <w:r w:rsidRPr="00E4229E">
        <w:t>Socio-economic impacts on commercial fisheries; and</w:t>
      </w:r>
    </w:p>
    <w:p w14:paraId="3EED7558" w14:textId="77777777" w:rsidR="004D3F04" w:rsidRPr="00E4229E" w:rsidRDefault="004D3F04" w:rsidP="0036080A">
      <w:pPr>
        <w:pStyle w:val="Bullet1"/>
        <w:numPr>
          <w:ilvl w:val="0"/>
          <w:numId w:val="40"/>
        </w:numPr>
      </w:pPr>
      <w:r w:rsidRPr="00E4229E">
        <w:t>Changes to conservation values of protected areas.</w:t>
      </w:r>
    </w:p>
    <w:p w14:paraId="36BB766E" w14:textId="77777777" w:rsidR="004D3F04" w:rsidRPr="00DE5215" w:rsidRDefault="004D3F04" w:rsidP="00DE5215">
      <w:pPr>
        <w:pStyle w:val="BodyText"/>
        <w:ind w:left="700"/>
        <w:rPr>
          <w:b/>
          <w:u w:val="single"/>
        </w:rPr>
      </w:pPr>
      <w:r w:rsidRPr="00DE5215">
        <w:rPr>
          <w:b/>
          <w:u w:val="single"/>
        </w:rPr>
        <w:t>EMBA</w:t>
      </w:r>
    </w:p>
    <w:p w14:paraId="50BB1C0C" w14:textId="77777777" w:rsidR="004D3F04" w:rsidRDefault="004D3F04" w:rsidP="00DE5215">
      <w:pPr>
        <w:pStyle w:val="BodyText"/>
        <w:ind w:left="700"/>
        <w:rPr>
          <w:szCs w:val="20"/>
          <w:lang w:eastAsia="en-US"/>
        </w:rPr>
      </w:pPr>
      <w:r w:rsidRPr="00E4229E">
        <w:rPr>
          <w:szCs w:val="20"/>
          <w:lang w:eastAsia="en-US"/>
        </w:rPr>
        <w:t xml:space="preserve">The EMBA for IMS introduction is the site of the vessel, though this can increase to widespread suitable environments if colonisation occurs. </w:t>
      </w:r>
    </w:p>
    <w:p w14:paraId="2C0EF96E" w14:textId="77777777" w:rsidR="004D3F04" w:rsidRPr="00DE5215" w:rsidRDefault="004D3F04" w:rsidP="00DE5215">
      <w:pPr>
        <w:pStyle w:val="BodyText"/>
        <w:ind w:left="709"/>
        <w:rPr>
          <w:b/>
          <w:u w:val="single"/>
        </w:rPr>
      </w:pPr>
      <w:r w:rsidRPr="00DE5215">
        <w:rPr>
          <w:b/>
          <w:u w:val="single"/>
        </w:rPr>
        <w:t>Receptors within the EMBA</w:t>
      </w:r>
    </w:p>
    <w:p w14:paraId="5583B1D9" w14:textId="77777777" w:rsidR="004D3F04" w:rsidRPr="00E4229E" w:rsidRDefault="004D3F04" w:rsidP="00DE5215">
      <w:pPr>
        <w:pStyle w:val="BodyText"/>
        <w:ind w:left="709"/>
        <w:rPr>
          <w:szCs w:val="20"/>
          <w:lang w:eastAsia="en-US"/>
        </w:rPr>
      </w:pPr>
      <w:r w:rsidRPr="00E4229E">
        <w:rPr>
          <w:szCs w:val="20"/>
          <w:lang w:eastAsia="en-US"/>
        </w:rPr>
        <w:lastRenderedPageBreak/>
        <w:t xml:space="preserve">Receptors most at risk within this EMBA, either as residents or migrants, are: </w:t>
      </w:r>
    </w:p>
    <w:p w14:paraId="31D009BF" w14:textId="77777777" w:rsidR="00BF5698" w:rsidRDefault="004D3F04" w:rsidP="0036080A">
      <w:pPr>
        <w:pStyle w:val="Bullet1"/>
        <w:numPr>
          <w:ilvl w:val="0"/>
          <w:numId w:val="40"/>
        </w:numPr>
      </w:pPr>
      <w:r w:rsidRPr="00E4229E">
        <w:t>Benthic species (because their ability to move to other suitable areas is more restricted than demersal and pelagic species)</w:t>
      </w:r>
      <w:r w:rsidR="00BF5698">
        <w:t>;</w:t>
      </w:r>
    </w:p>
    <w:p w14:paraId="384AB736" w14:textId="0D6E9BB1" w:rsidR="004D3F04" w:rsidRPr="00F3714C" w:rsidRDefault="00BF5698" w:rsidP="0036080A">
      <w:pPr>
        <w:pStyle w:val="Bullet1"/>
        <w:numPr>
          <w:ilvl w:val="0"/>
          <w:numId w:val="40"/>
        </w:numPr>
      </w:pPr>
      <w:r w:rsidRPr="00F3714C">
        <w:t>Filter-feeding epifauna (e.g. sponges</w:t>
      </w:r>
      <w:r w:rsidR="000F7C08">
        <w:t>, macro-algae</w:t>
      </w:r>
      <w:r w:rsidR="0079374A">
        <w:t xml:space="preserve"> and rocky hard substrate species</w:t>
      </w:r>
      <w:r w:rsidR="000F7C08">
        <w:t xml:space="preserve"> such as bryozoans (water depths &gt; 60 m)</w:t>
      </w:r>
      <w:r w:rsidRPr="00F3714C">
        <w:t>).</w:t>
      </w:r>
    </w:p>
    <w:p w14:paraId="2563633E" w14:textId="77777777" w:rsidR="004D3F04" w:rsidRDefault="004D3F04" w:rsidP="001371AD">
      <w:pPr>
        <w:pStyle w:val="Heading3"/>
      </w:pPr>
      <w:r>
        <w:t>Evaluation of Environmental Impacts</w:t>
      </w:r>
    </w:p>
    <w:p w14:paraId="70E30615" w14:textId="77777777" w:rsidR="004D3F04" w:rsidRPr="00E4229E" w:rsidRDefault="004D3F04" w:rsidP="00DE5215">
      <w:pPr>
        <w:pStyle w:val="BodyText"/>
        <w:ind w:left="720"/>
        <w:rPr>
          <w:szCs w:val="20"/>
          <w:lang w:eastAsia="en-US"/>
        </w:rPr>
      </w:pPr>
      <w:r w:rsidRPr="00E4229E">
        <w:rPr>
          <w:szCs w:val="20"/>
          <w:lang w:eastAsia="en-US"/>
        </w:rPr>
        <w:t xml:space="preserve">Successful IMS invasion requires the following three steps: </w:t>
      </w:r>
    </w:p>
    <w:p w14:paraId="506D352F" w14:textId="3D83282D" w:rsidR="004D3F04" w:rsidRPr="00E4229E" w:rsidRDefault="004D3F04" w:rsidP="00DE5215">
      <w:pPr>
        <w:pStyle w:val="BodyText"/>
        <w:ind w:left="1287" w:hanging="567"/>
        <w:rPr>
          <w:szCs w:val="20"/>
          <w:lang w:eastAsia="en-US"/>
        </w:rPr>
      </w:pPr>
      <w:r w:rsidRPr="00E4229E">
        <w:rPr>
          <w:szCs w:val="20"/>
          <w:lang w:eastAsia="en-US"/>
        </w:rPr>
        <w:t>1.</w:t>
      </w:r>
      <w:r w:rsidRPr="00E4229E">
        <w:rPr>
          <w:szCs w:val="20"/>
          <w:lang w:eastAsia="en-US"/>
        </w:rPr>
        <w:tab/>
        <w:t>Colonisation and establishment of the marine pest on a vector (e.g.,</w:t>
      </w:r>
      <w:r w:rsidR="00E4229E">
        <w:rPr>
          <w:szCs w:val="20"/>
          <w:lang w:eastAsia="en-US"/>
        </w:rPr>
        <w:t xml:space="preserve"> </w:t>
      </w:r>
      <w:r w:rsidRPr="00E4229E">
        <w:rPr>
          <w:szCs w:val="20"/>
          <w:lang w:eastAsia="en-US"/>
        </w:rPr>
        <w:t xml:space="preserve">vessel hull) in a donor region (e.g., home port). </w:t>
      </w:r>
    </w:p>
    <w:p w14:paraId="089E3919" w14:textId="477C451F" w:rsidR="004D3F04" w:rsidRPr="00E4229E" w:rsidRDefault="004D3F04" w:rsidP="00DE5215">
      <w:pPr>
        <w:pStyle w:val="BodyText"/>
        <w:ind w:left="1287" w:hanging="567"/>
        <w:rPr>
          <w:szCs w:val="20"/>
          <w:lang w:eastAsia="en-US"/>
        </w:rPr>
      </w:pPr>
      <w:r w:rsidRPr="00E4229E">
        <w:rPr>
          <w:szCs w:val="20"/>
          <w:lang w:eastAsia="en-US"/>
        </w:rPr>
        <w:t>2.</w:t>
      </w:r>
      <w:r w:rsidRPr="00E4229E">
        <w:rPr>
          <w:szCs w:val="20"/>
          <w:lang w:eastAsia="en-US"/>
        </w:rPr>
        <w:tab/>
        <w:t>Survival of the settled marine species on the vector during the voyage</w:t>
      </w:r>
      <w:r w:rsidR="00DC183D">
        <w:rPr>
          <w:szCs w:val="20"/>
          <w:lang w:eastAsia="en-US"/>
        </w:rPr>
        <w:t xml:space="preserve"> </w:t>
      </w:r>
      <w:r w:rsidRPr="00E4229E">
        <w:rPr>
          <w:szCs w:val="20"/>
          <w:lang w:eastAsia="en-US"/>
        </w:rPr>
        <w:t>from the donor to the recipient region (e.g., project area).</w:t>
      </w:r>
    </w:p>
    <w:p w14:paraId="39013293" w14:textId="2B2F325D" w:rsidR="004D3F04" w:rsidRPr="00E4229E" w:rsidRDefault="004D3F04" w:rsidP="00DE5215">
      <w:pPr>
        <w:pStyle w:val="BodyText"/>
        <w:ind w:left="1287" w:hanging="567"/>
        <w:rPr>
          <w:szCs w:val="20"/>
          <w:lang w:eastAsia="en-US"/>
        </w:rPr>
      </w:pPr>
      <w:r w:rsidRPr="00E4229E">
        <w:rPr>
          <w:szCs w:val="20"/>
          <w:lang w:eastAsia="en-US"/>
        </w:rPr>
        <w:t>3.</w:t>
      </w:r>
      <w:r w:rsidRPr="00E4229E">
        <w:rPr>
          <w:szCs w:val="20"/>
          <w:lang w:eastAsia="en-US"/>
        </w:rPr>
        <w:tab/>
        <w:t>Colonisation (e.g., dislodgement or reproduction) of the marine species in</w:t>
      </w:r>
      <w:r w:rsidR="00E4229E">
        <w:rPr>
          <w:szCs w:val="20"/>
          <w:lang w:eastAsia="en-US"/>
        </w:rPr>
        <w:t xml:space="preserve"> </w:t>
      </w:r>
      <w:r w:rsidRPr="00E4229E">
        <w:rPr>
          <w:szCs w:val="20"/>
          <w:lang w:eastAsia="en-US"/>
        </w:rPr>
        <w:t xml:space="preserve">the recipient region, followed by successful establishment of a viable new local population. </w:t>
      </w:r>
    </w:p>
    <w:p w14:paraId="7DFDF79B" w14:textId="462E4E7C" w:rsidR="004D3F04" w:rsidRPr="00A65CD4" w:rsidRDefault="004D3F04" w:rsidP="00DE5215">
      <w:pPr>
        <w:pStyle w:val="BodyText"/>
        <w:ind w:left="720"/>
        <w:rPr>
          <w:szCs w:val="20"/>
          <w:lang w:eastAsia="en-US"/>
        </w:rPr>
      </w:pPr>
      <w:r w:rsidRPr="00E4229E">
        <w:rPr>
          <w:szCs w:val="20"/>
          <w:lang w:eastAsia="en-US"/>
        </w:rPr>
        <w:t xml:space="preserve">IMS </w:t>
      </w:r>
      <w:r w:rsidR="00DC2ACA">
        <w:rPr>
          <w:szCs w:val="20"/>
          <w:lang w:eastAsia="en-US"/>
        </w:rPr>
        <w:t>are</w:t>
      </w:r>
      <w:r w:rsidRPr="00E4229E">
        <w:rPr>
          <w:szCs w:val="20"/>
          <w:lang w:eastAsia="en-US"/>
        </w:rPr>
        <w:t xml:space="preserve"> likely to have little or no natural competition or predation, thus potentially outcompeting native species for food or space, preying on native species or changing the nature of the environment.</w:t>
      </w:r>
      <w:r w:rsidR="00DC2ACA">
        <w:rPr>
          <w:lang w:eastAsia="en-US"/>
        </w:rPr>
        <w:t xml:space="preserve"> It is estimated that Australia has over 250 established marine pests, and it is estimated that approximately one in six introduced marine species becomes pests (DoEE, </w:t>
      </w:r>
      <w:r w:rsidR="00DC2ACA" w:rsidRPr="00083759">
        <w:rPr>
          <w:lang w:eastAsia="en-US"/>
        </w:rPr>
        <w:t>2017</w:t>
      </w:r>
      <w:r w:rsidR="00077821" w:rsidRPr="00083759">
        <w:rPr>
          <w:lang w:eastAsia="en-US"/>
        </w:rPr>
        <w:t>b</w:t>
      </w:r>
      <w:r w:rsidR="00DC2ACA" w:rsidRPr="00077821">
        <w:rPr>
          <w:lang w:eastAsia="en-US"/>
        </w:rPr>
        <w:t>)</w:t>
      </w:r>
      <w:r w:rsidRPr="00A65CD4">
        <w:rPr>
          <w:szCs w:val="20"/>
          <w:lang w:eastAsia="en-US"/>
        </w:rPr>
        <w:t xml:space="preserve">. </w:t>
      </w:r>
    </w:p>
    <w:p w14:paraId="0DC9C734" w14:textId="72019927" w:rsidR="004D3F04" w:rsidRDefault="004D3F04" w:rsidP="00DE5215">
      <w:pPr>
        <w:pStyle w:val="BodyText"/>
        <w:ind w:left="720"/>
        <w:rPr>
          <w:szCs w:val="20"/>
          <w:lang w:eastAsia="en-US"/>
        </w:rPr>
      </w:pPr>
      <w:r w:rsidRPr="00077821">
        <w:rPr>
          <w:szCs w:val="20"/>
          <w:lang w:eastAsia="en-US"/>
        </w:rPr>
        <w:t>Marine pest species can also deplete fishing grounds and aquaculture stock, with between 10% and 40% of Australia’s fishing industry being potentially vulnerable to marine pest incursion. For example, the introduction of the Northern Pacific seastar (</w:t>
      </w:r>
      <w:r w:rsidRPr="00077821">
        <w:rPr>
          <w:i/>
          <w:szCs w:val="20"/>
          <w:lang w:eastAsia="en-US"/>
        </w:rPr>
        <w:t>Asterias amurensis</w:t>
      </w:r>
      <w:r w:rsidRPr="00077821">
        <w:rPr>
          <w:szCs w:val="20"/>
          <w:lang w:eastAsia="en-US"/>
        </w:rPr>
        <w:t>) in Victorian and Tasmanian waters was linked to a decline in scallop fisheries</w:t>
      </w:r>
      <w:r w:rsidR="00DC2ACA" w:rsidRPr="00077821">
        <w:rPr>
          <w:szCs w:val="20"/>
          <w:lang w:eastAsia="en-US"/>
        </w:rPr>
        <w:t xml:space="preserve"> (DSE, 2004)</w:t>
      </w:r>
      <w:r w:rsidRPr="00A65CD4">
        <w:rPr>
          <w:szCs w:val="20"/>
          <w:lang w:eastAsia="en-US"/>
        </w:rPr>
        <w:t>. Marine pests can also damage marine and industrial infrastructure, such as encrusting jetties</w:t>
      </w:r>
      <w:r w:rsidRPr="00E4229E">
        <w:rPr>
          <w:szCs w:val="20"/>
          <w:lang w:eastAsia="en-US"/>
        </w:rPr>
        <w:t xml:space="preserve"> and marinas or blocking industrial water intake pipes. By building up on vessel hulls, they can slow the vessels down and increase fuel consumption. </w:t>
      </w:r>
    </w:p>
    <w:p w14:paraId="002444D9" w14:textId="25DD1ED4" w:rsidR="00DC2ACA" w:rsidRDefault="00DC2ACA" w:rsidP="00DE5215">
      <w:pPr>
        <w:pStyle w:val="BodyText"/>
        <w:ind w:left="720"/>
        <w:rPr>
          <w:lang w:eastAsia="en-US"/>
        </w:rPr>
      </w:pPr>
      <w:r>
        <w:rPr>
          <w:lang w:eastAsia="en-US"/>
        </w:rPr>
        <w:t xml:space="preserve">Contracted vessels for IMR activities are likely to be sourced from within Australia (typically Victoria) but if international vessels are contracted they will be required to be compliant with Australian quarantine entry requirements as </w:t>
      </w:r>
      <w:r w:rsidRPr="00DC2ACA">
        <w:rPr>
          <w:lang w:eastAsia="en-US"/>
        </w:rPr>
        <w:t>detailed in</w:t>
      </w:r>
      <w:r w:rsidR="00B50637">
        <w:rPr>
          <w:lang w:eastAsia="en-US"/>
        </w:rPr>
        <w:t xml:space="preserve"> </w:t>
      </w:r>
      <w:r w:rsidR="00B50637">
        <w:rPr>
          <w:lang w:eastAsia="en-US"/>
        </w:rPr>
        <w:fldChar w:fldCharType="begin"/>
      </w:r>
      <w:r w:rsidR="00B50637">
        <w:rPr>
          <w:lang w:eastAsia="en-US"/>
        </w:rPr>
        <w:instrText xml:space="preserve"> REF _Ref477017132 \h </w:instrText>
      </w:r>
      <w:r w:rsidR="00B50637">
        <w:rPr>
          <w:lang w:eastAsia="en-US"/>
        </w:rPr>
      </w:r>
      <w:r w:rsidR="00B50637">
        <w:rPr>
          <w:lang w:eastAsia="en-US"/>
        </w:rPr>
        <w:fldChar w:fldCharType="separate"/>
      </w:r>
      <w:r w:rsidR="00CC4C35" w:rsidRPr="00E4229E">
        <w:rPr>
          <w:szCs w:val="20"/>
        </w:rPr>
        <w:t xml:space="preserve">Table </w:t>
      </w:r>
      <w:r w:rsidR="00CC4C35">
        <w:rPr>
          <w:noProof/>
          <w:szCs w:val="20"/>
        </w:rPr>
        <w:t>5</w:t>
      </w:r>
      <w:r w:rsidR="00CC4C35">
        <w:rPr>
          <w:szCs w:val="20"/>
        </w:rPr>
        <w:noBreakHyphen/>
      </w:r>
      <w:r w:rsidR="00CC4C35">
        <w:rPr>
          <w:noProof/>
          <w:szCs w:val="20"/>
        </w:rPr>
        <w:t>14</w:t>
      </w:r>
      <w:r w:rsidR="00B50637">
        <w:rPr>
          <w:lang w:eastAsia="en-US"/>
        </w:rPr>
        <w:fldChar w:fldCharType="end"/>
      </w:r>
      <w:r>
        <w:rPr>
          <w:lang w:eastAsia="en-US"/>
        </w:rPr>
        <w:t>.</w:t>
      </w:r>
    </w:p>
    <w:p w14:paraId="277F10A1" w14:textId="110047EC" w:rsidR="00082064" w:rsidRDefault="00082064" w:rsidP="00DE5215">
      <w:pPr>
        <w:pStyle w:val="BodyText"/>
        <w:ind w:left="720"/>
        <w:rPr>
          <w:lang w:eastAsia="en-US"/>
        </w:rPr>
      </w:pPr>
      <w:r>
        <w:rPr>
          <w:lang w:eastAsia="en-US"/>
        </w:rPr>
        <w:t xml:space="preserve">As part of vessel contractor pre-selection, vessel contractor’s mobilising vessels from international locations or domestic vessels mobilising from ports outside the IMCRA Otway bioregion, the contractor will undertake an IMS risk assessment in accordance with the Biofouling Risk Assessment Tool developed by the WA Department of Fisheries (or equivalent assessment tool) to ensure that the risk of IMS introduction is low. </w:t>
      </w:r>
    </w:p>
    <w:p w14:paraId="3991254D" w14:textId="464C12ED" w:rsidR="00DC2ACA" w:rsidRPr="00E4229E" w:rsidRDefault="00082064" w:rsidP="00DE5215">
      <w:pPr>
        <w:pStyle w:val="BodyText"/>
        <w:ind w:left="720"/>
        <w:rPr>
          <w:szCs w:val="20"/>
          <w:u w:val="single"/>
          <w:lang w:eastAsia="en-US"/>
        </w:rPr>
      </w:pPr>
      <w:r>
        <w:rPr>
          <w:lang w:eastAsia="en-US"/>
        </w:rPr>
        <w:t>T</w:t>
      </w:r>
      <w:r w:rsidR="00DC2ACA">
        <w:rPr>
          <w:lang w:eastAsia="en-US"/>
        </w:rPr>
        <w:t>he Victorian Environment Protection (Ships Ballast Water) Regulations 2006</w:t>
      </w:r>
      <w:r w:rsidR="0079374A">
        <w:rPr>
          <w:lang w:eastAsia="en-US"/>
        </w:rPr>
        <w:t xml:space="preserve"> </w:t>
      </w:r>
      <w:r w:rsidR="00DC2ACA">
        <w:rPr>
          <w:lang w:eastAsia="en-US"/>
        </w:rPr>
        <w:t>protects Victorian territorial seas (to 12 nm</w:t>
      </w:r>
      <w:r w:rsidR="0092139B">
        <w:rPr>
          <w:lang w:eastAsia="en-US"/>
        </w:rPr>
        <w:t xml:space="preserve"> from the Victorian coastline</w:t>
      </w:r>
      <w:r w:rsidR="00DC2ACA">
        <w:rPr>
          <w:lang w:eastAsia="en-US"/>
        </w:rPr>
        <w:t xml:space="preserve">) from </w:t>
      </w:r>
      <w:r w:rsidR="0092139B">
        <w:rPr>
          <w:lang w:eastAsia="en-US"/>
        </w:rPr>
        <w:t xml:space="preserve">discharges </w:t>
      </w:r>
      <w:r w:rsidR="00DC2ACA">
        <w:rPr>
          <w:lang w:eastAsia="en-US"/>
        </w:rPr>
        <w:t>of high risk domestic ballast water to ensure the risk of IMS introduction is low</w:t>
      </w:r>
      <w:r w:rsidR="006021B1">
        <w:rPr>
          <w:lang w:eastAsia="en-US"/>
        </w:rPr>
        <w:t>.</w:t>
      </w:r>
      <w:r w:rsidR="0092139B">
        <w:rPr>
          <w:lang w:eastAsia="en-US"/>
        </w:rPr>
        <w:t xml:space="preserve"> </w:t>
      </w:r>
      <w:r w:rsidR="0092139B">
        <w:t>Domestic ballast water is ballast that originates from Australian ports or from territorial seas (to 12 nm of coastline) within Australia. Approval from the Victorian EPA is required to discharge any domestic ballast water anywhere within Victorian territorial seas. This includes, but is not limited to domestic ballast water discharges in Victorian ports.</w:t>
      </w:r>
    </w:p>
    <w:p w14:paraId="10EBCEB1" w14:textId="77777777" w:rsidR="004D3F04" w:rsidRPr="00DE5215" w:rsidRDefault="004D3F04" w:rsidP="00DE5215">
      <w:pPr>
        <w:pStyle w:val="BodyText"/>
        <w:ind w:left="720"/>
        <w:rPr>
          <w:b/>
          <w:u w:val="single"/>
        </w:rPr>
      </w:pPr>
      <w:r w:rsidRPr="00DE5215">
        <w:rPr>
          <w:b/>
          <w:u w:val="single"/>
        </w:rPr>
        <w:t>Impacts to Matters of NES</w:t>
      </w:r>
    </w:p>
    <w:p w14:paraId="16758592" w14:textId="2F239811" w:rsidR="004D3F04" w:rsidRDefault="004D3F04" w:rsidP="00014C38">
      <w:pPr>
        <w:pStyle w:val="BodyText"/>
        <w:spacing w:after="240"/>
        <w:ind w:left="720"/>
        <w:rPr>
          <w:lang w:eastAsia="en-US"/>
        </w:rPr>
      </w:pPr>
      <w:r w:rsidRPr="00E4229E">
        <w:rPr>
          <w:szCs w:val="20"/>
          <w:lang w:eastAsia="en-US"/>
        </w:rPr>
        <w:t>The introduction (and possible colonisation and spread) of IMS will not have a ‘significant’ impact to any of the matters of NES applicable to this project</w:t>
      </w:r>
    </w:p>
    <w:p w14:paraId="3591FA7F" w14:textId="77777777" w:rsidR="004D3F04" w:rsidRPr="00DE5215" w:rsidRDefault="004D3F04" w:rsidP="00DE5215">
      <w:pPr>
        <w:pStyle w:val="BodyText"/>
        <w:ind w:left="709"/>
        <w:rPr>
          <w:b/>
          <w:u w:val="single"/>
        </w:rPr>
      </w:pPr>
      <w:r w:rsidRPr="00DE5215">
        <w:rPr>
          <w:b/>
          <w:u w:val="single"/>
        </w:rPr>
        <w:t>Impacts to other areas of Conservation Significance</w:t>
      </w:r>
    </w:p>
    <w:p w14:paraId="5078BB6C" w14:textId="21AC27C4" w:rsidR="00F3714C" w:rsidRPr="00E4229E" w:rsidRDefault="004D3F04" w:rsidP="00DE5215">
      <w:pPr>
        <w:pStyle w:val="BodyText"/>
        <w:spacing w:after="240"/>
        <w:ind w:left="709"/>
        <w:rPr>
          <w:szCs w:val="20"/>
          <w:lang w:eastAsia="en-US"/>
        </w:rPr>
      </w:pPr>
      <w:r w:rsidRPr="00E4229E">
        <w:rPr>
          <w:szCs w:val="20"/>
          <w:lang w:eastAsia="en-US"/>
        </w:rPr>
        <w:t xml:space="preserve">The introduction, colonisation and spread of IMS may impact on areas of conservation significance, as outlined in the box below. </w:t>
      </w:r>
    </w:p>
    <w:tbl>
      <w:tblPr>
        <w:tblW w:w="0" w:type="auto"/>
        <w:tblInd w:w="567"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1714"/>
        <w:gridCol w:w="2274"/>
        <w:gridCol w:w="2230"/>
        <w:gridCol w:w="2225"/>
      </w:tblGrid>
      <w:tr w:rsidR="004D3F04" w:rsidRPr="00E4229E" w14:paraId="7DD3DD61" w14:textId="77777777" w:rsidTr="004D3F04">
        <w:tc>
          <w:tcPr>
            <w:tcW w:w="1736" w:type="dxa"/>
            <w:shd w:val="clear" w:color="auto" w:fill="A6A6A6"/>
          </w:tcPr>
          <w:p w14:paraId="0A5406E7" w14:textId="5B6F04E1" w:rsidR="004D3F04" w:rsidRPr="00E4229E" w:rsidRDefault="004D3F04" w:rsidP="000F7C08">
            <w:pPr>
              <w:pStyle w:val="BodyText"/>
              <w:ind w:left="0"/>
              <w:jc w:val="center"/>
              <w:rPr>
                <w:rFonts w:cs="Arial"/>
                <w:b/>
                <w:sz w:val="16"/>
                <w:szCs w:val="16"/>
                <w:lang w:eastAsia="en-US"/>
              </w:rPr>
            </w:pPr>
            <w:r w:rsidRPr="00E4229E">
              <w:rPr>
                <w:rFonts w:cs="Arial"/>
                <w:b/>
                <w:sz w:val="16"/>
                <w:szCs w:val="16"/>
                <w:lang w:eastAsia="en-US"/>
              </w:rPr>
              <w:lastRenderedPageBreak/>
              <w:t xml:space="preserve">KEFs </w:t>
            </w:r>
            <w:r w:rsidRPr="00E4229E">
              <w:rPr>
                <w:rFonts w:cs="Arial"/>
                <w:b/>
                <w:sz w:val="16"/>
                <w:szCs w:val="16"/>
                <w:lang w:eastAsia="en-US"/>
              </w:rPr>
              <w:br/>
              <w:t>(Bonney Upwelling</w:t>
            </w:r>
            <w:r w:rsidR="000F7C08">
              <w:rPr>
                <w:rFonts w:cs="Arial"/>
                <w:b/>
                <w:sz w:val="16"/>
                <w:szCs w:val="16"/>
                <w:lang w:eastAsia="en-US"/>
              </w:rPr>
              <w:t xml:space="preserve"> / Shelf Rocky Reefs and Hard Substrates</w:t>
            </w:r>
            <w:r w:rsidRPr="00E4229E">
              <w:rPr>
                <w:rFonts w:cs="Arial"/>
                <w:b/>
                <w:sz w:val="16"/>
                <w:szCs w:val="16"/>
                <w:lang w:eastAsia="en-US"/>
              </w:rPr>
              <w:t>)</w:t>
            </w:r>
          </w:p>
        </w:tc>
        <w:tc>
          <w:tcPr>
            <w:tcW w:w="2318" w:type="dxa"/>
            <w:shd w:val="clear" w:color="auto" w:fill="A6A6A6"/>
          </w:tcPr>
          <w:p w14:paraId="54998FF4" w14:textId="77777777" w:rsidR="004D3F04" w:rsidRPr="00E4229E" w:rsidRDefault="004D3F04" w:rsidP="004D3F04">
            <w:pPr>
              <w:pStyle w:val="BodyText"/>
              <w:ind w:left="0"/>
              <w:jc w:val="center"/>
              <w:rPr>
                <w:rFonts w:cs="Arial"/>
                <w:b/>
                <w:sz w:val="16"/>
                <w:szCs w:val="16"/>
                <w:lang w:eastAsia="en-US"/>
              </w:rPr>
            </w:pPr>
            <w:r w:rsidRPr="00E4229E">
              <w:rPr>
                <w:rFonts w:cs="Arial"/>
                <w:b/>
                <w:sz w:val="16"/>
                <w:szCs w:val="16"/>
                <w:lang w:eastAsia="en-US"/>
              </w:rPr>
              <w:t>Nationally Important Wetlands</w:t>
            </w:r>
          </w:p>
        </w:tc>
        <w:tc>
          <w:tcPr>
            <w:tcW w:w="2268" w:type="dxa"/>
            <w:shd w:val="clear" w:color="auto" w:fill="A6A6A6"/>
          </w:tcPr>
          <w:p w14:paraId="22345AC9" w14:textId="77777777" w:rsidR="004D3F04" w:rsidRPr="00E4229E" w:rsidRDefault="004D3F04" w:rsidP="004D3F04">
            <w:pPr>
              <w:pStyle w:val="BodyText"/>
              <w:ind w:left="0"/>
              <w:jc w:val="center"/>
              <w:rPr>
                <w:rFonts w:cs="Arial"/>
                <w:b/>
                <w:sz w:val="16"/>
                <w:szCs w:val="16"/>
                <w:lang w:eastAsia="en-US"/>
              </w:rPr>
            </w:pPr>
            <w:r w:rsidRPr="00E4229E">
              <w:rPr>
                <w:rFonts w:cs="Arial"/>
                <w:b/>
                <w:sz w:val="16"/>
                <w:szCs w:val="16"/>
                <w:lang w:eastAsia="en-US"/>
              </w:rPr>
              <w:t>State Marine Parks</w:t>
            </w:r>
          </w:p>
        </w:tc>
        <w:tc>
          <w:tcPr>
            <w:tcW w:w="2268" w:type="dxa"/>
            <w:shd w:val="clear" w:color="auto" w:fill="A6A6A6"/>
          </w:tcPr>
          <w:p w14:paraId="4D8B8E03" w14:textId="77777777" w:rsidR="004D3F04" w:rsidRPr="00E4229E" w:rsidRDefault="004D3F04" w:rsidP="004D3F04">
            <w:pPr>
              <w:pStyle w:val="BodyText"/>
              <w:ind w:left="0"/>
              <w:jc w:val="center"/>
              <w:rPr>
                <w:rFonts w:cs="Arial"/>
                <w:b/>
                <w:sz w:val="16"/>
                <w:szCs w:val="16"/>
                <w:lang w:eastAsia="en-US"/>
              </w:rPr>
            </w:pPr>
            <w:r w:rsidRPr="00E4229E">
              <w:rPr>
                <w:rFonts w:cs="Arial"/>
                <w:b/>
                <w:sz w:val="16"/>
                <w:szCs w:val="16"/>
                <w:lang w:eastAsia="en-US"/>
              </w:rPr>
              <w:t>Coastal protected areas</w:t>
            </w:r>
          </w:p>
        </w:tc>
      </w:tr>
      <w:tr w:rsidR="004D3F04" w:rsidRPr="00E4229E" w14:paraId="33607C44" w14:textId="77777777" w:rsidTr="004D3F04">
        <w:tc>
          <w:tcPr>
            <w:tcW w:w="1736" w:type="dxa"/>
            <w:shd w:val="clear" w:color="auto" w:fill="auto"/>
          </w:tcPr>
          <w:p w14:paraId="43E0DFB4" w14:textId="1808D91D" w:rsidR="00F3714C" w:rsidRPr="00FA36A5" w:rsidRDefault="00E4229E">
            <w:pPr>
              <w:pStyle w:val="BodyText"/>
              <w:spacing w:before="60" w:after="60"/>
              <w:ind w:left="0"/>
              <w:jc w:val="center"/>
              <w:rPr>
                <w:rFonts w:cs="Arial"/>
                <w:sz w:val="16"/>
                <w:szCs w:val="16"/>
                <w:lang w:eastAsia="en-US"/>
              </w:rPr>
            </w:pPr>
            <w:r w:rsidRPr="00E4229E">
              <w:rPr>
                <w:rFonts w:ascii="MS Gothic" w:eastAsia="MS Gothic" w:hAnsi="MS Gothic" w:cs="MS Gothic"/>
                <w:b/>
                <w:color w:val="FF0000"/>
                <w:sz w:val="16"/>
                <w:szCs w:val="16"/>
                <w:lang w:eastAsia="en-US"/>
              </w:rPr>
              <w:t>X</w:t>
            </w:r>
            <w:r w:rsidR="000F7C08">
              <w:rPr>
                <w:rFonts w:ascii="MS Gothic" w:eastAsia="MS Gothic" w:hAnsi="MS Gothic" w:cs="MS Gothic"/>
                <w:b/>
                <w:color w:val="FF0000"/>
                <w:sz w:val="16"/>
                <w:szCs w:val="16"/>
                <w:lang w:eastAsia="en-US"/>
              </w:rPr>
              <w:t xml:space="preserve"> / </w:t>
            </w:r>
            <w:r w:rsidR="000F7C08" w:rsidRPr="00E4229E">
              <w:rPr>
                <w:rFonts w:cs="Arial"/>
                <w:b/>
                <w:color w:val="008000"/>
                <w:sz w:val="16"/>
                <w:szCs w:val="16"/>
              </w:rPr>
              <w:sym w:font="Wingdings" w:char="F0FC"/>
            </w:r>
          </w:p>
        </w:tc>
        <w:tc>
          <w:tcPr>
            <w:tcW w:w="2318" w:type="dxa"/>
            <w:shd w:val="clear" w:color="auto" w:fill="auto"/>
          </w:tcPr>
          <w:p w14:paraId="24F2D3D5" w14:textId="377614C5" w:rsidR="004D3F04" w:rsidRPr="00E4229E" w:rsidRDefault="00E4229E" w:rsidP="004D3F04">
            <w:pPr>
              <w:pStyle w:val="BodyText"/>
              <w:spacing w:before="60" w:after="60"/>
              <w:ind w:left="0"/>
              <w:jc w:val="center"/>
              <w:rPr>
                <w:rFonts w:cs="Arial"/>
                <w:b/>
                <w:sz w:val="16"/>
                <w:szCs w:val="16"/>
                <w:lang w:eastAsia="en-US"/>
              </w:rPr>
            </w:pPr>
            <w:r w:rsidRPr="00E4229E">
              <w:rPr>
                <w:rFonts w:ascii="MS Gothic" w:eastAsia="MS Gothic" w:hAnsi="MS Gothic" w:cs="MS Gothic"/>
                <w:b/>
                <w:color w:val="FF0000"/>
                <w:sz w:val="16"/>
                <w:szCs w:val="16"/>
                <w:lang w:eastAsia="en-US"/>
              </w:rPr>
              <w:t>X</w:t>
            </w:r>
          </w:p>
        </w:tc>
        <w:tc>
          <w:tcPr>
            <w:tcW w:w="2268" w:type="dxa"/>
            <w:shd w:val="clear" w:color="auto" w:fill="auto"/>
          </w:tcPr>
          <w:p w14:paraId="12B56B3F" w14:textId="3141F8A7" w:rsidR="004D3F04" w:rsidRPr="00E4229E" w:rsidRDefault="00997091" w:rsidP="004D3F04">
            <w:pPr>
              <w:pStyle w:val="BodyText"/>
              <w:spacing w:before="60" w:after="60"/>
              <w:ind w:left="0"/>
              <w:jc w:val="center"/>
              <w:rPr>
                <w:rFonts w:cs="Arial"/>
                <w:b/>
                <w:color w:val="008000"/>
                <w:sz w:val="16"/>
                <w:szCs w:val="16"/>
                <w:lang w:eastAsia="en-US"/>
              </w:rPr>
            </w:pPr>
            <w:r w:rsidRPr="00E4229E">
              <w:rPr>
                <w:rFonts w:cs="Arial"/>
                <w:b/>
                <w:color w:val="008000"/>
                <w:sz w:val="16"/>
                <w:szCs w:val="16"/>
              </w:rPr>
              <w:sym w:font="Wingdings" w:char="F0FC"/>
            </w:r>
          </w:p>
        </w:tc>
        <w:tc>
          <w:tcPr>
            <w:tcW w:w="2268" w:type="dxa"/>
            <w:shd w:val="clear" w:color="auto" w:fill="auto"/>
          </w:tcPr>
          <w:p w14:paraId="54E013B2" w14:textId="6853DB9B" w:rsidR="004D3F04" w:rsidRPr="00E4229E" w:rsidRDefault="00E4229E" w:rsidP="004D3F04">
            <w:pPr>
              <w:pStyle w:val="BodyText"/>
              <w:spacing w:before="60" w:after="60"/>
              <w:ind w:left="0"/>
              <w:jc w:val="center"/>
              <w:rPr>
                <w:rFonts w:cs="Arial"/>
                <w:b/>
                <w:sz w:val="16"/>
                <w:szCs w:val="16"/>
                <w:lang w:eastAsia="en-US"/>
              </w:rPr>
            </w:pPr>
            <w:r w:rsidRPr="00E4229E">
              <w:rPr>
                <w:rFonts w:ascii="MS Gothic" w:eastAsia="MS Gothic" w:hAnsi="MS Gothic" w:cs="MS Gothic"/>
                <w:b/>
                <w:color w:val="FF0000"/>
                <w:sz w:val="16"/>
                <w:szCs w:val="16"/>
                <w:lang w:eastAsia="en-US"/>
              </w:rPr>
              <w:t>X</w:t>
            </w:r>
          </w:p>
        </w:tc>
      </w:tr>
      <w:tr w:rsidR="004D3F04" w:rsidRPr="00E4229E" w14:paraId="236E6DDF" w14:textId="77777777" w:rsidTr="004D3F04">
        <w:tc>
          <w:tcPr>
            <w:tcW w:w="1736" w:type="dxa"/>
            <w:shd w:val="clear" w:color="auto" w:fill="F2F2F2"/>
          </w:tcPr>
          <w:p w14:paraId="19222A35" w14:textId="6F7EEA9F" w:rsidR="004D3F04" w:rsidRDefault="004D3F04" w:rsidP="004D3F04">
            <w:pPr>
              <w:pStyle w:val="BodyText"/>
              <w:ind w:left="0"/>
              <w:rPr>
                <w:rFonts w:cs="Arial"/>
                <w:sz w:val="16"/>
                <w:szCs w:val="16"/>
                <w:lang w:eastAsia="en-US"/>
              </w:rPr>
            </w:pPr>
            <w:r w:rsidRPr="00E4229E">
              <w:rPr>
                <w:rFonts w:cs="Arial"/>
                <w:sz w:val="16"/>
                <w:szCs w:val="16"/>
                <w:lang w:eastAsia="en-US"/>
              </w:rPr>
              <w:t xml:space="preserve">The spread of </w:t>
            </w:r>
            <w:r w:rsidR="00E4229E">
              <w:rPr>
                <w:rFonts w:cs="Arial"/>
                <w:sz w:val="16"/>
                <w:szCs w:val="16"/>
                <w:lang w:eastAsia="en-US"/>
              </w:rPr>
              <w:t>IMS into the KEF would have no e</w:t>
            </w:r>
            <w:r w:rsidRPr="00E4229E">
              <w:rPr>
                <w:rFonts w:cs="Arial"/>
                <w:sz w:val="16"/>
                <w:szCs w:val="16"/>
                <w:lang w:eastAsia="en-US"/>
              </w:rPr>
              <w:t>ffect on</w:t>
            </w:r>
            <w:r w:rsidR="000F7C08">
              <w:rPr>
                <w:rFonts w:cs="Arial"/>
                <w:sz w:val="16"/>
                <w:szCs w:val="16"/>
                <w:lang w:eastAsia="en-US"/>
              </w:rPr>
              <w:t xml:space="preserve"> the Bonney </w:t>
            </w:r>
            <w:r w:rsidRPr="00E4229E">
              <w:rPr>
                <w:rFonts w:cs="Arial"/>
                <w:sz w:val="16"/>
                <w:szCs w:val="16"/>
                <w:lang w:eastAsia="en-US"/>
              </w:rPr>
              <w:t>upwelling.</w:t>
            </w:r>
          </w:p>
          <w:p w14:paraId="178C0610" w14:textId="4D1B13BD" w:rsidR="00F3714C" w:rsidRPr="00E4229E" w:rsidRDefault="00F3714C">
            <w:pPr>
              <w:pStyle w:val="BodyText"/>
              <w:ind w:left="0"/>
              <w:rPr>
                <w:rFonts w:cs="Arial"/>
                <w:sz w:val="16"/>
                <w:szCs w:val="16"/>
                <w:lang w:eastAsia="en-US"/>
              </w:rPr>
            </w:pPr>
            <w:r>
              <w:rPr>
                <w:rFonts w:cs="Arial"/>
                <w:sz w:val="16"/>
                <w:szCs w:val="16"/>
                <w:lang w:eastAsia="en-US"/>
              </w:rPr>
              <w:t xml:space="preserve">The spread of IMS may have impact on biodiversity of non-location specific rocky reef </w:t>
            </w:r>
            <w:r w:rsidR="000F7C08">
              <w:rPr>
                <w:rFonts w:cs="Arial"/>
                <w:sz w:val="16"/>
                <w:szCs w:val="16"/>
                <w:lang w:eastAsia="en-US"/>
              </w:rPr>
              <w:t xml:space="preserve">and hard substrate </w:t>
            </w:r>
            <w:r>
              <w:rPr>
                <w:rFonts w:cs="Arial"/>
                <w:sz w:val="16"/>
                <w:szCs w:val="16"/>
                <w:lang w:eastAsia="en-US"/>
              </w:rPr>
              <w:t xml:space="preserve">areas </w:t>
            </w:r>
          </w:p>
        </w:tc>
        <w:tc>
          <w:tcPr>
            <w:tcW w:w="2318" w:type="dxa"/>
            <w:shd w:val="clear" w:color="auto" w:fill="F2F2F2"/>
          </w:tcPr>
          <w:p w14:paraId="71D1409E" w14:textId="77777777" w:rsidR="004D3F04" w:rsidRPr="00E4229E" w:rsidRDefault="004D3F04" w:rsidP="004D3F04">
            <w:pPr>
              <w:pStyle w:val="BodyText"/>
              <w:ind w:left="0"/>
              <w:rPr>
                <w:rFonts w:cs="Arial"/>
                <w:sz w:val="16"/>
                <w:szCs w:val="16"/>
                <w:lang w:eastAsia="en-US"/>
              </w:rPr>
            </w:pPr>
            <w:r w:rsidRPr="00E4229E">
              <w:rPr>
                <w:rFonts w:cs="Arial"/>
                <w:sz w:val="16"/>
                <w:szCs w:val="16"/>
                <w:lang w:eastAsia="en-US"/>
              </w:rPr>
              <w:t>Marine IMS are unlikely to spread to and survive within fresh-water or brackish coastal wetlands.</w:t>
            </w:r>
          </w:p>
        </w:tc>
        <w:tc>
          <w:tcPr>
            <w:tcW w:w="2268" w:type="dxa"/>
            <w:shd w:val="clear" w:color="auto" w:fill="F2F2F2"/>
          </w:tcPr>
          <w:p w14:paraId="03A8DF12" w14:textId="0E15D8AA" w:rsidR="004D3F04" w:rsidRPr="00E4229E" w:rsidRDefault="004D3F04" w:rsidP="00402CD7">
            <w:pPr>
              <w:pStyle w:val="BodyText"/>
              <w:ind w:left="0"/>
              <w:rPr>
                <w:rFonts w:cs="Arial"/>
                <w:sz w:val="16"/>
                <w:szCs w:val="16"/>
                <w:lang w:eastAsia="en-US"/>
              </w:rPr>
            </w:pPr>
            <w:r w:rsidRPr="00E4229E">
              <w:rPr>
                <w:rFonts w:cs="Arial"/>
                <w:sz w:val="16"/>
                <w:szCs w:val="16"/>
                <w:lang w:eastAsia="en-US"/>
              </w:rPr>
              <w:t>The diverse benthic communities of The Arches Marine Sanctuary may be at risk of IMS spread (2.8 km east of pipeline) (</w:t>
            </w:r>
            <w:r w:rsidRPr="00402CD7">
              <w:rPr>
                <w:rFonts w:cs="Arial"/>
                <w:sz w:val="16"/>
                <w:szCs w:val="16"/>
                <w:lang w:eastAsia="en-US"/>
              </w:rPr>
              <w:t xml:space="preserve">see Section </w:t>
            </w:r>
          </w:p>
        </w:tc>
        <w:tc>
          <w:tcPr>
            <w:tcW w:w="2268" w:type="dxa"/>
            <w:shd w:val="clear" w:color="auto" w:fill="F2F2F2"/>
          </w:tcPr>
          <w:p w14:paraId="008257C9" w14:textId="77777777" w:rsidR="004D3F04" w:rsidRPr="00E4229E" w:rsidRDefault="004D3F04" w:rsidP="004D3F04">
            <w:pPr>
              <w:pStyle w:val="BodyText"/>
              <w:ind w:left="0"/>
              <w:rPr>
                <w:rFonts w:cs="Arial"/>
                <w:sz w:val="16"/>
                <w:szCs w:val="16"/>
                <w:lang w:eastAsia="en-US"/>
              </w:rPr>
            </w:pPr>
            <w:r w:rsidRPr="00E4229E">
              <w:rPr>
                <w:rFonts w:cs="Arial"/>
                <w:sz w:val="16"/>
                <w:szCs w:val="16"/>
                <w:lang w:eastAsia="en-US"/>
              </w:rPr>
              <w:t>Coastal protected areas are likely to be outside the influence of marine IMS.</w:t>
            </w:r>
          </w:p>
        </w:tc>
      </w:tr>
    </w:tbl>
    <w:p w14:paraId="5E79D229" w14:textId="77777777" w:rsidR="004D3F04" w:rsidRPr="00BE0DE6" w:rsidRDefault="004D3F04" w:rsidP="004D3F04">
      <w:pPr>
        <w:pStyle w:val="BodyText"/>
        <w:rPr>
          <w:lang w:eastAsia="en-US"/>
        </w:rPr>
      </w:pPr>
    </w:p>
    <w:p w14:paraId="0280658C" w14:textId="2BDC0862" w:rsidR="004D3F04" w:rsidRDefault="00E4229E" w:rsidP="001371AD">
      <w:pPr>
        <w:pStyle w:val="Heading3"/>
      </w:pPr>
      <w:r>
        <w:t xml:space="preserve">Risk </w:t>
      </w:r>
      <w:r w:rsidR="004D3F04">
        <w:t>Assessment</w:t>
      </w:r>
    </w:p>
    <w:p w14:paraId="13450F83" w14:textId="3B657AC1" w:rsidR="004D3F04" w:rsidRDefault="00E4229E" w:rsidP="00DE5215">
      <w:pPr>
        <w:pStyle w:val="BodyText"/>
        <w:ind w:left="720"/>
        <w:rPr>
          <w:lang w:eastAsia="en-US"/>
        </w:rPr>
      </w:pPr>
      <w:r>
        <w:rPr>
          <w:color w:val="FF0000"/>
          <w:lang w:eastAsia="en-US"/>
        </w:rPr>
        <w:fldChar w:fldCharType="begin"/>
      </w:r>
      <w:r>
        <w:rPr>
          <w:color w:val="FF0000"/>
          <w:lang w:eastAsia="en-US"/>
        </w:rPr>
        <w:instrText xml:space="preserve"> REF _Ref473397330 \h </w:instrText>
      </w:r>
      <w:r>
        <w:rPr>
          <w:color w:val="FF0000"/>
          <w:lang w:eastAsia="en-US"/>
        </w:rPr>
      </w:r>
      <w:r>
        <w:rPr>
          <w:color w:val="FF0000"/>
          <w:lang w:eastAsia="en-US"/>
        </w:rPr>
        <w:fldChar w:fldCharType="separate"/>
      </w:r>
      <w:r w:rsidR="00CC4C35" w:rsidRPr="00E4229E">
        <w:rPr>
          <w:szCs w:val="20"/>
        </w:rPr>
        <w:t xml:space="preserve">Table </w:t>
      </w:r>
      <w:r w:rsidR="00CC4C35">
        <w:rPr>
          <w:noProof/>
          <w:szCs w:val="20"/>
        </w:rPr>
        <w:t>5</w:t>
      </w:r>
      <w:r w:rsidR="00CC4C35">
        <w:rPr>
          <w:szCs w:val="20"/>
        </w:rPr>
        <w:noBreakHyphen/>
      </w:r>
      <w:r w:rsidR="00CC4C35">
        <w:rPr>
          <w:noProof/>
          <w:szCs w:val="20"/>
        </w:rPr>
        <w:t>14</w:t>
      </w:r>
      <w:r>
        <w:rPr>
          <w:color w:val="FF0000"/>
          <w:lang w:eastAsia="en-US"/>
        </w:rPr>
        <w:fldChar w:fldCharType="end"/>
      </w:r>
      <w:r>
        <w:rPr>
          <w:color w:val="FF0000"/>
          <w:lang w:eastAsia="en-US"/>
        </w:rPr>
        <w:t xml:space="preserve"> </w:t>
      </w:r>
      <w:r w:rsidR="004D3F04" w:rsidRPr="00E4229E">
        <w:rPr>
          <w:lang w:eastAsia="en-US"/>
        </w:rPr>
        <w:t>presents the risk assessment for the introduction of IMS.</w:t>
      </w:r>
    </w:p>
    <w:p w14:paraId="5B70DF4B" w14:textId="2404E418" w:rsidR="004D3F04" w:rsidRPr="00ED5388" w:rsidRDefault="00E4229E" w:rsidP="00B86A7D">
      <w:pPr>
        <w:pStyle w:val="Caption"/>
        <w:outlineLvl w:val="9"/>
        <w:rPr>
          <w:sz w:val="20"/>
          <w:szCs w:val="20"/>
        </w:rPr>
      </w:pPr>
      <w:bookmarkStart w:id="232" w:name="_Ref477017132"/>
      <w:bookmarkStart w:id="233" w:name="_Ref473397330"/>
      <w:bookmarkStart w:id="234" w:name="_Toc511032605"/>
      <w:r w:rsidRPr="00E4229E">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14</w:t>
      </w:r>
      <w:r w:rsidR="00103328">
        <w:rPr>
          <w:sz w:val="20"/>
          <w:szCs w:val="20"/>
        </w:rPr>
        <w:fldChar w:fldCharType="end"/>
      </w:r>
      <w:bookmarkEnd w:id="232"/>
      <w:bookmarkEnd w:id="233"/>
      <w:r w:rsidRPr="00E4229E">
        <w:rPr>
          <w:sz w:val="20"/>
          <w:szCs w:val="20"/>
        </w:rPr>
        <w:t>: ERA for the introduction of IMS.</w:t>
      </w:r>
      <w:bookmarkEnd w:id="234"/>
    </w:p>
    <w:tbl>
      <w:tblPr>
        <w:tblW w:w="9072"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410"/>
        <w:gridCol w:w="6662"/>
      </w:tblGrid>
      <w:tr w:rsidR="00FB6122" w:rsidRPr="00E4229E" w14:paraId="7B765884" w14:textId="77777777" w:rsidTr="00E439A6">
        <w:trPr>
          <w:cantSplit/>
        </w:trPr>
        <w:tc>
          <w:tcPr>
            <w:tcW w:w="2410" w:type="dxa"/>
            <w:shd w:val="clear" w:color="auto" w:fill="BFBFBF" w:themeFill="background1" w:themeFillShade="BF"/>
          </w:tcPr>
          <w:p w14:paraId="65213813" w14:textId="062EC900" w:rsidR="00FB6122" w:rsidRPr="00E4229E" w:rsidRDefault="00FB6122" w:rsidP="004D3F04">
            <w:pPr>
              <w:pStyle w:val="Tabletext"/>
              <w:rPr>
                <w:rFonts w:ascii="Arial" w:hAnsi="Arial" w:cs="Arial"/>
                <w:b/>
                <w:sz w:val="16"/>
                <w:szCs w:val="16"/>
              </w:rPr>
            </w:pPr>
            <w:r>
              <w:rPr>
                <w:rFonts w:ascii="Arial" w:hAnsi="Arial" w:cs="Arial"/>
                <w:b/>
                <w:sz w:val="16"/>
                <w:szCs w:val="16"/>
              </w:rPr>
              <w:t>Aspect:</w:t>
            </w:r>
          </w:p>
        </w:tc>
        <w:tc>
          <w:tcPr>
            <w:tcW w:w="6662" w:type="dxa"/>
          </w:tcPr>
          <w:p w14:paraId="4671166E" w14:textId="4BE1C104" w:rsidR="00FB6122" w:rsidRPr="00E4229E" w:rsidRDefault="00FB6122" w:rsidP="004D3F04">
            <w:pPr>
              <w:pStyle w:val="Tabletext"/>
              <w:spacing w:line="240" w:lineRule="auto"/>
              <w:jc w:val="left"/>
              <w:rPr>
                <w:rFonts w:ascii="Arial" w:hAnsi="Arial" w:cs="Arial"/>
                <w:sz w:val="16"/>
                <w:szCs w:val="16"/>
              </w:rPr>
            </w:pPr>
            <w:r>
              <w:rPr>
                <w:rFonts w:ascii="Arial" w:hAnsi="Arial" w:cs="Arial"/>
                <w:sz w:val="16"/>
                <w:szCs w:val="16"/>
              </w:rPr>
              <w:t>Vessel Activity (biofouling and ballast discharge)</w:t>
            </w:r>
          </w:p>
        </w:tc>
      </w:tr>
      <w:tr w:rsidR="004D3F04" w:rsidRPr="00E4229E" w14:paraId="6C1A8ACA" w14:textId="77777777" w:rsidTr="00E439A6">
        <w:trPr>
          <w:cantSplit/>
        </w:trPr>
        <w:tc>
          <w:tcPr>
            <w:tcW w:w="2410" w:type="dxa"/>
            <w:shd w:val="clear" w:color="auto" w:fill="BFBFBF" w:themeFill="background1" w:themeFillShade="BF"/>
          </w:tcPr>
          <w:p w14:paraId="14331DC2" w14:textId="77777777" w:rsidR="004D3F04" w:rsidRPr="00E4229E" w:rsidRDefault="004D3F04" w:rsidP="004D3F04">
            <w:pPr>
              <w:pStyle w:val="Tabletext"/>
              <w:rPr>
                <w:rFonts w:ascii="Arial" w:hAnsi="Arial" w:cs="Arial"/>
                <w:b/>
                <w:sz w:val="16"/>
                <w:szCs w:val="16"/>
              </w:rPr>
            </w:pPr>
            <w:r w:rsidRPr="00E4229E">
              <w:rPr>
                <w:rFonts w:ascii="Arial" w:hAnsi="Arial" w:cs="Arial"/>
                <w:b/>
                <w:sz w:val="16"/>
                <w:szCs w:val="16"/>
              </w:rPr>
              <w:t xml:space="preserve">Impact summary </w:t>
            </w:r>
          </w:p>
        </w:tc>
        <w:tc>
          <w:tcPr>
            <w:tcW w:w="6662" w:type="dxa"/>
          </w:tcPr>
          <w:p w14:paraId="08096955" w14:textId="77777777" w:rsidR="004D3F04" w:rsidRPr="00E4229E" w:rsidRDefault="004D3F04" w:rsidP="004D3F04">
            <w:pPr>
              <w:pStyle w:val="Tabletext"/>
              <w:spacing w:line="240" w:lineRule="auto"/>
              <w:jc w:val="left"/>
              <w:rPr>
                <w:rFonts w:ascii="Arial" w:hAnsi="Arial" w:cs="Arial"/>
                <w:sz w:val="16"/>
                <w:szCs w:val="16"/>
              </w:rPr>
            </w:pPr>
            <w:r w:rsidRPr="00E4229E">
              <w:rPr>
                <w:rFonts w:ascii="Arial" w:hAnsi="Arial" w:cs="Arial"/>
                <w:sz w:val="16"/>
                <w:szCs w:val="16"/>
              </w:rPr>
              <w:t xml:space="preserve">Predation of native marine species and the possible loss of diversity and abundance of native marine species. </w:t>
            </w:r>
          </w:p>
        </w:tc>
      </w:tr>
      <w:tr w:rsidR="004D3F04" w:rsidRPr="00E4229E" w14:paraId="445CF1A8" w14:textId="77777777" w:rsidTr="00E439A6">
        <w:trPr>
          <w:cantSplit/>
        </w:trPr>
        <w:tc>
          <w:tcPr>
            <w:tcW w:w="2410" w:type="dxa"/>
            <w:shd w:val="clear" w:color="auto" w:fill="BFBFBF" w:themeFill="background1" w:themeFillShade="BF"/>
          </w:tcPr>
          <w:p w14:paraId="514B47F7" w14:textId="77777777" w:rsidR="004D3F04" w:rsidRPr="00E4229E" w:rsidRDefault="004D3F04" w:rsidP="004D3F04">
            <w:pPr>
              <w:pStyle w:val="Tabletext"/>
              <w:jc w:val="left"/>
              <w:rPr>
                <w:rFonts w:ascii="Arial" w:hAnsi="Arial" w:cs="Arial"/>
                <w:b/>
                <w:sz w:val="16"/>
                <w:szCs w:val="16"/>
              </w:rPr>
            </w:pPr>
            <w:r w:rsidRPr="00E4229E">
              <w:rPr>
                <w:rFonts w:ascii="Arial" w:hAnsi="Arial" w:cs="Arial"/>
                <w:b/>
                <w:sz w:val="16"/>
                <w:szCs w:val="16"/>
              </w:rPr>
              <w:t xml:space="preserve">Extent of impact </w:t>
            </w:r>
          </w:p>
        </w:tc>
        <w:tc>
          <w:tcPr>
            <w:tcW w:w="6662" w:type="dxa"/>
          </w:tcPr>
          <w:p w14:paraId="5014ADD0" w14:textId="77777777" w:rsidR="004D3F04" w:rsidRPr="00E4229E" w:rsidRDefault="004D3F04" w:rsidP="004D3F04">
            <w:pPr>
              <w:pStyle w:val="Tabletext"/>
              <w:spacing w:line="240" w:lineRule="auto"/>
              <w:jc w:val="left"/>
              <w:rPr>
                <w:rFonts w:ascii="Arial" w:hAnsi="Arial" w:cs="Arial"/>
                <w:sz w:val="16"/>
                <w:szCs w:val="16"/>
              </w:rPr>
            </w:pPr>
            <w:r w:rsidRPr="00E4229E">
              <w:rPr>
                <w:rFonts w:ascii="Arial" w:hAnsi="Arial" w:cs="Arial"/>
                <w:sz w:val="16"/>
                <w:szCs w:val="16"/>
              </w:rPr>
              <w:t xml:space="preserve">Localised (isolated locations around the assets if there is no spread) to widespread (if colonisation and spread occurs).  </w:t>
            </w:r>
          </w:p>
        </w:tc>
      </w:tr>
      <w:tr w:rsidR="004D3F04" w:rsidRPr="00E4229E" w14:paraId="2C3F8FB9" w14:textId="77777777" w:rsidTr="00E439A6">
        <w:trPr>
          <w:cantSplit/>
        </w:trPr>
        <w:tc>
          <w:tcPr>
            <w:tcW w:w="2410" w:type="dxa"/>
            <w:shd w:val="clear" w:color="auto" w:fill="BFBFBF" w:themeFill="background1" w:themeFillShade="BF"/>
          </w:tcPr>
          <w:p w14:paraId="3CAFA5DB" w14:textId="77777777" w:rsidR="004D3F04" w:rsidRPr="00E4229E" w:rsidRDefault="004D3F04" w:rsidP="004D3F04">
            <w:pPr>
              <w:pStyle w:val="Tabletext"/>
              <w:jc w:val="left"/>
              <w:rPr>
                <w:rFonts w:ascii="Arial" w:hAnsi="Arial" w:cs="Arial"/>
                <w:b/>
                <w:sz w:val="16"/>
                <w:szCs w:val="16"/>
              </w:rPr>
            </w:pPr>
            <w:r w:rsidRPr="00E4229E">
              <w:rPr>
                <w:rFonts w:ascii="Arial" w:hAnsi="Arial" w:cs="Arial"/>
                <w:b/>
                <w:sz w:val="16"/>
                <w:szCs w:val="16"/>
              </w:rPr>
              <w:t xml:space="preserve">Duration of impact </w:t>
            </w:r>
          </w:p>
        </w:tc>
        <w:tc>
          <w:tcPr>
            <w:tcW w:w="6662" w:type="dxa"/>
          </w:tcPr>
          <w:p w14:paraId="397A84A5" w14:textId="77777777" w:rsidR="004D3F04" w:rsidRPr="00E4229E" w:rsidRDefault="004D3F04" w:rsidP="004D3F04">
            <w:pPr>
              <w:pStyle w:val="Tabletext"/>
              <w:spacing w:line="240" w:lineRule="auto"/>
              <w:jc w:val="left"/>
              <w:rPr>
                <w:rFonts w:ascii="Arial" w:hAnsi="Arial" w:cs="Arial"/>
                <w:sz w:val="16"/>
                <w:szCs w:val="16"/>
              </w:rPr>
            </w:pPr>
            <w:r w:rsidRPr="00E4229E">
              <w:rPr>
                <w:rFonts w:ascii="Arial" w:hAnsi="Arial" w:cs="Arial"/>
                <w:sz w:val="16"/>
                <w:szCs w:val="16"/>
              </w:rPr>
              <w:t>Short-term (IMS is detected and eradicated, or IMS does not survive long enough to colonise and spread) to long-term (IMS colonises and spreads).</w:t>
            </w:r>
          </w:p>
        </w:tc>
      </w:tr>
      <w:tr w:rsidR="004D3F04" w:rsidRPr="00E4229E" w14:paraId="7CF057FF" w14:textId="77777777" w:rsidTr="00E439A6">
        <w:trPr>
          <w:cantSplit/>
        </w:trPr>
        <w:tc>
          <w:tcPr>
            <w:tcW w:w="2410" w:type="dxa"/>
            <w:shd w:val="clear" w:color="auto" w:fill="BFBFBF" w:themeFill="background1" w:themeFillShade="BF"/>
          </w:tcPr>
          <w:p w14:paraId="1D79879F" w14:textId="77777777" w:rsidR="004D3F04" w:rsidRPr="00E4229E" w:rsidRDefault="004D3F04" w:rsidP="004D3F04">
            <w:pPr>
              <w:pStyle w:val="Tabletext"/>
              <w:jc w:val="left"/>
              <w:rPr>
                <w:rFonts w:ascii="Arial" w:hAnsi="Arial" w:cs="Arial"/>
                <w:b/>
                <w:sz w:val="16"/>
                <w:szCs w:val="16"/>
              </w:rPr>
            </w:pPr>
            <w:r w:rsidRPr="00E4229E">
              <w:rPr>
                <w:rFonts w:ascii="Arial" w:hAnsi="Arial" w:cs="Arial"/>
                <w:b/>
                <w:sz w:val="16"/>
                <w:szCs w:val="16"/>
              </w:rPr>
              <w:t>Level of certainty of impact</w:t>
            </w:r>
          </w:p>
        </w:tc>
        <w:tc>
          <w:tcPr>
            <w:tcW w:w="6662" w:type="dxa"/>
          </w:tcPr>
          <w:p w14:paraId="78158BBE" w14:textId="77777777" w:rsidR="00DC2ACA" w:rsidRDefault="00CD2052" w:rsidP="004D3F04">
            <w:pPr>
              <w:pStyle w:val="Tabletext"/>
              <w:spacing w:line="240" w:lineRule="auto"/>
              <w:jc w:val="left"/>
              <w:rPr>
                <w:rFonts w:ascii="Arial" w:hAnsi="Arial" w:cs="Arial"/>
                <w:sz w:val="16"/>
                <w:szCs w:val="16"/>
              </w:rPr>
            </w:pPr>
            <w:r w:rsidRPr="00E4229E">
              <w:rPr>
                <w:rFonts w:ascii="Arial" w:hAnsi="Arial" w:cs="Arial"/>
                <w:sz w:val="16"/>
                <w:szCs w:val="16"/>
              </w:rPr>
              <w:t xml:space="preserve">HIGH: Impacts associated with IMS introduction have been extensively studied and the vectors of introduction established. </w:t>
            </w:r>
          </w:p>
          <w:p w14:paraId="5A54A950" w14:textId="6D8E4DD6" w:rsidR="004D3F04" w:rsidRPr="00DC2ACA" w:rsidRDefault="00CD2052" w:rsidP="004D3F04">
            <w:pPr>
              <w:pStyle w:val="Tabletext"/>
              <w:spacing w:line="240" w:lineRule="auto"/>
              <w:jc w:val="left"/>
              <w:rPr>
                <w:rFonts w:ascii="Arial" w:hAnsi="Arial" w:cs="Arial"/>
                <w:sz w:val="16"/>
                <w:szCs w:val="16"/>
              </w:rPr>
            </w:pPr>
            <w:r w:rsidRPr="00DC2ACA">
              <w:rPr>
                <w:rFonts w:ascii="Arial" w:hAnsi="Arial" w:cs="Arial"/>
                <w:sz w:val="16"/>
                <w:szCs w:val="16"/>
              </w:rPr>
              <w:t>Corresponding regulatory guidelines controlling these vectors have been established.</w:t>
            </w:r>
            <w:r w:rsidR="00DC2ACA" w:rsidRPr="00DC2ACA">
              <w:rPr>
                <w:rFonts w:ascii="Arial" w:hAnsi="Arial" w:cs="Arial"/>
                <w:sz w:val="16"/>
                <w:szCs w:val="16"/>
              </w:rPr>
              <w:t xml:space="preserve"> The oil and gas industry takes a precautionary approach to IMS introduction by its adoption of all relevant Government Guidelines.</w:t>
            </w:r>
          </w:p>
        </w:tc>
      </w:tr>
      <w:tr w:rsidR="004D3F04" w:rsidRPr="00E4229E" w14:paraId="7DDC3B04" w14:textId="77777777" w:rsidTr="00E439A6">
        <w:trPr>
          <w:cantSplit/>
        </w:trPr>
        <w:tc>
          <w:tcPr>
            <w:tcW w:w="2410" w:type="dxa"/>
            <w:shd w:val="clear" w:color="auto" w:fill="BFBFBF" w:themeFill="background1" w:themeFillShade="BF"/>
          </w:tcPr>
          <w:p w14:paraId="2B6CCE18" w14:textId="77777777" w:rsidR="004D3F04" w:rsidRPr="00E4229E" w:rsidRDefault="004D3F04" w:rsidP="004D3F04">
            <w:pPr>
              <w:pStyle w:val="Tabletext"/>
              <w:spacing w:line="240" w:lineRule="auto"/>
              <w:jc w:val="left"/>
              <w:rPr>
                <w:rFonts w:ascii="Arial" w:hAnsi="Arial" w:cs="Arial"/>
                <w:b/>
                <w:sz w:val="16"/>
                <w:szCs w:val="16"/>
              </w:rPr>
            </w:pPr>
            <w:r w:rsidRPr="00E4229E">
              <w:rPr>
                <w:rFonts w:ascii="Arial" w:hAnsi="Arial" w:cs="Arial"/>
                <w:b/>
                <w:sz w:val="16"/>
                <w:szCs w:val="16"/>
              </w:rPr>
              <w:t>Impact decision framework context</w:t>
            </w:r>
          </w:p>
        </w:tc>
        <w:tc>
          <w:tcPr>
            <w:tcW w:w="6662" w:type="dxa"/>
          </w:tcPr>
          <w:p w14:paraId="082B3D52" w14:textId="14B4E85E" w:rsidR="004D3F04" w:rsidRPr="00E4229E" w:rsidRDefault="00583B60" w:rsidP="00583B60">
            <w:pPr>
              <w:pStyle w:val="Tabletext"/>
              <w:spacing w:line="240" w:lineRule="auto"/>
              <w:jc w:val="left"/>
              <w:rPr>
                <w:rFonts w:ascii="Arial" w:hAnsi="Arial" w:cs="Arial"/>
                <w:sz w:val="16"/>
                <w:szCs w:val="16"/>
              </w:rPr>
            </w:pPr>
            <w:r w:rsidRPr="00E4229E">
              <w:rPr>
                <w:rFonts w:ascii="Arial" w:hAnsi="Arial" w:cs="Arial"/>
                <w:sz w:val="16"/>
                <w:szCs w:val="16"/>
              </w:rPr>
              <w:t>A (nothing new or unusual, represents business as usual, well-understood activity, good practice is well defined).</w:t>
            </w:r>
            <w:r w:rsidR="004D3F04" w:rsidRPr="00E4229E">
              <w:rPr>
                <w:rFonts w:ascii="Arial" w:hAnsi="Arial" w:cs="Arial"/>
                <w:sz w:val="16"/>
                <w:szCs w:val="16"/>
              </w:rPr>
              <w:t xml:space="preserve"> </w:t>
            </w:r>
            <w:r w:rsidR="00FB6122" w:rsidRPr="004705DB">
              <w:rPr>
                <w:rFonts w:ascii="Arial" w:hAnsi="Arial" w:cs="Arial"/>
                <w:i/>
                <w:sz w:val="16"/>
                <w:szCs w:val="16"/>
              </w:rPr>
              <w:t>ALARP to be demonstrated on adherence to legislation, industry codes and good professional judgement</w:t>
            </w:r>
          </w:p>
        </w:tc>
      </w:tr>
    </w:tbl>
    <w:p w14:paraId="46CEA88D" w14:textId="77777777" w:rsidR="004D3F04" w:rsidRDefault="004D3F04" w:rsidP="00E9647F">
      <w:pPr>
        <w:pStyle w:val="Heading2"/>
      </w:pPr>
      <w:bookmarkStart w:id="235" w:name="_Toc512862487"/>
      <w:r>
        <w:t>RISK: Vessel Strike with Megafauna</w:t>
      </w:r>
      <w:bookmarkEnd w:id="235"/>
    </w:p>
    <w:p w14:paraId="01250B15" w14:textId="77777777" w:rsidR="004D3F04" w:rsidRDefault="004D3F04" w:rsidP="001371AD">
      <w:pPr>
        <w:pStyle w:val="Heading3"/>
      </w:pPr>
      <w:r>
        <w:t>Hazard</w:t>
      </w:r>
    </w:p>
    <w:p w14:paraId="0526E0A6" w14:textId="77777777" w:rsidR="004D3F04" w:rsidRPr="00E9647F" w:rsidRDefault="004D3F04" w:rsidP="00830C1E">
      <w:pPr>
        <w:pStyle w:val="BodyText"/>
        <w:ind w:left="720"/>
      </w:pPr>
      <w:r w:rsidRPr="00E9647F">
        <w:t xml:space="preserve">The movement of vessels undertaking IMR activities has the potential to result in collision with megafauna, this being cetaceans and pinnipeds. </w:t>
      </w:r>
    </w:p>
    <w:p w14:paraId="3F8506BD" w14:textId="77777777" w:rsidR="004D3F04" w:rsidRDefault="004D3F04" w:rsidP="001371AD">
      <w:pPr>
        <w:pStyle w:val="Heading3"/>
      </w:pPr>
      <w:r>
        <w:t>Known and Potential Impacts</w:t>
      </w:r>
    </w:p>
    <w:p w14:paraId="6D605C1A" w14:textId="5A71C97D" w:rsidR="004D3F04" w:rsidRPr="00E9647F" w:rsidRDefault="004D3F04" w:rsidP="00830C1E">
      <w:pPr>
        <w:pStyle w:val="BodyText"/>
        <w:ind w:left="720"/>
        <w:rPr>
          <w:lang w:eastAsia="en-US"/>
        </w:rPr>
      </w:pPr>
      <w:r w:rsidRPr="00E9647F">
        <w:rPr>
          <w:lang w:eastAsia="en-US"/>
        </w:rPr>
        <w:t xml:space="preserve">The known and potential impacts of vessel strike to </w:t>
      </w:r>
      <w:r w:rsidR="00F3714C">
        <w:rPr>
          <w:lang w:eastAsia="en-US"/>
        </w:rPr>
        <w:t>air-breathing marine megafauna</w:t>
      </w:r>
      <w:r w:rsidR="00F3714C" w:rsidRPr="00E9647F">
        <w:rPr>
          <w:lang w:eastAsia="en-US"/>
        </w:rPr>
        <w:t xml:space="preserve"> </w:t>
      </w:r>
      <w:r w:rsidRPr="00E9647F">
        <w:rPr>
          <w:lang w:eastAsia="en-US"/>
        </w:rPr>
        <w:t xml:space="preserve">are: </w:t>
      </w:r>
    </w:p>
    <w:p w14:paraId="1F2CB85C" w14:textId="77777777" w:rsidR="00024BA3" w:rsidRDefault="004D3F04" w:rsidP="0036080A">
      <w:pPr>
        <w:pStyle w:val="Bullet1"/>
        <w:numPr>
          <w:ilvl w:val="0"/>
          <w:numId w:val="40"/>
        </w:numPr>
      </w:pPr>
      <w:r w:rsidRPr="00E9647F">
        <w:t>Injury; and</w:t>
      </w:r>
      <w:r w:rsidR="00024BA3">
        <w:t xml:space="preserve"> </w:t>
      </w:r>
    </w:p>
    <w:p w14:paraId="1AD27F5E" w14:textId="11A96A08" w:rsidR="004D3F04" w:rsidRDefault="004D3F04" w:rsidP="0036080A">
      <w:pPr>
        <w:pStyle w:val="Bullet1"/>
        <w:numPr>
          <w:ilvl w:val="0"/>
          <w:numId w:val="40"/>
        </w:numPr>
      </w:pPr>
      <w:r w:rsidRPr="00E9647F">
        <w:t>Death</w:t>
      </w:r>
      <w:r>
        <w:t>.</w:t>
      </w:r>
    </w:p>
    <w:p w14:paraId="186CF88A" w14:textId="77777777" w:rsidR="004D3F04" w:rsidRPr="00830C1E" w:rsidRDefault="004D3F04" w:rsidP="00830C1E">
      <w:pPr>
        <w:pStyle w:val="BodyText"/>
        <w:ind w:left="700"/>
        <w:rPr>
          <w:b/>
          <w:u w:val="single"/>
        </w:rPr>
      </w:pPr>
      <w:r w:rsidRPr="00830C1E">
        <w:rPr>
          <w:b/>
          <w:u w:val="single"/>
        </w:rPr>
        <w:t>EMBA</w:t>
      </w:r>
    </w:p>
    <w:p w14:paraId="2787933C" w14:textId="5A4BA9D5" w:rsidR="004D3F04" w:rsidRPr="00E9647F" w:rsidRDefault="004D3F04" w:rsidP="00830C1E">
      <w:pPr>
        <w:pStyle w:val="BodyText"/>
        <w:ind w:left="700"/>
        <w:rPr>
          <w:lang w:eastAsia="en-US"/>
        </w:rPr>
      </w:pPr>
      <w:r w:rsidRPr="00E9647F">
        <w:rPr>
          <w:lang w:eastAsia="en-US"/>
        </w:rPr>
        <w:t xml:space="preserve">The EMBA for vessel strike with </w:t>
      </w:r>
      <w:r w:rsidR="00F3714C">
        <w:rPr>
          <w:lang w:eastAsia="en-US"/>
        </w:rPr>
        <w:t>air-breathing marine megafauna</w:t>
      </w:r>
      <w:r w:rsidRPr="00E9647F">
        <w:rPr>
          <w:lang w:eastAsia="en-US"/>
        </w:rPr>
        <w:t xml:space="preserve"> is the immediate area of the vessel. </w:t>
      </w:r>
    </w:p>
    <w:p w14:paraId="3CD5EA3E" w14:textId="77777777" w:rsidR="004D3F04" w:rsidRPr="00830C1E" w:rsidRDefault="004D3F04" w:rsidP="00830C1E">
      <w:pPr>
        <w:pStyle w:val="BodyText"/>
        <w:ind w:left="720"/>
        <w:rPr>
          <w:b/>
          <w:u w:val="single"/>
        </w:rPr>
      </w:pPr>
      <w:r w:rsidRPr="00830C1E">
        <w:rPr>
          <w:b/>
          <w:u w:val="single"/>
        </w:rPr>
        <w:t>Receptors within the EMBA</w:t>
      </w:r>
    </w:p>
    <w:p w14:paraId="75881BB8" w14:textId="77777777" w:rsidR="004D3F04" w:rsidRPr="00E9647F" w:rsidRDefault="004D3F04" w:rsidP="006021B1">
      <w:pPr>
        <w:pStyle w:val="BodyText"/>
        <w:ind w:left="720"/>
        <w:rPr>
          <w:lang w:eastAsia="en-US"/>
        </w:rPr>
      </w:pPr>
      <w:r w:rsidRPr="00E9647F">
        <w:rPr>
          <w:lang w:eastAsia="en-US"/>
        </w:rPr>
        <w:t xml:space="preserve">Receptors that may occur within this EMBA, either as residents or migrants, are: </w:t>
      </w:r>
    </w:p>
    <w:p w14:paraId="019C61D3" w14:textId="77777777" w:rsidR="004D3F04" w:rsidRPr="00E9647F" w:rsidRDefault="004D3F04" w:rsidP="0036080A">
      <w:pPr>
        <w:pStyle w:val="Bullet1"/>
        <w:numPr>
          <w:ilvl w:val="0"/>
          <w:numId w:val="40"/>
        </w:numPr>
      </w:pPr>
      <w:r w:rsidRPr="00E9647F">
        <w:lastRenderedPageBreak/>
        <w:t>Cetaceans (whales and dolphins); and</w:t>
      </w:r>
    </w:p>
    <w:p w14:paraId="6761986B" w14:textId="77777777" w:rsidR="004D3F04" w:rsidRPr="00E9647F" w:rsidRDefault="004D3F04" w:rsidP="0036080A">
      <w:pPr>
        <w:pStyle w:val="Bullet1"/>
        <w:numPr>
          <w:ilvl w:val="0"/>
          <w:numId w:val="40"/>
        </w:numPr>
      </w:pPr>
      <w:r w:rsidRPr="00E9647F">
        <w:t>Pinnipeds.</w:t>
      </w:r>
    </w:p>
    <w:p w14:paraId="262126A0" w14:textId="77777777" w:rsidR="004D3F04" w:rsidRDefault="004D3F04" w:rsidP="001371AD">
      <w:pPr>
        <w:pStyle w:val="Heading3"/>
      </w:pPr>
      <w:r>
        <w:t>Evaluation of Environmental Impacts</w:t>
      </w:r>
    </w:p>
    <w:p w14:paraId="60D3A0B0" w14:textId="77777777" w:rsidR="004D3F04" w:rsidRPr="00E9647F" w:rsidRDefault="004D3F04" w:rsidP="006021B1">
      <w:pPr>
        <w:pStyle w:val="BodyText"/>
        <w:ind w:left="720"/>
      </w:pPr>
      <w:r w:rsidRPr="00E9647F">
        <w:t xml:space="preserve">Cetaceans and pinnipeds are naturally inquisitive marine mammals that are often attracted to offshore vessels, and dolphins commonly ‘bow ride’ with offshore vessels. The reaction of whales to the approach of a vessel is quite variable. Some species remain motionless when in the vicinity of a vessel (e.g., narwhals) while others are known to be curious and often approach ships that have stopped or are slow moving, although they generally do not approach, and sometimes avoid, faster moving ships (Richardson </w:t>
      </w:r>
      <w:r w:rsidRPr="00E9647F">
        <w:rPr>
          <w:i/>
        </w:rPr>
        <w:t>et al</w:t>
      </w:r>
      <w:r w:rsidRPr="00E9647F">
        <w:t>., 1995).</w:t>
      </w:r>
    </w:p>
    <w:p w14:paraId="31C8749A" w14:textId="333F41EE" w:rsidR="004D3F04" w:rsidRPr="00E9647F" w:rsidRDefault="004D3F04" w:rsidP="006021B1">
      <w:pPr>
        <w:pStyle w:val="BodyText"/>
        <w:ind w:left="720"/>
      </w:pPr>
      <w:r w:rsidRPr="00E9647F">
        <w:t>Peel et al</w:t>
      </w:r>
      <w:r w:rsidR="00E9647F">
        <w:t>.</w:t>
      </w:r>
      <w:r w:rsidRPr="00E9647F">
        <w:t xml:space="preserve"> (2016) reviewed vessel strike data (2000-2015) for marine species in Australian waters and identified the following: </w:t>
      </w:r>
    </w:p>
    <w:p w14:paraId="722E0AAA" w14:textId="38E28A1C" w:rsidR="004D3F04" w:rsidRPr="00024BA3" w:rsidRDefault="004D3F04" w:rsidP="0036080A">
      <w:pPr>
        <w:pStyle w:val="Bullet1"/>
        <w:numPr>
          <w:ilvl w:val="0"/>
          <w:numId w:val="40"/>
        </w:numPr>
      </w:pPr>
      <w:r w:rsidRPr="00024BA3">
        <w:t>Whales including the humpback, pygmy blue, Antarctic blue, southern right, dwarf minke, Antarctic minke, fin, bryde’s, pygmy right, sperm,</w:t>
      </w:r>
      <w:r w:rsidR="00E9647F" w:rsidRPr="00024BA3">
        <w:t xml:space="preserve"> </w:t>
      </w:r>
      <w:r w:rsidRPr="00024BA3">
        <w:t>pygmy sperm and pilot species were identified as having interacted with</w:t>
      </w:r>
      <w:r w:rsidR="00E9647F" w:rsidRPr="00024BA3">
        <w:t xml:space="preserve"> </w:t>
      </w:r>
      <w:r w:rsidRPr="00024BA3">
        <w:t xml:space="preserve">vessels. The humpback whale exhibited the highest incidence of interaction followed by the southern right whale. </w:t>
      </w:r>
      <w:r w:rsidR="00FD60B9" w:rsidRPr="00024BA3">
        <w:t>Several</w:t>
      </w:r>
      <w:r w:rsidRPr="00024BA3">
        <w:t xml:space="preserve"> these species may migrate through the waters of the </w:t>
      </w:r>
      <w:r w:rsidR="008F559C">
        <w:t>CHN</w:t>
      </w:r>
      <w:r w:rsidRPr="00024BA3">
        <w:t xml:space="preserve"> assets.</w:t>
      </w:r>
    </w:p>
    <w:p w14:paraId="6B5C09FA" w14:textId="65D915E2" w:rsidR="004D3F04" w:rsidRPr="00024BA3" w:rsidRDefault="004D3F04" w:rsidP="0036080A">
      <w:pPr>
        <w:pStyle w:val="Bullet1"/>
        <w:numPr>
          <w:ilvl w:val="0"/>
          <w:numId w:val="40"/>
        </w:numPr>
      </w:pPr>
      <w:r w:rsidRPr="00024BA3">
        <w:t>Dolphins including the Australian humpback, common bottlenose, indo-pacific bottlenose and Risso’s dolphin species were also identified as interacting with vessels. The common bottlenose dolphin exhibited the</w:t>
      </w:r>
      <w:r w:rsidR="00E9647F" w:rsidRPr="00024BA3">
        <w:t xml:space="preserve"> </w:t>
      </w:r>
      <w:r w:rsidRPr="00024BA3">
        <w:t xml:space="preserve">highest incidence of interaction. </w:t>
      </w:r>
      <w:r w:rsidR="00FD60B9" w:rsidRPr="00024BA3">
        <w:t>Several</w:t>
      </w:r>
      <w:r w:rsidRPr="00024BA3">
        <w:t xml:space="preserve"> these species may reside in or pass through the waters of the </w:t>
      </w:r>
      <w:r w:rsidR="008F559C">
        <w:t>CHN</w:t>
      </w:r>
      <w:r w:rsidRPr="00024BA3">
        <w:t xml:space="preserve"> assets.</w:t>
      </w:r>
    </w:p>
    <w:p w14:paraId="44F79D27" w14:textId="52FDB36F" w:rsidR="004D3F04" w:rsidRPr="00024BA3" w:rsidRDefault="004D3F04" w:rsidP="0036080A">
      <w:pPr>
        <w:pStyle w:val="Bullet1"/>
        <w:numPr>
          <w:ilvl w:val="0"/>
          <w:numId w:val="40"/>
        </w:numPr>
      </w:pPr>
      <w:r w:rsidRPr="00024BA3">
        <w:t xml:space="preserve">There were no vessel interaction reports during the period for either the Australian or New Zealand fur seal. There have been incidents of seals being injured by boat propellers, however all indications are rather than ‘boat strike’ these can be attributed to the seal interacting/playing with a boat, with </w:t>
      </w:r>
      <w:r w:rsidR="00FD60B9" w:rsidRPr="00024BA3">
        <w:t>several</w:t>
      </w:r>
      <w:r w:rsidRPr="00024BA3">
        <w:t xml:space="preserve"> experts indicating the incidence of boat strike for seals is very low.</w:t>
      </w:r>
    </w:p>
    <w:p w14:paraId="6A54B935" w14:textId="0F6C5262" w:rsidR="004D3F04" w:rsidRPr="00E9647F" w:rsidRDefault="004D3F04" w:rsidP="0036080A">
      <w:pPr>
        <w:pStyle w:val="Bullet1"/>
        <w:numPr>
          <w:ilvl w:val="0"/>
          <w:numId w:val="40"/>
        </w:numPr>
      </w:pPr>
      <w:r w:rsidRPr="00024BA3">
        <w:t>All turtle species present in Australian waters are identified as interacting with vessels. The green and loggerhead species exhibited the</w:t>
      </w:r>
      <w:r w:rsidR="00E9647F" w:rsidRPr="00024BA3">
        <w:t xml:space="preserve"> </w:t>
      </w:r>
      <w:r w:rsidRPr="00024BA3">
        <w:t xml:space="preserve">highest incident of interaction. The presence of turtles around the </w:t>
      </w:r>
      <w:r w:rsidR="00BA0611">
        <w:t>CHN</w:t>
      </w:r>
      <w:r w:rsidRPr="00024BA3">
        <w:t xml:space="preserve"> assets is considered remote.</w:t>
      </w:r>
      <w:r w:rsidRPr="00E9647F">
        <w:t xml:space="preserve">   </w:t>
      </w:r>
    </w:p>
    <w:p w14:paraId="4F521080" w14:textId="77777777" w:rsidR="004D3F04" w:rsidRPr="00E9647F" w:rsidRDefault="004D3F04" w:rsidP="006021B1">
      <w:pPr>
        <w:pStyle w:val="BodyText"/>
        <w:ind w:left="709"/>
      </w:pPr>
      <w:r w:rsidRPr="00E9647F">
        <w:t>Collisions between vessels and cetaceans occur more frequently where high vessel traffic and cetacean habitat coincide (WDCS, 2006). There have been recorded instances of cetacean deaths in Australian waters (e.g., a Bryde’s whale in Bass Strait in 1992) (WDCS, 2006), though the data indicates this is more likely to be associated with container ships and fast ferries. The Whale and Dolphin Conservation Society (WDCS) (2006) also indicates that some cetacean species, such as humpback whales, can detect and change course to avoid a vessel. The Australian National Marine Safety Committee (NMSC) reports that during 2009, there was one report of a vessel collision with an animal (species not defined) (NMSC, 2010).</w:t>
      </w:r>
    </w:p>
    <w:p w14:paraId="1A4FEE12" w14:textId="0A9FAB25" w:rsidR="004D3F04" w:rsidRPr="00E9647F" w:rsidRDefault="004D3F04" w:rsidP="006021B1">
      <w:pPr>
        <w:pStyle w:val="BodyText"/>
        <w:ind w:left="709"/>
      </w:pPr>
      <w:r w:rsidRPr="00E9647F">
        <w:t>The DoE (2015) reports that there w</w:t>
      </w:r>
      <w:r w:rsidR="00752B23">
        <w:t>as</w:t>
      </w:r>
      <w:r w:rsidRPr="00E9647F">
        <w:t xml:space="preserve"> two blue whale strandings in the Victoria in the Bonney Upwelling with suspected ship strike injuries visible. </w:t>
      </w:r>
    </w:p>
    <w:p w14:paraId="076CEDC7" w14:textId="77777777" w:rsidR="004D3F04" w:rsidRPr="00E9647F" w:rsidRDefault="004D3F04" w:rsidP="006021B1">
      <w:pPr>
        <w:pStyle w:val="BodyText"/>
        <w:ind w:left="709"/>
      </w:pPr>
      <w:r w:rsidRPr="00E9647F">
        <w:t xml:space="preserve">When the vessels are stationary or slow moving, the risk of collision with cetaceans is extremely low, as the vessel sizes and underwater noise ‘footprint’ will alert cetaceans to its presence and thus illicit avoidance. </w:t>
      </w:r>
    </w:p>
    <w:p w14:paraId="78EA9879" w14:textId="77777777" w:rsidR="004D3F04" w:rsidRPr="00E9647F" w:rsidRDefault="004D3F04" w:rsidP="006021B1">
      <w:pPr>
        <w:pStyle w:val="BodyText"/>
        <w:ind w:left="709"/>
      </w:pPr>
      <w:r w:rsidRPr="00E9647F">
        <w:t xml:space="preserve">Laist et al (2001) identifies that larger vessels moving in excess of 10 knots may cause fatal or severe injuries to cetaceans with the most severe injuries caused by vessels travelling faster than 14 knots. Vessels undertaking IMR activities will either be travelling very slowly or be stationary, thus minimising the risk of injury to cetaceans and pinnipeds. </w:t>
      </w:r>
    </w:p>
    <w:p w14:paraId="5AE8481A" w14:textId="77777777" w:rsidR="004D3F04" w:rsidRPr="00830C1E" w:rsidRDefault="004D3F04" w:rsidP="00830C1E">
      <w:pPr>
        <w:pStyle w:val="BodyText"/>
        <w:ind w:left="709"/>
        <w:rPr>
          <w:b/>
          <w:u w:val="single"/>
        </w:rPr>
      </w:pPr>
      <w:r w:rsidRPr="00830C1E">
        <w:rPr>
          <w:b/>
          <w:u w:val="single"/>
        </w:rPr>
        <w:t>Impacts to Matters of NES</w:t>
      </w:r>
    </w:p>
    <w:p w14:paraId="619BE579" w14:textId="45FAAA33" w:rsidR="00FD60B9" w:rsidRDefault="004D3F04" w:rsidP="00EA3DDF">
      <w:pPr>
        <w:pStyle w:val="BodyText"/>
        <w:ind w:left="720"/>
        <w:rPr>
          <w:lang w:eastAsia="en-US"/>
        </w:rPr>
      </w:pPr>
      <w:r w:rsidRPr="00E9647F">
        <w:rPr>
          <w:lang w:eastAsia="en-US"/>
        </w:rPr>
        <w:t>Vessel strike with megafauna will not have a ‘significant’ impact to any of the matters of NES applicable to this project</w:t>
      </w:r>
      <w:r w:rsidR="00EA3DDF">
        <w:rPr>
          <w:lang w:eastAsia="en-US"/>
        </w:rPr>
        <w:t>.</w:t>
      </w:r>
    </w:p>
    <w:p w14:paraId="30C81490" w14:textId="77777777" w:rsidR="004D3F04" w:rsidRPr="00830C1E" w:rsidRDefault="004D3F04" w:rsidP="00830C1E">
      <w:pPr>
        <w:pStyle w:val="BodyText"/>
        <w:ind w:left="720"/>
        <w:rPr>
          <w:b/>
          <w:u w:val="single"/>
        </w:rPr>
      </w:pPr>
      <w:r w:rsidRPr="00830C1E">
        <w:rPr>
          <w:b/>
          <w:u w:val="single"/>
        </w:rPr>
        <w:t>Impacts to other areas of Conservation Significance</w:t>
      </w:r>
    </w:p>
    <w:p w14:paraId="49519654" w14:textId="6959A6B7" w:rsidR="004D3F04" w:rsidRPr="00BE0DE6" w:rsidRDefault="004D3F04" w:rsidP="00014C38">
      <w:pPr>
        <w:pStyle w:val="BodyText"/>
        <w:ind w:left="720"/>
        <w:rPr>
          <w:lang w:eastAsia="en-US"/>
        </w:rPr>
      </w:pPr>
      <w:r w:rsidRPr="00E9647F">
        <w:rPr>
          <w:lang w:eastAsia="en-US"/>
        </w:rPr>
        <w:lastRenderedPageBreak/>
        <w:t>There are no other areas of conservation significance within the EMBA by vessel strike with megafauna. This risk will not have any impacts to other areas of conservation significance</w:t>
      </w:r>
      <w:r w:rsidR="00014C38">
        <w:rPr>
          <w:lang w:eastAsia="en-US"/>
        </w:rPr>
        <w:t>.</w:t>
      </w:r>
    </w:p>
    <w:p w14:paraId="5A00E13E" w14:textId="4285D9DD" w:rsidR="004D3F04" w:rsidRDefault="00E9647F" w:rsidP="001371AD">
      <w:pPr>
        <w:pStyle w:val="Heading3"/>
      </w:pPr>
      <w:r>
        <w:t>Risk</w:t>
      </w:r>
      <w:r w:rsidR="004D3F04">
        <w:t xml:space="preserve"> Assessment</w:t>
      </w:r>
    </w:p>
    <w:p w14:paraId="6ECDE15C" w14:textId="0599BF29" w:rsidR="004D3F04" w:rsidRDefault="00E9647F" w:rsidP="00830C1E">
      <w:pPr>
        <w:pStyle w:val="BodyText"/>
        <w:ind w:left="720"/>
        <w:rPr>
          <w:lang w:eastAsia="en-US"/>
        </w:rPr>
      </w:pPr>
      <w:r>
        <w:rPr>
          <w:color w:val="FF0000"/>
          <w:lang w:eastAsia="en-US"/>
        </w:rPr>
        <w:fldChar w:fldCharType="begin"/>
      </w:r>
      <w:r>
        <w:rPr>
          <w:lang w:eastAsia="en-US"/>
        </w:rPr>
        <w:instrText xml:space="preserve"> REF _Ref473399386 \h </w:instrText>
      </w:r>
      <w:r>
        <w:rPr>
          <w:color w:val="FF0000"/>
          <w:lang w:eastAsia="en-US"/>
        </w:rPr>
      </w:r>
      <w:r>
        <w:rPr>
          <w:color w:val="FF0000"/>
          <w:lang w:eastAsia="en-US"/>
        </w:rPr>
        <w:fldChar w:fldCharType="separate"/>
      </w:r>
      <w:r w:rsidR="00CC4C35" w:rsidRPr="00E9647F">
        <w:rPr>
          <w:szCs w:val="20"/>
        </w:rPr>
        <w:t xml:space="preserve">Table </w:t>
      </w:r>
      <w:r w:rsidR="00CC4C35">
        <w:rPr>
          <w:noProof/>
          <w:szCs w:val="20"/>
        </w:rPr>
        <w:t>5</w:t>
      </w:r>
      <w:r w:rsidR="00CC4C35">
        <w:rPr>
          <w:szCs w:val="20"/>
        </w:rPr>
        <w:noBreakHyphen/>
      </w:r>
      <w:r w:rsidR="00CC4C35">
        <w:rPr>
          <w:noProof/>
          <w:szCs w:val="20"/>
        </w:rPr>
        <w:t>15</w:t>
      </w:r>
      <w:r>
        <w:rPr>
          <w:color w:val="FF0000"/>
          <w:lang w:eastAsia="en-US"/>
        </w:rPr>
        <w:fldChar w:fldCharType="end"/>
      </w:r>
      <w:r>
        <w:rPr>
          <w:color w:val="FF0000"/>
          <w:lang w:eastAsia="en-US"/>
        </w:rPr>
        <w:t xml:space="preserve"> </w:t>
      </w:r>
      <w:r w:rsidR="004D3F04" w:rsidRPr="00E9647F">
        <w:rPr>
          <w:lang w:eastAsia="en-US"/>
        </w:rPr>
        <w:t xml:space="preserve">presents the risk assessment for vessel strike with </w:t>
      </w:r>
      <w:r w:rsidR="00F3714C">
        <w:rPr>
          <w:lang w:eastAsia="en-US"/>
        </w:rPr>
        <w:t>air-breathing marine megafauna</w:t>
      </w:r>
      <w:r w:rsidR="004D3F04" w:rsidRPr="00E9647F">
        <w:rPr>
          <w:lang w:eastAsia="en-US"/>
        </w:rPr>
        <w:t>.</w:t>
      </w:r>
    </w:p>
    <w:p w14:paraId="6B4B7E74" w14:textId="2F9A5642" w:rsidR="004D3F04" w:rsidRPr="00ED5388" w:rsidRDefault="00E9647F" w:rsidP="00B86A7D">
      <w:pPr>
        <w:pStyle w:val="Caption"/>
        <w:outlineLvl w:val="9"/>
        <w:rPr>
          <w:sz w:val="20"/>
          <w:szCs w:val="20"/>
        </w:rPr>
      </w:pPr>
      <w:bookmarkStart w:id="236" w:name="_Ref473399386"/>
      <w:bookmarkStart w:id="237" w:name="_Toc511032606"/>
      <w:r w:rsidRPr="00E9647F">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15</w:t>
      </w:r>
      <w:r w:rsidR="00103328">
        <w:rPr>
          <w:sz w:val="20"/>
          <w:szCs w:val="20"/>
        </w:rPr>
        <w:fldChar w:fldCharType="end"/>
      </w:r>
      <w:bookmarkEnd w:id="236"/>
      <w:r w:rsidRPr="00E9647F">
        <w:rPr>
          <w:sz w:val="20"/>
          <w:szCs w:val="20"/>
        </w:rPr>
        <w:t>: ERA for vessel strike to megafauna</w:t>
      </w:r>
      <w:bookmarkEnd w:id="237"/>
    </w:p>
    <w:tbl>
      <w:tblPr>
        <w:tblW w:w="9072" w:type="dxa"/>
        <w:tblInd w:w="1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410"/>
        <w:gridCol w:w="6662"/>
      </w:tblGrid>
      <w:tr w:rsidR="008F559C" w:rsidRPr="00E9647F" w14:paraId="0381770E" w14:textId="77777777" w:rsidTr="00763B17">
        <w:trPr>
          <w:cantSplit/>
        </w:trPr>
        <w:tc>
          <w:tcPr>
            <w:tcW w:w="2410" w:type="dxa"/>
            <w:shd w:val="clear" w:color="auto" w:fill="BFBFBF" w:themeFill="background1" w:themeFillShade="BF"/>
          </w:tcPr>
          <w:p w14:paraId="04A02C2C" w14:textId="18C0F642" w:rsidR="008F559C" w:rsidRPr="00E9647F" w:rsidRDefault="008F559C" w:rsidP="004D3F04">
            <w:pPr>
              <w:pStyle w:val="Tabletext"/>
              <w:rPr>
                <w:rFonts w:ascii="Arial" w:hAnsi="Arial" w:cs="Arial"/>
                <w:b/>
                <w:sz w:val="16"/>
                <w:szCs w:val="16"/>
              </w:rPr>
            </w:pPr>
            <w:r>
              <w:rPr>
                <w:rFonts w:ascii="Arial" w:hAnsi="Arial" w:cs="Arial"/>
                <w:b/>
                <w:sz w:val="16"/>
                <w:szCs w:val="16"/>
              </w:rPr>
              <w:t>Aspect:</w:t>
            </w:r>
          </w:p>
        </w:tc>
        <w:tc>
          <w:tcPr>
            <w:tcW w:w="6662" w:type="dxa"/>
          </w:tcPr>
          <w:p w14:paraId="0FCB40CB" w14:textId="0FF632FC" w:rsidR="008F559C" w:rsidRPr="00E9647F" w:rsidRDefault="008F559C" w:rsidP="008F559C">
            <w:pPr>
              <w:pStyle w:val="Tabletext"/>
              <w:spacing w:line="240" w:lineRule="auto"/>
              <w:jc w:val="left"/>
              <w:rPr>
                <w:rFonts w:ascii="Arial" w:hAnsi="Arial" w:cs="Arial"/>
                <w:sz w:val="16"/>
                <w:szCs w:val="16"/>
              </w:rPr>
            </w:pPr>
            <w:r>
              <w:rPr>
                <w:rFonts w:ascii="Arial" w:hAnsi="Arial" w:cs="Arial"/>
                <w:sz w:val="16"/>
                <w:szCs w:val="16"/>
              </w:rPr>
              <w:t>Vessel strike to megafauna</w:t>
            </w:r>
          </w:p>
        </w:tc>
      </w:tr>
      <w:tr w:rsidR="004D3F04" w:rsidRPr="00E9647F" w14:paraId="5AC56A46" w14:textId="77777777" w:rsidTr="00763B17">
        <w:trPr>
          <w:cantSplit/>
        </w:trPr>
        <w:tc>
          <w:tcPr>
            <w:tcW w:w="2410" w:type="dxa"/>
            <w:shd w:val="clear" w:color="auto" w:fill="BFBFBF" w:themeFill="background1" w:themeFillShade="BF"/>
          </w:tcPr>
          <w:p w14:paraId="4A3F280B" w14:textId="77777777" w:rsidR="004D3F04" w:rsidRPr="00E9647F" w:rsidRDefault="004D3F04" w:rsidP="004D3F04">
            <w:pPr>
              <w:pStyle w:val="Tabletext"/>
              <w:rPr>
                <w:rFonts w:ascii="Arial" w:hAnsi="Arial" w:cs="Arial"/>
                <w:b/>
                <w:sz w:val="16"/>
                <w:szCs w:val="16"/>
              </w:rPr>
            </w:pPr>
            <w:r w:rsidRPr="00E9647F">
              <w:rPr>
                <w:rFonts w:ascii="Arial" w:hAnsi="Arial" w:cs="Arial"/>
                <w:b/>
                <w:sz w:val="16"/>
                <w:szCs w:val="16"/>
              </w:rPr>
              <w:t xml:space="preserve">Impact summary </w:t>
            </w:r>
          </w:p>
        </w:tc>
        <w:tc>
          <w:tcPr>
            <w:tcW w:w="6662" w:type="dxa"/>
          </w:tcPr>
          <w:p w14:paraId="73F00A3B" w14:textId="77777777" w:rsidR="004D3F04" w:rsidRPr="00E9647F" w:rsidRDefault="004D3F04" w:rsidP="004D3F04">
            <w:pPr>
              <w:pStyle w:val="Tabletext"/>
              <w:spacing w:line="240" w:lineRule="auto"/>
              <w:jc w:val="left"/>
              <w:rPr>
                <w:rFonts w:ascii="Arial" w:hAnsi="Arial" w:cs="Arial"/>
                <w:sz w:val="16"/>
                <w:szCs w:val="16"/>
              </w:rPr>
            </w:pPr>
            <w:r w:rsidRPr="00E9647F">
              <w:rPr>
                <w:rFonts w:ascii="Arial" w:hAnsi="Arial" w:cs="Arial"/>
                <w:sz w:val="16"/>
                <w:szCs w:val="16"/>
              </w:rPr>
              <w:t xml:space="preserve">Injury or death of cetaceans and/or pinnipeds.  </w:t>
            </w:r>
          </w:p>
        </w:tc>
      </w:tr>
      <w:tr w:rsidR="004D3F04" w:rsidRPr="00E9647F" w14:paraId="00D98E01" w14:textId="77777777" w:rsidTr="00763B17">
        <w:trPr>
          <w:cantSplit/>
        </w:trPr>
        <w:tc>
          <w:tcPr>
            <w:tcW w:w="2410" w:type="dxa"/>
            <w:shd w:val="clear" w:color="auto" w:fill="BFBFBF" w:themeFill="background1" w:themeFillShade="BF"/>
          </w:tcPr>
          <w:p w14:paraId="628AEE8C" w14:textId="77777777" w:rsidR="004D3F04" w:rsidRPr="00E9647F" w:rsidRDefault="004D3F04" w:rsidP="004D3F04">
            <w:pPr>
              <w:pStyle w:val="Tabletext"/>
              <w:jc w:val="left"/>
              <w:rPr>
                <w:rFonts w:ascii="Arial" w:hAnsi="Arial" w:cs="Arial"/>
                <w:b/>
                <w:sz w:val="16"/>
                <w:szCs w:val="16"/>
              </w:rPr>
            </w:pPr>
            <w:r w:rsidRPr="00E9647F">
              <w:rPr>
                <w:rFonts w:ascii="Arial" w:hAnsi="Arial" w:cs="Arial"/>
                <w:b/>
                <w:sz w:val="16"/>
                <w:szCs w:val="16"/>
              </w:rPr>
              <w:t xml:space="preserve">Extent of impact </w:t>
            </w:r>
          </w:p>
        </w:tc>
        <w:tc>
          <w:tcPr>
            <w:tcW w:w="6662" w:type="dxa"/>
          </w:tcPr>
          <w:p w14:paraId="06EE5903" w14:textId="77777777" w:rsidR="004D3F04" w:rsidRPr="00E9647F" w:rsidRDefault="004D3F04" w:rsidP="004D3F04">
            <w:pPr>
              <w:pStyle w:val="Tabletext"/>
              <w:spacing w:line="240" w:lineRule="auto"/>
              <w:jc w:val="left"/>
              <w:rPr>
                <w:rFonts w:ascii="Arial" w:hAnsi="Arial" w:cs="Arial"/>
                <w:sz w:val="16"/>
                <w:szCs w:val="16"/>
              </w:rPr>
            </w:pPr>
            <w:r w:rsidRPr="00E9647F">
              <w:rPr>
                <w:rFonts w:ascii="Arial" w:hAnsi="Arial" w:cs="Arial"/>
                <w:sz w:val="16"/>
                <w:szCs w:val="16"/>
              </w:rPr>
              <w:t xml:space="preserve">Limited to individuals coming into contact with the vessel.  </w:t>
            </w:r>
          </w:p>
        </w:tc>
      </w:tr>
      <w:tr w:rsidR="004D3F04" w:rsidRPr="00E9647F" w14:paraId="12CE0AD1" w14:textId="77777777" w:rsidTr="00763B17">
        <w:trPr>
          <w:cantSplit/>
        </w:trPr>
        <w:tc>
          <w:tcPr>
            <w:tcW w:w="2410" w:type="dxa"/>
            <w:shd w:val="clear" w:color="auto" w:fill="BFBFBF" w:themeFill="background1" w:themeFillShade="BF"/>
          </w:tcPr>
          <w:p w14:paraId="35295B89" w14:textId="77777777" w:rsidR="004D3F04" w:rsidRPr="00E9647F" w:rsidRDefault="004D3F04" w:rsidP="004D3F04">
            <w:pPr>
              <w:pStyle w:val="Tabletext"/>
              <w:jc w:val="left"/>
              <w:rPr>
                <w:rFonts w:ascii="Arial" w:hAnsi="Arial" w:cs="Arial"/>
                <w:b/>
                <w:sz w:val="16"/>
                <w:szCs w:val="16"/>
              </w:rPr>
            </w:pPr>
            <w:r w:rsidRPr="00E9647F">
              <w:rPr>
                <w:rFonts w:ascii="Arial" w:hAnsi="Arial" w:cs="Arial"/>
                <w:b/>
                <w:sz w:val="16"/>
                <w:szCs w:val="16"/>
              </w:rPr>
              <w:t xml:space="preserve">Duration of impact </w:t>
            </w:r>
          </w:p>
        </w:tc>
        <w:tc>
          <w:tcPr>
            <w:tcW w:w="6662" w:type="dxa"/>
          </w:tcPr>
          <w:p w14:paraId="0EA95FD4" w14:textId="34BEC80D" w:rsidR="004D3F04" w:rsidRPr="00E9647F" w:rsidRDefault="00752B23" w:rsidP="004D3F04">
            <w:pPr>
              <w:pStyle w:val="Tabletext"/>
              <w:spacing w:line="240" w:lineRule="auto"/>
              <w:jc w:val="left"/>
              <w:rPr>
                <w:rFonts w:ascii="Arial" w:hAnsi="Arial" w:cs="Arial"/>
                <w:sz w:val="16"/>
                <w:szCs w:val="16"/>
              </w:rPr>
            </w:pPr>
            <w:r w:rsidRPr="00C7484D">
              <w:rPr>
                <w:rFonts w:cs="Arial"/>
                <w:sz w:val="16"/>
                <w:szCs w:val="16"/>
              </w:rPr>
              <w:t>At a population level, impact is considered short-term</w:t>
            </w:r>
          </w:p>
        </w:tc>
      </w:tr>
      <w:tr w:rsidR="004D3F04" w:rsidRPr="00E9647F" w14:paraId="33FDA687" w14:textId="77777777" w:rsidTr="00763B17">
        <w:trPr>
          <w:cantSplit/>
        </w:trPr>
        <w:tc>
          <w:tcPr>
            <w:tcW w:w="2410" w:type="dxa"/>
            <w:shd w:val="clear" w:color="auto" w:fill="BFBFBF" w:themeFill="background1" w:themeFillShade="BF"/>
          </w:tcPr>
          <w:p w14:paraId="0581B801" w14:textId="77777777" w:rsidR="004D3F04" w:rsidRPr="00E9647F" w:rsidRDefault="004D3F04" w:rsidP="004D3F04">
            <w:pPr>
              <w:pStyle w:val="Tabletext"/>
              <w:jc w:val="left"/>
              <w:rPr>
                <w:rFonts w:ascii="Arial" w:hAnsi="Arial" w:cs="Arial"/>
                <w:b/>
                <w:sz w:val="16"/>
                <w:szCs w:val="16"/>
              </w:rPr>
            </w:pPr>
            <w:r w:rsidRPr="00E9647F">
              <w:rPr>
                <w:rFonts w:ascii="Arial" w:hAnsi="Arial" w:cs="Arial"/>
                <w:b/>
                <w:sz w:val="16"/>
                <w:szCs w:val="16"/>
              </w:rPr>
              <w:t>Level of certainty of impact</w:t>
            </w:r>
          </w:p>
        </w:tc>
        <w:tc>
          <w:tcPr>
            <w:tcW w:w="6662" w:type="dxa"/>
          </w:tcPr>
          <w:p w14:paraId="5C7C9F71" w14:textId="6A4F3083" w:rsidR="004D3F04" w:rsidRPr="00E9647F" w:rsidRDefault="004D3F04" w:rsidP="004D3F04">
            <w:pPr>
              <w:pStyle w:val="Tabletext"/>
              <w:spacing w:line="240" w:lineRule="auto"/>
              <w:jc w:val="left"/>
              <w:rPr>
                <w:rFonts w:ascii="Arial" w:hAnsi="Arial" w:cs="Arial"/>
                <w:sz w:val="16"/>
                <w:szCs w:val="16"/>
              </w:rPr>
            </w:pPr>
            <w:r w:rsidRPr="00E9647F">
              <w:rPr>
                <w:rFonts w:ascii="Arial" w:hAnsi="Arial" w:cs="Arial"/>
                <w:sz w:val="16"/>
                <w:szCs w:val="16"/>
              </w:rPr>
              <w:t xml:space="preserve">HIGH. Injury may result in the reduced ability to swim and feed. Serious injury may result in death. </w:t>
            </w:r>
            <w:r w:rsidR="00752B23" w:rsidRPr="00C7484D">
              <w:rPr>
                <w:rFonts w:cs="Arial"/>
                <w:sz w:val="16"/>
                <w:szCs w:val="16"/>
              </w:rPr>
              <w:t>Impacts from cetacean and pinniped strikes have been studied and the impacts are well documented resulting in the new draft strategy document</w:t>
            </w:r>
            <w:r w:rsidR="00752B23">
              <w:rPr>
                <w:rFonts w:cs="Arial"/>
                <w:sz w:val="16"/>
                <w:szCs w:val="16"/>
              </w:rPr>
              <w:t>.</w:t>
            </w:r>
          </w:p>
        </w:tc>
      </w:tr>
      <w:tr w:rsidR="004D3F04" w:rsidRPr="00E9647F" w14:paraId="77F3AC14" w14:textId="77777777" w:rsidTr="00763B17">
        <w:trPr>
          <w:cantSplit/>
        </w:trPr>
        <w:tc>
          <w:tcPr>
            <w:tcW w:w="2410" w:type="dxa"/>
            <w:shd w:val="clear" w:color="auto" w:fill="BFBFBF" w:themeFill="background1" w:themeFillShade="BF"/>
          </w:tcPr>
          <w:p w14:paraId="24EA5D90" w14:textId="77777777" w:rsidR="004D3F04" w:rsidRPr="00E9647F" w:rsidRDefault="004D3F04" w:rsidP="004D3F04">
            <w:pPr>
              <w:pStyle w:val="Tabletext"/>
              <w:spacing w:line="240" w:lineRule="auto"/>
              <w:jc w:val="left"/>
              <w:rPr>
                <w:rFonts w:ascii="Arial" w:hAnsi="Arial" w:cs="Arial"/>
                <w:b/>
                <w:sz w:val="16"/>
                <w:szCs w:val="16"/>
              </w:rPr>
            </w:pPr>
            <w:r w:rsidRPr="00E9647F">
              <w:rPr>
                <w:rFonts w:ascii="Arial" w:hAnsi="Arial" w:cs="Arial"/>
                <w:b/>
                <w:sz w:val="16"/>
                <w:szCs w:val="16"/>
              </w:rPr>
              <w:t>Impact decision framework context</w:t>
            </w:r>
          </w:p>
        </w:tc>
        <w:tc>
          <w:tcPr>
            <w:tcW w:w="6662" w:type="dxa"/>
          </w:tcPr>
          <w:p w14:paraId="4E1432F4" w14:textId="2CAC5ABF" w:rsidR="004D3F04" w:rsidRPr="00E9647F" w:rsidRDefault="004D3F04" w:rsidP="004D3F04">
            <w:pPr>
              <w:pStyle w:val="Tabletext"/>
              <w:spacing w:line="240" w:lineRule="auto"/>
              <w:jc w:val="left"/>
              <w:rPr>
                <w:rFonts w:ascii="Arial" w:hAnsi="Arial" w:cs="Arial"/>
                <w:sz w:val="16"/>
                <w:szCs w:val="16"/>
              </w:rPr>
            </w:pPr>
            <w:r w:rsidRPr="00E9647F">
              <w:rPr>
                <w:rFonts w:ascii="Arial" w:hAnsi="Arial" w:cs="Arial"/>
                <w:sz w:val="16"/>
                <w:szCs w:val="16"/>
              </w:rPr>
              <w:t xml:space="preserve">A (nothing new or </w:t>
            </w:r>
            <w:r w:rsidRPr="008F559C">
              <w:rPr>
                <w:rFonts w:ascii="Arial" w:hAnsi="Arial" w:cs="Arial"/>
                <w:sz w:val="16"/>
                <w:szCs w:val="16"/>
              </w:rPr>
              <w:t>unusual, represents business as usual, well understood activity, good practice is well defined).</w:t>
            </w:r>
            <w:r w:rsidR="008F559C" w:rsidRPr="008F559C">
              <w:rPr>
                <w:rFonts w:ascii="Arial" w:hAnsi="Arial" w:cs="Arial"/>
                <w:sz w:val="16"/>
                <w:szCs w:val="16"/>
              </w:rPr>
              <w:t xml:space="preserve"> </w:t>
            </w:r>
            <w:r w:rsidR="008F559C" w:rsidRPr="004705DB">
              <w:rPr>
                <w:rFonts w:ascii="Arial" w:hAnsi="Arial" w:cs="Arial"/>
                <w:i/>
                <w:sz w:val="16"/>
                <w:szCs w:val="16"/>
              </w:rPr>
              <w:t>ALARP to be demonstrated on adherence to legislation, industry codes and good professional judgement</w:t>
            </w:r>
          </w:p>
        </w:tc>
      </w:tr>
    </w:tbl>
    <w:p w14:paraId="5F6F659F" w14:textId="3A9F5792" w:rsidR="004D3F04" w:rsidRDefault="004D3F04" w:rsidP="00DD4B8B">
      <w:pPr>
        <w:pStyle w:val="Heading2"/>
      </w:pPr>
      <w:bookmarkStart w:id="238" w:name="_Toc345581946"/>
      <w:bookmarkStart w:id="239" w:name="_Ref476496229"/>
      <w:bookmarkStart w:id="240" w:name="_Ref476496413"/>
      <w:bookmarkStart w:id="241" w:name="_Toc512862488"/>
      <w:r>
        <w:t>RISK: Accidental Release of Waste</w:t>
      </w:r>
      <w:bookmarkEnd w:id="238"/>
      <w:r w:rsidR="00D47410">
        <w:t xml:space="preserve"> Overboard</w:t>
      </w:r>
      <w:bookmarkEnd w:id="239"/>
      <w:bookmarkEnd w:id="240"/>
      <w:bookmarkEnd w:id="241"/>
    </w:p>
    <w:p w14:paraId="4F9A7E12" w14:textId="77777777" w:rsidR="004D3F04" w:rsidRDefault="004D3F04" w:rsidP="001371AD">
      <w:pPr>
        <w:pStyle w:val="Heading3"/>
      </w:pPr>
      <w:r>
        <w:t>Hazard</w:t>
      </w:r>
    </w:p>
    <w:p w14:paraId="74E3554C" w14:textId="77777777" w:rsidR="004D3F04" w:rsidRPr="00DD4B8B" w:rsidRDefault="004D3F04" w:rsidP="00830C1E">
      <w:pPr>
        <w:pStyle w:val="BodyText"/>
        <w:ind w:left="720"/>
      </w:pPr>
      <w:r w:rsidRPr="00DD4B8B">
        <w:t xml:space="preserve">The handling and storage of materials and waste on board a vessel has the potential for accidental overboard disposal of hazardous and non-hazardous materials and waste. </w:t>
      </w:r>
    </w:p>
    <w:p w14:paraId="504C3FDE" w14:textId="77777777" w:rsidR="004D3F04" w:rsidRPr="00DD4B8B" w:rsidRDefault="004D3F04" w:rsidP="00830C1E">
      <w:pPr>
        <w:pStyle w:val="BodyText"/>
        <w:ind w:left="720"/>
      </w:pPr>
      <w:r w:rsidRPr="00DD4B8B">
        <w:t>Small quantities of hazardous and non-hazardous materials will be used and waste created, and then handled and stored on the vessel/s. In the normal course of operations, solid and liquid hazardous and non-hazardous materials and wastes will be stored on the vessel until it is disposed of via port facilities for disposal at licensed onshore facilities. However, accidental releases to sea are a possibility, especially in rough ocean conditions when items may roll off or be blown off the deck.</w:t>
      </w:r>
    </w:p>
    <w:p w14:paraId="183AF9D9" w14:textId="77777777" w:rsidR="004D3F04" w:rsidRPr="00DD4B8B" w:rsidRDefault="004D3F04" w:rsidP="00830C1E">
      <w:pPr>
        <w:pStyle w:val="BodyText"/>
        <w:ind w:left="720"/>
      </w:pPr>
      <w:r w:rsidRPr="00DD4B8B">
        <w:t>The following non-hazardous materials and wastes will be disposed of to shore, but have the potential to be accidentally dropped or disposed overboard due to overfull bins or crane operator error:</w:t>
      </w:r>
    </w:p>
    <w:p w14:paraId="298FB746" w14:textId="77777777" w:rsidR="004D3F04" w:rsidRPr="00024BA3" w:rsidRDefault="004D3F04" w:rsidP="0036080A">
      <w:pPr>
        <w:pStyle w:val="Bullet1"/>
        <w:numPr>
          <w:ilvl w:val="0"/>
          <w:numId w:val="40"/>
        </w:numPr>
      </w:pPr>
      <w:r w:rsidRPr="00024BA3">
        <w:t>Paper and cardboard;</w:t>
      </w:r>
    </w:p>
    <w:p w14:paraId="0976D02D" w14:textId="77777777" w:rsidR="004D3F04" w:rsidRPr="00024BA3" w:rsidRDefault="004D3F04" w:rsidP="0036080A">
      <w:pPr>
        <w:pStyle w:val="Bullet1"/>
        <w:numPr>
          <w:ilvl w:val="0"/>
          <w:numId w:val="40"/>
        </w:numPr>
      </w:pPr>
      <w:r w:rsidRPr="00024BA3">
        <w:t>Wooden pallets;</w:t>
      </w:r>
    </w:p>
    <w:p w14:paraId="2E1CF65C" w14:textId="77777777" w:rsidR="004D3F04" w:rsidRPr="00024BA3" w:rsidRDefault="004D3F04" w:rsidP="0036080A">
      <w:pPr>
        <w:pStyle w:val="Bullet1"/>
        <w:numPr>
          <w:ilvl w:val="0"/>
          <w:numId w:val="40"/>
        </w:numPr>
      </w:pPr>
      <w:r w:rsidRPr="00024BA3">
        <w:t>Scrap steel, metal, aluminium, cans;</w:t>
      </w:r>
    </w:p>
    <w:p w14:paraId="2824011D" w14:textId="77777777" w:rsidR="004D3F04" w:rsidRPr="00024BA3" w:rsidRDefault="004D3F04" w:rsidP="0036080A">
      <w:pPr>
        <w:pStyle w:val="Bullet1"/>
        <w:numPr>
          <w:ilvl w:val="0"/>
          <w:numId w:val="40"/>
        </w:numPr>
      </w:pPr>
      <w:r w:rsidRPr="00024BA3">
        <w:t>Glass; and</w:t>
      </w:r>
    </w:p>
    <w:p w14:paraId="084B7946" w14:textId="77777777" w:rsidR="004D3F04" w:rsidRPr="00024BA3" w:rsidRDefault="004D3F04" w:rsidP="0036080A">
      <w:pPr>
        <w:pStyle w:val="Bullet1"/>
        <w:numPr>
          <w:ilvl w:val="0"/>
          <w:numId w:val="40"/>
        </w:numPr>
      </w:pPr>
      <w:r w:rsidRPr="00024BA3">
        <w:t xml:space="preserve">Plastics. </w:t>
      </w:r>
    </w:p>
    <w:p w14:paraId="52782DB2" w14:textId="77777777" w:rsidR="004D3F04" w:rsidRPr="00DD4B8B" w:rsidRDefault="004D3F04" w:rsidP="00830C1E">
      <w:pPr>
        <w:pStyle w:val="BodyText"/>
        <w:ind w:left="720"/>
      </w:pPr>
      <w:r w:rsidRPr="00DD4B8B">
        <w:t>The following hazardous materials may be used and waste generated through the use of consumable products and will be disposed to shore, but may be accidentally dropped or disposed overboard:</w:t>
      </w:r>
    </w:p>
    <w:p w14:paraId="677DF980" w14:textId="77777777" w:rsidR="004D3F04" w:rsidRPr="00DD4B8B" w:rsidRDefault="004D3F04" w:rsidP="0036080A">
      <w:pPr>
        <w:pStyle w:val="Bullet1"/>
        <w:numPr>
          <w:ilvl w:val="0"/>
          <w:numId w:val="40"/>
        </w:numPr>
      </w:pPr>
      <w:r w:rsidRPr="00DD4B8B">
        <w:t>Hydrocarbon-contaminated materials (e.g., oily rags, pipe dope, oil filters);</w:t>
      </w:r>
    </w:p>
    <w:p w14:paraId="66D99CA8" w14:textId="2934A47B" w:rsidR="004D3F04" w:rsidRPr="00DD4B8B" w:rsidRDefault="004D3F04" w:rsidP="0036080A">
      <w:pPr>
        <w:pStyle w:val="Bullet1"/>
        <w:numPr>
          <w:ilvl w:val="0"/>
          <w:numId w:val="40"/>
        </w:numPr>
      </w:pPr>
      <w:r w:rsidRPr="00DD4B8B">
        <w:t>Batteries, empty paint cans, aerosol ca</w:t>
      </w:r>
      <w:r w:rsidR="00A9166C">
        <w:t xml:space="preserve">ns, fluorescent tubes, printer </w:t>
      </w:r>
      <w:r w:rsidRPr="00DD4B8B">
        <w:t>cartridges;</w:t>
      </w:r>
    </w:p>
    <w:p w14:paraId="455BCE38" w14:textId="77777777" w:rsidR="004D3F04" w:rsidRPr="00DD4B8B" w:rsidRDefault="004D3F04" w:rsidP="0036080A">
      <w:pPr>
        <w:pStyle w:val="Bullet1"/>
        <w:numPr>
          <w:ilvl w:val="0"/>
          <w:numId w:val="40"/>
        </w:numPr>
      </w:pPr>
      <w:r w:rsidRPr="00DD4B8B">
        <w:t xml:space="preserve">Contaminated personal protective equipment (PPE); and </w:t>
      </w:r>
    </w:p>
    <w:p w14:paraId="6E03177A" w14:textId="77777777" w:rsidR="004D3F04" w:rsidRPr="00DD4B8B" w:rsidRDefault="004D3F04" w:rsidP="0036080A">
      <w:pPr>
        <w:pStyle w:val="Bullet1"/>
        <w:numPr>
          <w:ilvl w:val="0"/>
          <w:numId w:val="40"/>
        </w:numPr>
      </w:pPr>
      <w:r w:rsidRPr="00DD4B8B">
        <w:t xml:space="preserve">Acids and solvents (laboratory wastes). </w:t>
      </w:r>
    </w:p>
    <w:p w14:paraId="182648CF" w14:textId="77777777" w:rsidR="004D3F04" w:rsidRDefault="004D3F04" w:rsidP="001371AD">
      <w:pPr>
        <w:pStyle w:val="Heading3"/>
      </w:pPr>
      <w:r>
        <w:lastRenderedPageBreak/>
        <w:t>Known and Potential Impacts</w:t>
      </w:r>
    </w:p>
    <w:p w14:paraId="0FC3E65F" w14:textId="77777777" w:rsidR="004D3F04" w:rsidRPr="00DD4B8B" w:rsidRDefault="004D3F04" w:rsidP="00830C1E">
      <w:pPr>
        <w:pStyle w:val="BodyText"/>
        <w:ind w:left="720"/>
        <w:rPr>
          <w:lang w:eastAsia="en-US"/>
        </w:rPr>
      </w:pPr>
      <w:r w:rsidRPr="00DD4B8B">
        <w:rPr>
          <w:lang w:eastAsia="en-US"/>
        </w:rPr>
        <w:t xml:space="preserve">The known and potential impacts of the release of accidental disposal of hazardous and non-hazardous materials and waste to the ocean are: </w:t>
      </w:r>
    </w:p>
    <w:p w14:paraId="696994B0" w14:textId="58CEC886" w:rsidR="004D3F04" w:rsidRPr="002668DA" w:rsidRDefault="004D3F04" w:rsidP="0036080A">
      <w:pPr>
        <w:pStyle w:val="Bullet1"/>
        <w:numPr>
          <w:ilvl w:val="0"/>
          <w:numId w:val="40"/>
        </w:numPr>
      </w:pPr>
      <w:r w:rsidRPr="002668DA">
        <w:t>Marine pollution (litter and a temporary and localised reduction in water</w:t>
      </w:r>
      <w:r w:rsidR="00D0232D">
        <w:t xml:space="preserve"> </w:t>
      </w:r>
      <w:r w:rsidRPr="002668DA">
        <w:t xml:space="preserve">quality); </w:t>
      </w:r>
    </w:p>
    <w:p w14:paraId="127A1D66" w14:textId="77777777" w:rsidR="004D3F04" w:rsidRPr="002668DA" w:rsidRDefault="004D3F04" w:rsidP="0036080A">
      <w:pPr>
        <w:pStyle w:val="Bullet1"/>
        <w:numPr>
          <w:ilvl w:val="0"/>
          <w:numId w:val="40"/>
        </w:numPr>
      </w:pPr>
      <w:r w:rsidRPr="002668DA">
        <w:t>Injury and entanglement of marine fauna and seabirds; and</w:t>
      </w:r>
    </w:p>
    <w:p w14:paraId="71C69663" w14:textId="77777777" w:rsidR="004D3F04" w:rsidRPr="002668DA" w:rsidRDefault="004D3F04" w:rsidP="0036080A">
      <w:pPr>
        <w:pStyle w:val="Bullet1"/>
        <w:numPr>
          <w:ilvl w:val="0"/>
          <w:numId w:val="40"/>
        </w:numPr>
      </w:pPr>
      <w:r w:rsidRPr="002668DA">
        <w:t>Smothering or pollution of benthic habitats.</w:t>
      </w:r>
    </w:p>
    <w:p w14:paraId="6A8446FA" w14:textId="77777777" w:rsidR="004D3F04" w:rsidRPr="00830C1E" w:rsidRDefault="004D3F04" w:rsidP="00830C1E">
      <w:pPr>
        <w:pStyle w:val="BodyText"/>
        <w:ind w:left="700"/>
        <w:rPr>
          <w:b/>
          <w:u w:val="single"/>
        </w:rPr>
      </w:pPr>
      <w:r w:rsidRPr="00830C1E">
        <w:rPr>
          <w:b/>
          <w:u w:val="single"/>
        </w:rPr>
        <w:t>EMBA</w:t>
      </w:r>
    </w:p>
    <w:p w14:paraId="6FA3DE20" w14:textId="6ADBF3DF" w:rsidR="004D3F04" w:rsidRPr="00DD4B8B" w:rsidRDefault="004D3F04" w:rsidP="00830C1E">
      <w:pPr>
        <w:pStyle w:val="BodyText"/>
        <w:ind w:left="700"/>
        <w:rPr>
          <w:lang w:eastAsia="en-US"/>
        </w:rPr>
      </w:pPr>
      <w:r w:rsidRPr="00DD4B8B">
        <w:rPr>
          <w:lang w:eastAsia="en-US"/>
        </w:rPr>
        <w:t xml:space="preserve">The EMBA for accidental disposal of hazardous and non-hazardous materials and waste </w:t>
      </w:r>
      <w:r w:rsidR="00BF5698">
        <w:rPr>
          <w:lang w:eastAsia="en-US"/>
        </w:rPr>
        <w:t>may possibly</w:t>
      </w:r>
      <w:r w:rsidRPr="00DD4B8B">
        <w:rPr>
          <w:lang w:eastAsia="en-US"/>
        </w:rPr>
        <w:t xml:space="preserve"> extend for kilometres from the release site (as buoyant waste drifts with the currents) or localised for non-buoyant items that drop to the seabed. </w:t>
      </w:r>
    </w:p>
    <w:p w14:paraId="73CCBEC5" w14:textId="77777777" w:rsidR="004D3F04" w:rsidRPr="00830C1E" w:rsidRDefault="004D3F04" w:rsidP="00830C1E">
      <w:pPr>
        <w:pStyle w:val="BodyText"/>
        <w:ind w:left="709"/>
        <w:rPr>
          <w:b/>
          <w:u w:val="single"/>
        </w:rPr>
      </w:pPr>
      <w:r w:rsidRPr="00830C1E">
        <w:rPr>
          <w:b/>
          <w:u w:val="single"/>
        </w:rPr>
        <w:t>Receptors within the EMBA</w:t>
      </w:r>
    </w:p>
    <w:p w14:paraId="10BF8D58" w14:textId="77777777" w:rsidR="004D3F04" w:rsidRPr="00DD4B8B" w:rsidRDefault="004D3F04" w:rsidP="00830C1E">
      <w:pPr>
        <w:pStyle w:val="BodyText"/>
        <w:ind w:left="709"/>
        <w:rPr>
          <w:lang w:eastAsia="en-US"/>
        </w:rPr>
      </w:pPr>
      <w:r w:rsidRPr="00DD4B8B">
        <w:rPr>
          <w:lang w:eastAsia="en-US"/>
        </w:rPr>
        <w:t xml:space="preserve">Receptors that may occur within this EMBA, either as residents or migrants, are: </w:t>
      </w:r>
    </w:p>
    <w:p w14:paraId="1F9E3386" w14:textId="77777777" w:rsidR="004D3F04" w:rsidRDefault="004D3F04" w:rsidP="0036080A">
      <w:pPr>
        <w:pStyle w:val="Bullet1"/>
        <w:numPr>
          <w:ilvl w:val="0"/>
          <w:numId w:val="40"/>
        </w:numPr>
      </w:pPr>
      <w:r w:rsidRPr="00DD4B8B">
        <w:t>Benthic species and habitat;</w:t>
      </w:r>
    </w:p>
    <w:p w14:paraId="132B6B42" w14:textId="77777777" w:rsidR="004D3F04" w:rsidRPr="00DD4B8B" w:rsidRDefault="004D3F04" w:rsidP="0036080A">
      <w:pPr>
        <w:pStyle w:val="Bullet1"/>
        <w:numPr>
          <w:ilvl w:val="0"/>
          <w:numId w:val="40"/>
        </w:numPr>
      </w:pPr>
      <w:r w:rsidRPr="00DD4B8B">
        <w:t xml:space="preserve">Pelagic fish; </w:t>
      </w:r>
    </w:p>
    <w:p w14:paraId="03BE72B6" w14:textId="77777777" w:rsidR="004D3F04" w:rsidRPr="00DD4B8B" w:rsidRDefault="004D3F04" w:rsidP="0036080A">
      <w:pPr>
        <w:pStyle w:val="Bullet1"/>
        <w:numPr>
          <w:ilvl w:val="0"/>
          <w:numId w:val="40"/>
        </w:numPr>
      </w:pPr>
      <w:r w:rsidRPr="00DD4B8B">
        <w:t>Pinnipeds; and</w:t>
      </w:r>
    </w:p>
    <w:p w14:paraId="3C435848" w14:textId="77777777" w:rsidR="004D3F04" w:rsidRPr="00DD4B8B" w:rsidRDefault="004D3F04" w:rsidP="0036080A">
      <w:pPr>
        <w:pStyle w:val="Bullet1"/>
        <w:numPr>
          <w:ilvl w:val="0"/>
          <w:numId w:val="40"/>
        </w:numPr>
      </w:pPr>
      <w:r w:rsidRPr="00DD4B8B">
        <w:t>Seabirds and shorebirds.</w:t>
      </w:r>
    </w:p>
    <w:p w14:paraId="7E9E836A" w14:textId="77777777" w:rsidR="004D3F04" w:rsidRDefault="004D3F04" w:rsidP="001371AD">
      <w:pPr>
        <w:pStyle w:val="Heading3"/>
      </w:pPr>
      <w:r>
        <w:t>Evaluation of Environmental Impacts</w:t>
      </w:r>
    </w:p>
    <w:p w14:paraId="222481BB" w14:textId="77777777" w:rsidR="004D3F04" w:rsidRPr="002668DA" w:rsidRDefault="004D3F04" w:rsidP="00830C1E">
      <w:pPr>
        <w:pStyle w:val="BodyText"/>
        <w:ind w:left="720"/>
        <w:rPr>
          <w:u w:val="single"/>
          <w:lang w:eastAsia="en-US"/>
        </w:rPr>
      </w:pPr>
      <w:r w:rsidRPr="002668DA">
        <w:rPr>
          <w:u w:val="single"/>
          <w:lang w:eastAsia="en-US"/>
        </w:rPr>
        <w:t>Hazardous Materials and Waste</w:t>
      </w:r>
    </w:p>
    <w:p w14:paraId="06917CD2" w14:textId="4739EAB7" w:rsidR="004D3F04" w:rsidRPr="00DD4B8B" w:rsidRDefault="004D3F04" w:rsidP="00830C1E">
      <w:pPr>
        <w:pStyle w:val="BodyText"/>
        <w:ind w:left="720"/>
        <w:rPr>
          <w:lang w:eastAsia="en-US"/>
        </w:rPr>
      </w:pPr>
      <w:r w:rsidRPr="00DD4B8B">
        <w:rPr>
          <w:lang w:eastAsia="en-US"/>
        </w:rPr>
        <w:t xml:space="preserve">Hazardous materials and wastes released to the sea cause pollution and contamination, with either direct or indirect effects on marine organisms. For example, chemical spills can impact on marine life from plankton to pelagic fish communities, causing physiological damage through ingestion or absorption through the skin. Impacts from an accidental release would be limited to the immediate area surrounding the release, prior to the dilution of the chemical with the surrounding seawater. In an open ocean environment such as the </w:t>
      </w:r>
      <w:r w:rsidR="00BA0611">
        <w:rPr>
          <w:lang w:eastAsia="en-US"/>
        </w:rPr>
        <w:t>CHN</w:t>
      </w:r>
      <w:r w:rsidRPr="00DD4B8B">
        <w:rPr>
          <w:lang w:eastAsia="en-US"/>
        </w:rPr>
        <w:t xml:space="preserve"> assets, it is expected that any minor release would be rapidly diluted and dispersed, and thus temporary and localised.  </w:t>
      </w:r>
    </w:p>
    <w:p w14:paraId="166E25C9" w14:textId="3833626A" w:rsidR="004D3F04" w:rsidRPr="00DD4B8B" w:rsidRDefault="004D3F04" w:rsidP="00830C1E">
      <w:pPr>
        <w:pStyle w:val="BodyText"/>
        <w:ind w:left="720"/>
        <w:rPr>
          <w:lang w:eastAsia="en-US"/>
        </w:rPr>
      </w:pPr>
      <w:r w:rsidRPr="00DD4B8B">
        <w:rPr>
          <w:lang w:eastAsia="en-US"/>
        </w:rPr>
        <w:t xml:space="preserve">Solid hazardous materials, such as paint cans containing paint residue, batteries and so forth, would settle on the seabed if dropped overboard. Over time, this may result in the leaching of hazardous materials to the seabed, which is likely to result in a small area of substrate becoming toxic and unsuitable for colonisation by benthic fauna. </w:t>
      </w:r>
      <w:r w:rsidR="00F3714C">
        <w:rPr>
          <w:lang w:eastAsia="en-US"/>
        </w:rPr>
        <w:t xml:space="preserve">Given the size of materials release it is expected that only very localised impacts to benthic habitats across the pipeline alignment would be affected and </w:t>
      </w:r>
      <w:r w:rsidRPr="00DD4B8B">
        <w:rPr>
          <w:lang w:eastAsia="en-US"/>
        </w:rPr>
        <w:t xml:space="preserve">unlikely to contribute to </w:t>
      </w:r>
      <w:r w:rsidR="00F3714C">
        <w:rPr>
          <w:lang w:eastAsia="en-US"/>
        </w:rPr>
        <w:t>a significant l</w:t>
      </w:r>
      <w:r w:rsidRPr="00DD4B8B">
        <w:rPr>
          <w:lang w:eastAsia="en-US"/>
        </w:rPr>
        <w:t xml:space="preserve">oss of benthic habitat or species diversity.  </w:t>
      </w:r>
    </w:p>
    <w:p w14:paraId="1AAC4AEA" w14:textId="021A2DCD" w:rsidR="004D3F04" w:rsidRPr="00DD4B8B" w:rsidRDefault="004D3F04" w:rsidP="00830C1E">
      <w:pPr>
        <w:pStyle w:val="BodyText"/>
        <w:ind w:left="720"/>
        <w:rPr>
          <w:lang w:eastAsia="en-US"/>
        </w:rPr>
      </w:pPr>
      <w:r w:rsidRPr="00DD4B8B">
        <w:rPr>
          <w:lang w:eastAsia="en-US"/>
        </w:rPr>
        <w:t>All hazardous waste will be disposed at appropriately licensed facilities, by licenced contractors, so impacts such as illegal dumping or disposal to an unauthorised onshore landfill that is not properly lined are unlikely to result from the project.</w:t>
      </w:r>
    </w:p>
    <w:p w14:paraId="5EC2C401" w14:textId="77777777" w:rsidR="004D3F04" w:rsidRPr="002668DA" w:rsidRDefault="004D3F04" w:rsidP="00830C1E">
      <w:pPr>
        <w:pStyle w:val="BodyText"/>
        <w:ind w:left="720"/>
        <w:rPr>
          <w:u w:val="single"/>
          <w:lang w:eastAsia="en-US"/>
        </w:rPr>
      </w:pPr>
      <w:r w:rsidRPr="002668DA">
        <w:rPr>
          <w:u w:val="single"/>
          <w:lang w:eastAsia="en-US"/>
        </w:rPr>
        <w:t>Non-hazardous Materials and Waste</w:t>
      </w:r>
    </w:p>
    <w:p w14:paraId="70E641C3" w14:textId="07125BF2" w:rsidR="004D3F04" w:rsidRPr="00DD4B8B" w:rsidRDefault="004D3F04" w:rsidP="00830C1E">
      <w:pPr>
        <w:pStyle w:val="BodyText"/>
        <w:ind w:left="720"/>
        <w:rPr>
          <w:lang w:eastAsia="en-US"/>
        </w:rPr>
      </w:pPr>
      <w:r w:rsidRPr="00DD4B8B">
        <w:rPr>
          <w:lang w:eastAsia="en-US"/>
        </w:rPr>
        <w:t>Discharged overboard, non-hazardous wastes can cause smothering of benthic habitats as well as injury or death to marine fauna or seabirds through ingestion or entanglement (e.g., plastics caught around the necks of seals or ingested by seabirds and fish). For example, the TSSC (2015</w:t>
      </w:r>
      <w:r w:rsidR="00DD4270">
        <w:rPr>
          <w:lang w:eastAsia="en-US"/>
        </w:rPr>
        <w:t>a</w:t>
      </w:r>
      <w:r w:rsidRPr="00DD4B8B">
        <w:rPr>
          <w:lang w:eastAsia="en-US"/>
        </w:rPr>
        <w:t xml:space="preserve">) reports that there have been 104 records of cetaceans in Australian waters impacted by plastic debris through entanglement or ingestion since 1998 (humpback whales being the main species). </w:t>
      </w:r>
    </w:p>
    <w:p w14:paraId="4C75C927" w14:textId="1D1781AB" w:rsidR="004D3F04" w:rsidRPr="00DD4B8B" w:rsidRDefault="004D3F04" w:rsidP="00830C1E">
      <w:pPr>
        <w:pStyle w:val="BodyText"/>
        <w:ind w:left="720"/>
        <w:rPr>
          <w:lang w:eastAsia="en-US"/>
        </w:rPr>
      </w:pPr>
      <w:r w:rsidRPr="00DD4B8B">
        <w:rPr>
          <w:lang w:eastAsia="en-US"/>
        </w:rPr>
        <w:t xml:space="preserve">If dropped objects such as bins are not retrievable by ROV, these items may permanently smother very small areas of seabed, resulting in the loss of benthic habitat. However, as with most subsea infrastructure, the items themselves are likely to become colonised by benthic fauna over time (e.g., sponges) and become a focal area for sea life, so the net environmental </w:t>
      </w:r>
      <w:r w:rsidRPr="00DD4B8B">
        <w:rPr>
          <w:lang w:eastAsia="en-US"/>
        </w:rPr>
        <w:lastRenderedPageBreak/>
        <w:t>impact is likely to be neutral. Th</w:t>
      </w:r>
      <w:r w:rsidR="00F3714C">
        <w:rPr>
          <w:lang w:eastAsia="en-US"/>
        </w:rPr>
        <w:t xml:space="preserve">is would affect extremely localised areas of seabed and would be </w:t>
      </w:r>
      <w:r w:rsidRPr="00DD4B8B">
        <w:rPr>
          <w:lang w:eastAsia="en-US"/>
        </w:rPr>
        <w:t xml:space="preserve">unlikely to contribute to the loss of benthic habitat or species diversity. </w:t>
      </w:r>
    </w:p>
    <w:p w14:paraId="5DB2CBFC" w14:textId="77777777" w:rsidR="004D3F04" w:rsidRPr="00830C1E" w:rsidRDefault="004D3F04" w:rsidP="00830C1E">
      <w:pPr>
        <w:pStyle w:val="BodyText"/>
        <w:ind w:left="720"/>
        <w:rPr>
          <w:b/>
          <w:u w:val="single"/>
        </w:rPr>
      </w:pPr>
      <w:r w:rsidRPr="00830C1E">
        <w:rPr>
          <w:b/>
          <w:u w:val="single"/>
        </w:rPr>
        <w:t>Impacts to Matters of NES</w:t>
      </w:r>
    </w:p>
    <w:p w14:paraId="424E8C58" w14:textId="2833FC5D" w:rsidR="004D3F04" w:rsidRDefault="004D3F04" w:rsidP="00014C38">
      <w:pPr>
        <w:pStyle w:val="BodyText"/>
        <w:ind w:left="720"/>
        <w:rPr>
          <w:lang w:eastAsia="en-US"/>
        </w:rPr>
      </w:pPr>
      <w:r w:rsidRPr="00DD4B8B">
        <w:rPr>
          <w:lang w:eastAsia="en-US"/>
        </w:rPr>
        <w:t>The accidental disposal of hazardous and non-hazardous materials and waste to the ocean will not have a ‘significant’ impact to any of the matters of NES applicable to this project</w:t>
      </w:r>
    </w:p>
    <w:p w14:paraId="5A6AF04C" w14:textId="77777777" w:rsidR="004D3F04" w:rsidRPr="00830C1E" w:rsidRDefault="004D3F04" w:rsidP="00830C1E">
      <w:pPr>
        <w:pStyle w:val="BodyText"/>
        <w:ind w:left="709"/>
        <w:rPr>
          <w:b/>
          <w:u w:val="single"/>
        </w:rPr>
      </w:pPr>
      <w:r w:rsidRPr="00830C1E">
        <w:rPr>
          <w:b/>
          <w:u w:val="single"/>
        </w:rPr>
        <w:t>Impacts to other areas of Conservation Significance</w:t>
      </w:r>
    </w:p>
    <w:p w14:paraId="12615BC9" w14:textId="641B6C7E" w:rsidR="004D3F04" w:rsidRPr="00BE0DE6" w:rsidRDefault="004D3F04" w:rsidP="00014C38">
      <w:pPr>
        <w:pStyle w:val="BodyText"/>
        <w:ind w:left="709"/>
        <w:rPr>
          <w:lang w:eastAsia="en-US"/>
        </w:rPr>
      </w:pPr>
      <w:r w:rsidRPr="003952C6">
        <w:rPr>
          <w:lang w:eastAsia="en-US"/>
        </w:rPr>
        <w:t>There are no other areas of conservation significance within the EMBA by accidental disposal of hazardous and non-hazardous materials and waste to the ocean. This discharge will not have any impacts to other areas of conservation significance</w:t>
      </w:r>
      <w:r w:rsidR="00014C38">
        <w:rPr>
          <w:lang w:eastAsia="en-US"/>
        </w:rPr>
        <w:t>.</w:t>
      </w:r>
    </w:p>
    <w:p w14:paraId="3C0AF534" w14:textId="09C7DD5F" w:rsidR="004D3F04" w:rsidRDefault="003952C6" w:rsidP="001371AD">
      <w:pPr>
        <w:pStyle w:val="Heading3"/>
      </w:pPr>
      <w:r>
        <w:t xml:space="preserve">Risk </w:t>
      </w:r>
      <w:r w:rsidR="004D3F04">
        <w:t>Assessment</w:t>
      </w:r>
    </w:p>
    <w:p w14:paraId="0B6D94CD" w14:textId="180B677B" w:rsidR="004D3F04" w:rsidRDefault="003952C6" w:rsidP="00830C1E">
      <w:pPr>
        <w:pStyle w:val="BodyText"/>
        <w:ind w:left="720"/>
        <w:rPr>
          <w:lang w:eastAsia="en-US"/>
        </w:rPr>
      </w:pPr>
      <w:r>
        <w:rPr>
          <w:color w:val="FF0000"/>
          <w:lang w:eastAsia="en-US"/>
        </w:rPr>
        <w:fldChar w:fldCharType="begin"/>
      </w:r>
      <w:r>
        <w:rPr>
          <w:color w:val="FF0000"/>
          <w:lang w:eastAsia="en-US"/>
        </w:rPr>
        <w:instrText xml:space="preserve"> REF _Ref473400197 \h </w:instrText>
      </w:r>
      <w:r w:rsidR="00830C1E">
        <w:rPr>
          <w:color w:val="FF0000"/>
          <w:lang w:eastAsia="en-US"/>
        </w:rPr>
        <w:instrText xml:space="preserve"> \* MERGEFORMAT </w:instrText>
      </w:r>
      <w:r>
        <w:rPr>
          <w:color w:val="FF0000"/>
          <w:lang w:eastAsia="en-US"/>
        </w:rPr>
      </w:r>
      <w:r>
        <w:rPr>
          <w:color w:val="FF0000"/>
          <w:lang w:eastAsia="en-US"/>
        </w:rPr>
        <w:fldChar w:fldCharType="separate"/>
      </w:r>
      <w:r w:rsidR="00CC4C35" w:rsidRPr="00CC4C35">
        <w:t xml:space="preserve">Table </w:t>
      </w:r>
      <w:r w:rsidR="00CC4C35" w:rsidRPr="00CC4C35">
        <w:rPr>
          <w:noProof/>
        </w:rPr>
        <w:t>5</w:t>
      </w:r>
      <w:r w:rsidR="00CC4C35" w:rsidRPr="00CC4C35">
        <w:rPr>
          <w:noProof/>
        </w:rPr>
        <w:noBreakHyphen/>
        <w:t>16</w:t>
      </w:r>
      <w:r>
        <w:rPr>
          <w:color w:val="FF0000"/>
          <w:lang w:eastAsia="en-US"/>
        </w:rPr>
        <w:fldChar w:fldCharType="end"/>
      </w:r>
      <w:r>
        <w:rPr>
          <w:color w:val="FF0000"/>
          <w:lang w:eastAsia="en-US"/>
        </w:rPr>
        <w:t xml:space="preserve"> </w:t>
      </w:r>
      <w:r w:rsidR="004D3F04" w:rsidRPr="003952C6">
        <w:rPr>
          <w:lang w:eastAsia="en-US"/>
        </w:rPr>
        <w:t xml:space="preserve">presents the risk assessment for accidental disposal of hazardous and non-hazardous materials and waste </w:t>
      </w:r>
      <w:r w:rsidR="00D47410" w:rsidRPr="003952C6">
        <w:rPr>
          <w:lang w:eastAsia="en-US"/>
        </w:rPr>
        <w:t>overboard</w:t>
      </w:r>
      <w:r w:rsidR="004D3F04" w:rsidRPr="003952C6">
        <w:rPr>
          <w:lang w:eastAsia="en-US"/>
        </w:rPr>
        <w:t>.</w:t>
      </w:r>
    </w:p>
    <w:p w14:paraId="05F225D6" w14:textId="274BA61C" w:rsidR="004D3F04" w:rsidRPr="00ED5388" w:rsidRDefault="003952C6" w:rsidP="00B86A7D">
      <w:pPr>
        <w:pStyle w:val="Caption"/>
        <w:outlineLvl w:val="9"/>
        <w:rPr>
          <w:sz w:val="20"/>
          <w:szCs w:val="20"/>
        </w:rPr>
      </w:pPr>
      <w:bookmarkStart w:id="242" w:name="_Ref473400197"/>
      <w:bookmarkStart w:id="243" w:name="_Toc511032607"/>
      <w:r w:rsidRPr="003952C6">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16</w:t>
      </w:r>
      <w:r w:rsidR="00103328">
        <w:rPr>
          <w:sz w:val="20"/>
          <w:szCs w:val="20"/>
        </w:rPr>
        <w:fldChar w:fldCharType="end"/>
      </w:r>
      <w:bookmarkEnd w:id="242"/>
      <w:r w:rsidRPr="003952C6">
        <w:rPr>
          <w:sz w:val="20"/>
          <w:szCs w:val="20"/>
        </w:rPr>
        <w:t>: ERA for accidental disposal of waste overboard</w:t>
      </w:r>
      <w:bookmarkEnd w:id="243"/>
    </w:p>
    <w:tbl>
      <w:tblPr>
        <w:tblW w:w="8930" w:type="dxa"/>
        <w:tblInd w:w="25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43"/>
        <w:gridCol w:w="7087"/>
      </w:tblGrid>
      <w:tr w:rsidR="008A3907" w:rsidRPr="00B166E1" w14:paraId="568424CC" w14:textId="77777777" w:rsidTr="004705DB">
        <w:trPr>
          <w:cantSplit/>
        </w:trPr>
        <w:tc>
          <w:tcPr>
            <w:tcW w:w="1843" w:type="dxa"/>
            <w:shd w:val="clear" w:color="auto" w:fill="BFBFBF" w:themeFill="background1" w:themeFillShade="BF"/>
          </w:tcPr>
          <w:p w14:paraId="11753258" w14:textId="26848C50" w:rsidR="008A3907" w:rsidRPr="00B166E1" w:rsidRDefault="008A3907" w:rsidP="004D3F04">
            <w:pPr>
              <w:pStyle w:val="Tabletext"/>
              <w:rPr>
                <w:rFonts w:ascii="Arial" w:hAnsi="Arial" w:cs="Arial"/>
                <w:b/>
                <w:sz w:val="16"/>
                <w:szCs w:val="16"/>
              </w:rPr>
            </w:pPr>
            <w:r w:rsidRPr="00B166E1">
              <w:rPr>
                <w:rFonts w:ascii="Arial" w:hAnsi="Arial" w:cs="Arial"/>
                <w:b/>
                <w:sz w:val="16"/>
                <w:szCs w:val="16"/>
              </w:rPr>
              <w:t>Aspect:</w:t>
            </w:r>
          </w:p>
        </w:tc>
        <w:tc>
          <w:tcPr>
            <w:tcW w:w="7087" w:type="dxa"/>
          </w:tcPr>
          <w:p w14:paraId="58191D41" w14:textId="2C6A1F37" w:rsidR="008A3907" w:rsidRPr="00B166E1" w:rsidRDefault="008A3907" w:rsidP="004D3F04">
            <w:pPr>
              <w:pStyle w:val="Tabletext"/>
              <w:spacing w:line="240" w:lineRule="auto"/>
              <w:jc w:val="left"/>
              <w:rPr>
                <w:rFonts w:ascii="Arial" w:hAnsi="Arial" w:cs="Arial"/>
                <w:sz w:val="16"/>
                <w:szCs w:val="16"/>
              </w:rPr>
            </w:pPr>
            <w:r w:rsidRPr="00B166E1">
              <w:rPr>
                <w:rFonts w:ascii="Arial" w:hAnsi="Arial" w:cs="Arial"/>
                <w:sz w:val="16"/>
                <w:szCs w:val="16"/>
              </w:rPr>
              <w:t>Release of solid/non-hazardous water overboard</w:t>
            </w:r>
            <w:r w:rsidR="001C2610" w:rsidRPr="00B166E1">
              <w:rPr>
                <w:rFonts w:ascii="Arial" w:hAnsi="Arial" w:cs="Arial"/>
                <w:sz w:val="16"/>
                <w:szCs w:val="16"/>
              </w:rPr>
              <w:t xml:space="preserve"> to the marine environment</w:t>
            </w:r>
          </w:p>
        </w:tc>
      </w:tr>
      <w:tr w:rsidR="004D3F04" w:rsidRPr="00B166E1" w14:paraId="5568B7F9" w14:textId="77777777" w:rsidTr="004705DB">
        <w:trPr>
          <w:cantSplit/>
        </w:trPr>
        <w:tc>
          <w:tcPr>
            <w:tcW w:w="1843" w:type="dxa"/>
            <w:shd w:val="clear" w:color="auto" w:fill="BFBFBF" w:themeFill="background1" w:themeFillShade="BF"/>
          </w:tcPr>
          <w:p w14:paraId="35A24069" w14:textId="77777777" w:rsidR="004D3F04" w:rsidRPr="00B166E1" w:rsidRDefault="004D3F04" w:rsidP="004D3F04">
            <w:pPr>
              <w:pStyle w:val="Tabletext"/>
              <w:rPr>
                <w:rFonts w:ascii="Arial" w:hAnsi="Arial" w:cs="Arial"/>
                <w:b/>
                <w:sz w:val="16"/>
                <w:szCs w:val="16"/>
              </w:rPr>
            </w:pPr>
            <w:r w:rsidRPr="00B166E1">
              <w:rPr>
                <w:rFonts w:ascii="Arial" w:hAnsi="Arial" w:cs="Arial"/>
                <w:b/>
                <w:sz w:val="16"/>
                <w:szCs w:val="16"/>
              </w:rPr>
              <w:t xml:space="preserve">Impact summary </w:t>
            </w:r>
          </w:p>
        </w:tc>
        <w:tc>
          <w:tcPr>
            <w:tcW w:w="7087" w:type="dxa"/>
          </w:tcPr>
          <w:p w14:paraId="128A9568" w14:textId="77777777" w:rsidR="001C2610" w:rsidRPr="00B166E1" w:rsidRDefault="001C2610" w:rsidP="001C2610">
            <w:pPr>
              <w:pStyle w:val="Tabletext"/>
              <w:spacing w:before="0" w:after="0"/>
              <w:rPr>
                <w:rFonts w:ascii="Arial" w:hAnsi="Arial" w:cs="Arial"/>
                <w:sz w:val="16"/>
                <w:szCs w:val="16"/>
              </w:rPr>
            </w:pPr>
            <w:r w:rsidRPr="00B166E1">
              <w:rPr>
                <w:rFonts w:ascii="Arial" w:hAnsi="Arial" w:cs="Arial"/>
                <w:sz w:val="16"/>
                <w:szCs w:val="16"/>
              </w:rPr>
              <w:t>Localised decrease in water quality with possible toxicity impacts to marine biota (e.g. fish plankton).</w:t>
            </w:r>
          </w:p>
          <w:p w14:paraId="69926B4E" w14:textId="77777777" w:rsidR="001C2610" w:rsidRPr="00B166E1" w:rsidRDefault="001C2610" w:rsidP="001C2610">
            <w:pPr>
              <w:pStyle w:val="Tabletext"/>
              <w:spacing w:before="0" w:after="0"/>
              <w:rPr>
                <w:rFonts w:ascii="Arial" w:hAnsi="Arial" w:cs="Arial"/>
                <w:sz w:val="16"/>
                <w:szCs w:val="16"/>
              </w:rPr>
            </w:pPr>
            <w:r w:rsidRPr="00B166E1">
              <w:rPr>
                <w:rFonts w:ascii="Arial" w:hAnsi="Arial" w:cs="Arial"/>
                <w:sz w:val="16"/>
                <w:szCs w:val="16"/>
              </w:rPr>
              <w:t>Injury or damage to individual marine fauna through ingestion of plastics.</w:t>
            </w:r>
          </w:p>
          <w:p w14:paraId="2C8DC26E" w14:textId="312B75D7" w:rsidR="004D3F04" w:rsidRPr="00B166E1" w:rsidRDefault="001C2610" w:rsidP="001C2610">
            <w:pPr>
              <w:pStyle w:val="Tabletext"/>
              <w:spacing w:line="240" w:lineRule="auto"/>
              <w:jc w:val="left"/>
              <w:rPr>
                <w:rFonts w:ascii="Arial" w:hAnsi="Arial" w:cs="Arial"/>
                <w:sz w:val="16"/>
                <w:szCs w:val="16"/>
              </w:rPr>
            </w:pPr>
            <w:r w:rsidRPr="00B166E1">
              <w:rPr>
                <w:rFonts w:ascii="Arial" w:hAnsi="Arial" w:cs="Arial"/>
                <w:sz w:val="16"/>
                <w:szCs w:val="16"/>
              </w:rPr>
              <w:t>Localised seabed smothering or contamination by non-buoyant solid hazardous waste</w:t>
            </w:r>
            <w:r w:rsidR="004D3F04" w:rsidRPr="00B166E1">
              <w:rPr>
                <w:rFonts w:ascii="Arial" w:hAnsi="Arial" w:cs="Arial"/>
                <w:sz w:val="16"/>
                <w:szCs w:val="16"/>
              </w:rPr>
              <w:t xml:space="preserve">.   </w:t>
            </w:r>
          </w:p>
        </w:tc>
      </w:tr>
      <w:tr w:rsidR="004D3F04" w:rsidRPr="00B166E1" w14:paraId="2CBCD220" w14:textId="77777777" w:rsidTr="004705DB">
        <w:trPr>
          <w:cantSplit/>
        </w:trPr>
        <w:tc>
          <w:tcPr>
            <w:tcW w:w="1843" w:type="dxa"/>
            <w:shd w:val="clear" w:color="auto" w:fill="BFBFBF" w:themeFill="background1" w:themeFillShade="BF"/>
          </w:tcPr>
          <w:p w14:paraId="2D66A646" w14:textId="77777777" w:rsidR="004D3F04" w:rsidRPr="00B166E1" w:rsidRDefault="004D3F04" w:rsidP="004D3F04">
            <w:pPr>
              <w:pStyle w:val="Tabletext"/>
              <w:jc w:val="left"/>
              <w:rPr>
                <w:rFonts w:ascii="Arial" w:hAnsi="Arial" w:cs="Arial"/>
                <w:b/>
                <w:sz w:val="16"/>
                <w:szCs w:val="16"/>
              </w:rPr>
            </w:pPr>
            <w:r w:rsidRPr="00B166E1">
              <w:rPr>
                <w:rFonts w:ascii="Arial" w:hAnsi="Arial" w:cs="Arial"/>
                <w:b/>
                <w:sz w:val="16"/>
                <w:szCs w:val="16"/>
              </w:rPr>
              <w:t xml:space="preserve">Extent of impact </w:t>
            </w:r>
          </w:p>
        </w:tc>
        <w:tc>
          <w:tcPr>
            <w:tcW w:w="7087" w:type="dxa"/>
          </w:tcPr>
          <w:p w14:paraId="56058499" w14:textId="140E95A3" w:rsidR="004D3F04" w:rsidRPr="00B166E1" w:rsidRDefault="001C2610" w:rsidP="004D3F04">
            <w:pPr>
              <w:pStyle w:val="Tabletext"/>
              <w:spacing w:line="240" w:lineRule="auto"/>
              <w:jc w:val="left"/>
              <w:rPr>
                <w:rFonts w:ascii="Arial" w:hAnsi="Arial" w:cs="Arial"/>
                <w:sz w:val="16"/>
                <w:szCs w:val="16"/>
              </w:rPr>
            </w:pPr>
            <w:r w:rsidRPr="00B166E1">
              <w:rPr>
                <w:rFonts w:ascii="Arial" w:hAnsi="Arial" w:cs="Arial"/>
                <w:sz w:val="16"/>
                <w:szCs w:val="16"/>
              </w:rPr>
              <w:t xml:space="preserve">In general, localised impacts around point of discharge. </w:t>
            </w:r>
            <w:r w:rsidR="004D3F04" w:rsidRPr="00B166E1">
              <w:rPr>
                <w:rFonts w:ascii="Arial" w:hAnsi="Arial" w:cs="Arial"/>
                <w:sz w:val="16"/>
                <w:szCs w:val="16"/>
              </w:rPr>
              <w:t xml:space="preserve">Non-buoyant waste may sink to the seabed near where it was lost. Buoyant waste may float long distances with ocean currents and winds.  </w:t>
            </w:r>
          </w:p>
        </w:tc>
      </w:tr>
      <w:tr w:rsidR="004D3F04" w:rsidRPr="00B166E1" w14:paraId="19A03227" w14:textId="77777777" w:rsidTr="004705DB">
        <w:trPr>
          <w:cantSplit/>
        </w:trPr>
        <w:tc>
          <w:tcPr>
            <w:tcW w:w="1843" w:type="dxa"/>
            <w:shd w:val="clear" w:color="auto" w:fill="BFBFBF" w:themeFill="background1" w:themeFillShade="BF"/>
          </w:tcPr>
          <w:p w14:paraId="62D5E8B8" w14:textId="77777777" w:rsidR="004D3F04" w:rsidRPr="00B166E1" w:rsidRDefault="004D3F04" w:rsidP="004D3F04">
            <w:pPr>
              <w:pStyle w:val="Tabletext"/>
              <w:jc w:val="left"/>
              <w:rPr>
                <w:rFonts w:ascii="Arial" w:hAnsi="Arial" w:cs="Arial"/>
                <w:b/>
                <w:sz w:val="16"/>
                <w:szCs w:val="16"/>
              </w:rPr>
            </w:pPr>
            <w:r w:rsidRPr="00B166E1">
              <w:rPr>
                <w:rFonts w:ascii="Arial" w:hAnsi="Arial" w:cs="Arial"/>
                <w:b/>
                <w:sz w:val="16"/>
                <w:szCs w:val="16"/>
              </w:rPr>
              <w:t xml:space="preserve">Duration of impact </w:t>
            </w:r>
          </w:p>
        </w:tc>
        <w:tc>
          <w:tcPr>
            <w:tcW w:w="7087" w:type="dxa"/>
          </w:tcPr>
          <w:p w14:paraId="434DC58B" w14:textId="0D8F8CFB" w:rsidR="004D3F04" w:rsidRPr="00B166E1" w:rsidRDefault="001C2610" w:rsidP="004D3F04">
            <w:pPr>
              <w:pStyle w:val="Tabletext"/>
              <w:spacing w:line="240" w:lineRule="auto"/>
              <w:jc w:val="left"/>
              <w:rPr>
                <w:rFonts w:ascii="Arial" w:hAnsi="Arial" w:cs="Arial"/>
                <w:sz w:val="16"/>
                <w:szCs w:val="16"/>
              </w:rPr>
            </w:pPr>
            <w:r w:rsidRPr="00B166E1">
              <w:rPr>
                <w:rFonts w:ascii="Arial" w:hAnsi="Arial" w:cs="Arial"/>
                <w:sz w:val="16"/>
                <w:szCs w:val="16"/>
              </w:rPr>
              <w:t>Short-term (water quality impact). Longer term (seabed smothering, species ingestion)</w:t>
            </w:r>
            <w:r w:rsidR="004D3F04" w:rsidRPr="00B166E1">
              <w:rPr>
                <w:rFonts w:ascii="Arial" w:hAnsi="Arial" w:cs="Arial"/>
                <w:sz w:val="16"/>
                <w:szCs w:val="16"/>
              </w:rPr>
              <w:t xml:space="preserve">. </w:t>
            </w:r>
          </w:p>
        </w:tc>
      </w:tr>
      <w:tr w:rsidR="004D3F04" w:rsidRPr="00B166E1" w14:paraId="7F348497" w14:textId="77777777" w:rsidTr="004705DB">
        <w:trPr>
          <w:cantSplit/>
        </w:trPr>
        <w:tc>
          <w:tcPr>
            <w:tcW w:w="1843" w:type="dxa"/>
            <w:shd w:val="clear" w:color="auto" w:fill="BFBFBF" w:themeFill="background1" w:themeFillShade="BF"/>
          </w:tcPr>
          <w:p w14:paraId="31B0AEAD" w14:textId="77777777" w:rsidR="004D3F04" w:rsidRPr="00B166E1" w:rsidRDefault="004D3F04" w:rsidP="004D3F04">
            <w:pPr>
              <w:pStyle w:val="Tabletext"/>
              <w:jc w:val="left"/>
              <w:rPr>
                <w:rFonts w:ascii="Arial" w:hAnsi="Arial" w:cs="Arial"/>
                <w:b/>
                <w:sz w:val="16"/>
                <w:szCs w:val="16"/>
              </w:rPr>
            </w:pPr>
            <w:r w:rsidRPr="00B166E1">
              <w:rPr>
                <w:rFonts w:ascii="Arial" w:hAnsi="Arial" w:cs="Arial"/>
                <w:b/>
                <w:sz w:val="16"/>
                <w:szCs w:val="16"/>
              </w:rPr>
              <w:t>Level of certainty of impact</w:t>
            </w:r>
          </w:p>
        </w:tc>
        <w:tc>
          <w:tcPr>
            <w:tcW w:w="7087" w:type="dxa"/>
          </w:tcPr>
          <w:p w14:paraId="6229F8A4" w14:textId="04404C40" w:rsidR="004D3F04" w:rsidRPr="00B166E1" w:rsidRDefault="004D3F04" w:rsidP="004D3F04">
            <w:pPr>
              <w:pStyle w:val="Tabletext"/>
              <w:spacing w:line="240" w:lineRule="auto"/>
              <w:jc w:val="left"/>
              <w:rPr>
                <w:rFonts w:ascii="Arial" w:hAnsi="Arial" w:cs="Arial"/>
                <w:sz w:val="16"/>
                <w:szCs w:val="16"/>
              </w:rPr>
            </w:pPr>
            <w:r w:rsidRPr="00B166E1">
              <w:rPr>
                <w:rFonts w:ascii="Arial" w:hAnsi="Arial" w:cs="Arial"/>
                <w:sz w:val="16"/>
                <w:szCs w:val="16"/>
              </w:rPr>
              <w:t xml:space="preserve">HIGH. </w:t>
            </w:r>
            <w:r w:rsidR="001C2610" w:rsidRPr="00B166E1">
              <w:rPr>
                <w:rFonts w:ascii="Arial" w:hAnsi="Arial" w:cs="Arial"/>
                <w:sz w:val="16"/>
                <w:szCs w:val="16"/>
              </w:rPr>
              <w:t>Impacts from waste disposal overboard (particularly plastics) has been well studied and documented. This is verified through the production of regulatory guidelines for threat abatement from marine debris</w:t>
            </w:r>
            <w:r w:rsidRPr="00B166E1">
              <w:rPr>
                <w:rFonts w:ascii="Arial" w:hAnsi="Arial" w:cs="Arial"/>
                <w:sz w:val="16"/>
                <w:szCs w:val="16"/>
              </w:rPr>
              <w:t xml:space="preserve">.  </w:t>
            </w:r>
          </w:p>
        </w:tc>
      </w:tr>
      <w:tr w:rsidR="004D3F04" w:rsidRPr="00B166E1" w14:paraId="315BDC55" w14:textId="77777777" w:rsidTr="004705DB">
        <w:trPr>
          <w:cantSplit/>
        </w:trPr>
        <w:tc>
          <w:tcPr>
            <w:tcW w:w="1843" w:type="dxa"/>
            <w:shd w:val="clear" w:color="auto" w:fill="BFBFBF" w:themeFill="background1" w:themeFillShade="BF"/>
          </w:tcPr>
          <w:p w14:paraId="1CCF8CF8" w14:textId="77777777" w:rsidR="004D3F04" w:rsidRPr="00B166E1" w:rsidRDefault="004D3F04" w:rsidP="004D3F04">
            <w:pPr>
              <w:pStyle w:val="Tabletext"/>
              <w:spacing w:line="240" w:lineRule="auto"/>
              <w:jc w:val="left"/>
              <w:rPr>
                <w:rFonts w:ascii="Arial" w:hAnsi="Arial" w:cs="Arial"/>
                <w:b/>
                <w:sz w:val="16"/>
                <w:szCs w:val="16"/>
              </w:rPr>
            </w:pPr>
            <w:r w:rsidRPr="00B166E1">
              <w:rPr>
                <w:rFonts w:ascii="Arial" w:hAnsi="Arial" w:cs="Arial"/>
                <w:b/>
                <w:sz w:val="16"/>
                <w:szCs w:val="16"/>
              </w:rPr>
              <w:t>Impact decision framework context</w:t>
            </w:r>
          </w:p>
        </w:tc>
        <w:tc>
          <w:tcPr>
            <w:tcW w:w="7087" w:type="dxa"/>
          </w:tcPr>
          <w:p w14:paraId="615FC029" w14:textId="013553E4" w:rsidR="004D3F04" w:rsidRPr="00B166E1" w:rsidRDefault="004D3F04" w:rsidP="001C2610">
            <w:pPr>
              <w:pStyle w:val="Tabletext"/>
              <w:spacing w:line="240" w:lineRule="auto"/>
              <w:jc w:val="left"/>
              <w:rPr>
                <w:rFonts w:ascii="Arial" w:hAnsi="Arial" w:cs="Arial"/>
                <w:sz w:val="16"/>
                <w:szCs w:val="16"/>
              </w:rPr>
            </w:pPr>
            <w:r w:rsidRPr="00B166E1">
              <w:rPr>
                <w:rFonts w:ascii="Arial" w:hAnsi="Arial" w:cs="Arial"/>
                <w:sz w:val="16"/>
                <w:szCs w:val="16"/>
              </w:rPr>
              <w:t>A</w:t>
            </w:r>
            <w:r w:rsidR="001C2610" w:rsidRPr="00B166E1">
              <w:rPr>
                <w:rFonts w:ascii="Arial" w:hAnsi="Arial" w:cs="Arial"/>
                <w:sz w:val="16"/>
                <w:szCs w:val="16"/>
              </w:rPr>
              <w:t>. N</w:t>
            </w:r>
            <w:r w:rsidRPr="00B166E1">
              <w:rPr>
                <w:rFonts w:ascii="Arial" w:hAnsi="Arial" w:cs="Arial"/>
                <w:sz w:val="16"/>
                <w:szCs w:val="16"/>
              </w:rPr>
              <w:t>othing new or unusual, represents business as usual, well understood activity, good practice is well defined.</w:t>
            </w:r>
            <w:r w:rsidR="001C2610" w:rsidRPr="00B166E1">
              <w:rPr>
                <w:rFonts w:ascii="Arial" w:hAnsi="Arial" w:cs="Arial"/>
                <w:sz w:val="16"/>
                <w:szCs w:val="16"/>
              </w:rPr>
              <w:t xml:space="preserve"> </w:t>
            </w:r>
            <w:r w:rsidR="001C2610" w:rsidRPr="00B166E1">
              <w:rPr>
                <w:rFonts w:ascii="Arial" w:hAnsi="Arial" w:cs="Arial"/>
                <w:i/>
                <w:sz w:val="16"/>
                <w:szCs w:val="16"/>
              </w:rPr>
              <w:t>ALARP to be demonstrated on adherence to legislation, industry codes and good professional judgement</w:t>
            </w:r>
          </w:p>
        </w:tc>
      </w:tr>
    </w:tbl>
    <w:p w14:paraId="27D9FFE9" w14:textId="09FBCB67" w:rsidR="00AA73F9" w:rsidRDefault="00AA73F9" w:rsidP="004705DB">
      <w:pPr>
        <w:pStyle w:val="Heading2"/>
      </w:pPr>
      <w:bookmarkStart w:id="244" w:name="_Toc512862489"/>
      <w:r>
        <w:t>RISK: Equipment Loss to the Marine Environment</w:t>
      </w:r>
      <w:bookmarkEnd w:id="244"/>
    </w:p>
    <w:p w14:paraId="713B4610" w14:textId="516F6696" w:rsidR="00AA73F9" w:rsidRDefault="00AA73F9" w:rsidP="001371AD">
      <w:pPr>
        <w:pStyle w:val="Heading3"/>
      </w:pPr>
      <w:r>
        <w:t>Hazard</w:t>
      </w:r>
    </w:p>
    <w:p w14:paraId="1BB6DE00" w14:textId="1AA04E1D" w:rsidR="00AA73F9" w:rsidRDefault="00AA73F9" w:rsidP="00B166E1">
      <w:pPr>
        <w:pStyle w:val="BodyText"/>
        <w:ind w:left="720"/>
        <w:rPr>
          <w:lang w:eastAsia="en-US"/>
        </w:rPr>
      </w:pPr>
      <w:r>
        <w:rPr>
          <w:lang w:eastAsia="en-US"/>
        </w:rPr>
        <w:t>IMR activities utilise ROVs to undertake visual inspections of subsea facilities. This equipment or vessel equipment utilised in IMR activities may be dropped overboard or lost to the environment during IMR activities.</w:t>
      </w:r>
    </w:p>
    <w:p w14:paraId="71B07C5F" w14:textId="555A2FDF" w:rsidR="00AA73F9" w:rsidRDefault="00AA73F9" w:rsidP="001371AD">
      <w:pPr>
        <w:pStyle w:val="Heading3"/>
      </w:pPr>
      <w:r>
        <w:t>Known and Potential Impacts</w:t>
      </w:r>
    </w:p>
    <w:p w14:paraId="6FD9FD0F" w14:textId="77777777" w:rsidR="00AA73F9" w:rsidRDefault="00AA73F9" w:rsidP="00B166E1">
      <w:pPr>
        <w:pStyle w:val="BodyText"/>
        <w:ind w:left="720"/>
        <w:rPr>
          <w:lang w:eastAsia="en-US"/>
        </w:rPr>
      </w:pPr>
      <w:r>
        <w:rPr>
          <w:lang w:eastAsia="en-US"/>
        </w:rPr>
        <w:t>The known and potential impacts of equipment loss to the environment are:</w:t>
      </w:r>
    </w:p>
    <w:p w14:paraId="18CE201D" w14:textId="77777777" w:rsidR="00AA73F9" w:rsidRDefault="00AA73F9" w:rsidP="0036080A">
      <w:pPr>
        <w:pStyle w:val="BodyText"/>
        <w:numPr>
          <w:ilvl w:val="0"/>
          <w:numId w:val="22"/>
        </w:numPr>
        <w:ind w:left="1593"/>
        <w:rPr>
          <w:lang w:eastAsia="en-US"/>
        </w:rPr>
      </w:pPr>
      <w:r>
        <w:rPr>
          <w:lang w:eastAsia="en-US"/>
        </w:rPr>
        <w:t>The presence of a marine hazards leading to impacts on third party vessels or equipment (e.g. fishing nets);</w:t>
      </w:r>
    </w:p>
    <w:p w14:paraId="36B2BCF2" w14:textId="6C96E9A4" w:rsidR="00AA73F9" w:rsidRDefault="00AA73F9" w:rsidP="0036080A">
      <w:pPr>
        <w:pStyle w:val="BodyText"/>
        <w:numPr>
          <w:ilvl w:val="0"/>
          <w:numId w:val="22"/>
        </w:numPr>
        <w:ind w:left="1593"/>
        <w:rPr>
          <w:lang w:eastAsia="en-US"/>
        </w:rPr>
      </w:pPr>
      <w:r>
        <w:rPr>
          <w:lang w:eastAsia="en-US"/>
        </w:rPr>
        <w:t>Benthic habitat impacts through physical contact</w:t>
      </w:r>
      <w:r w:rsidR="000031FD">
        <w:rPr>
          <w:lang w:eastAsia="en-US"/>
        </w:rPr>
        <w:t xml:space="preserve"> (refer Section </w:t>
      </w:r>
      <w:r w:rsidR="000031FD">
        <w:rPr>
          <w:lang w:eastAsia="en-US"/>
        </w:rPr>
        <w:fldChar w:fldCharType="begin"/>
      </w:r>
      <w:r w:rsidR="000031FD">
        <w:rPr>
          <w:lang w:eastAsia="en-US"/>
        </w:rPr>
        <w:instrText xml:space="preserve"> REF _Ref477095454 \r \h </w:instrText>
      </w:r>
      <w:r w:rsidR="000031FD">
        <w:rPr>
          <w:lang w:eastAsia="en-US"/>
        </w:rPr>
      </w:r>
      <w:r w:rsidR="000031FD">
        <w:rPr>
          <w:lang w:eastAsia="en-US"/>
        </w:rPr>
        <w:fldChar w:fldCharType="separate"/>
      </w:r>
      <w:r w:rsidR="00CC4C35">
        <w:rPr>
          <w:lang w:eastAsia="en-US"/>
        </w:rPr>
        <w:t>5.1</w:t>
      </w:r>
      <w:r w:rsidR="000031FD">
        <w:rPr>
          <w:lang w:eastAsia="en-US"/>
        </w:rPr>
        <w:fldChar w:fldCharType="end"/>
      </w:r>
      <w:r w:rsidR="000031FD">
        <w:rPr>
          <w:lang w:eastAsia="en-US"/>
        </w:rPr>
        <w:t>)</w:t>
      </w:r>
      <w:r>
        <w:rPr>
          <w:lang w:eastAsia="en-US"/>
        </w:rPr>
        <w:t>.</w:t>
      </w:r>
    </w:p>
    <w:p w14:paraId="34CF2381" w14:textId="77777777" w:rsidR="00BE29AD" w:rsidRPr="00B166E1" w:rsidRDefault="00BE29AD" w:rsidP="00B166E1">
      <w:pPr>
        <w:pStyle w:val="BodyText"/>
        <w:ind w:left="709"/>
        <w:rPr>
          <w:b/>
          <w:u w:val="single"/>
        </w:rPr>
      </w:pPr>
      <w:r w:rsidRPr="00B166E1">
        <w:rPr>
          <w:b/>
          <w:u w:val="single"/>
        </w:rPr>
        <w:t>EMBA</w:t>
      </w:r>
    </w:p>
    <w:p w14:paraId="0991D479" w14:textId="7658DAF8" w:rsidR="00BE29AD" w:rsidRPr="00DD4B8B" w:rsidRDefault="00BE29AD" w:rsidP="00B166E1">
      <w:pPr>
        <w:pStyle w:val="BodyText"/>
        <w:ind w:left="709"/>
        <w:rPr>
          <w:lang w:eastAsia="en-US"/>
        </w:rPr>
      </w:pPr>
      <w:r w:rsidRPr="00DD4B8B">
        <w:rPr>
          <w:lang w:eastAsia="en-US"/>
        </w:rPr>
        <w:t xml:space="preserve">The EMBA for </w:t>
      </w:r>
      <w:r>
        <w:rPr>
          <w:lang w:eastAsia="en-US"/>
        </w:rPr>
        <w:t xml:space="preserve">equipment loss is likely to be highly localised (non-buoyant materials) or </w:t>
      </w:r>
      <w:r w:rsidR="00BF5698">
        <w:rPr>
          <w:lang w:eastAsia="en-US"/>
        </w:rPr>
        <w:t xml:space="preserve">may </w:t>
      </w:r>
      <w:r>
        <w:rPr>
          <w:lang w:eastAsia="en-US"/>
        </w:rPr>
        <w:t>e</w:t>
      </w:r>
      <w:r w:rsidRPr="00DD4B8B">
        <w:rPr>
          <w:lang w:eastAsia="en-US"/>
        </w:rPr>
        <w:t>xtend for kilometres from the release site (</w:t>
      </w:r>
      <w:r>
        <w:rPr>
          <w:lang w:eastAsia="en-US"/>
        </w:rPr>
        <w:t>for</w:t>
      </w:r>
      <w:r w:rsidRPr="00DD4B8B">
        <w:rPr>
          <w:lang w:eastAsia="en-US"/>
        </w:rPr>
        <w:t xml:space="preserve"> buoyant</w:t>
      </w:r>
      <w:r>
        <w:rPr>
          <w:lang w:eastAsia="en-US"/>
        </w:rPr>
        <w:t xml:space="preserve"> or neutrally buoyant materials).</w:t>
      </w:r>
      <w:r w:rsidRPr="00DD4B8B">
        <w:rPr>
          <w:lang w:eastAsia="en-US"/>
        </w:rPr>
        <w:t xml:space="preserve"> </w:t>
      </w:r>
    </w:p>
    <w:p w14:paraId="627B43D9" w14:textId="77777777" w:rsidR="00BE29AD" w:rsidRPr="00B166E1" w:rsidRDefault="00BE29AD" w:rsidP="00B166E1">
      <w:pPr>
        <w:pStyle w:val="BodyText"/>
        <w:ind w:left="709"/>
        <w:rPr>
          <w:b/>
          <w:u w:val="single"/>
        </w:rPr>
      </w:pPr>
      <w:r w:rsidRPr="00B166E1">
        <w:rPr>
          <w:b/>
          <w:u w:val="single"/>
        </w:rPr>
        <w:t>Receptors within the EMBA</w:t>
      </w:r>
    </w:p>
    <w:p w14:paraId="2DE6D332" w14:textId="77777777" w:rsidR="00BE29AD" w:rsidRPr="00DD4B8B" w:rsidRDefault="00BE29AD" w:rsidP="00B166E1">
      <w:pPr>
        <w:pStyle w:val="BodyText"/>
        <w:ind w:left="709"/>
        <w:rPr>
          <w:lang w:eastAsia="en-US"/>
        </w:rPr>
      </w:pPr>
      <w:r w:rsidRPr="00DD4B8B">
        <w:rPr>
          <w:lang w:eastAsia="en-US"/>
        </w:rPr>
        <w:t xml:space="preserve">Receptors that may occur within this EMBA, either as residents or migrants, are: </w:t>
      </w:r>
    </w:p>
    <w:p w14:paraId="0B40E635" w14:textId="344A7FA9" w:rsidR="00BE29AD" w:rsidRPr="00DD4B8B" w:rsidRDefault="00BE29AD" w:rsidP="0036080A">
      <w:pPr>
        <w:pStyle w:val="Bullet1"/>
        <w:numPr>
          <w:ilvl w:val="0"/>
          <w:numId w:val="40"/>
        </w:numPr>
      </w:pPr>
      <w:r w:rsidRPr="00DD4B8B">
        <w:t>Benthic species and habitat;</w:t>
      </w:r>
      <w:r w:rsidR="00BE1340">
        <w:t xml:space="preserve"> and</w:t>
      </w:r>
    </w:p>
    <w:p w14:paraId="53CC25D7" w14:textId="43D8CB44" w:rsidR="00BE29AD" w:rsidRDefault="00BE29AD" w:rsidP="0036080A">
      <w:pPr>
        <w:pStyle w:val="Bullet1"/>
        <w:numPr>
          <w:ilvl w:val="0"/>
          <w:numId w:val="40"/>
        </w:numPr>
      </w:pPr>
      <w:r w:rsidRPr="00DD4B8B">
        <w:lastRenderedPageBreak/>
        <w:t xml:space="preserve">Pelagic </w:t>
      </w:r>
      <w:r w:rsidR="00BE1340">
        <w:t>species (fish, pinnipeds, cetaceans).</w:t>
      </w:r>
      <w:r w:rsidRPr="00DD4B8B">
        <w:t xml:space="preserve"> </w:t>
      </w:r>
    </w:p>
    <w:p w14:paraId="72AF97A9" w14:textId="70824D84" w:rsidR="00AA73F9" w:rsidRDefault="00AA73F9" w:rsidP="001371AD">
      <w:pPr>
        <w:pStyle w:val="Heading3"/>
      </w:pPr>
      <w:r>
        <w:t>Evaluation of Environmental Risk</w:t>
      </w:r>
    </w:p>
    <w:p w14:paraId="0E2F1060" w14:textId="18567691" w:rsidR="00AB6858" w:rsidRDefault="00AB6858" w:rsidP="00B166E1">
      <w:pPr>
        <w:pStyle w:val="BodyText"/>
        <w:ind w:left="720"/>
        <w:rPr>
          <w:lang w:eastAsia="en-US"/>
        </w:rPr>
      </w:pPr>
      <w:r>
        <w:rPr>
          <w:lang w:eastAsia="en-US"/>
        </w:rPr>
        <w:t xml:space="preserve">It is possible that during the use of ROVs during survey activities, the control umbilical is caught in the IMR vessel propeller and severed. In such an event the ROV would drift (in neutrally buoyant) or sink to the seabed smothering the benthos within its footprint (typically small </w:t>
      </w:r>
      <w:r w:rsidR="00433C9A">
        <w:rPr>
          <w:lang w:eastAsia="en-US"/>
        </w:rPr>
        <w:t>footprint</w:t>
      </w:r>
      <w:r>
        <w:rPr>
          <w:lang w:eastAsia="en-US"/>
        </w:rPr>
        <w:t xml:space="preserve">). </w:t>
      </w:r>
    </w:p>
    <w:p w14:paraId="3E93F257" w14:textId="55BCA3B8" w:rsidR="00AB6858" w:rsidRDefault="00AB6858" w:rsidP="00B166E1">
      <w:pPr>
        <w:pStyle w:val="BodyText"/>
        <w:ind w:left="720"/>
        <w:rPr>
          <w:lang w:eastAsia="en-US"/>
        </w:rPr>
      </w:pPr>
      <w:r>
        <w:rPr>
          <w:lang w:eastAsia="en-US"/>
        </w:rPr>
        <w:t>In the event of seabed contact</w:t>
      </w:r>
      <w:r w:rsidR="000031FD">
        <w:rPr>
          <w:lang w:eastAsia="en-US"/>
        </w:rPr>
        <w:t xml:space="preserve"> </w:t>
      </w:r>
      <w:r>
        <w:rPr>
          <w:lang w:eastAsia="en-US"/>
        </w:rPr>
        <w:t xml:space="preserve">impacts to benthic species </w:t>
      </w:r>
      <w:r w:rsidR="00F3714C">
        <w:rPr>
          <w:lang w:eastAsia="en-US"/>
        </w:rPr>
        <w:t xml:space="preserve">would be very </w:t>
      </w:r>
      <w:r>
        <w:rPr>
          <w:lang w:eastAsia="en-US"/>
        </w:rPr>
        <w:t>localised (negligible consequence). With control measures adopted to prevent the loss of equipment it is considered unlikely this event would occur and the risk is assessed as LOW.</w:t>
      </w:r>
    </w:p>
    <w:p w14:paraId="0207638A" w14:textId="136BF183" w:rsidR="00AA73F9" w:rsidRDefault="00AB6858" w:rsidP="00B166E1">
      <w:pPr>
        <w:pStyle w:val="BodyText"/>
        <w:ind w:left="720"/>
        <w:rPr>
          <w:lang w:eastAsia="en-US"/>
        </w:rPr>
      </w:pPr>
      <w:r>
        <w:rPr>
          <w:lang w:eastAsia="en-US"/>
        </w:rPr>
        <w:t xml:space="preserve">Neutrally buoyant equipment can present a hazard to other marine users which operate in the area (e.g., fishermen). Collision with equipment may cause damage to fishing vessels/ equipment with damage estimated at &lt;$5M (negligible consequence). </w:t>
      </w:r>
      <w:r w:rsidR="00014C38">
        <w:rPr>
          <w:lang w:eastAsia="en-US"/>
        </w:rPr>
        <w:t>Again,</w:t>
      </w:r>
      <w:r>
        <w:rPr>
          <w:lang w:eastAsia="en-US"/>
        </w:rPr>
        <w:t xml:space="preserve"> with control measures adopted, it is considered unlikely this event would occur and the risk is assessed as LOW.</w:t>
      </w:r>
    </w:p>
    <w:p w14:paraId="75DC73F0" w14:textId="77777777" w:rsidR="00BE29AD" w:rsidRPr="00B166E1" w:rsidRDefault="00BE29AD" w:rsidP="00B166E1">
      <w:pPr>
        <w:pStyle w:val="BodyText"/>
        <w:ind w:left="720"/>
        <w:rPr>
          <w:b/>
          <w:u w:val="single"/>
        </w:rPr>
      </w:pPr>
      <w:r w:rsidRPr="00B166E1">
        <w:rPr>
          <w:b/>
          <w:u w:val="single"/>
        </w:rPr>
        <w:t>Impacts to Matters of NES</w:t>
      </w:r>
    </w:p>
    <w:p w14:paraId="1B956F13" w14:textId="43CE4F7A" w:rsidR="00BE29AD" w:rsidRDefault="00BE1340" w:rsidP="00014C38">
      <w:pPr>
        <w:pStyle w:val="BodyText"/>
        <w:ind w:left="720"/>
        <w:rPr>
          <w:lang w:eastAsia="en-US"/>
        </w:rPr>
      </w:pPr>
      <w:r>
        <w:rPr>
          <w:lang w:eastAsia="en-US"/>
        </w:rPr>
        <w:t xml:space="preserve">Dropped equipment and materials to the marine environment </w:t>
      </w:r>
      <w:r w:rsidR="00BE29AD" w:rsidRPr="00DD4B8B">
        <w:rPr>
          <w:lang w:eastAsia="en-US"/>
        </w:rPr>
        <w:t xml:space="preserve">will not have a ‘significant’ impact to any of the matters of NES applicable to this project, </w:t>
      </w:r>
    </w:p>
    <w:p w14:paraId="4ED2DD6E" w14:textId="77777777" w:rsidR="00BE29AD" w:rsidRPr="00B166E1" w:rsidRDefault="00BE29AD" w:rsidP="00B166E1">
      <w:pPr>
        <w:pStyle w:val="BodyText"/>
        <w:ind w:left="709"/>
        <w:rPr>
          <w:b/>
          <w:u w:val="single"/>
        </w:rPr>
      </w:pPr>
      <w:r w:rsidRPr="00B166E1">
        <w:rPr>
          <w:b/>
          <w:u w:val="single"/>
        </w:rPr>
        <w:t>Impacts to other areas of Conservation Significance</w:t>
      </w:r>
    </w:p>
    <w:p w14:paraId="581E1C5E" w14:textId="7C756D6D" w:rsidR="00EA4418" w:rsidRDefault="00BE29AD" w:rsidP="00014C38">
      <w:pPr>
        <w:pStyle w:val="BodyText"/>
        <w:ind w:left="709"/>
        <w:rPr>
          <w:lang w:eastAsia="en-US"/>
        </w:rPr>
      </w:pPr>
      <w:r w:rsidRPr="003952C6">
        <w:rPr>
          <w:lang w:eastAsia="en-US"/>
        </w:rPr>
        <w:t xml:space="preserve">There are no other areas of conservation significance within the EMBA by </w:t>
      </w:r>
      <w:r w:rsidR="00BE1340">
        <w:rPr>
          <w:lang w:eastAsia="en-US"/>
        </w:rPr>
        <w:t>lost equipment to the marine environment</w:t>
      </w:r>
      <w:r w:rsidRPr="003952C6">
        <w:rPr>
          <w:lang w:eastAsia="en-US"/>
        </w:rPr>
        <w:t xml:space="preserve">. This </w:t>
      </w:r>
      <w:r w:rsidR="00BE1340">
        <w:rPr>
          <w:lang w:eastAsia="en-US"/>
        </w:rPr>
        <w:t>incident</w:t>
      </w:r>
      <w:r w:rsidRPr="003952C6">
        <w:rPr>
          <w:lang w:eastAsia="en-US"/>
        </w:rPr>
        <w:t xml:space="preserve"> will not have any impacts to other areas of conservation significance</w:t>
      </w:r>
      <w:r w:rsidR="00014C38">
        <w:rPr>
          <w:lang w:eastAsia="en-US"/>
        </w:rPr>
        <w:t>.</w:t>
      </w:r>
    </w:p>
    <w:p w14:paraId="627F060A" w14:textId="28A0B407" w:rsidR="00C300AC" w:rsidRDefault="00AB6858" w:rsidP="00C300AC">
      <w:pPr>
        <w:pStyle w:val="Heading3"/>
      </w:pPr>
      <w:r>
        <w:t>Environmental Risk Assessment</w:t>
      </w:r>
      <w:r w:rsidR="00C300AC" w:rsidRPr="00C300AC">
        <w:t xml:space="preserve"> </w:t>
      </w:r>
    </w:p>
    <w:p w14:paraId="15BED3CA" w14:textId="53ACE84C" w:rsidR="00AB6858" w:rsidRDefault="00AB6858" w:rsidP="009A761C">
      <w:pPr>
        <w:pStyle w:val="Caption"/>
        <w:outlineLvl w:val="9"/>
        <w:rPr>
          <w:sz w:val="20"/>
          <w:szCs w:val="20"/>
        </w:rPr>
      </w:pPr>
      <w:bookmarkStart w:id="245" w:name="_Ref474759152"/>
      <w:bookmarkStart w:id="246" w:name="_Toc511032608"/>
      <w:r w:rsidRPr="004705DB">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17</w:t>
      </w:r>
      <w:r w:rsidR="00103328">
        <w:rPr>
          <w:sz w:val="20"/>
          <w:szCs w:val="20"/>
        </w:rPr>
        <w:fldChar w:fldCharType="end"/>
      </w:r>
      <w:bookmarkEnd w:id="245"/>
      <w:r w:rsidRPr="004705DB">
        <w:rPr>
          <w:sz w:val="20"/>
          <w:szCs w:val="20"/>
        </w:rPr>
        <w:t>: Equipment loss to the environment ERA</w:t>
      </w:r>
      <w:bookmarkEnd w:id="24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229"/>
      </w:tblGrid>
      <w:tr w:rsidR="00AB6858" w:rsidRPr="004705DB" w14:paraId="7FA96729" w14:textId="77777777" w:rsidTr="00AB6858">
        <w:trPr>
          <w:cantSplit/>
        </w:trPr>
        <w:tc>
          <w:tcPr>
            <w:tcW w:w="1843" w:type="dxa"/>
            <w:shd w:val="clear" w:color="auto" w:fill="BFBFBF"/>
          </w:tcPr>
          <w:p w14:paraId="12696AEC" w14:textId="77777777" w:rsidR="00AB6858" w:rsidRPr="004705DB" w:rsidRDefault="00AB6858" w:rsidP="00E439A6">
            <w:pPr>
              <w:pStyle w:val="Tabletext"/>
              <w:spacing w:line="240" w:lineRule="auto"/>
              <w:rPr>
                <w:rFonts w:ascii="Arial" w:hAnsi="Arial" w:cs="Arial"/>
                <w:b/>
                <w:sz w:val="16"/>
                <w:szCs w:val="16"/>
              </w:rPr>
            </w:pPr>
            <w:r w:rsidRPr="004705DB">
              <w:rPr>
                <w:rFonts w:ascii="Arial" w:hAnsi="Arial" w:cs="Arial"/>
                <w:b/>
                <w:sz w:val="16"/>
                <w:szCs w:val="16"/>
              </w:rPr>
              <w:t>Aspect</w:t>
            </w:r>
          </w:p>
        </w:tc>
        <w:tc>
          <w:tcPr>
            <w:tcW w:w="7229" w:type="dxa"/>
          </w:tcPr>
          <w:p w14:paraId="7137AB09" w14:textId="77777777" w:rsidR="00AB6858" w:rsidRPr="004705DB" w:rsidRDefault="00AB6858" w:rsidP="00E439A6">
            <w:pPr>
              <w:pStyle w:val="Tabletext"/>
              <w:spacing w:line="240" w:lineRule="auto"/>
              <w:rPr>
                <w:rFonts w:ascii="Arial" w:hAnsi="Arial" w:cs="Arial"/>
                <w:sz w:val="16"/>
                <w:szCs w:val="16"/>
              </w:rPr>
            </w:pPr>
            <w:r w:rsidRPr="004705DB">
              <w:rPr>
                <w:rFonts w:ascii="Arial" w:hAnsi="Arial" w:cs="Arial"/>
                <w:sz w:val="16"/>
                <w:szCs w:val="16"/>
              </w:rPr>
              <w:t>Release of equipment to the marine environment</w:t>
            </w:r>
          </w:p>
        </w:tc>
      </w:tr>
      <w:tr w:rsidR="00AB6858" w:rsidRPr="004705DB" w14:paraId="1FEC6C23" w14:textId="77777777" w:rsidTr="00AB6858">
        <w:trPr>
          <w:cantSplit/>
        </w:trPr>
        <w:tc>
          <w:tcPr>
            <w:tcW w:w="1843" w:type="dxa"/>
            <w:shd w:val="clear" w:color="auto" w:fill="BFBFBF"/>
            <w:hideMark/>
          </w:tcPr>
          <w:p w14:paraId="20E78981" w14:textId="77777777" w:rsidR="00AB6858" w:rsidRPr="004705DB" w:rsidRDefault="00AB6858" w:rsidP="00E439A6">
            <w:pPr>
              <w:pStyle w:val="Tabletext"/>
              <w:spacing w:line="240" w:lineRule="auto"/>
              <w:rPr>
                <w:rFonts w:ascii="Arial" w:hAnsi="Arial" w:cs="Arial"/>
                <w:b/>
                <w:sz w:val="16"/>
                <w:szCs w:val="16"/>
              </w:rPr>
            </w:pPr>
            <w:r w:rsidRPr="004705DB">
              <w:rPr>
                <w:rFonts w:ascii="Arial" w:hAnsi="Arial" w:cs="Arial"/>
                <w:b/>
                <w:sz w:val="16"/>
                <w:szCs w:val="16"/>
              </w:rPr>
              <w:t xml:space="preserve">Impact summary: </w:t>
            </w:r>
          </w:p>
        </w:tc>
        <w:tc>
          <w:tcPr>
            <w:tcW w:w="7229" w:type="dxa"/>
            <w:hideMark/>
          </w:tcPr>
          <w:p w14:paraId="6D92EC35" w14:textId="77777777" w:rsidR="00AB6858" w:rsidRPr="004705DB" w:rsidRDefault="00AB6858" w:rsidP="00E439A6">
            <w:pPr>
              <w:pStyle w:val="Tabletext"/>
              <w:spacing w:line="240" w:lineRule="auto"/>
              <w:rPr>
                <w:rFonts w:ascii="Arial" w:hAnsi="Arial" w:cs="Arial"/>
                <w:sz w:val="16"/>
                <w:szCs w:val="16"/>
              </w:rPr>
            </w:pPr>
            <w:r w:rsidRPr="004705DB">
              <w:rPr>
                <w:rFonts w:ascii="Arial" w:hAnsi="Arial" w:cs="Arial"/>
                <w:sz w:val="16"/>
                <w:szCs w:val="16"/>
              </w:rPr>
              <w:t>Marine hazard causing potential damage to third party vessels.</w:t>
            </w:r>
          </w:p>
          <w:p w14:paraId="387C9EFF" w14:textId="77777777" w:rsidR="00AB6858" w:rsidRPr="004705DB" w:rsidRDefault="00AB6858" w:rsidP="00E439A6">
            <w:pPr>
              <w:pStyle w:val="Tabletext"/>
              <w:spacing w:line="240" w:lineRule="auto"/>
              <w:rPr>
                <w:rFonts w:ascii="Arial" w:hAnsi="Arial" w:cs="Arial"/>
                <w:sz w:val="16"/>
                <w:szCs w:val="16"/>
              </w:rPr>
            </w:pPr>
            <w:r w:rsidRPr="004705DB">
              <w:rPr>
                <w:rFonts w:ascii="Arial" w:hAnsi="Arial" w:cs="Arial"/>
                <w:sz w:val="16"/>
                <w:szCs w:val="16"/>
              </w:rPr>
              <w:t>Localised benthic habitat disturbance.</w:t>
            </w:r>
          </w:p>
        </w:tc>
      </w:tr>
      <w:tr w:rsidR="00AB6858" w:rsidRPr="004705DB" w14:paraId="49C5A000" w14:textId="77777777" w:rsidTr="00AB6858">
        <w:trPr>
          <w:cantSplit/>
        </w:trPr>
        <w:tc>
          <w:tcPr>
            <w:tcW w:w="1843" w:type="dxa"/>
            <w:shd w:val="clear" w:color="auto" w:fill="BFBFBF"/>
            <w:hideMark/>
          </w:tcPr>
          <w:p w14:paraId="4BFD49D7" w14:textId="77777777" w:rsidR="00AB6858" w:rsidRPr="004705DB" w:rsidRDefault="00AB6858" w:rsidP="00E439A6">
            <w:pPr>
              <w:pStyle w:val="Tabletext"/>
              <w:spacing w:line="240" w:lineRule="auto"/>
              <w:rPr>
                <w:rFonts w:ascii="Arial" w:hAnsi="Arial" w:cs="Arial"/>
                <w:b/>
                <w:sz w:val="16"/>
                <w:szCs w:val="16"/>
              </w:rPr>
            </w:pPr>
            <w:r w:rsidRPr="004705DB">
              <w:rPr>
                <w:rFonts w:ascii="Arial" w:hAnsi="Arial" w:cs="Arial"/>
                <w:b/>
                <w:sz w:val="16"/>
                <w:szCs w:val="16"/>
              </w:rPr>
              <w:t xml:space="preserve">Extent of impact: </w:t>
            </w:r>
          </w:p>
        </w:tc>
        <w:tc>
          <w:tcPr>
            <w:tcW w:w="7229" w:type="dxa"/>
            <w:hideMark/>
          </w:tcPr>
          <w:p w14:paraId="4F068FC0" w14:textId="77777777" w:rsidR="00AB6858" w:rsidRPr="004705DB" w:rsidRDefault="00AB6858" w:rsidP="00E439A6">
            <w:pPr>
              <w:pStyle w:val="Tabletext"/>
              <w:spacing w:line="240" w:lineRule="auto"/>
              <w:rPr>
                <w:rFonts w:ascii="Arial" w:hAnsi="Arial" w:cs="Arial"/>
                <w:sz w:val="16"/>
                <w:szCs w:val="16"/>
              </w:rPr>
            </w:pPr>
            <w:r w:rsidRPr="004705DB">
              <w:rPr>
                <w:rFonts w:ascii="Arial" w:hAnsi="Arial" w:cs="Arial"/>
                <w:sz w:val="16"/>
                <w:szCs w:val="16"/>
              </w:rPr>
              <w:t>Localised if lost to seabed. Possible to drift long distances if neutrally buoyant.</w:t>
            </w:r>
          </w:p>
        </w:tc>
      </w:tr>
      <w:tr w:rsidR="00AB6858" w:rsidRPr="004705DB" w14:paraId="566024D8" w14:textId="77777777" w:rsidTr="00AB6858">
        <w:trPr>
          <w:cantSplit/>
        </w:trPr>
        <w:tc>
          <w:tcPr>
            <w:tcW w:w="1843" w:type="dxa"/>
            <w:shd w:val="clear" w:color="auto" w:fill="BFBFBF"/>
            <w:hideMark/>
          </w:tcPr>
          <w:p w14:paraId="3D980561" w14:textId="77777777" w:rsidR="00AB6858" w:rsidRPr="004705DB" w:rsidRDefault="00AB6858" w:rsidP="00E439A6">
            <w:pPr>
              <w:pStyle w:val="Tabletext"/>
              <w:spacing w:line="240" w:lineRule="auto"/>
              <w:rPr>
                <w:rFonts w:ascii="Arial" w:hAnsi="Arial" w:cs="Arial"/>
                <w:b/>
                <w:sz w:val="16"/>
                <w:szCs w:val="16"/>
              </w:rPr>
            </w:pPr>
            <w:r w:rsidRPr="004705DB">
              <w:rPr>
                <w:rFonts w:ascii="Arial" w:hAnsi="Arial" w:cs="Arial"/>
                <w:b/>
                <w:sz w:val="16"/>
                <w:szCs w:val="16"/>
              </w:rPr>
              <w:t xml:space="preserve">Duration of impact: </w:t>
            </w:r>
          </w:p>
        </w:tc>
        <w:tc>
          <w:tcPr>
            <w:tcW w:w="7229" w:type="dxa"/>
            <w:hideMark/>
          </w:tcPr>
          <w:p w14:paraId="0C132ADD" w14:textId="77777777" w:rsidR="00AB6858" w:rsidRPr="004705DB" w:rsidRDefault="00AB6858" w:rsidP="00E439A6">
            <w:pPr>
              <w:pStyle w:val="Tabletext"/>
              <w:spacing w:line="240" w:lineRule="auto"/>
              <w:rPr>
                <w:rFonts w:ascii="Arial" w:hAnsi="Arial" w:cs="Arial"/>
                <w:sz w:val="16"/>
                <w:szCs w:val="16"/>
              </w:rPr>
            </w:pPr>
            <w:r w:rsidRPr="004705DB">
              <w:rPr>
                <w:rFonts w:ascii="Arial" w:hAnsi="Arial" w:cs="Arial"/>
                <w:sz w:val="16"/>
                <w:szCs w:val="16"/>
              </w:rPr>
              <w:t>Short-term (equipment retrieved). Longer term (equipment lost)</w:t>
            </w:r>
          </w:p>
        </w:tc>
      </w:tr>
      <w:tr w:rsidR="00AB6858" w:rsidRPr="004705DB" w14:paraId="732E64A3" w14:textId="77777777" w:rsidTr="00AB6858">
        <w:trPr>
          <w:cantSplit/>
        </w:trPr>
        <w:tc>
          <w:tcPr>
            <w:tcW w:w="1843" w:type="dxa"/>
            <w:shd w:val="clear" w:color="auto" w:fill="BFBFBF"/>
          </w:tcPr>
          <w:p w14:paraId="41725407" w14:textId="77777777" w:rsidR="00AB6858" w:rsidRPr="004705DB" w:rsidRDefault="00AB6858" w:rsidP="00E439A6">
            <w:pPr>
              <w:pStyle w:val="Tabletext"/>
              <w:spacing w:line="240" w:lineRule="auto"/>
              <w:rPr>
                <w:rFonts w:ascii="Arial" w:hAnsi="Arial" w:cs="Arial"/>
                <w:b/>
                <w:sz w:val="16"/>
                <w:szCs w:val="16"/>
              </w:rPr>
            </w:pPr>
            <w:r w:rsidRPr="004705DB">
              <w:rPr>
                <w:rFonts w:ascii="Arial" w:hAnsi="Arial" w:cs="Arial"/>
                <w:b/>
                <w:sz w:val="16"/>
                <w:szCs w:val="16"/>
              </w:rPr>
              <w:t>Level of Certainty of Impact:</w:t>
            </w:r>
          </w:p>
        </w:tc>
        <w:tc>
          <w:tcPr>
            <w:tcW w:w="7229" w:type="dxa"/>
          </w:tcPr>
          <w:p w14:paraId="5A0E570D" w14:textId="77777777" w:rsidR="00AB6858" w:rsidRPr="004705DB" w:rsidRDefault="00AB6858" w:rsidP="00E439A6">
            <w:pPr>
              <w:pStyle w:val="Tabletext"/>
              <w:spacing w:line="240" w:lineRule="auto"/>
              <w:rPr>
                <w:rFonts w:ascii="Arial" w:hAnsi="Arial" w:cs="Arial"/>
                <w:sz w:val="16"/>
                <w:szCs w:val="16"/>
              </w:rPr>
            </w:pPr>
            <w:r w:rsidRPr="004705DB">
              <w:rPr>
                <w:rFonts w:ascii="Arial" w:hAnsi="Arial" w:cs="Arial"/>
                <w:b/>
                <w:sz w:val="16"/>
                <w:szCs w:val="16"/>
              </w:rPr>
              <w:t>HIGH:</w:t>
            </w:r>
            <w:r w:rsidRPr="004705DB">
              <w:rPr>
                <w:rFonts w:ascii="Arial" w:hAnsi="Arial" w:cs="Arial"/>
                <w:sz w:val="16"/>
                <w:szCs w:val="16"/>
              </w:rPr>
              <w:t xml:space="preserve"> Equipment loss during surveys has occurred within the industry with causal factors well understood and controls developed to prevent loss. Impacts within the affected environment can be reasonably derived.</w:t>
            </w:r>
          </w:p>
        </w:tc>
      </w:tr>
      <w:tr w:rsidR="00AB6858" w:rsidRPr="004705DB" w14:paraId="7210695F" w14:textId="77777777" w:rsidTr="00AB6858">
        <w:trPr>
          <w:cantSplit/>
        </w:trPr>
        <w:tc>
          <w:tcPr>
            <w:tcW w:w="1843" w:type="dxa"/>
            <w:shd w:val="clear" w:color="auto" w:fill="BFBFBF"/>
          </w:tcPr>
          <w:p w14:paraId="55D7B607" w14:textId="77777777" w:rsidR="00AB6858" w:rsidRPr="004705DB" w:rsidRDefault="00AB6858" w:rsidP="00E439A6">
            <w:pPr>
              <w:pStyle w:val="Tabletext"/>
              <w:spacing w:line="240" w:lineRule="auto"/>
              <w:rPr>
                <w:rFonts w:ascii="Arial" w:hAnsi="Arial" w:cs="Arial"/>
                <w:b/>
                <w:sz w:val="16"/>
                <w:szCs w:val="16"/>
              </w:rPr>
            </w:pPr>
            <w:r w:rsidRPr="004705DB">
              <w:rPr>
                <w:rFonts w:ascii="Arial" w:hAnsi="Arial" w:cs="Arial"/>
                <w:b/>
                <w:sz w:val="16"/>
                <w:szCs w:val="16"/>
              </w:rPr>
              <w:t>Uncertainty: Impact Decision Framework</w:t>
            </w:r>
          </w:p>
        </w:tc>
        <w:tc>
          <w:tcPr>
            <w:tcW w:w="7229" w:type="dxa"/>
          </w:tcPr>
          <w:p w14:paraId="4F6F0B46" w14:textId="77777777" w:rsidR="00AB6858" w:rsidRPr="004705DB" w:rsidRDefault="00AB6858" w:rsidP="00E439A6">
            <w:pPr>
              <w:pStyle w:val="Tabletext"/>
              <w:spacing w:line="240" w:lineRule="auto"/>
              <w:rPr>
                <w:rFonts w:ascii="Arial" w:hAnsi="Arial" w:cs="Arial"/>
                <w:sz w:val="16"/>
                <w:szCs w:val="16"/>
              </w:rPr>
            </w:pPr>
            <w:r w:rsidRPr="004705DB">
              <w:rPr>
                <w:rFonts w:ascii="Arial" w:hAnsi="Arial" w:cs="Arial"/>
                <w:b/>
                <w:sz w:val="16"/>
                <w:szCs w:val="16"/>
              </w:rPr>
              <w:t>A</w:t>
            </w:r>
            <w:r w:rsidRPr="004705DB">
              <w:rPr>
                <w:rFonts w:ascii="Arial" w:hAnsi="Arial" w:cs="Arial"/>
                <w:sz w:val="16"/>
                <w:szCs w:val="16"/>
              </w:rPr>
              <w:t xml:space="preserve">: Nothing new or unusual; represents business as usual; well understood activity; good practice well defined. </w:t>
            </w:r>
            <w:r w:rsidRPr="004705DB">
              <w:rPr>
                <w:rFonts w:ascii="Arial" w:hAnsi="Arial" w:cs="Arial"/>
                <w:i/>
                <w:sz w:val="16"/>
                <w:szCs w:val="16"/>
              </w:rPr>
              <w:t>ALARP to be demonstrated on adherence to legislation, industry codes and good professional judgement</w:t>
            </w:r>
          </w:p>
        </w:tc>
      </w:tr>
    </w:tbl>
    <w:p w14:paraId="4B51D649" w14:textId="2457D13F" w:rsidR="00AB6858" w:rsidRPr="00AB6858" w:rsidRDefault="00AB6858" w:rsidP="009A761C">
      <w:pPr>
        <w:outlineLvl w:val="9"/>
      </w:pPr>
    </w:p>
    <w:p w14:paraId="6945D889" w14:textId="32C775BA" w:rsidR="00E1729C" w:rsidRDefault="00FC5EEB" w:rsidP="00A06CE5">
      <w:pPr>
        <w:pStyle w:val="Heading2"/>
      </w:pPr>
      <w:bookmarkStart w:id="247" w:name="_Toc345581941"/>
      <w:bookmarkStart w:id="248" w:name="_Ref474766401"/>
      <w:bookmarkStart w:id="249" w:name="_Toc512862490"/>
      <w:r>
        <w:t xml:space="preserve">RISK: </w:t>
      </w:r>
      <w:r w:rsidR="00E1729C">
        <w:t xml:space="preserve">Gas Condensate </w:t>
      </w:r>
      <w:bookmarkEnd w:id="247"/>
      <w:r w:rsidR="00011B06">
        <w:t>Loss of Containment</w:t>
      </w:r>
      <w:bookmarkEnd w:id="248"/>
      <w:bookmarkEnd w:id="249"/>
      <w:r w:rsidR="00011B06">
        <w:t xml:space="preserve"> </w:t>
      </w:r>
    </w:p>
    <w:p w14:paraId="3790F52F" w14:textId="77777777" w:rsidR="00E1729C" w:rsidRDefault="00E1729C" w:rsidP="001371AD">
      <w:pPr>
        <w:pStyle w:val="Heading3"/>
      </w:pPr>
      <w:r>
        <w:t>Hazard</w:t>
      </w:r>
    </w:p>
    <w:p w14:paraId="2C924440" w14:textId="2E0618E3" w:rsidR="004412B9" w:rsidRPr="00A06CE5" w:rsidRDefault="004412B9" w:rsidP="001313DC">
      <w:pPr>
        <w:pStyle w:val="Bullet1"/>
        <w:numPr>
          <w:ilvl w:val="0"/>
          <w:numId w:val="0"/>
        </w:numPr>
        <w:ind w:left="720"/>
      </w:pPr>
      <w:r w:rsidRPr="00A06CE5">
        <w:t>A release of hydrocarbons (Netherby condensate</w:t>
      </w:r>
      <w:r w:rsidR="00334C19">
        <w:t xml:space="preserve"> which is representative of condensate from the CHN assets as per Section </w:t>
      </w:r>
      <w:r w:rsidR="00334C19">
        <w:fldChar w:fldCharType="begin"/>
      </w:r>
      <w:r w:rsidR="00334C19">
        <w:instrText xml:space="preserve"> REF _Ref477095988 \r \h </w:instrText>
      </w:r>
      <w:r w:rsidR="00334C19">
        <w:fldChar w:fldCharType="separate"/>
      </w:r>
      <w:r w:rsidR="00CC4C35">
        <w:t>2.2</w:t>
      </w:r>
      <w:r w:rsidR="00334C19">
        <w:fldChar w:fldCharType="end"/>
      </w:r>
      <w:r w:rsidRPr="00A06CE5">
        <w:t xml:space="preserve">) may occur from the </w:t>
      </w:r>
      <w:r w:rsidR="00011B06">
        <w:t>CHN</w:t>
      </w:r>
      <w:r w:rsidRPr="00A06CE5">
        <w:t xml:space="preserve"> assets due to several reasons</w:t>
      </w:r>
      <w:r w:rsidR="00CE5AF4">
        <w:t xml:space="preserve"> as identified in the CHN </w:t>
      </w:r>
      <w:r w:rsidR="00F17B71">
        <w:t xml:space="preserve">Environmental Impact and </w:t>
      </w:r>
      <w:r w:rsidR="00FB3B3B">
        <w:t>R</w:t>
      </w:r>
      <w:r w:rsidR="00CE5AF4">
        <w:t xml:space="preserve">isk </w:t>
      </w:r>
      <w:r w:rsidR="00FB3B3B">
        <w:t>R</w:t>
      </w:r>
      <w:r w:rsidR="00CE5AF4">
        <w:t>egister (</w:t>
      </w:r>
      <w:r w:rsidR="006F4E56" w:rsidRPr="006F4E56">
        <w:rPr>
          <w:rFonts w:cs="Arial"/>
          <w:lang w:eastAsia="en-AU"/>
        </w:rPr>
        <w:t>CHN-EN-RAS-0001</w:t>
      </w:r>
      <w:r w:rsidR="00CE5AF4">
        <w:t>).</w:t>
      </w:r>
      <w:r w:rsidRPr="00A06CE5">
        <w:t xml:space="preserve"> These include: </w:t>
      </w:r>
    </w:p>
    <w:p w14:paraId="02510B78" w14:textId="7B60ADE5" w:rsidR="004412B9" w:rsidRPr="00A06CE5" w:rsidRDefault="004412B9" w:rsidP="0036080A">
      <w:pPr>
        <w:pStyle w:val="Bullet1"/>
        <w:numPr>
          <w:ilvl w:val="0"/>
          <w:numId w:val="40"/>
        </w:numPr>
      </w:pPr>
      <w:r w:rsidRPr="00A06CE5">
        <w:t xml:space="preserve">Pipeline leaks: </w:t>
      </w:r>
    </w:p>
    <w:p w14:paraId="7A31ACC1" w14:textId="51A8A53C" w:rsidR="004412B9" w:rsidRPr="00A06CE5" w:rsidRDefault="004412B9" w:rsidP="001313DC">
      <w:pPr>
        <w:pStyle w:val="Bullet2"/>
      </w:pPr>
      <w:r w:rsidRPr="00A06CE5">
        <w:lastRenderedPageBreak/>
        <w:t xml:space="preserve">Gasket failure. </w:t>
      </w:r>
    </w:p>
    <w:p w14:paraId="5EBD6C7A" w14:textId="6C2FF041" w:rsidR="004412B9" w:rsidRPr="00A06CE5" w:rsidRDefault="004412B9" w:rsidP="001313DC">
      <w:pPr>
        <w:pStyle w:val="Bullet2"/>
      </w:pPr>
      <w:r w:rsidRPr="00A06CE5">
        <w:t xml:space="preserve">Valve body failure. </w:t>
      </w:r>
    </w:p>
    <w:p w14:paraId="23F75CF6" w14:textId="33A75245" w:rsidR="004412B9" w:rsidRPr="00A06CE5" w:rsidRDefault="004412B9" w:rsidP="001313DC">
      <w:pPr>
        <w:pStyle w:val="Bullet2"/>
      </w:pPr>
      <w:r w:rsidRPr="00A06CE5">
        <w:t>Dropped objects.</w:t>
      </w:r>
    </w:p>
    <w:p w14:paraId="63B61EA2" w14:textId="252A2489" w:rsidR="004412B9" w:rsidRPr="00A06CE5" w:rsidRDefault="004412B9" w:rsidP="001313DC">
      <w:pPr>
        <w:pStyle w:val="Bullet2"/>
      </w:pPr>
      <w:r w:rsidRPr="00A06CE5">
        <w:t xml:space="preserve">Anchoring or trawling. </w:t>
      </w:r>
    </w:p>
    <w:p w14:paraId="5CC221D0" w14:textId="0FC52553" w:rsidR="004412B9" w:rsidRPr="00A06CE5" w:rsidRDefault="004412B9" w:rsidP="001313DC">
      <w:pPr>
        <w:pStyle w:val="Bullet2"/>
      </w:pPr>
      <w:r w:rsidRPr="00A06CE5">
        <w:t>Internal and external corrosion.</w:t>
      </w:r>
    </w:p>
    <w:p w14:paraId="1E981729" w14:textId="371DDB77" w:rsidR="004412B9" w:rsidRPr="00A06CE5" w:rsidRDefault="004412B9" w:rsidP="0036080A">
      <w:pPr>
        <w:pStyle w:val="Bullet1"/>
        <w:numPr>
          <w:ilvl w:val="0"/>
          <w:numId w:val="40"/>
        </w:numPr>
      </w:pPr>
      <w:r w:rsidRPr="00A06CE5">
        <w:t xml:space="preserve">Pipeline ruptures: </w:t>
      </w:r>
    </w:p>
    <w:p w14:paraId="4BBD3744" w14:textId="35D1126F" w:rsidR="004412B9" w:rsidRPr="00A06CE5" w:rsidRDefault="004412B9" w:rsidP="001313DC">
      <w:pPr>
        <w:pStyle w:val="Bullet2"/>
      </w:pPr>
      <w:r w:rsidRPr="00A06CE5">
        <w:t xml:space="preserve">Earthquake. </w:t>
      </w:r>
    </w:p>
    <w:p w14:paraId="34FE0E76" w14:textId="5B2A12E4" w:rsidR="004412B9" w:rsidRPr="00A06CE5" w:rsidRDefault="004412B9" w:rsidP="001313DC">
      <w:pPr>
        <w:pStyle w:val="Bullet2"/>
      </w:pPr>
      <w:r w:rsidRPr="00A06CE5">
        <w:t>Gasket failure.</w:t>
      </w:r>
    </w:p>
    <w:p w14:paraId="117D87C8" w14:textId="08305BC5" w:rsidR="004412B9" w:rsidRPr="00A06CE5" w:rsidRDefault="004412B9" w:rsidP="001313DC">
      <w:pPr>
        <w:pStyle w:val="Bullet2"/>
      </w:pPr>
      <w:r w:rsidRPr="00A06CE5">
        <w:t>Valve body failure.</w:t>
      </w:r>
    </w:p>
    <w:p w14:paraId="17CEBF01" w14:textId="44019FAB" w:rsidR="004412B9" w:rsidRPr="00A06CE5" w:rsidRDefault="004412B9" w:rsidP="001313DC">
      <w:pPr>
        <w:pStyle w:val="Bullet2"/>
      </w:pPr>
      <w:r w:rsidRPr="00A06CE5">
        <w:t xml:space="preserve">Failure of flange studs. </w:t>
      </w:r>
    </w:p>
    <w:p w14:paraId="71823771" w14:textId="66B93BD0" w:rsidR="004412B9" w:rsidRPr="00A06CE5" w:rsidRDefault="004412B9" w:rsidP="001313DC">
      <w:pPr>
        <w:pStyle w:val="Bullet2"/>
      </w:pPr>
      <w:r w:rsidRPr="00A06CE5">
        <w:t>Internal and external corrosion.</w:t>
      </w:r>
    </w:p>
    <w:p w14:paraId="2B95DF17" w14:textId="7379BB2F" w:rsidR="004412B9" w:rsidRPr="00A06CE5" w:rsidRDefault="004412B9" w:rsidP="001313DC">
      <w:pPr>
        <w:pStyle w:val="Bullet2"/>
      </w:pPr>
      <w:r w:rsidRPr="00A06CE5">
        <w:t xml:space="preserve">Pipeline fatigue due to free span. </w:t>
      </w:r>
    </w:p>
    <w:p w14:paraId="190494F2" w14:textId="260DD769" w:rsidR="004412B9" w:rsidRPr="00A06CE5" w:rsidRDefault="004412B9" w:rsidP="001313DC">
      <w:pPr>
        <w:pStyle w:val="Bullet2"/>
      </w:pPr>
      <w:r w:rsidRPr="00A06CE5">
        <w:t>Storm damage.</w:t>
      </w:r>
    </w:p>
    <w:p w14:paraId="72184CDB" w14:textId="0D8A73D5" w:rsidR="004412B9" w:rsidRPr="00A06CE5" w:rsidRDefault="004412B9" w:rsidP="001313DC">
      <w:pPr>
        <w:pStyle w:val="Bullet2"/>
      </w:pPr>
      <w:r w:rsidRPr="00A06CE5">
        <w:t>Impact damage from dropped objects, anchoring or fish trawling.</w:t>
      </w:r>
    </w:p>
    <w:p w14:paraId="69CCEFBA" w14:textId="2191761B" w:rsidR="004412B9" w:rsidRPr="00A06CE5" w:rsidRDefault="00334C19" w:rsidP="001313DC">
      <w:pPr>
        <w:pStyle w:val="Bullet1"/>
        <w:numPr>
          <w:ilvl w:val="0"/>
          <w:numId w:val="0"/>
        </w:numPr>
        <w:ind w:left="720"/>
      </w:pPr>
      <w:r>
        <w:t>T</w:t>
      </w:r>
      <w:r w:rsidR="004412B9" w:rsidRPr="00A06CE5">
        <w:t xml:space="preserve">hese hazards </w:t>
      </w:r>
      <w:r>
        <w:t>were identified during the design of the asset</w:t>
      </w:r>
      <w:r w:rsidR="00B166E1">
        <w:t>. As such</w:t>
      </w:r>
      <w:r w:rsidR="004412B9" w:rsidRPr="00A06CE5">
        <w:t xml:space="preserve"> the pipelines and wellheads have been designed to withstand</w:t>
      </w:r>
      <w:r>
        <w:t xml:space="preserve"> or protect against foreseeable threats such as </w:t>
      </w:r>
      <w:r w:rsidR="004412B9" w:rsidRPr="00A06CE5">
        <w:t xml:space="preserve">trawling, snagging </w:t>
      </w:r>
      <w:r>
        <w:t xml:space="preserve">(e.g. wellhead/PLEM protective structures) </w:t>
      </w:r>
      <w:r w:rsidR="004412B9" w:rsidRPr="00A06CE5">
        <w:t xml:space="preserve">and </w:t>
      </w:r>
      <w:r>
        <w:t>corrosion</w:t>
      </w:r>
      <w:r w:rsidR="004412B9" w:rsidRPr="00A06CE5">
        <w:t>.</w:t>
      </w:r>
    </w:p>
    <w:p w14:paraId="05652474" w14:textId="761633BC" w:rsidR="004412B9" w:rsidRDefault="004412B9" w:rsidP="001313DC">
      <w:pPr>
        <w:pStyle w:val="Bullet1"/>
        <w:numPr>
          <w:ilvl w:val="0"/>
          <w:numId w:val="0"/>
        </w:numPr>
        <w:ind w:left="720"/>
      </w:pPr>
      <w:r w:rsidRPr="00A06CE5">
        <w:t xml:space="preserve">The </w:t>
      </w:r>
      <w:r w:rsidR="00BA0611">
        <w:t>CHN</w:t>
      </w:r>
      <w:r w:rsidRPr="00A06CE5">
        <w:t xml:space="preserve"> Pipeline Safety Case details the design of the pipeline and how it is maintained to ensure its ongoing integrity.</w:t>
      </w:r>
      <w:r w:rsidR="00334C19">
        <w:t xml:space="preserve"> A summary of these aspects is detailed in Section </w:t>
      </w:r>
      <w:r w:rsidR="00334C19">
        <w:fldChar w:fldCharType="begin"/>
      </w:r>
      <w:r w:rsidR="00334C19">
        <w:instrText xml:space="preserve"> REF _Ref476493526 \r \h </w:instrText>
      </w:r>
      <w:r w:rsidR="00334C19">
        <w:fldChar w:fldCharType="separate"/>
      </w:r>
      <w:r w:rsidR="00CC4C35">
        <w:t>2.2.2</w:t>
      </w:r>
      <w:r w:rsidR="00334C19">
        <w:fldChar w:fldCharType="end"/>
      </w:r>
      <w:r w:rsidR="00334C19">
        <w:t>).</w:t>
      </w:r>
      <w:r w:rsidRPr="00A06CE5">
        <w:t xml:space="preserve"> </w:t>
      </w:r>
    </w:p>
    <w:p w14:paraId="6EDEA8B7" w14:textId="6EFB688B" w:rsidR="00B166E1" w:rsidRPr="00E25547" w:rsidRDefault="00B166E1" w:rsidP="001313DC">
      <w:pPr>
        <w:pStyle w:val="Bullet1"/>
        <w:numPr>
          <w:ilvl w:val="0"/>
          <w:numId w:val="0"/>
        </w:numPr>
        <w:ind w:left="720"/>
        <w:rPr>
          <w:b/>
          <w:u w:val="single"/>
        </w:rPr>
      </w:pPr>
      <w:r w:rsidRPr="00E25547">
        <w:rPr>
          <w:b/>
          <w:u w:val="single"/>
        </w:rPr>
        <w:t>Maximum Hydrocarbon Releases</w:t>
      </w:r>
    </w:p>
    <w:p w14:paraId="0F00FA3D" w14:textId="567558DB" w:rsidR="00334C19" w:rsidRDefault="00334C19" w:rsidP="001313DC">
      <w:pPr>
        <w:pStyle w:val="Bullet1"/>
        <w:numPr>
          <w:ilvl w:val="0"/>
          <w:numId w:val="0"/>
        </w:numPr>
        <w:ind w:left="720"/>
      </w:pPr>
      <w:r>
        <w:t xml:space="preserve">An assessment of the maximum credible release rates from the CHN assets has been undertaken </w:t>
      </w:r>
      <w:r w:rsidR="000B70C7">
        <w:t xml:space="preserve">by </w:t>
      </w:r>
      <w:r w:rsidR="00B166E1">
        <w:t>Cooper Energy</w:t>
      </w:r>
      <w:r w:rsidR="000B70C7">
        <w:t xml:space="preserve"> </w:t>
      </w:r>
      <w:r>
        <w:t xml:space="preserve">based upon known reservoir conditions, pipeline inventories during normal operation and possible failure modes of the </w:t>
      </w:r>
      <w:r w:rsidR="00B45295">
        <w:t>infrastructure</w:t>
      </w:r>
      <w:r>
        <w:t xml:space="preserve">. The following </w:t>
      </w:r>
      <w:r w:rsidR="007E75D3">
        <w:t xml:space="preserve">maximum credible </w:t>
      </w:r>
      <w:r>
        <w:t>scenarios were identified:</w:t>
      </w:r>
    </w:p>
    <w:p w14:paraId="3D9B3C12" w14:textId="42433817" w:rsidR="00276E7B" w:rsidRDefault="00614064" w:rsidP="0036080A">
      <w:pPr>
        <w:pStyle w:val="Bullet1"/>
        <w:numPr>
          <w:ilvl w:val="1"/>
          <w:numId w:val="23"/>
        </w:numPr>
      </w:pPr>
      <w:r>
        <w:t>Pipeline Release</w:t>
      </w:r>
      <w:r w:rsidR="00676D55">
        <w:t xml:space="preserve"> Inventory</w:t>
      </w:r>
      <w:r>
        <w:t>:</w:t>
      </w:r>
    </w:p>
    <w:p w14:paraId="5691C10F" w14:textId="47A5FA45" w:rsidR="00175DB6" w:rsidRDefault="00614064" w:rsidP="001313DC">
      <w:pPr>
        <w:pStyle w:val="Bullet1"/>
        <w:numPr>
          <w:ilvl w:val="0"/>
          <w:numId w:val="0"/>
        </w:numPr>
        <w:ind w:left="1233"/>
      </w:pPr>
      <w:r>
        <w:t>The ma</w:t>
      </w:r>
      <w:r w:rsidR="002249F7">
        <w:t>ximum hydrocarbons liquids retention within the CHN pipeline has been estimated at 100 m</w:t>
      </w:r>
      <w:r w:rsidR="002249F7" w:rsidRPr="00083759">
        <w:rPr>
          <w:vertAlign w:val="superscript"/>
        </w:rPr>
        <w:t>3</w:t>
      </w:r>
      <w:r w:rsidR="002249F7">
        <w:t xml:space="preserve">. This is based upon </w:t>
      </w:r>
      <w:r w:rsidR="007E75D3">
        <w:t>flow assurance studies (Santos, 201</w:t>
      </w:r>
      <w:r w:rsidR="00E729CF">
        <w:t>6</w:t>
      </w:r>
      <w:r w:rsidR="007E75D3">
        <w:t>) and fluid modelling studies (Santos, 2010) on the CHN pipeline.</w:t>
      </w:r>
    </w:p>
    <w:p w14:paraId="015B40A5" w14:textId="1F8F8438" w:rsidR="00614064" w:rsidRDefault="00B45295" w:rsidP="001313DC">
      <w:pPr>
        <w:pStyle w:val="Bullet1"/>
        <w:numPr>
          <w:ilvl w:val="0"/>
          <w:numId w:val="0"/>
        </w:numPr>
        <w:ind w:left="1233"/>
      </w:pPr>
      <w:r>
        <w:t>In a pipeline rupture situation</w:t>
      </w:r>
      <w:r w:rsidR="007E75D3">
        <w:t>, on sensing a</w:t>
      </w:r>
      <w:r>
        <w:t xml:space="preserve"> low-low pressure downstream of the production choke valves the MCS will trip individual wells and shutdown the SSSV almost immediately. </w:t>
      </w:r>
      <w:r w:rsidR="00B166E1">
        <w:t>Additionally, i</w:t>
      </w:r>
      <w:r w:rsidR="007E75D3">
        <w:t xml:space="preserve">n a rupture situation, it is unlikely the full pipeline inventory will be released given the seabed hydrostatic pressure present of </w:t>
      </w:r>
      <w:r w:rsidR="00676D55">
        <w:t>200</w:t>
      </w:r>
      <w:r w:rsidR="002D5803">
        <w:t>-700</w:t>
      </w:r>
      <w:r w:rsidR="00676D55">
        <w:t xml:space="preserve"> kPa(g) (or 20</w:t>
      </w:r>
      <w:r w:rsidR="002D5803">
        <w:t>-70</w:t>
      </w:r>
      <w:r w:rsidR="00676D55">
        <w:t xml:space="preserve"> m water depth).</w:t>
      </w:r>
      <w:r w:rsidR="002249F7">
        <w:t xml:space="preserve"> </w:t>
      </w:r>
    </w:p>
    <w:p w14:paraId="7FB79DBE" w14:textId="3A4EE3A1" w:rsidR="001B1474" w:rsidRPr="00E25547" w:rsidRDefault="001B1474" w:rsidP="001313DC">
      <w:pPr>
        <w:pStyle w:val="Bullet1"/>
        <w:numPr>
          <w:ilvl w:val="0"/>
          <w:numId w:val="0"/>
        </w:numPr>
        <w:ind w:left="709"/>
        <w:rPr>
          <w:b/>
          <w:u w:val="single"/>
        </w:rPr>
      </w:pPr>
      <w:r w:rsidRPr="00E25547">
        <w:rPr>
          <w:b/>
          <w:u w:val="single"/>
        </w:rPr>
        <w:t>Weathering Behaviour of Netherby-1 Condensate:</w:t>
      </w:r>
    </w:p>
    <w:p w14:paraId="609551D9" w14:textId="7E6A03D1" w:rsidR="00B166E1" w:rsidRDefault="001B1474" w:rsidP="001313DC">
      <w:pPr>
        <w:pStyle w:val="Bullet1"/>
        <w:numPr>
          <w:ilvl w:val="0"/>
          <w:numId w:val="0"/>
        </w:numPr>
        <w:ind w:left="709"/>
      </w:pPr>
      <w:r>
        <w:fldChar w:fldCharType="begin"/>
      </w:r>
      <w:r>
        <w:instrText xml:space="preserve"> REF _Ref477118765 \h </w:instrText>
      </w:r>
      <w:r>
        <w:fldChar w:fldCharType="separate"/>
      </w:r>
      <w:r w:rsidR="00CC4C35" w:rsidRPr="00083759">
        <w:t xml:space="preserve">Figure </w:t>
      </w:r>
      <w:r w:rsidR="00CC4C35">
        <w:rPr>
          <w:noProof/>
        </w:rPr>
        <w:t>5</w:t>
      </w:r>
      <w:r w:rsidR="00CC4C35">
        <w:noBreakHyphen/>
      </w:r>
      <w:r w:rsidR="00CC4C35">
        <w:rPr>
          <w:noProof/>
        </w:rPr>
        <w:t>1</w:t>
      </w:r>
      <w:r>
        <w:fldChar w:fldCharType="end"/>
      </w:r>
      <w:r>
        <w:t xml:space="preserve"> provides details on the weathering characteristics of Netherby condensate for a pipeline release of 100 m</w:t>
      </w:r>
      <w:r w:rsidRPr="00083759">
        <w:rPr>
          <w:vertAlign w:val="superscript"/>
        </w:rPr>
        <w:t>3</w:t>
      </w:r>
      <w:r>
        <w:t xml:space="preserve"> over a </w:t>
      </w:r>
      <w:r w:rsidR="00626C17">
        <w:t>24-hour</w:t>
      </w:r>
      <w:r>
        <w:t xml:space="preserve"> period. As identified in this figure, the condensate rapidly evaporates on release such that surface residues are only present a few hours after the release ceases.</w:t>
      </w:r>
    </w:p>
    <w:p w14:paraId="4A234EF8" w14:textId="5BB72F54" w:rsidR="001B1474" w:rsidRPr="001B1474" w:rsidRDefault="001B1474" w:rsidP="001313DC">
      <w:pPr>
        <w:pStyle w:val="Bullet1"/>
        <w:numPr>
          <w:ilvl w:val="0"/>
          <w:numId w:val="0"/>
        </w:numPr>
        <w:ind w:left="709"/>
      </w:pPr>
      <w:r>
        <w:t xml:space="preserve">Simulations undertaken for the gas plume from a well failure indicated that due to the high gas to condensate ratio (~500,000:1) </w:t>
      </w:r>
      <w:r w:rsidR="00B166E1">
        <w:t xml:space="preserve">in the hydrocarbon released </w:t>
      </w:r>
      <w:r>
        <w:t xml:space="preserve">a highly turbulent gas plume would develop within 9 seconds following the well failure at the seabed. Condensate liquids within the gas plume </w:t>
      </w:r>
      <w:r w:rsidRPr="00472004">
        <w:t xml:space="preserve">will get substantial </w:t>
      </w:r>
      <w:r>
        <w:t>li</w:t>
      </w:r>
      <w:r w:rsidRPr="00472004">
        <w:t xml:space="preserve">ft through the </w:t>
      </w:r>
      <w:r w:rsidR="00626C17">
        <w:t>62-m</w:t>
      </w:r>
      <w:r>
        <w:t xml:space="preserve"> </w:t>
      </w:r>
      <w:r w:rsidRPr="00472004">
        <w:t>wate</w:t>
      </w:r>
      <w:r>
        <w:t>r column, liberating water-soluble aromatics and entrained oil droplets in the order of tens to hundreds of microns in diameter in near-surface waters (i.e. top 5 m) (APASA, 2013)</w:t>
      </w:r>
      <w:r w:rsidR="00497403">
        <w:t>.</w:t>
      </w:r>
    </w:p>
    <w:p w14:paraId="5FDCE5DA" w14:textId="5C9D19CD" w:rsidR="001B1474" w:rsidRPr="00421568" w:rsidRDefault="001B1474" w:rsidP="00083759">
      <w:pPr>
        <w:pStyle w:val="Caption"/>
        <w:outlineLvl w:val="9"/>
      </w:pPr>
      <w:bookmarkStart w:id="250" w:name="_Ref477118765"/>
      <w:bookmarkStart w:id="251" w:name="_Toc510779256"/>
      <w:r w:rsidRPr="00083759">
        <w:rPr>
          <w:sz w:val="20"/>
          <w:szCs w:val="20"/>
        </w:rPr>
        <w:lastRenderedPageBreak/>
        <w:t xml:space="preserve">Figure </w:t>
      </w:r>
      <w:r w:rsidR="00D3458F">
        <w:rPr>
          <w:sz w:val="20"/>
          <w:szCs w:val="20"/>
        </w:rPr>
        <w:fldChar w:fldCharType="begin"/>
      </w:r>
      <w:r w:rsidR="00D3458F">
        <w:rPr>
          <w:sz w:val="20"/>
          <w:szCs w:val="20"/>
        </w:rPr>
        <w:instrText xml:space="preserve"> STYLEREF 1 \s </w:instrText>
      </w:r>
      <w:r w:rsidR="00D3458F">
        <w:rPr>
          <w:sz w:val="20"/>
          <w:szCs w:val="20"/>
        </w:rPr>
        <w:fldChar w:fldCharType="separate"/>
      </w:r>
      <w:r w:rsidR="00CC4C35">
        <w:rPr>
          <w:noProof/>
          <w:sz w:val="20"/>
          <w:szCs w:val="20"/>
        </w:rPr>
        <w:t>5</w:t>
      </w:r>
      <w:r w:rsidR="00D3458F">
        <w:rPr>
          <w:sz w:val="20"/>
          <w:szCs w:val="20"/>
        </w:rPr>
        <w:fldChar w:fldCharType="end"/>
      </w:r>
      <w:r w:rsidR="00D3458F">
        <w:rPr>
          <w:sz w:val="20"/>
          <w:szCs w:val="20"/>
        </w:rPr>
        <w:noBreakHyphen/>
      </w:r>
      <w:r w:rsidR="00D3458F">
        <w:rPr>
          <w:sz w:val="20"/>
          <w:szCs w:val="20"/>
        </w:rPr>
        <w:fldChar w:fldCharType="begin"/>
      </w:r>
      <w:r w:rsidR="00D3458F">
        <w:rPr>
          <w:sz w:val="20"/>
          <w:szCs w:val="20"/>
        </w:rPr>
        <w:instrText xml:space="preserve"> SEQ Figure \* ARABIC \s 1 </w:instrText>
      </w:r>
      <w:r w:rsidR="00D3458F">
        <w:rPr>
          <w:sz w:val="20"/>
          <w:szCs w:val="20"/>
        </w:rPr>
        <w:fldChar w:fldCharType="separate"/>
      </w:r>
      <w:r w:rsidR="00CC4C35">
        <w:rPr>
          <w:noProof/>
          <w:sz w:val="20"/>
          <w:szCs w:val="20"/>
        </w:rPr>
        <w:t>1</w:t>
      </w:r>
      <w:r w:rsidR="00D3458F">
        <w:rPr>
          <w:sz w:val="20"/>
          <w:szCs w:val="20"/>
        </w:rPr>
        <w:fldChar w:fldCharType="end"/>
      </w:r>
      <w:bookmarkEnd w:id="250"/>
      <w:r w:rsidRPr="00083759">
        <w:rPr>
          <w:sz w:val="20"/>
          <w:szCs w:val="20"/>
        </w:rPr>
        <w:t>: Predicted weathering an fate graph of Netherby Condensate based upon a 100 m</w:t>
      </w:r>
      <w:r w:rsidRPr="00083759">
        <w:rPr>
          <w:sz w:val="20"/>
          <w:szCs w:val="20"/>
          <w:vertAlign w:val="superscript"/>
        </w:rPr>
        <w:t xml:space="preserve">3 </w:t>
      </w:r>
      <w:r w:rsidRPr="00083759">
        <w:rPr>
          <w:sz w:val="20"/>
          <w:szCs w:val="20"/>
        </w:rPr>
        <w:t>subsea release over 24 hours (APASA, 2013).</w:t>
      </w:r>
      <w:bookmarkEnd w:id="251"/>
    </w:p>
    <w:p w14:paraId="785C2EB4" w14:textId="1BCFB37A" w:rsidR="001B1474" w:rsidRPr="001B1474" w:rsidRDefault="001B1474" w:rsidP="00083759">
      <w:pPr>
        <w:keepNext/>
        <w:jc w:val="center"/>
        <w:outlineLvl w:val="9"/>
      </w:pPr>
      <w:r>
        <w:rPr>
          <w:noProof/>
          <w:lang w:val="en-GB" w:eastAsia="en-GB"/>
        </w:rPr>
        <w:drawing>
          <wp:inline distT="0" distB="0" distL="0" distR="0" wp14:anchorId="1A13C94C" wp14:editId="11C4452A">
            <wp:extent cx="5732145" cy="2177838"/>
            <wp:effectExtent l="19050" t="19050" r="20955" b="13335"/>
            <wp:docPr id="242" name="Picture 242" descr="FLOWRUPTURE_VIC-100M3-AN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OWRUPTURE_VIC-100M3-ANNUAL"/>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32145" cy="2177838"/>
                    </a:xfrm>
                    <a:prstGeom prst="rect">
                      <a:avLst/>
                    </a:prstGeom>
                    <a:noFill/>
                    <a:ln w="6350" cmpd="sng">
                      <a:solidFill>
                        <a:srgbClr val="000000"/>
                      </a:solidFill>
                      <a:miter lim="800000"/>
                      <a:headEnd/>
                      <a:tailEnd/>
                    </a:ln>
                    <a:effectLst/>
                  </pic:spPr>
                </pic:pic>
              </a:graphicData>
            </a:graphic>
          </wp:inline>
        </w:drawing>
      </w:r>
    </w:p>
    <w:p w14:paraId="386AB2AA" w14:textId="77777777" w:rsidR="001B1474" w:rsidRDefault="001B1474" w:rsidP="001313DC">
      <w:pPr>
        <w:pStyle w:val="Bullet1"/>
        <w:numPr>
          <w:ilvl w:val="0"/>
          <w:numId w:val="0"/>
        </w:numPr>
        <w:ind w:left="567"/>
      </w:pPr>
    </w:p>
    <w:p w14:paraId="089AE14A" w14:textId="211B1748" w:rsidR="00887A82" w:rsidRDefault="00887A82" w:rsidP="001313DC">
      <w:pPr>
        <w:pStyle w:val="Bullet1"/>
        <w:numPr>
          <w:ilvl w:val="0"/>
          <w:numId w:val="0"/>
        </w:numPr>
        <w:ind w:left="709"/>
      </w:pPr>
      <w:r w:rsidRPr="005B6BC1">
        <w:t xml:space="preserve">Thresholds utilised within the 2013 OSTM adopted industry standard thresholds of 10ppb (99% species protection); 100ppb (95% species protection) and 400 ppb (50% species protection). </w:t>
      </w:r>
      <w:r w:rsidR="004974FA">
        <w:t>Cooper Energy</w:t>
      </w:r>
      <w:r w:rsidRPr="005B6BC1">
        <w:t xml:space="preserve"> has adopted the </w:t>
      </w:r>
      <w:r>
        <w:t xml:space="preserve">more robust </w:t>
      </w:r>
      <w:r w:rsidRPr="005B6BC1">
        <w:t xml:space="preserve">OSPAR (2012) </w:t>
      </w:r>
      <w:r>
        <w:t xml:space="preserve">toxicity </w:t>
      </w:r>
      <w:r w:rsidRPr="005B6BC1">
        <w:t>criteria for entrained phase oil</w:t>
      </w:r>
      <w:r>
        <w:t xml:space="preserve"> effect levels </w:t>
      </w:r>
      <w:r w:rsidRPr="005B6BC1">
        <w:t xml:space="preserve">– 70.5 ppb (95% species protection) and 804 ppb (50% species protection) and utilised the work </w:t>
      </w:r>
      <w:r w:rsidRPr="004D3AAE">
        <w:t xml:space="preserve">by </w:t>
      </w:r>
      <w:r w:rsidRPr="004D3AAE">
        <w:rPr>
          <w:rFonts w:cs="Arial"/>
        </w:rPr>
        <w:t>Tsvetnenko (1998)</w:t>
      </w:r>
      <w:r w:rsidRPr="004D3AAE">
        <w:t xml:space="preserve"> published</w:t>
      </w:r>
      <w:r w:rsidRPr="005B6BC1">
        <w:t xml:space="preserve"> in ANZECC (2000) of 7ppb (99% species protection) for the predicted no effects concentration </w:t>
      </w:r>
      <w:r w:rsidR="007451AA">
        <w:t xml:space="preserve">(PNEC) </w:t>
      </w:r>
      <w:r w:rsidRPr="005B6BC1">
        <w:t>of hydrocarbons in marine waters</w:t>
      </w:r>
      <w:r w:rsidR="00DE4623">
        <w:t>.</w:t>
      </w:r>
    </w:p>
    <w:p w14:paraId="6A6829BB" w14:textId="54B6203D" w:rsidR="004003D3" w:rsidRDefault="004003D3" w:rsidP="001313DC">
      <w:pPr>
        <w:pStyle w:val="Bullet1"/>
        <w:numPr>
          <w:ilvl w:val="0"/>
          <w:numId w:val="0"/>
        </w:numPr>
        <w:ind w:left="709"/>
      </w:pPr>
      <w:r>
        <w:t xml:space="preserve">The hydrocarbon thresholds utilised for impacts assessment purposes together with their justification is provided in </w:t>
      </w:r>
      <w:r>
        <w:fldChar w:fldCharType="begin"/>
      </w:r>
      <w:r>
        <w:instrText xml:space="preserve"> REF _Ref473445262 \h </w:instrText>
      </w:r>
      <w:r>
        <w:fldChar w:fldCharType="separate"/>
      </w:r>
      <w:r w:rsidR="00CC4C35" w:rsidRPr="004003D3">
        <w:t xml:space="preserve">Table </w:t>
      </w:r>
      <w:r w:rsidR="00CC4C35">
        <w:rPr>
          <w:noProof/>
        </w:rPr>
        <w:t>5</w:t>
      </w:r>
      <w:r w:rsidR="00CC4C35">
        <w:noBreakHyphen/>
      </w:r>
      <w:r w:rsidR="00CC4C35">
        <w:rPr>
          <w:noProof/>
        </w:rPr>
        <w:t>18</w:t>
      </w:r>
      <w:r>
        <w:fldChar w:fldCharType="end"/>
      </w:r>
      <w:r>
        <w:t>.</w:t>
      </w:r>
    </w:p>
    <w:p w14:paraId="2C712723" w14:textId="596AA1FD" w:rsidR="004003D3" w:rsidRPr="004003D3" w:rsidRDefault="004003D3" w:rsidP="00B86A7D">
      <w:pPr>
        <w:pStyle w:val="Caption"/>
        <w:outlineLvl w:val="9"/>
        <w:rPr>
          <w:sz w:val="20"/>
          <w:szCs w:val="20"/>
        </w:rPr>
      </w:pPr>
      <w:bookmarkStart w:id="252" w:name="_Ref477099322"/>
      <w:bookmarkStart w:id="253" w:name="_Ref473445262"/>
      <w:bookmarkStart w:id="254" w:name="_Toc511032609"/>
      <w:r w:rsidRPr="004003D3">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18</w:t>
      </w:r>
      <w:r w:rsidR="00103328">
        <w:rPr>
          <w:sz w:val="20"/>
          <w:szCs w:val="20"/>
        </w:rPr>
        <w:fldChar w:fldCharType="end"/>
      </w:r>
      <w:bookmarkEnd w:id="252"/>
      <w:bookmarkEnd w:id="253"/>
      <w:r w:rsidRPr="004003D3">
        <w:rPr>
          <w:sz w:val="20"/>
          <w:szCs w:val="20"/>
        </w:rPr>
        <w:t>: Hydrocarbon thresholds for impacts assessment purposes</w:t>
      </w:r>
      <w:bookmarkEnd w:id="254"/>
    </w:p>
    <w:tbl>
      <w:tblPr>
        <w:tblStyle w:val="TableGrid"/>
        <w:tblW w:w="0" w:type="auto"/>
        <w:tblLook w:val="04A0" w:firstRow="1" w:lastRow="0" w:firstColumn="1" w:lastColumn="0" w:noHBand="0" w:noVBand="1"/>
      </w:tblPr>
      <w:tblGrid>
        <w:gridCol w:w="2786"/>
        <w:gridCol w:w="6139"/>
      </w:tblGrid>
      <w:tr w:rsidR="004003D3" w:rsidRPr="00183DC2" w14:paraId="7E6542C4" w14:textId="77777777" w:rsidTr="004003D3">
        <w:trPr>
          <w:cnfStyle w:val="100000000000" w:firstRow="1" w:lastRow="0" w:firstColumn="0" w:lastColumn="0" w:oddVBand="0" w:evenVBand="0" w:oddHBand="0" w:evenHBand="0" w:firstRowFirstColumn="0" w:firstRowLastColumn="0" w:lastRowFirstColumn="0" w:lastRowLastColumn="0"/>
          <w:cantSplit/>
        </w:trPr>
        <w:tc>
          <w:tcPr>
            <w:tcW w:w="2835" w:type="dxa"/>
          </w:tcPr>
          <w:p w14:paraId="1BF3BE86" w14:textId="72943F28" w:rsidR="004003D3" w:rsidRPr="00183DC2" w:rsidRDefault="004003D3" w:rsidP="00E439A6">
            <w:pPr>
              <w:spacing w:before="60" w:after="60"/>
              <w:rPr>
                <w:sz w:val="16"/>
                <w:szCs w:val="16"/>
              </w:rPr>
            </w:pPr>
            <w:r>
              <w:rPr>
                <w:sz w:val="16"/>
                <w:szCs w:val="16"/>
              </w:rPr>
              <w:t>Threshold</w:t>
            </w:r>
          </w:p>
        </w:tc>
        <w:tc>
          <w:tcPr>
            <w:tcW w:w="6277" w:type="dxa"/>
          </w:tcPr>
          <w:p w14:paraId="70E0E2AF" w14:textId="77777777" w:rsidR="004003D3" w:rsidRPr="00183DC2" w:rsidRDefault="004003D3" w:rsidP="00E439A6">
            <w:pPr>
              <w:spacing w:before="60" w:after="60"/>
              <w:rPr>
                <w:sz w:val="16"/>
                <w:szCs w:val="16"/>
              </w:rPr>
            </w:pPr>
            <w:r>
              <w:rPr>
                <w:sz w:val="16"/>
                <w:szCs w:val="16"/>
              </w:rPr>
              <w:t>Supporting Literature</w:t>
            </w:r>
          </w:p>
        </w:tc>
      </w:tr>
      <w:tr w:rsidR="004003D3" w:rsidRPr="00183DC2" w14:paraId="6BF81854" w14:textId="77777777" w:rsidTr="004003D3">
        <w:trPr>
          <w:cantSplit/>
        </w:trPr>
        <w:tc>
          <w:tcPr>
            <w:tcW w:w="2835" w:type="dxa"/>
            <w:shd w:val="clear" w:color="auto" w:fill="D9D9D9" w:themeFill="background1" w:themeFillShade="D9"/>
          </w:tcPr>
          <w:p w14:paraId="0DBF4853" w14:textId="77777777" w:rsidR="004003D3" w:rsidRPr="002B52D0" w:rsidRDefault="004003D3" w:rsidP="00E439A6">
            <w:pPr>
              <w:spacing w:before="60" w:after="60"/>
              <w:rPr>
                <w:b/>
                <w:sz w:val="16"/>
                <w:szCs w:val="16"/>
              </w:rPr>
            </w:pPr>
            <w:r w:rsidRPr="002B52D0">
              <w:rPr>
                <w:b/>
                <w:sz w:val="16"/>
                <w:szCs w:val="16"/>
              </w:rPr>
              <w:t>SEA SURFACE OILING</w:t>
            </w:r>
          </w:p>
        </w:tc>
        <w:tc>
          <w:tcPr>
            <w:tcW w:w="6277" w:type="dxa"/>
            <w:shd w:val="clear" w:color="auto" w:fill="D9D9D9" w:themeFill="background1" w:themeFillShade="D9"/>
          </w:tcPr>
          <w:p w14:paraId="7E465A03" w14:textId="77777777" w:rsidR="004003D3" w:rsidRPr="00183DC2" w:rsidRDefault="004003D3" w:rsidP="00E439A6">
            <w:pPr>
              <w:spacing w:before="60" w:after="60"/>
              <w:rPr>
                <w:sz w:val="16"/>
                <w:szCs w:val="16"/>
              </w:rPr>
            </w:pPr>
          </w:p>
        </w:tc>
      </w:tr>
      <w:tr w:rsidR="004003D3" w:rsidRPr="00183DC2" w14:paraId="6760CCFB" w14:textId="77777777" w:rsidTr="004003D3">
        <w:trPr>
          <w:cnfStyle w:val="000000010000" w:firstRow="0" w:lastRow="0" w:firstColumn="0" w:lastColumn="0" w:oddVBand="0" w:evenVBand="0" w:oddHBand="0" w:evenHBand="1" w:firstRowFirstColumn="0" w:firstRowLastColumn="0" w:lastRowFirstColumn="0" w:lastRowLastColumn="0"/>
          <w:cantSplit/>
        </w:trPr>
        <w:tc>
          <w:tcPr>
            <w:tcW w:w="2835" w:type="dxa"/>
          </w:tcPr>
          <w:p w14:paraId="27CA364B" w14:textId="77777777" w:rsidR="004003D3" w:rsidRPr="00183DC2" w:rsidRDefault="004003D3" w:rsidP="00E439A6">
            <w:pPr>
              <w:spacing w:before="60" w:after="60"/>
              <w:rPr>
                <w:sz w:val="16"/>
                <w:szCs w:val="16"/>
              </w:rPr>
            </w:pPr>
            <w:r>
              <w:rPr>
                <w:sz w:val="16"/>
                <w:szCs w:val="16"/>
              </w:rPr>
              <w:t>LOW: 0.5-10 g/m</w:t>
            </w:r>
            <w:r w:rsidRPr="00061EC5">
              <w:rPr>
                <w:sz w:val="16"/>
                <w:szCs w:val="16"/>
                <w:vertAlign w:val="superscript"/>
              </w:rPr>
              <w:t>2</w:t>
            </w:r>
            <w:r>
              <w:rPr>
                <w:sz w:val="16"/>
                <w:szCs w:val="16"/>
              </w:rPr>
              <w:t xml:space="preserve"> (0.5-10µm)</w:t>
            </w:r>
          </w:p>
        </w:tc>
        <w:tc>
          <w:tcPr>
            <w:tcW w:w="6277" w:type="dxa"/>
          </w:tcPr>
          <w:p w14:paraId="1391A4C1" w14:textId="77777777" w:rsidR="004003D3" w:rsidRPr="00061EC5" w:rsidRDefault="004003D3" w:rsidP="00FF2F56">
            <w:pPr>
              <w:spacing w:before="60" w:after="60"/>
              <w:rPr>
                <w:sz w:val="16"/>
                <w:szCs w:val="16"/>
                <w:lang w:val="en-US"/>
              </w:rPr>
            </w:pPr>
            <w:r w:rsidRPr="00061EC5">
              <w:rPr>
                <w:sz w:val="16"/>
                <w:szCs w:val="16"/>
                <w:lang w:val="en-US"/>
              </w:rPr>
              <w:t>This threshold provides a measure of visual extent of an oil slick on the surface and while the threshold is not at a level which measures ecological impacts, it does define a threshold of ‘community concern’ particularly around high tourism areas.</w:t>
            </w:r>
          </w:p>
          <w:p w14:paraId="556A3ADB" w14:textId="77777777" w:rsidR="004003D3" w:rsidRPr="004705DB" w:rsidRDefault="004003D3" w:rsidP="00E439A6">
            <w:pPr>
              <w:spacing w:before="60" w:after="60"/>
              <w:rPr>
                <w:b/>
                <w:i/>
                <w:sz w:val="16"/>
                <w:szCs w:val="16"/>
              </w:rPr>
            </w:pPr>
            <w:r w:rsidRPr="004705DB">
              <w:rPr>
                <w:b/>
                <w:i/>
                <w:sz w:val="16"/>
                <w:szCs w:val="16"/>
                <w:lang w:val="en-US"/>
              </w:rPr>
              <w:t>Threshold has been selected to define socio-economic impacts and the surface oil EMBA.</w:t>
            </w:r>
          </w:p>
        </w:tc>
      </w:tr>
      <w:tr w:rsidR="004003D3" w:rsidRPr="00183DC2" w14:paraId="44F1F5B9" w14:textId="77777777" w:rsidTr="004003D3">
        <w:trPr>
          <w:cantSplit/>
        </w:trPr>
        <w:tc>
          <w:tcPr>
            <w:tcW w:w="2835" w:type="dxa"/>
          </w:tcPr>
          <w:p w14:paraId="07A4A8D5" w14:textId="77777777" w:rsidR="004003D3" w:rsidRPr="00061EC5" w:rsidRDefault="004003D3" w:rsidP="00E439A6">
            <w:pPr>
              <w:spacing w:before="60" w:after="60"/>
              <w:rPr>
                <w:sz w:val="16"/>
                <w:szCs w:val="16"/>
              </w:rPr>
            </w:pPr>
            <w:r w:rsidRPr="00061EC5">
              <w:rPr>
                <w:sz w:val="16"/>
                <w:szCs w:val="16"/>
              </w:rPr>
              <w:t>MODERATE: 10 - 25 g/m</w:t>
            </w:r>
            <w:r w:rsidRPr="00061EC5">
              <w:rPr>
                <w:sz w:val="16"/>
                <w:szCs w:val="16"/>
                <w:vertAlign w:val="superscript"/>
              </w:rPr>
              <w:t>2</w:t>
            </w:r>
            <w:r w:rsidRPr="00061EC5">
              <w:rPr>
                <w:sz w:val="16"/>
                <w:szCs w:val="16"/>
              </w:rPr>
              <w:t xml:space="preserve"> (10 - 25µm)</w:t>
            </w:r>
          </w:p>
        </w:tc>
        <w:tc>
          <w:tcPr>
            <w:tcW w:w="6277" w:type="dxa"/>
          </w:tcPr>
          <w:p w14:paraId="52ED9938" w14:textId="4BC85165" w:rsidR="004003D3" w:rsidRPr="00061EC5" w:rsidRDefault="004003D3" w:rsidP="00FF2F56">
            <w:pPr>
              <w:spacing w:before="60" w:after="60"/>
              <w:rPr>
                <w:sz w:val="16"/>
                <w:szCs w:val="16"/>
                <w:lang w:val="en-US"/>
              </w:rPr>
            </w:pPr>
            <w:r w:rsidRPr="00061EC5">
              <w:rPr>
                <w:rFonts w:eastAsia="Verdana"/>
                <w:sz w:val="16"/>
                <w:szCs w:val="16"/>
              </w:rPr>
              <w:t>M</w:t>
            </w:r>
            <w:r w:rsidRPr="00061EC5">
              <w:rPr>
                <w:rFonts w:eastAsia="Verdana"/>
                <w:spacing w:val="-2"/>
                <w:sz w:val="16"/>
                <w:szCs w:val="16"/>
              </w:rPr>
              <w:t>i</w:t>
            </w:r>
            <w:r w:rsidRPr="00061EC5">
              <w:rPr>
                <w:rFonts w:eastAsia="Verdana"/>
                <w:sz w:val="16"/>
                <w:szCs w:val="16"/>
              </w:rPr>
              <w:t>nimum</w:t>
            </w:r>
            <w:r w:rsidRPr="00061EC5">
              <w:rPr>
                <w:rFonts w:eastAsia="Verdana"/>
                <w:w w:val="99"/>
                <w:sz w:val="16"/>
                <w:szCs w:val="16"/>
              </w:rPr>
              <w:t xml:space="preserve"> </w:t>
            </w:r>
            <w:r w:rsidRPr="00061EC5">
              <w:rPr>
                <w:rFonts w:eastAsia="Verdana"/>
                <w:sz w:val="16"/>
                <w:szCs w:val="16"/>
              </w:rPr>
              <w:t>t</w:t>
            </w:r>
            <w:r w:rsidRPr="00061EC5">
              <w:rPr>
                <w:rFonts w:eastAsia="Verdana"/>
                <w:spacing w:val="1"/>
                <w:sz w:val="16"/>
                <w:szCs w:val="16"/>
              </w:rPr>
              <w:t>h</w:t>
            </w:r>
            <w:r w:rsidRPr="00061EC5">
              <w:rPr>
                <w:rFonts w:eastAsia="Verdana"/>
                <w:sz w:val="16"/>
                <w:szCs w:val="16"/>
              </w:rPr>
              <w:t>ickne</w:t>
            </w:r>
            <w:r w:rsidRPr="00061EC5">
              <w:rPr>
                <w:rFonts w:eastAsia="Verdana"/>
                <w:spacing w:val="1"/>
                <w:sz w:val="16"/>
                <w:szCs w:val="16"/>
              </w:rPr>
              <w:t>s</w:t>
            </w:r>
            <w:r w:rsidRPr="00061EC5">
              <w:rPr>
                <w:rFonts w:eastAsia="Verdana"/>
                <w:sz w:val="16"/>
                <w:szCs w:val="16"/>
              </w:rPr>
              <w:t>s</w:t>
            </w:r>
            <w:r w:rsidRPr="00061EC5">
              <w:rPr>
                <w:rFonts w:eastAsia="Verdana"/>
                <w:spacing w:val="-4"/>
                <w:sz w:val="16"/>
                <w:szCs w:val="16"/>
              </w:rPr>
              <w:t xml:space="preserve"> </w:t>
            </w:r>
            <w:r w:rsidRPr="00061EC5">
              <w:rPr>
                <w:rFonts w:eastAsia="Verdana"/>
                <w:spacing w:val="1"/>
                <w:sz w:val="16"/>
                <w:szCs w:val="16"/>
              </w:rPr>
              <w:t>o</w:t>
            </w:r>
            <w:r w:rsidRPr="00061EC5">
              <w:rPr>
                <w:rFonts w:eastAsia="Verdana"/>
                <w:sz w:val="16"/>
                <w:szCs w:val="16"/>
              </w:rPr>
              <w:t>f</w:t>
            </w:r>
            <w:r w:rsidRPr="00061EC5">
              <w:rPr>
                <w:rFonts w:eastAsia="Verdana"/>
                <w:spacing w:val="-2"/>
                <w:sz w:val="16"/>
                <w:szCs w:val="16"/>
              </w:rPr>
              <w:t xml:space="preserve"> </w:t>
            </w:r>
            <w:r w:rsidRPr="00061EC5">
              <w:rPr>
                <w:rFonts w:eastAsia="Verdana"/>
                <w:spacing w:val="1"/>
                <w:sz w:val="16"/>
                <w:szCs w:val="16"/>
              </w:rPr>
              <w:t>o</w:t>
            </w:r>
            <w:r w:rsidRPr="00061EC5">
              <w:rPr>
                <w:rFonts w:eastAsia="Verdana"/>
                <w:sz w:val="16"/>
                <w:szCs w:val="16"/>
              </w:rPr>
              <w:t>il</w:t>
            </w:r>
            <w:r w:rsidRPr="00061EC5">
              <w:rPr>
                <w:rFonts w:eastAsia="Verdana"/>
                <w:spacing w:val="-4"/>
                <w:sz w:val="16"/>
                <w:szCs w:val="16"/>
              </w:rPr>
              <w:t xml:space="preserve"> </w:t>
            </w:r>
            <w:r w:rsidRPr="00061EC5">
              <w:rPr>
                <w:rFonts w:eastAsia="Verdana"/>
                <w:sz w:val="16"/>
                <w:szCs w:val="16"/>
              </w:rPr>
              <w:t>th</w:t>
            </w:r>
            <w:r w:rsidRPr="00061EC5">
              <w:rPr>
                <w:rFonts w:eastAsia="Verdana"/>
                <w:spacing w:val="1"/>
                <w:sz w:val="16"/>
                <w:szCs w:val="16"/>
              </w:rPr>
              <w:t>a</w:t>
            </w:r>
            <w:r w:rsidRPr="00061EC5">
              <w:rPr>
                <w:rFonts w:eastAsia="Verdana"/>
                <w:sz w:val="16"/>
                <w:szCs w:val="16"/>
              </w:rPr>
              <w:t>t</w:t>
            </w:r>
            <w:r w:rsidRPr="00061EC5">
              <w:rPr>
                <w:rFonts w:eastAsia="Verdana"/>
                <w:spacing w:val="-3"/>
                <w:sz w:val="16"/>
                <w:szCs w:val="16"/>
              </w:rPr>
              <w:t xml:space="preserve"> </w:t>
            </w:r>
            <w:r w:rsidRPr="00061EC5">
              <w:rPr>
                <w:rFonts w:eastAsia="Verdana"/>
                <w:sz w:val="16"/>
                <w:szCs w:val="16"/>
              </w:rPr>
              <w:t>c</w:t>
            </w:r>
            <w:r w:rsidRPr="00061EC5">
              <w:rPr>
                <w:rFonts w:eastAsia="Verdana"/>
                <w:spacing w:val="1"/>
                <w:sz w:val="16"/>
                <w:szCs w:val="16"/>
              </w:rPr>
              <w:t>ou</w:t>
            </w:r>
            <w:r w:rsidRPr="00061EC5">
              <w:rPr>
                <w:rFonts w:eastAsia="Verdana"/>
                <w:spacing w:val="-2"/>
                <w:sz w:val="16"/>
                <w:szCs w:val="16"/>
              </w:rPr>
              <w:t>l</w:t>
            </w:r>
            <w:r w:rsidRPr="00061EC5">
              <w:rPr>
                <w:rFonts w:eastAsia="Verdana"/>
                <w:sz w:val="16"/>
                <w:szCs w:val="16"/>
              </w:rPr>
              <w:t xml:space="preserve">d </w:t>
            </w:r>
            <w:r w:rsidRPr="00061EC5">
              <w:rPr>
                <w:rFonts w:eastAsia="Verdana"/>
                <w:spacing w:val="-2"/>
                <w:sz w:val="16"/>
                <w:szCs w:val="16"/>
              </w:rPr>
              <w:t>i</w:t>
            </w:r>
            <w:r w:rsidRPr="00061EC5">
              <w:rPr>
                <w:rFonts w:eastAsia="Verdana"/>
                <w:sz w:val="16"/>
                <w:szCs w:val="16"/>
              </w:rPr>
              <w:t>m</w:t>
            </w:r>
            <w:r w:rsidRPr="00061EC5">
              <w:rPr>
                <w:rFonts w:eastAsia="Verdana"/>
                <w:spacing w:val="1"/>
                <w:sz w:val="16"/>
                <w:szCs w:val="16"/>
              </w:rPr>
              <w:t>p</w:t>
            </w:r>
            <w:r w:rsidRPr="00061EC5">
              <w:rPr>
                <w:rFonts w:eastAsia="Verdana"/>
                <w:sz w:val="16"/>
                <w:szCs w:val="16"/>
              </w:rPr>
              <w:t>art</w:t>
            </w:r>
            <w:r w:rsidRPr="00061EC5">
              <w:rPr>
                <w:rFonts w:eastAsia="Verdana"/>
                <w:spacing w:val="-3"/>
                <w:sz w:val="16"/>
                <w:szCs w:val="16"/>
              </w:rPr>
              <w:t xml:space="preserve"> </w:t>
            </w:r>
            <w:r w:rsidRPr="00061EC5">
              <w:rPr>
                <w:rFonts w:eastAsia="Verdana"/>
                <w:sz w:val="16"/>
                <w:szCs w:val="16"/>
              </w:rPr>
              <w:t>a</w:t>
            </w:r>
            <w:r w:rsidRPr="00061EC5">
              <w:rPr>
                <w:rFonts w:eastAsia="Verdana"/>
                <w:spacing w:val="-2"/>
                <w:sz w:val="16"/>
                <w:szCs w:val="16"/>
              </w:rPr>
              <w:t xml:space="preserve"> </w:t>
            </w:r>
            <w:r w:rsidRPr="00061EC5">
              <w:rPr>
                <w:rFonts w:eastAsia="Verdana"/>
                <w:sz w:val="16"/>
                <w:szCs w:val="16"/>
              </w:rPr>
              <w:t>leth</w:t>
            </w:r>
            <w:r w:rsidRPr="00061EC5">
              <w:rPr>
                <w:rFonts w:eastAsia="Verdana"/>
                <w:spacing w:val="2"/>
                <w:sz w:val="16"/>
                <w:szCs w:val="16"/>
              </w:rPr>
              <w:t>a</w:t>
            </w:r>
            <w:r w:rsidRPr="00061EC5">
              <w:rPr>
                <w:rFonts w:eastAsia="Verdana"/>
                <w:sz w:val="16"/>
                <w:szCs w:val="16"/>
              </w:rPr>
              <w:t>l</w:t>
            </w:r>
            <w:r w:rsidRPr="00061EC5">
              <w:rPr>
                <w:rFonts w:eastAsia="Verdana"/>
                <w:spacing w:val="-4"/>
                <w:sz w:val="16"/>
                <w:szCs w:val="16"/>
              </w:rPr>
              <w:t xml:space="preserve"> </w:t>
            </w:r>
            <w:r w:rsidRPr="00061EC5">
              <w:rPr>
                <w:rFonts w:eastAsia="Verdana"/>
                <w:sz w:val="16"/>
                <w:szCs w:val="16"/>
              </w:rPr>
              <w:t>d</w:t>
            </w:r>
            <w:r w:rsidRPr="00061EC5">
              <w:rPr>
                <w:rFonts w:eastAsia="Verdana"/>
                <w:spacing w:val="1"/>
                <w:sz w:val="16"/>
                <w:szCs w:val="16"/>
              </w:rPr>
              <w:t>o</w:t>
            </w:r>
            <w:r w:rsidRPr="00061EC5">
              <w:rPr>
                <w:rFonts w:eastAsia="Verdana"/>
                <w:sz w:val="16"/>
                <w:szCs w:val="16"/>
              </w:rPr>
              <w:t>se</w:t>
            </w:r>
            <w:r w:rsidRPr="00061EC5">
              <w:rPr>
                <w:rFonts w:eastAsia="Verdana"/>
                <w:spacing w:val="-3"/>
                <w:sz w:val="16"/>
                <w:szCs w:val="16"/>
              </w:rPr>
              <w:t xml:space="preserve"> </w:t>
            </w:r>
            <w:r w:rsidRPr="00061EC5">
              <w:rPr>
                <w:rFonts w:eastAsia="Verdana"/>
                <w:sz w:val="16"/>
                <w:szCs w:val="16"/>
              </w:rPr>
              <w:t>to wil</w:t>
            </w:r>
            <w:r w:rsidRPr="00061EC5">
              <w:rPr>
                <w:rFonts w:eastAsia="Verdana"/>
                <w:spacing w:val="1"/>
                <w:sz w:val="16"/>
                <w:szCs w:val="16"/>
              </w:rPr>
              <w:t>d</w:t>
            </w:r>
            <w:r w:rsidRPr="00061EC5">
              <w:rPr>
                <w:rFonts w:eastAsia="Verdana"/>
                <w:sz w:val="16"/>
                <w:szCs w:val="16"/>
              </w:rPr>
              <w:t xml:space="preserve">life </w:t>
            </w:r>
            <w:r w:rsidRPr="00061EC5">
              <w:rPr>
                <w:rFonts w:eastAsia="Verdana"/>
                <w:spacing w:val="-2"/>
                <w:sz w:val="16"/>
                <w:szCs w:val="16"/>
              </w:rPr>
              <w:t>t</w:t>
            </w:r>
            <w:r w:rsidRPr="00061EC5">
              <w:rPr>
                <w:rFonts w:eastAsia="Verdana"/>
                <w:spacing w:val="1"/>
                <w:sz w:val="16"/>
                <w:szCs w:val="16"/>
              </w:rPr>
              <w:t>ha</w:t>
            </w:r>
            <w:r w:rsidRPr="00061EC5">
              <w:rPr>
                <w:rFonts w:eastAsia="Verdana"/>
                <w:sz w:val="16"/>
                <w:szCs w:val="16"/>
              </w:rPr>
              <w:t>t</w:t>
            </w:r>
            <w:r w:rsidRPr="00061EC5">
              <w:rPr>
                <w:rFonts w:eastAsia="Verdana"/>
                <w:spacing w:val="-3"/>
                <w:sz w:val="16"/>
                <w:szCs w:val="16"/>
              </w:rPr>
              <w:t xml:space="preserve"> </w:t>
            </w:r>
            <w:r w:rsidRPr="00061EC5">
              <w:rPr>
                <w:rFonts w:eastAsia="Verdana"/>
                <w:sz w:val="16"/>
                <w:szCs w:val="16"/>
              </w:rPr>
              <w:t>com</w:t>
            </w:r>
            <w:r w:rsidRPr="00061EC5">
              <w:rPr>
                <w:rFonts w:eastAsia="Verdana"/>
                <w:spacing w:val="1"/>
                <w:sz w:val="16"/>
                <w:szCs w:val="16"/>
              </w:rPr>
              <w:t>e</w:t>
            </w:r>
            <w:r w:rsidRPr="00061EC5">
              <w:rPr>
                <w:rFonts w:eastAsia="Verdana"/>
                <w:sz w:val="16"/>
                <w:szCs w:val="16"/>
              </w:rPr>
              <w:t>s</w:t>
            </w:r>
            <w:r w:rsidRPr="00061EC5">
              <w:rPr>
                <w:rFonts w:eastAsia="Verdana"/>
                <w:w w:val="99"/>
                <w:sz w:val="16"/>
                <w:szCs w:val="16"/>
              </w:rPr>
              <w:t xml:space="preserve"> </w:t>
            </w:r>
            <w:r w:rsidRPr="00061EC5">
              <w:rPr>
                <w:rFonts w:eastAsia="Verdana"/>
                <w:sz w:val="16"/>
                <w:szCs w:val="16"/>
              </w:rPr>
              <w:t>into</w:t>
            </w:r>
            <w:r w:rsidRPr="00061EC5">
              <w:rPr>
                <w:rFonts w:eastAsia="Verdana"/>
                <w:spacing w:val="-4"/>
                <w:sz w:val="16"/>
                <w:szCs w:val="16"/>
              </w:rPr>
              <w:t xml:space="preserve"> </w:t>
            </w:r>
            <w:r w:rsidRPr="00061EC5">
              <w:rPr>
                <w:rFonts w:eastAsia="Verdana"/>
                <w:sz w:val="16"/>
                <w:szCs w:val="16"/>
              </w:rPr>
              <w:t>co</w:t>
            </w:r>
            <w:r w:rsidRPr="00061EC5">
              <w:rPr>
                <w:rFonts w:eastAsia="Verdana"/>
                <w:spacing w:val="1"/>
                <w:sz w:val="16"/>
                <w:szCs w:val="16"/>
              </w:rPr>
              <w:t>n</w:t>
            </w:r>
            <w:r w:rsidRPr="00061EC5">
              <w:rPr>
                <w:rFonts w:eastAsia="Verdana"/>
                <w:sz w:val="16"/>
                <w:szCs w:val="16"/>
              </w:rPr>
              <w:t>t</w:t>
            </w:r>
            <w:r w:rsidRPr="00061EC5">
              <w:rPr>
                <w:rFonts w:eastAsia="Verdana"/>
                <w:spacing w:val="1"/>
                <w:sz w:val="16"/>
                <w:szCs w:val="16"/>
              </w:rPr>
              <w:t>a</w:t>
            </w:r>
            <w:r w:rsidRPr="00061EC5">
              <w:rPr>
                <w:rFonts w:eastAsia="Verdana"/>
                <w:sz w:val="16"/>
                <w:szCs w:val="16"/>
              </w:rPr>
              <w:t>ct</w:t>
            </w:r>
            <w:r w:rsidRPr="00061EC5">
              <w:rPr>
                <w:rFonts w:eastAsia="Verdana"/>
                <w:spacing w:val="-3"/>
                <w:sz w:val="16"/>
                <w:szCs w:val="16"/>
              </w:rPr>
              <w:t xml:space="preserve"> </w:t>
            </w:r>
            <w:r w:rsidRPr="00061EC5">
              <w:rPr>
                <w:rFonts w:eastAsia="Verdana"/>
                <w:sz w:val="16"/>
                <w:szCs w:val="16"/>
              </w:rPr>
              <w:t>with</w:t>
            </w:r>
            <w:r w:rsidRPr="00061EC5">
              <w:rPr>
                <w:rFonts w:eastAsia="Verdana"/>
                <w:spacing w:val="-5"/>
                <w:sz w:val="16"/>
                <w:szCs w:val="16"/>
              </w:rPr>
              <w:t xml:space="preserve"> </w:t>
            </w:r>
            <w:r w:rsidRPr="00061EC5">
              <w:rPr>
                <w:rFonts w:eastAsia="Verdana"/>
                <w:sz w:val="16"/>
                <w:szCs w:val="16"/>
              </w:rPr>
              <w:t>s</w:t>
            </w:r>
            <w:r w:rsidRPr="00061EC5">
              <w:rPr>
                <w:rFonts w:eastAsia="Verdana"/>
                <w:spacing w:val="1"/>
                <w:sz w:val="16"/>
                <w:szCs w:val="16"/>
              </w:rPr>
              <w:t>u</w:t>
            </w:r>
            <w:r w:rsidRPr="00061EC5">
              <w:rPr>
                <w:rFonts w:eastAsia="Verdana"/>
                <w:sz w:val="16"/>
                <w:szCs w:val="16"/>
              </w:rPr>
              <w:t>rfa</w:t>
            </w:r>
            <w:r w:rsidRPr="00061EC5">
              <w:rPr>
                <w:rFonts w:eastAsia="Verdana"/>
                <w:spacing w:val="1"/>
                <w:sz w:val="16"/>
                <w:szCs w:val="16"/>
              </w:rPr>
              <w:t>c</w:t>
            </w:r>
            <w:r w:rsidRPr="00061EC5">
              <w:rPr>
                <w:rFonts w:eastAsia="Verdana"/>
                <w:sz w:val="16"/>
                <w:szCs w:val="16"/>
              </w:rPr>
              <w:t>e</w:t>
            </w:r>
            <w:r w:rsidRPr="00061EC5">
              <w:rPr>
                <w:rFonts w:eastAsia="Verdana"/>
                <w:spacing w:val="-4"/>
                <w:sz w:val="16"/>
                <w:szCs w:val="16"/>
              </w:rPr>
              <w:t xml:space="preserve"> </w:t>
            </w:r>
            <w:r w:rsidRPr="00061EC5">
              <w:rPr>
                <w:rFonts w:eastAsia="Verdana"/>
                <w:sz w:val="16"/>
                <w:szCs w:val="16"/>
              </w:rPr>
              <w:t>hy</w:t>
            </w:r>
            <w:r w:rsidRPr="00061EC5">
              <w:rPr>
                <w:rFonts w:eastAsia="Verdana"/>
                <w:spacing w:val="1"/>
                <w:sz w:val="16"/>
                <w:szCs w:val="16"/>
              </w:rPr>
              <w:t>d</w:t>
            </w:r>
            <w:r w:rsidRPr="00061EC5">
              <w:rPr>
                <w:rFonts w:eastAsia="Verdana"/>
                <w:sz w:val="16"/>
                <w:szCs w:val="16"/>
              </w:rPr>
              <w:t>rocarbon</w:t>
            </w:r>
            <w:r w:rsidRPr="00061EC5">
              <w:rPr>
                <w:rFonts w:eastAsia="Verdana"/>
                <w:spacing w:val="1"/>
                <w:sz w:val="16"/>
                <w:szCs w:val="16"/>
              </w:rPr>
              <w:t>s</w:t>
            </w:r>
            <w:r w:rsidRPr="00061EC5">
              <w:rPr>
                <w:rFonts w:eastAsia="Verdana"/>
                <w:sz w:val="16"/>
                <w:szCs w:val="16"/>
              </w:rPr>
              <w:t>.</w:t>
            </w:r>
            <w:r w:rsidRPr="00061EC5">
              <w:rPr>
                <w:rFonts w:eastAsia="Verdana"/>
                <w:spacing w:val="-6"/>
                <w:sz w:val="16"/>
                <w:szCs w:val="16"/>
              </w:rPr>
              <w:t xml:space="preserve"> </w:t>
            </w:r>
            <w:r w:rsidRPr="00061EC5">
              <w:rPr>
                <w:sz w:val="16"/>
                <w:szCs w:val="16"/>
                <w:lang w:val="en-US"/>
              </w:rPr>
              <w:t>Research has shown that harm to seabirds through preening contaminated feathers or loss of thermal protection in their feathers occurs at 10µm to 25µm</w:t>
            </w:r>
            <w:r>
              <w:rPr>
                <w:sz w:val="16"/>
                <w:szCs w:val="16"/>
                <w:lang w:val="en-US"/>
              </w:rPr>
              <w:t xml:space="preserve"> </w:t>
            </w:r>
            <w:r w:rsidRPr="003B784D">
              <w:rPr>
                <w:sz w:val="16"/>
                <w:szCs w:val="16"/>
              </w:rPr>
              <w:t>(French-McCay, 2009).</w:t>
            </w:r>
            <w:r w:rsidRPr="00061EC5">
              <w:rPr>
                <w:sz w:val="16"/>
                <w:szCs w:val="16"/>
                <w:lang w:val="en-US"/>
              </w:rPr>
              <w:t xml:space="preserve"> </w:t>
            </w:r>
          </w:p>
          <w:p w14:paraId="001BC8C6" w14:textId="77777777" w:rsidR="004003D3" w:rsidRPr="004705DB" w:rsidRDefault="004003D3" w:rsidP="009E23D0">
            <w:pPr>
              <w:spacing w:before="60" w:after="60"/>
              <w:rPr>
                <w:b/>
                <w:i/>
                <w:sz w:val="16"/>
                <w:szCs w:val="16"/>
              </w:rPr>
            </w:pPr>
            <w:r w:rsidRPr="004705DB">
              <w:rPr>
                <w:b/>
                <w:i/>
                <w:sz w:val="16"/>
                <w:szCs w:val="16"/>
                <w:lang w:val="en-US"/>
              </w:rPr>
              <w:t>Threshold has been selected to define ecological impacts</w:t>
            </w:r>
          </w:p>
        </w:tc>
      </w:tr>
      <w:tr w:rsidR="004003D3" w:rsidRPr="00183DC2" w14:paraId="44701287" w14:textId="77777777" w:rsidTr="004003D3">
        <w:trPr>
          <w:cnfStyle w:val="000000010000" w:firstRow="0" w:lastRow="0" w:firstColumn="0" w:lastColumn="0" w:oddVBand="0" w:evenVBand="0" w:oddHBand="0" w:evenHBand="1" w:firstRowFirstColumn="0" w:firstRowLastColumn="0" w:lastRowFirstColumn="0" w:lastRowLastColumn="0"/>
          <w:cantSplit/>
        </w:trPr>
        <w:tc>
          <w:tcPr>
            <w:tcW w:w="2835" w:type="dxa"/>
          </w:tcPr>
          <w:p w14:paraId="116C90FB" w14:textId="77777777" w:rsidR="004003D3" w:rsidRPr="00061EC5" w:rsidRDefault="004003D3" w:rsidP="00FF2F56">
            <w:pPr>
              <w:pStyle w:val="BodyText2"/>
              <w:spacing w:before="60" w:after="60"/>
              <w:rPr>
                <w:rFonts w:ascii="Arial" w:hAnsi="Arial"/>
                <w:sz w:val="16"/>
                <w:szCs w:val="16"/>
              </w:rPr>
            </w:pPr>
            <w:r w:rsidRPr="00061EC5">
              <w:rPr>
                <w:rFonts w:ascii="Arial" w:hAnsi="Arial"/>
                <w:sz w:val="16"/>
                <w:szCs w:val="16"/>
              </w:rPr>
              <w:t>HIGH:</w:t>
            </w:r>
          </w:p>
          <w:p w14:paraId="0D0295B9" w14:textId="77777777" w:rsidR="004003D3" w:rsidRPr="00061EC5" w:rsidRDefault="004003D3" w:rsidP="00E439A6">
            <w:pPr>
              <w:spacing w:before="60" w:after="60"/>
              <w:rPr>
                <w:sz w:val="16"/>
                <w:szCs w:val="16"/>
              </w:rPr>
            </w:pPr>
            <w:r w:rsidRPr="00061EC5">
              <w:rPr>
                <w:sz w:val="16"/>
                <w:szCs w:val="16"/>
              </w:rPr>
              <w:t>&gt; 25 g/m</w:t>
            </w:r>
            <w:r w:rsidRPr="00061EC5">
              <w:rPr>
                <w:sz w:val="16"/>
                <w:szCs w:val="16"/>
                <w:vertAlign w:val="superscript"/>
              </w:rPr>
              <w:t>2</w:t>
            </w:r>
            <w:r w:rsidRPr="00061EC5">
              <w:rPr>
                <w:sz w:val="16"/>
                <w:szCs w:val="16"/>
              </w:rPr>
              <w:t xml:space="preserve"> (&gt; 25µm)</w:t>
            </w:r>
          </w:p>
        </w:tc>
        <w:tc>
          <w:tcPr>
            <w:tcW w:w="6277" w:type="dxa"/>
          </w:tcPr>
          <w:p w14:paraId="373697F3" w14:textId="77777777" w:rsidR="004003D3" w:rsidRPr="00061EC5" w:rsidRDefault="004003D3" w:rsidP="00E439A6">
            <w:pPr>
              <w:spacing w:before="60" w:after="60"/>
              <w:rPr>
                <w:sz w:val="16"/>
                <w:szCs w:val="16"/>
              </w:rPr>
            </w:pPr>
            <w:r w:rsidRPr="00061EC5">
              <w:rPr>
                <w:sz w:val="16"/>
                <w:szCs w:val="16"/>
              </w:rPr>
              <w:t>A concentration of surface oil greater than 25 g/m</w:t>
            </w:r>
            <w:r w:rsidRPr="00061EC5">
              <w:rPr>
                <w:sz w:val="16"/>
                <w:szCs w:val="16"/>
                <w:vertAlign w:val="superscript"/>
              </w:rPr>
              <w:t>2</w:t>
            </w:r>
            <w:r w:rsidRPr="00061EC5">
              <w:rPr>
                <w:sz w:val="16"/>
                <w:szCs w:val="16"/>
              </w:rPr>
              <w:t xml:space="preserve"> is expected to be harmful to marine birds that come in contact with the slick. Marine birds may be affected should they come into direct contact with the hydrocarbon, and mortality may result from ingestion during preening, or from hypothermia from matted feathers.</w:t>
            </w:r>
          </w:p>
        </w:tc>
      </w:tr>
      <w:tr w:rsidR="004003D3" w:rsidRPr="00183DC2" w14:paraId="2852A520" w14:textId="77777777" w:rsidTr="004003D3">
        <w:trPr>
          <w:cantSplit/>
        </w:trPr>
        <w:tc>
          <w:tcPr>
            <w:tcW w:w="2835" w:type="dxa"/>
            <w:shd w:val="clear" w:color="auto" w:fill="D9D9D9" w:themeFill="background1" w:themeFillShade="D9"/>
          </w:tcPr>
          <w:p w14:paraId="1A83A94D" w14:textId="26370405" w:rsidR="004003D3" w:rsidRPr="002B52D0" w:rsidRDefault="004003D3" w:rsidP="00E439A6">
            <w:pPr>
              <w:spacing w:before="60" w:after="60"/>
              <w:rPr>
                <w:b/>
                <w:sz w:val="16"/>
                <w:szCs w:val="16"/>
              </w:rPr>
            </w:pPr>
            <w:r w:rsidRPr="002B52D0">
              <w:rPr>
                <w:b/>
                <w:sz w:val="16"/>
                <w:szCs w:val="16"/>
              </w:rPr>
              <w:t>SHORELINE OILING</w:t>
            </w:r>
            <w:r w:rsidR="002B2C69">
              <w:rPr>
                <w:rStyle w:val="FootnoteReference"/>
                <w:b/>
                <w:sz w:val="16"/>
                <w:szCs w:val="16"/>
              </w:rPr>
              <w:footnoteReference w:id="2"/>
            </w:r>
          </w:p>
        </w:tc>
        <w:tc>
          <w:tcPr>
            <w:tcW w:w="6277" w:type="dxa"/>
            <w:shd w:val="clear" w:color="auto" w:fill="D9D9D9" w:themeFill="background1" w:themeFillShade="D9"/>
          </w:tcPr>
          <w:p w14:paraId="4802A3CC" w14:textId="77777777" w:rsidR="004003D3" w:rsidRPr="00183DC2" w:rsidRDefault="004003D3" w:rsidP="00E439A6">
            <w:pPr>
              <w:spacing w:before="60" w:after="60"/>
              <w:rPr>
                <w:sz w:val="16"/>
                <w:szCs w:val="16"/>
              </w:rPr>
            </w:pPr>
          </w:p>
        </w:tc>
      </w:tr>
      <w:tr w:rsidR="004003D3" w:rsidRPr="00183DC2" w14:paraId="4106583A" w14:textId="77777777" w:rsidTr="004003D3">
        <w:trPr>
          <w:cnfStyle w:val="000000010000" w:firstRow="0" w:lastRow="0" w:firstColumn="0" w:lastColumn="0" w:oddVBand="0" w:evenVBand="0" w:oddHBand="0" w:evenHBand="1" w:firstRowFirstColumn="0" w:firstRowLastColumn="0" w:lastRowFirstColumn="0" w:lastRowLastColumn="0"/>
          <w:cantSplit/>
        </w:trPr>
        <w:tc>
          <w:tcPr>
            <w:tcW w:w="2835" w:type="dxa"/>
          </w:tcPr>
          <w:p w14:paraId="05957234" w14:textId="77777777" w:rsidR="004003D3" w:rsidRPr="00EA182B" w:rsidRDefault="004003D3" w:rsidP="00E439A6">
            <w:pPr>
              <w:spacing w:before="60" w:after="60"/>
              <w:rPr>
                <w:sz w:val="16"/>
                <w:szCs w:val="16"/>
              </w:rPr>
            </w:pPr>
            <w:r w:rsidRPr="00EA182B">
              <w:rPr>
                <w:b/>
                <w:sz w:val="16"/>
                <w:szCs w:val="16"/>
              </w:rPr>
              <w:t>OIL STAIN/FILM:</w:t>
            </w:r>
            <w:r w:rsidRPr="00EA182B">
              <w:rPr>
                <w:sz w:val="16"/>
                <w:szCs w:val="16"/>
              </w:rPr>
              <w:t xml:space="preserve"> 10-100 g/m</w:t>
            </w:r>
            <w:r w:rsidRPr="00EA182B">
              <w:rPr>
                <w:sz w:val="16"/>
                <w:szCs w:val="16"/>
                <w:vertAlign w:val="superscript"/>
              </w:rPr>
              <w:t>2</w:t>
            </w:r>
          </w:p>
        </w:tc>
        <w:tc>
          <w:tcPr>
            <w:tcW w:w="6277" w:type="dxa"/>
          </w:tcPr>
          <w:p w14:paraId="514AE37F" w14:textId="77777777" w:rsidR="004003D3" w:rsidRPr="003B784D" w:rsidRDefault="004003D3" w:rsidP="00E439A6">
            <w:pPr>
              <w:spacing w:before="60" w:after="60"/>
              <w:rPr>
                <w:sz w:val="16"/>
                <w:szCs w:val="16"/>
              </w:rPr>
            </w:pPr>
            <w:r w:rsidRPr="003B784D">
              <w:rPr>
                <w:sz w:val="16"/>
                <w:szCs w:val="16"/>
              </w:rPr>
              <w:t>A conservative threshold to assess the potential for socioeconomic impact such as the need for shoreline clean-up on man-made features/amenities. Thresholds below 100g/m</w:t>
            </w:r>
            <w:r w:rsidRPr="003B784D">
              <w:rPr>
                <w:sz w:val="16"/>
                <w:szCs w:val="16"/>
                <w:vertAlign w:val="superscript"/>
              </w:rPr>
              <w:t>2</w:t>
            </w:r>
            <w:r w:rsidRPr="003B784D">
              <w:rPr>
                <w:sz w:val="16"/>
                <w:szCs w:val="16"/>
              </w:rPr>
              <w:t xml:space="preserve"> are considered to ‘stain’ shoreline fauna and are not considered to impact the species survival and reproductive capacity (French-McCay, 2009).</w:t>
            </w:r>
          </w:p>
        </w:tc>
      </w:tr>
      <w:tr w:rsidR="004003D3" w:rsidRPr="00183DC2" w14:paraId="59814F76" w14:textId="77777777" w:rsidTr="004003D3">
        <w:trPr>
          <w:cantSplit/>
        </w:trPr>
        <w:tc>
          <w:tcPr>
            <w:tcW w:w="2835" w:type="dxa"/>
          </w:tcPr>
          <w:p w14:paraId="2B7381C9" w14:textId="77777777" w:rsidR="004003D3" w:rsidRPr="00EA182B" w:rsidRDefault="004003D3" w:rsidP="00E439A6">
            <w:pPr>
              <w:spacing w:before="60" w:after="60"/>
              <w:rPr>
                <w:sz w:val="16"/>
                <w:szCs w:val="16"/>
              </w:rPr>
            </w:pPr>
            <w:r w:rsidRPr="00EA182B">
              <w:rPr>
                <w:b/>
                <w:sz w:val="16"/>
                <w:szCs w:val="16"/>
              </w:rPr>
              <w:lastRenderedPageBreak/>
              <w:t>OIL COAT:</w:t>
            </w:r>
            <w:r w:rsidRPr="00EA182B">
              <w:rPr>
                <w:sz w:val="16"/>
                <w:szCs w:val="16"/>
              </w:rPr>
              <w:t xml:space="preserve"> 100-1000 g/m</w:t>
            </w:r>
            <w:r w:rsidRPr="00EA182B">
              <w:rPr>
                <w:sz w:val="16"/>
                <w:szCs w:val="16"/>
                <w:vertAlign w:val="superscript"/>
              </w:rPr>
              <w:t>2</w:t>
            </w:r>
          </w:p>
        </w:tc>
        <w:tc>
          <w:tcPr>
            <w:tcW w:w="6277" w:type="dxa"/>
          </w:tcPr>
          <w:p w14:paraId="0946D843" w14:textId="77777777" w:rsidR="004003D3" w:rsidRPr="003B784D" w:rsidRDefault="004003D3" w:rsidP="00FF2F56">
            <w:pPr>
              <w:pStyle w:val="BodyText2"/>
              <w:spacing w:before="60" w:after="60"/>
              <w:rPr>
                <w:rFonts w:ascii="Arial" w:hAnsi="Arial"/>
                <w:sz w:val="16"/>
                <w:szCs w:val="16"/>
              </w:rPr>
            </w:pPr>
            <w:r w:rsidRPr="003B784D">
              <w:rPr>
                <w:rFonts w:ascii="Arial" w:hAnsi="Arial"/>
                <w:sz w:val="16"/>
                <w:szCs w:val="16"/>
              </w:rPr>
              <w:t>Threshold is considered enough to coat shoreline animals and likely impact their survival and reproductive capacity (French-McCay, 2009). Thus 100 g/m</w:t>
            </w:r>
            <w:r w:rsidRPr="003B784D">
              <w:rPr>
                <w:rFonts w:ascii="Arial" w:hAnsi="Arial"/>
                <w:sz w:val="16"/>
                <w:szCs w:val="16"/>
                <w:vertAlign w:val="superscript"/>
              </w:rPr>
              <w:t>2</w:t>
            </w:r>
            <w:r w:rsidRPr="003B784D">
              <w:rPr>
                <w:rFonts w:ascii="Arial" w:hAnsi="Arial"/>
                <w:sz w:val="16"/>
                <w:szCs w:val="16"/>
              </w:rPr>
              <w:t xml:space="preserve"> (approximately equivalent to 100 µm) is considered the ecological threshold for impacts to invertebrates living on hard substrates (rocky, artificial/man-made, rip-rap, etc.) and sediments (mud, silt, sand or gravel) in intertidal habitats. French-McCay (2009) based on the work of Albers (1980) identifies a 100µm as having a significant potential to affect the survivability and breeding success of protected shoreline birds while a reduction to 50µm identified no significant reduction in hatchling success.</w:t>
            </w:r>
          </w:p>
          <w:p w14:paraId="7DE32674" w14:textId="77777777" w:rsidR="004003D3" w:rsidRPr="003B784D" w:rsidRDefault="004003D3" w:rsidP="009E23D0">
            <w:pPr>
              <w:pStyle w:val="BodyText2"/>
              <w:spacing w:before="60" w:after="60"/>
              <w:rPr>
                <w:rFonts w:ascii="Arial" w:hAnsi="Arial"/>
                <w:sz w:val="16"/>
                <w:szCs w:val="16"/>
              </w:rPr>
            </w:pPr>
            <w:r w:rsidRPr="003B784D">
              <w:rPr>
                <w:rFonts w:ascii="Arial" w:hAnsi="Arial"/>
                <w:sz w:val="16"/>
                <w:szCs w:val="16"/>
              </w:rPr>
              <w:t>Threshold is also recommended in AMSA’s foreshore assessment guide as the acceptable minimum thickness that does not inhibit the potential for recovery and is best remediated by natural coastal processes alone (AMSA, 2007).</w:t>
            </w:r>
          </w:p>
          <w:p w14:paraId="0E471F1D" w14:textId="77777777" w:rsidR="004003D3" w:rsidRPr="004705DB" w:rsidRDefault="004003D3" w:rsidP="00E439A6">
            <w:pPr>
              <w:spacing w:before="60" w:after="60"/>
              <w:rPr>
                <w:b/>
                <w:i/>
                <w:sz w:val="16"/>
                <w:szCs w:val="16"/>
              </w:rPr>
            </w:pPr>
            <w:r w:rsidRPr="004705DB">
              <w:rPr>
                <w:b/>
                <w:i/>
                <w:sz w:val="16"/>
                <w:szCs w:val="16"/>
                <w:lang w:val="en-US"/>
              </w:rPr>
              <w:t>Threshold has been selected to define ecological impacts</w:t>
            </w:r>
          </w:p>
        </w:tc>
      </w:tr>
      <w:tr w:rsidR="004003D3" w:rsidRPr="00183DC2" w14:paraId="72B0FFDF" w14:textId="77777777" w:rsidTr="004003D3">
        <w:trPr>
          <w:cnfStyle w:val="000000010000" w:firstRow="0" w:lastRow="0" w:firstColumn="0" w:lastColumn="0" w:oddVBand="0" w:evenVBand="0" w:oddHBand="0" w:evenHBand="1" w:firstRowFirstColumn="0" w:firstRowLastColumn="0" w:lastRowFirstColumn="0" w:lastRowLastColumn="0"/>
          <w:cantSplit/>
        </w:trPr>
        <w:tc>
          <w:tcPr>
            <w:tcW w:w="2835" w:type="dxa"/>
          </w:tcPr>
          <w:p w14:paraId="50D236FC" w14:textId="77777777" w:rsidR="004003D3" w:rsidRPr="00EA182B" w:rsidRDefault="004003D3" w:rsidP="00E439A6">
            <w:pPr>
              <w:spacing w:before="60" w:after="60"/>
              <w:rPr>
                <w:sz w:val="16"/>
                <w:szCs w:val="16"/>
              </w:rPr>
            </w:pPr>
            <w:r w:rsidRPr="00EA182B">
              <w:rPr>
                <w:b/>
                <w:sz w:val="16"/>
                <w:szCs w:val="16"/>
              </w:rPr>
              <w:t>OIL COVER:</w:t>
            </w:r>
            <w:r w:rsidRPr="00EA182B">
              <w:rPr>
                <w:sz w:val="16"/>
                <w:szCs w:val="16"/>
              </w:rPr>
              <w:t xml:space="preserve"> &gt; 1000 g/m</w:t>
            </w:r>
            <w:r w:rsidRPr="00EA182B">
              <w:rPr>
                <w:sz w:val="16"/>
                <w:szCs w:val="16"/>
                <w:vertAlign w:val="superscript"/>
              </w:rPr>
              <w:t>2</w:t>
            </w:r>
          </w:p>
        </w:tc>
        <w:tc>
          <w:tcPr>
            <w:tcW w:w="6277" w:type="dxa"/>
          </w:tcPr>
          <w:p w14:paraId="2B944893" w14:textId="77777777" w:rsidR="004003D3" w:rsidRPr="003B784D" w:rsidRDefault="004003D3" w:rsidP="00E439A6">
            <w:pPr>
              <w:spacing w:before="60" w:after="60"/>
              <w:rPr>
                <w:sz w:val="16"/>
                <w:szCs w:val="16"/>
              </w:rPr>
            </w:pPr>
            <w:r w:rsidRPr="003B784D">
              <w:rPr>
                <w:sz w:val="16"/>
                <w:szCs w:val="16"/>
              </w:rPr>
              <w:t>More than 1,000 g/m</w:t>
            </w:r>
            <w:r w:rsidRPr="003B784D">
              <w:rPr>
                <w:sz w:val="16"/>
                <w:szCs w:val="16"/>
                <w:vertAlign w:val="superscript"/>
              </w:rPr>
              <w:t>2</w:t>
            </w:r>
            <w:r w:rsidRPr="003B784D">
              <w:rPr>
                <w:sz w:val="16"/>
                <w:szCs w:val="16"/>
              </w:rPr>
              <w:t xml:space="preserve"> of oil during the growing season would be required to impact marsh plants. Similar thresholds have been found in studies assessing oil impacts on mangroves. Threshold is representative of higher level ecological impacts (i.e. ecosystem wide impacts).</w:t>
            </w:r>
          </w:p>
        </w:tc>
      </w:tr>
      <w:tr w:rsidR="004003D3" w:rsidRPr="00183DC2" w14:paraId="5987E04B" w14:textId="77777777" w:rsidTr="004003D3">
        <w:trPr>
          <w:cantSplit/>
        </w:trPr>
        <w:tc>
          <w:tcPr>
            <w:tcW w:w="9112" w:type="dxa"/>
            <w:gridSpan w:val="2"/>
            <w:shd w:val="clear" w:color="auto" w:fill="D9D9D9" w:themeFill="background1" w:themeFillShade="D9"/>
          </w:tcPr>
          <w:p w14:paraId="0B55115D" w14:textId="77777777" w:rsidR="004003D3" w:rsidRPr="003B784D" w:rsidRDefault="004003D3" w:rsidP="00E439A6">
            <w:pPr>
              <w:spacing w:before="60" w:after="60"/>
              <w:rPr>
                <w:b/>
                <w:sz w:val="16"/>
                <w:szCs w:val="16"/>
              </w:rPr>
            </w:pPr>
            <w:r w:rsidRPr="003B784D">
              <w:rPr>
                <w:b/>
                <w:sz w:val="16"/>
                <w:szCs w:val="16"/>
              </w:rPr>
              <w:t>DISSOLVED AROMATIC HYDROCARBONS</w:t>
            </w:r>
          </w:p>
        </w:tc>
      </w:tr>
      <w:tr w:rsidR="004003D3" w:rsidRPr="00183DC2" w14:paraId="130EE503" w14:textId="77777777" w:rsidTr="00B166E1">
        <w:trPr>
          <w:cnfStyle w:val="000000010000" w:firstRow="0" w:lastRow="0" w:firstColumn="0" w:lastColumn="0" w:oddVBand="0" w:evenVBand="0" w:oddHBand="0" w:evenHBand="1" w:firstRowFirstColumn="0" w:firstRowLastColumn="0" w:lastRowFirstColumn="0" w:lastRowLastColumn="0"/>
          <w:cantSplit/>
        </w:trPr>
        <w:tc>
          <w:tcPr>
            <w:tcW w:w="2835" w:type="dxa"/>
          </w:tcPr>
          <w:p w14:paraId="4CB49056" w14:textId="77777777" w:rsidR="004003D3" w:rsidRPr="00EA182B" w:rsidRDefault="004003D3" w:rsidP="00FF2F56">
            <w:pPr>
              <w:pStyle w:val="BodyText2"/>
              <w:spacing w:before="60" w:after="60"/>
              <w:rPr>
                <w:rFonts w:ascii="Arial" w:hAnsi="Arial"/>
                <w:sz w:val="16"/>
                <w:szCs w:val="16"/>
              </w:rPr>
            </w:pPr>
            <w:r w:rsidRPr="00EA182B">
              <w:rPr>
                <w:rFonts w:ascii="Arial" w:hAnsi="Arial"/>
                <w:b/>
                <w:sz w:val="16"/>
                <w:szCs w:val="16"/>
              </w:rPr>
              <w:t>LOW EXPOSURE</w:t>
            </w:r>
            <w:r w:rsidRPr="00EA182B">
              <w:rPr>
                <w:rFonts w:ascii="Arial" w:hAnsi="Arial"/>
                <w:sz w:val="16"/>
                <w:szCs w:val="16"/>
              </w:rPr>
              <w:t xml:space="preserve"> (6 ppb – 96Hr LC</w:t>
            </w:r>
            <w:r w:rsidRPr="00EA182B">
              <w:rPr>
                <w:rFonts w:ascii="Arial" w:hAnsi="Arial"/>
                <w:sz w:val="16"/>
                <w:szCs w:val="16"/>
                <w:vertAlign w:val="subscript"/>
              </w:rPr>
              <w:t>50</w:t>
            </w:r>
            <w:r w:rsidRPr="00EA182B">
              <w:rPr>
                <w:rFonts w:ascii="Arial" w:hAnsi="Arial"/>
                <w:sz w:val="16"/>
                <w:szCs w:val="16"/>
              </w:rPr>
              <w:t>): 576 ppb-hrs</w:t>
            </w:r>
          </w:p>
          <w:p w14:paraId="46120D15" w14:textId="77777777" w:rsidR="004003D3" w:rsidRPr="00EA182B" w:rsidRDefault="004003D3" w:rsidP="00E439A6">
            <w:pPr>
              <w:spacing w:before="60" w:after="60"/>
              <w:rPr>
                <w:sz w:val="16"/>
                <w:szCs w:val="16"/>
              </w:rPr>
            </w:pPr>
            <w:r w:rsidRPr="00EA182B">
              <w:rPr>
                <w:sz w:val="16"/>
                <w:szCs w:val="16"/>
              </w:rPr>
              <w:t>Very Sensitive Species (99% species protection)</w:t>
            </w:r>
          </w:p>
        </w:tc>
        <w:tc>
          <w:tcPr>
            <w:tcW w:w="6277" w:type="dxa"/>
            <w:vMerge w:val="restart"/>
            <w:vAlign w:val="center"/>
          </w:tcPr>
          <w:p w14:paraId="3D8CB04D" w14:textId="557F81D4" w:rsidR="004003D3" w:rsidRPr="003B784D" w:rsidRDefault="00DD4270" w:rsidP="00E439A6">
            <w:pPr>
              <w:spacing w:before="60" w:after="60"/>
              <w:rPr>
                <w:sz w:val="16"/>
                <w:szCs w:val="16"/>
              </w:rPr>
            </w:pPr>
            <w:r>
              <w:rPr>
                <w:sz w:val="16"/>
                <w:szCs w:val="16"/>
              </w:rPr>
              <w:t>French-</w:t>
            </w:r>
            <w:r w:rsidR="004003D3" w:rsidRPr="003B784D">
              <w:rPr>
                <w:sz w:val="16"/>
                <w:szCs w:val="16"/>
              </w:rPr>
              <w:t>McCay (2002) undertook a global review of available ecotoxicity data for multiple species across a wide taxonomic range to estimate the magnitude of toxicity effects to marine biota.  This included 115 fish species, 129 crustacean species and 34 other invertebrate species which were predominantly derived from species at their most sensitive early life stages (i.e. eggs, larvae and juveniles). As early life stages are more sensitive than adults, results of the review represent conservative values.</w:t>
            </w:r>
          </w:p>
          <w:p w14:paraId="5954535C" w14:textId="77777777" w:rsidR="004003D3" w:rsidRPr="003B784D" w:rsidRDefault="004003D3" w:rsidP="00E439A6">
            <w:pPr>
              <w:spacing w:before="60" w:after="60"/>
              <w:rPr>
                <w:sz w:val="16"/>
                <w:szCs w:val="16"/>
              </w:rPr>
            </w:pPr>
            <w:r w:rsidRPr="003B784D">
              <w:rPr>
                <w:sz w:val="16"/>
                <w:szCs w:val="16"/>
              </w:rPr>
              <w:t>The outcomes of the review established lethal effects concentrations to fish and invertebrates (LC</w:t>
            </w:r>
            <w:r w:rsidRPr="003B784D">
              <w:rPr>
                <w:sz w:val="16"/>
                <w:szCs w:val="16"/>
                <w:vertAlign w:val="subscript"/>
              </w:rPr>
              <w:t>50</w:t>
            </w:r>
            <w:r w:rsidRPr="003B784D">
              <w:rPr>
                <w:sz w:val="16"/>
                <w:szCs w:val="16"/>
              </w:rPr>
              <w:t>) from dissolved aromatic hydrocarbons over a period of 96hrs, under different environmental conditions. Concentrations varied from 6ppb to 400ppb with an average of 50ppb for Poly-aromatic Hydrocarbon (PAH) components. On this basis, LC</w:t>
            </w:r>
            <w:r w:rsidRPr="003B784D">
              <w:rPr>
                <w:sz w:val="16"/>
                <w:szCs w:val="16"/>
                <w:vertAlign w:val="subscript"/>
              </w:rPr>
              <w:t>50</w:t>
            </w:r>
            <w:r w:rsidRPr="003B784D">
              <w:rPr>
                <w:sz w:val="16"/>
                <w:szCs w:val="16"/>
              </w:rPr>
              <w:t xml:space="preserve"> values of 6ppb (99% species protection); 50ppb (95% species protection) and 400ppb (50% species protection) represent the range of exposures which could elicit a toxic response.</w:t>
            </w:r>
          </w:p>
        </w:tc>
      </w:tr>
      <w:tr w:rsidR="004003D3" w:rsidRPr="00183DC2" w14:paraId="12F4BB22" w14:textId="77777777" w:rsidTr="004003D3">
        <w:trPr>
          <w:cantSplit/>
        </w:trPr>
        <w:tc>
          <w:tcPr>
            <w:tcW w:w="2835" w:type="dxa"/>
          </w:tcPr>
          <w:p w14:paraId="3D746FD8" w14:textId="77777777" w:rsidR="004003D3" w:rsidRPr="00EA182B" w:rsidRDefault="004003D3" w:rsidP="00FF2F56">
            <w:pPr>
              <w:pStyle w:val="BodyText2"/>
              <w:spacing w:before="60" w:after="60"/>
              <w:rPr>
                <w:rFonts w:ascii="Arial" w:hAnsi="Arial"/>
                <w:sz w:val="16"/>
                <w:szCs w:val="16"/>
              </w:rPr>
            </w:pPr>
            <w:r w:rsidRPr="00EA182B">
              <w:rPr>
                <w:rFonts w:ascii="Arial" w:hAnsi="Arial"/>
                <w:b/>
                <w:sz w:val="16"/>
                <w:szCs w:val="16"/>
              </w:rPr>
              <w:t>MODERATE EXPOSURE</w:t>
            </w:r>
            <w:r w:rsidRPr="00EA182B">
              <w:rPr>
                <w:rFonts w:ascii="Arial" w:hAnsi="Arial"/>
                <w:sz w:val="16"/>
                <w:szCs w:val="16"/>
              </w:rPr>
              <w:t xml:space="preserve"> (50 ppb – 96Hr LC</w:t>
            </w:r>
            <w:r w:rsidRPr="00EA182B">
              <w:rPr>
                <w:rFonts w:ascii="Arial" w:hAnsi="Arial"/>
                <w:sz w:val="16"/>
                <w:szCs w:val="16"/>
                <w:vertAlign w:val="subscript"/>
              </w:rPr>
              <w:t>50</w:t>
            </w:r>
            <w:r w:rsidRPr="00EA182B">
              <w:rPr>
                <w:rFonts w:ascii="Arial" w:hAnsi="Arial"/>
                <w:sz w:val="16"/>
                <w:szCs w:val="16"/>
              </w:rPr>
              <w:t>): 4,800 ppb-hrs</w:t>
            </w:r>
          </w:p>
          <w:p w14:paraId="36F37D72" w14:textId="77777777" w:rsidR="004003D3" w:rsidRPr="00EA182B" w:rsidRDefault="004003D3" w:rsidP="00E439A6">
            <w:pPr>
              <w:spacing w:before="60" w:after="60"/>
              <w:rPr>
                <w:sz w:val="16"/>
                <w:szCs w:val="16"/>
              </w:rPr>
            </w:pPr>
            <w:r w:rsidRPr="00EA182B">
              <w:rPr>
                <w:sz w:val="16"/>
                <w:szCs w:val="16"/>
              </w:rPr>
              <w:t>Average sensitive species (95% species protection)</w:t>
            </w:r>
          </w:p>
        </w:tc>
        <w:tc>
          <w:tcPr>
            <w:tcW w:w="6277" w:type="dxa"/>
            <w:vMerge/>
          </w:tcPr>
          <w:p w14:paraId="36205F4C" w14:textId="77777777" w:rsidR="004003D3" w:rsidRPr="00061EC5" w:rsidRDefault="004003D3" w:rsidP="00E439A6">
            <w:pPr>
              <w:spacing w:before="60" w:after="60"/>
              <w:rPr>
                <w:sz w:val="16"/>
                <w:szCs w:val="16"/>
              </w:rPr>
            </w:pPr>
          </w:p>
        </w:tc>
      </w:tr>
      <w:tr w:rsidR="004003D3" w:rsidRPr="00183DC2" w14:paraId="4CD7F663" w14:textId="77777777" w:rsidTr="004003D3">
        <w:trPr>
          <w:cnfStyle w:val="000000010000" w:firstRow="0" w:lastRow="0" w:firstColumn="0" w:lastColumn="0" w:oddVBand="0" w:evenVBand="0" w:oddHBand="0" w:evenHBand="1" w:firstRowFirstColumn="0" w:firstRowLastColumn="0" w:lastRowFirstColumn="0" w:lastRowLastColumn="0"/>
          <w:cantSplit/>
        </w:trPr>
        <w:tc>
          <w:tcPr>
            <w:tcW w:w="2835" w:type="dxa"/>
          </w:tcPr>
          <w:p w14:paraId="51BBB6A1" w14:textId="77777777" w:rsidR="004003D3" w:rsidRPr="00EA182B" w:rsidRDefault="004003D3" w:rsidP="00FF2F56">
            <w:pPr>
              <w:pStyle w:val="BodyText2"/>
              <w:spacing w:before="60" w:after="60"/>
              <w:rPr>
                <w:rFonts w:ascii="Arial" w:hAnsi="Arial"/>
                <w:sz w:val="16"/>
                <w:szCs w:val="16"/>
              </w:rPr>
            </w:pPr>
            <w:r w:rsidRPr="00EA182B">
              <w:rPr>
                <w:rFonts w:ascii="Arial" w:hAnsi="Arial"/>
                <w:b/>
                <w:sz w:val="16"/>
                <w:szCs w:val="16"/>
              </w:rPr>
              <w:t>HIGH EXPOSURE</w:t>
            </w:r>
            <w:r w:rsidRPr="00EA182B">
              <w:rPr>
                <w:rFonts w:ascii="Arial" w:hAnsi="Arial"/>
                <w:sz w:val="16"/>
                <w:szCs w:val="16"/>
              </w:rPr>
              <w:t xml:space="preserve"> (400 ppb – 96Hr LC</w:t>
            </w:r>
            <w:r w:rsidRPr="00EA182B">
              <w:rPr>
                <w:rFonts w:ascii="Arial" w:hAnsi="Arial"/>
                <w:sz w:val="16"/>
                <w:szCs w:val="16"/>
                <w:vertAlign w:val="subscript"/>
              </w:rPr>
              <w:t>50</w:t>
            </w:r>
            <w:r w:rsidRPr="00EA182B">
              <w:rPr>
                <w:rFonts w:ascii="Arial" w:hAnsi="Arial"/>
                <w:sz w:val="16"/>
                <w:szCs w:val="16"/>
              </w:rPr>
              <w:t>): 38,400 ppb-hrs</w:t>
            </w:r>
          </w:p>
          <w:p w14:paraId="295A2FEE" w14:textId="77777777" w:rsidR="004003D3" w:rsidRPr="00EA182B" w:rsidRDefault="004003D3" w:rsidP="00E439A6">
            <w:pPr>
              <w:spacing w:before="60" w:after="60"/>
              <w:rPr>
                <w:sz w:val="16"/>
                <w:szCs w:val="16"/>
              </w:rPr>
            </w:pPr>
            <w:r w:rsidRPr="00EA182B">
              <w:rPr>
                <w:sz w:val="16"/>
                <w:szCs w:val="16"/>
              </w:rPr>
              <w:t>Tolerant species (50% species protection)</w:t>
            </w:r>
          </w:p>
        </w:tc>
        <w:tc>
          <w:tcPr>
            <w:tcW w:w="6277" w:type="dxa"/>
            <w:vMerge/>
          </w:tcPr>
          <w:p w14:paraId="03ED9774" w14:textId="77777777" w:rsidR="004003D3" w:rsidRPr="00061EC5" w:rsidRDefault="004003D3" w:rsidP="00E439A6">
            <w:pPr>
              <w:spacing w:before="60" w:after="60"/>
              <w:rPr>
                <w:sz w:val="16"/>
                <w:szCs w:val="16"/>
              </w:rPr>
            </w:pPr>
          </w:p>
        </w:tc>
      </w:tr>
      <w:tr w:rsidR="004003D3" w:rsidRPr="00183DC2" w14:paraId="5F14F882" w14:textId="77777777" w:rsidTr="004003D3">
        <w:trPr>
          <w:cantSplit/>
        </w:trPr>
        <w:tc>
          <w:tcPr>
            <w:tcW w:w="9112" w:type="dxa"/>
            <w:gridSpan w:val="2"/>
            <w:shd w:val="clear" w:color="auto" w:fill="D9D9D9" w:themeFill="background1" w:themeFillShade="D9"/>
          </w:tcPr>
          <w:p w14:paraId="1414051D" w14:textId="77777777" w:rsidR="004003D3" w:rsidRPr="002B52D0" w:rsidRDefault="004003D3" w:rsidP="00E439A6">
            <w:pPr>
              <w:spacing w:before="60" w:after="60"/>
              <w:rPr>
                <w:b/>
                <w:sz w:val="16"/>
                <w:szCs w:val="16"/>
              </w:rPr>
            </w:pPr>
            <w:r w:rsidRPr="002B52D0">
              <w:rPr>
                <w:b/>
                <w:sz w:val="16"/>
                <w:szCs w:val="16"/>
              </w:rPr>
              <w:t>ENTRAINED PHASE HYDROCARBONS</w:t>
            </w:r>
          </w:p>
        </w:tc>
      </w:tr>
      <w:tr w:rsidR="004003D3" w:rsidRPr="00183DC2" w14:paraId="7BA18F50" w14:textId="77777777" w:rsidTr="004003D3">
        <w:trPr>
          <w:cnfStyle w:val="000000010000" w:firstRow="0" w:lastRow="0" w:firstColumn="0" w:lastColumn="0" w:oddVBand="0" w:evenVBand="0" w:oddHBand="0" w:evenHBand="1" w:firstRowFirstColumn="0" w:firstRowLastColumn="0" w:lastRowFirstColumn="0" w:lastRowLastColumn="0"/>
          <w:cantSplit/>
        </w:trPr>
        <w:tc>
          <w:tcPr>
            <w:tcW w:w="2835" w:type="dxa"/>
          </w:tcPr>
          <w:p w14:paraId="428E7E4D" w14:textId="77777777" w:rsidR="004003D3" w:rsidRPr="0020076F" w:rsidRDefault="004003D3" w:rsidP="00E439A6">
            <w:pPr>
              <w:spacing w:before="60" w:after="60"/>
              <w:rPr>
                <w:sz w:val="16"/>
                <w:szCs w:val="16"/>
              </w:rPr>
            </w:pPr>
            <w:r w:rsidRPr="0020076F">
              <w:rPr>
                <w:b/>
                <w:sz w:val="16"/>
                <w:szCs w:val="16"/>
              </w:rPr>
              <w:t>LOW EXPOSURE</w:t>
            </w:r>
            <w:r w:rsidRPr="0020076F">
              <w:rPr>
                <w:sz w:val="16"/>
                <w:szCs w:val="16"/>
              </w:rPr>
              <w:t xml:space="preserve"> (7 ppb – 96Hr LC</w:t>
            </w:r>
            <w:r w:rsidRPr="0020076F">
              <w:rPr>
                <w:sz w:val="16"/>
                <w:szCs w:val="16"/>
                <w:vertAlign w:val="subscript"/>
              </w:rPr>
              <w:t>50</w:t>
            </w:r>
            <w:r w:rsidRPr="0020076F">
              <w:rPr>
                <w:sz w:val="16"/>
                <w:szCs w:val="16"/>
              </w:rPr>
              <w:t>): 672 ppb-hrs</w:t>
            </w:r>
          </w:p>
          <w:p w14:paraId="6F90191A" w14:textId="77777777" w:rsidR="004003D3" w:rsidRPr="0020076F" w:rsidRDefault="004003D3" w:rsidP="00E439A6">
            <w:pPr>
              <w:spacing w:before="60" w:after="60"/>
              <w:rPr>
                <w:sz w:val="16"/>
                <w:szCs w:val="16"/>
              </w:rPr>
            </w:pPr>
            <w:r w:rsidRPr="0020076F">
              <w:rPr>
                <w:sz w:val="16"/>
                <w:szCs w:val="16"/>
              </w:rPr>
              <w:t>Very Sensitive Species (99% species protection)</w:t>
            </w:r>
          </w:p>
        </w:tc>
        <w:tc>
          <w:tcPr>
            <w:tcW w:w="6277" w:type="dxa"/>
          </w:tcPr>
          <w:p w14:paraId="061FDF14" w14:textId="77777777" w:rsidR="004003D3" w:rsidRPr="003B784D" w:rsidRDefault="004003D3" w:rsidP="00E439A6">
            <w:pPr>
              <w:spacing w:before="60" w:after="60"/>
              <w:rPr>
                <w:sz w:val="16"/>
                <w:szCs w:val="16"/>
              </w:rPr>
            </w:pPr>
            <w:r w:rsidRPr="003B784D">
              <w:rPr>
                <w:sz w:val="16"/>
                <w:szCs w:val="16"/>
              </w:rPr>
              <w:t>The Predicted No Effects Concentration (PNEC) (1% affected fraction) accords with the ‘trigger value’ of 7ppb (Total Petroleum Hydrocarbon (TPH)) (99% species protection) (ANZECC, 2000) derived by Tsvetnenko (1998). This acts as conservative estimate of TPH water quality criteria to protect aquatic biota at constant discharge rates to the environment.</w:t>
            </w:r>
          </w:p>
          <w:p w14:paraId="0FBDB3A6" w14:textId="77777777" w:rsidR="004003D3" w:rsidRPr="004705DB" w:rsidRDefault="004003D3" w:rsidP="00E439A6">
            <w:pPr>
              <w:spacing w:before="60" w:after="60"/>
              <w:rPr>
                <w:b/>
                <w:i/>
                <w:sz w:val="16"/>
                <w:szCs w:val="16"/>
              </w:rPr>
            </w:pPr>
            <w:r w:rsidRPr="004705DB">
              <w:rPr>
                <w:b/>
                <w:i/>
                <w:sz w:val="16"/>
                <w:szCs w:val="16"/>
              </w:rPr>
              <w:t>This threshold has been selected to define the entrained phase EMBA.</w:t>
            </w:r>
          </w:p>
        </w:tc>
      </w:tr>
      <w:tr w:rsidR="004003D3" w:rsidRPr="00183DC2" w14:paraId="09AFE43E" w14:textId="77777777" w:rsidTr="004003D3">
        <w:trPr>
          <w:cantSplit/>
        </w:trPr>
        <w:tc>
          <w:tcPr>
            <w:tcW w:w="2835" w:type="dxa"/>
          </w:tcPr>
          <w:p w14:paraId="0003F01F" w14:textId="77777777" w:rsidR="004003D3" w:rsidRPr="0020076F" w:rsidRDefault="004003D3" w:rsidP="00E439A6">
            <w:pPr>
              <w:spacing w:before="60" w:after="60"/>
              <w:rPr>
                <w:sz w:val="16"/>
                <w:szCs w:val="16"/>
              </w:rPr>
            </w:pPr>
            <w:r w:rsidRPr="0020076F">
              <w:rPr>
                <w:b/>
                <w:sz w:val="16"/>
                <w:szCs w:val="16"/>
              </w:rPr>
              <w:t>MODERATE EXPOSURE</w:t>
            </w:r>
            <w:r w:rsidRPr="0020076F">
              <w:rPr>
                <w:sz w:val="16"/>
                <w:szCs w:val="16"/>
              </w:rPr>
              <w:t xml:space="preserve"> (70.5 ppb – 96Hr LC</w:t>
            </w:r>
            <w:r w:rsidRPr="0020076F">
              <w:rPr>
                <w:sz w:val="16"/>
                <w:szCs w:val="16"/>
                <w:vertAlign w:val="subscript"/>
              </w:rPr>
              <w:t>50</w:t>
            </w:r>
            <w:r w:rsidRPr="0020076F">
              <w:rPr>
                <w:sz w:val="16"/>
                <w:szCs w:val="16"/>
              </w:rPr>
              <w:t>): 6768 ppb-hrs</w:t>
            </w:r>
          </w:p>
          <w:p w14:paraId="321F72B6" w14:textId="77777777" w:rsidR="004003D3" w:rsidRPr="0020076F" w:rsidRDefault="004003D3" w:rsidP="00E439A6">
            <w:pPr>
              <w:spacing w:before="60" w:after="60"/>
              <w:rPr>
                <w:sz w:val="16"/>
                <w:szCs w:val="16"/>
              </w:rPr>
            </w:pPr>
            <w:r w:rsidRPr="0020076F">
              <w:rPr>
                <w:sz w:val="16"/>
                <w:szCs w:val="16"/>
              </w:rPr>
              <w:t>Average sensitive species (95% species protection)</w:t>
            </w:r>
          </w:p>
        </w:tc>
        <w:tc>
          <w:tcPr>
            <w:tcW w:w="6277" w:type="dxa"/>
            <w:vMerge w:val="restart"/>
          </w:tcPr>
          <w:p w14:paraId="08E043AD" w14:textId="3DEBBBA5" w:rsidR="00CE5AF4" w:rsidRDefault="004003D3" w:rsidP="00E439A6">
            <w:pPr>
              <w:spacing w:before="60" w:after="60"/>
              <w:rPr>
                <w:sz w:val="16"/>
                <w:szCs w:val="16"/>
              </w:rPr>
            </w:pPr>
            <w:r w:rsidRPr="003B784D">
              <w:rPr>
                <w:sz w:val="16"/>
                <w:szCs w:val="16"/>
              </w:rPr>
              <w:t>Scholten et al (1993; cited in Smit et al, 2008) undertook a review of No Observable Effects Concentrations (NOECs) for 26 marine organisms exposed to several types of oils. All test exposures focussed on whole-organism effects (reproduction, growth and survival) and test exposure times exceeded 7 days to represent chronic exposure of 17 marine species from five taxonomic groups. A species sensitivity distribution (SSD) curve was constructed based upon these chronic</w:t>
            </w:r>
            <w:r w:rsidR="00B166E1">
              <w:rPr>
                <w:sz w:val="16"/>
                <w:szCs w:val="16"/>
              </w:rPr>
              <w:t xml:space="preserve"> </w:t>
            </w:r>
            <w:r w:rsidRPr="003B784D">
              <w:rPr>
                <w:sz w:val="16"/>
                <w:szCs w:val="16"/>
              </w:rPr>
              <w:t>NOECs, and Predicted No Effects Concentration (PNEC) or Hazardous Concentration (HC5) of 70.5 ppb (THC) (95% species protection) and HC50 of 804ppb (50% species protection) were determined.</w:t>
            </w:r>
          </w:p>
          <w:p w14:paraId="3E371591" w14:textId="17A4976E" w:rsidR="00CE5AF4" w:rsidRDefault="004003D3" w:rsidP="00E439A6">
            <w:pPr>
              <w:spacing w:before="60" w:after="60"/>
              <w:rPr>
                <w:sz w:val="16"/>
                <w:szCs w:val="16"/>
              </w:rPr>
            </w:pPr>
            <w:r w:rsidRPr="00083759">
              <w:rPr>
                <w:i/>
                <w:sz w:val="16"/>
                <w:szCs w:val="16"/>
              </w:rPr>
              <w:t>The HC5 based upon chronic NOECs serves as the threshold for the protection of ecological structure, which is considered more sensitive than ecosystem functioning.</w:t>
            </w:r>
            <w:r w:rsidRPr="003B784D">
              <w:rPr>
                <w:sz w:val="16"/>
                <w:szCs w:val="16"/>
              </w:rPr>
              <w:t xml:space="preserve"> </w:t>
            </w:r>
          </w:p>
          <w:p w14:paraId="7B80725A" w14:textId="62433883" w:rsidR="004003D3" w:rsidRPr="003B784D" w:rsidRDefault="004003D3" w:rsidP="00E439A6">
            <w:pPr>
              <w:spacing w:before="60" w:after="60"/>
              <w:rPr>
                <w:sz w:val="16"/>
                <w:szCs w:val="16"/>
              </w:rPr>
            </w:pPr>
            <w:r w:rsidRPr="003B784D">
              <w:rPr>
                <w:sz w:val="16"/>
                <w:szCs w:val="16"/>
              </w:rPr>
              <w:t>As identified in OSPAR (2012), the HC5 (or PNEC) is considered the maximum continuous (chronic) concentration level for total hydrocarbons in Produced Formation Water discharges in the North Sea, one of the most concentrated areas in the world for oil and gas production. This ‘threshold’ approach is considered representative of ‘weathered’ entrained MDO in the water column, given the low level of aromatics within the fuel, the rapid evaporation of lighter ends on release (surface) and water-washing of entrained hydrocarbons within the marine environment in the first 24hrs.</w:t>
            </w:r>
          </w:p>
        </w:tc>
      </w:tr>
      <w:tr w:rsidR="004003D3" w:rsidRPr="00183DC2" w14:paraId="04EEA4FA" w14:textId="77777777" w:rsidTr="004003D3">
        <w:trPr>
          <w:cnfStyle w:val="000000010000" w:firstRow="0" w:lastRow="0" w:firstColumn="0" w:lastColumn="0" w:oddVBand="0" w:evenVBand="0" w:oddHBand="0" w:evenHBand="1" w:firstRowFirstColumn="0" w:firstRowLastColumn="0" w:lastRowFirstColumn="0" w:lastRowLastColumn="0"/>
          <w:cantSplit/>
        </w:trPr>
        <w:tc>
          <w:tcPr>
            <w:tcW w:w="2835" w:type="dxa"/>
          </w:tcPr>
          <w:p w14:paraId="3BD3CBDB" w14:textId="77777777" w:rsidR="004003D3" w:rsidRPr="0020076F" w:rsidRDefault="004003D3" w:rsidP="00E439A6">
            <w:pPr>
              <w:spacing w:before="60" w:after="60"/>
              <w:rPr>
                <w:sz w:val="16"/>
                <w:szCs w:val="16"/>
              </w:rPr>
            </w:pPr>
            <w:r w:rsidRPr="0020076F">
              <w:rPr>
                <w:b/>
                <w:sz w:val="16"/>
                <w:szCs w:val="16"/>
              </w:rPr>
              <w:t>HIGH EXPOSURE</w:t>
            </w:r>
            <w:r w:rsidRPr="0020076F">
              <w:rPr>
                <w:sz w:val="16"/>
                <w:szCs w:val="16"/>
              </w:rPr>
              <w:t xml:space="preserve"> (804 ppb – 96Hr LC</w:t>
            </w:r>
            <w:r w:rsidRPr="0020076F">
              <w:rPr>
                <w:sz w:val="16"/>
                <w:szCs w:val="16"/>
                <w:vertAlign w:val="subscript"/>
              </w:rPr>
              <w:t>50</w:t>
            </w:r>
            <w:r w:rsidRPr="0020076F">
              <w:rPr>
                <w:sz w:val="16"/>
                <w:szCs w:val="16"/>
              </w:rPr>
              <w:t>): 77,184 ppb-hrs</w:t>
            </w:r>
          </w:p>
          <w:p w14:paraId="47406647" w14:textId="77777777" w:rsidR="004003D3" w:rsidRPr="00183DC2" w:rsidRDefault="004003D3" w:rsidP="00E439A6">
            <w:pPr>
              <w:spacing w:before="60" w:after="60"/>
              <w:rPr>
                <w:sz w:val="16"/>
                <w:szCs w:val="16"/>
              </w:rPr>
            </w:pPr>
            <w:r w:rsidRPr="0020076F">
              <w:rPr>
                <w:sz w:val="16"/>
                <w:szCs w:val="16"/>
              </w:rPr>
              <w:t>Tolerant species (50% species protection)</w:t>
            </w:r>
          </w:p>
        </w:tc>
        <w:tc>
          <w:tcPr>
            <w:tcW w:w="6277" w:type="dxa"/>
            <w:vMerge/>
          </w:tcPr>
          <w:p w14:paraId="0CA083D8" w14:textId="77777777" w:rsidR="004003D3" w:rsidRPr="00061EC5" w:rsidRDefault="004003D3" w:rsidP="00E439A6">
            <w:pPr>
              <w:spacing w:before="60" w:after="60"/>
              <w:rPr>
                <w:sz w:val="16"/>
                <w:szCs w:val="16"/>
              </w:rPr>
            </w:pPr>
          </w:p>
        </w:tc>
      </w:tr>
    </w:tbl>
    <w:p w14:paraId="2657E23C" w14:textId="77777777" w:rsidR="004003D3" w:rsidRDefault="004003D3" w:rsidP="001313DC">
      <w:pPr>
        <w:pStyle w:val="Bullet1"/>
        <w:numPr>
          <w:ilvl w:val="0"/>
          <w:numId w:val="0"/>
        </w:numPr>
        <w:ind w:left="567"/>
      </w:pPr>
    </w:p>
    <w:p w14:paraId="49774538" w14:textId="483F4A05" w:rsidR="00C6122A" w:rsidRDefault="00C6122A" w:rsidP="00C6122A">
      <w:pPr>
        <w:pStyle w:val="Bullet1"/>
        <w:numPr>
          <w:ilvl w:val="0"/>
          <w:numId w:val="0"/>
        </w:numPr>
      </w:pPr>
    </w:p>
    <w:p w14:paraId="3A7293A3" w14:textId="4E62A7F5" w:rsidR="00E256F5" w:rsidRPr="002E33B5" w:rsidRDefault="001212FE" w:rsidP="00B86A7D">
      <w:pPr>
        <w:pStyle w:val="Caption"/>
        <w:outlineLvl w:val="9"/>
        <w:rPr>
          <w:sz w:val="20"/>
          <w:szCs w:val="20"/>
        </w:rPr>
      </w:pPr>
      <w:bookmarkStart w:id="255" w:name="_Toc511032610"/>
      <w:r w:rsidRPr="001212FE">
        <w:rPr>
          <w:sz w:val="20"/>
          <w:szCs w:val="20"/>
        </w:rPr>
        <w:lastRenderedPageBreak/>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19</w:t>
      </w:r>
      <w:r w:rsidR="00103328">
        <w:rPr>
          <w:sz w:val="20"/>
          <w:szCs w:val="20"/>
        </w:rPr>
        <w:fldChar w:fldCharType="end"/>
      </w:r>
      <w:r w:rsidRPr="001212FE">
        <w:rPr>
          <w:sz w:val="20"/>
          <w:szCs w:val="20"/>
        </w:rPr>
        <w:t>: Condensate spill modelling summary results</w:t>
      </w:r>
      <w:bookmarkEnd w:id="255"/>
      <w:r w:rsidRPr="001212FE">
        <w:rPr>
          <w:sz w:val="20"/>
          <w:szCs w:val="20"/>
        </w:rPr>
        <w:t xml:space="preserve"> </w:t>
      </w:r>
    </w:p>
    <w:tbl>
      <w:tblPr>
        <w:tblW w:w="9214" w:type="dxa"/>
        <w:tblInd w:w="-8"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149"/>
        <w:gridCol w:w="1096"/>
        <w:gridCol w:w="3575"/>
        <w:gridCol w:w="3396"/>
        <w:gridCol w:w="120"/>
        <w:gridCol w:w="878"/>
      </w:tblGrid>
      <w:tr w:rsidR="00C6122A" w:rsidRPr="00C75D7F" w14:paraId="214AF1DB" w14:textId="77777777" w:rsidTr="00E439A6">
        <w:trPr>
          <w:gridBefore w:val="1"/>
          <w:wBefore w:w="149" w:type="dxa"/>
        </w:trPr>
        <w:tc>
          <w:tcPr>
            <w:tcW w:w="1096" w:type="dxa"/>
            <w:tcBorders>
              <w:right w:val="nil"/>
            </w:tcBorders>
            <w:shd w:val="clear" w:color="auto" w:fill="BFBFBF" w:themeFill="background1" w:themeFillShade="BF"/>
          </w:tcPr>
          <w:p w14:paraId="334AAD19" w14:textId="4FAA7A69" w:rsidR="00C6122A" w:rsidRPr="00E439A6" w:rsidRDefault="00C6122A" w:rsidP="00E439A6">
            <w:pPr>
              <w:pStyle w:val="Bullet1"/>
              <w:numPr>
                <w:ilvl w:val="0"/>
                <w:numId w:val="0"/>
              </w:numPr>
              <w:spacing w:before="60" w:after="60"/>
              <w:rPr>
                <w:rFonts w:cs="Arial"/>
                <w:b/>
                <w:sz w:val="16"/>
                <w:szCs w:val="16"/>
              </w:rPr>
            </w:pPr>
          </w:p>
        </w:tc>
        <w:tc>
          <w:tcPr>
            <w:tcW w:w="3575" w:type="dxa"/>
            <w:tcBorders>
              <w:left w:val="nil"/>
              <w:right w:val="nil"/>
            </w:tcBorders>
            <w:shd w:val="clear" w:color="auto" w:fill="BFBFBF" w:themeFill="background1" w:themeFillShade="BF"/>
          </w:tcPr>
          <w:p w14:paraId="5CE3AD4A" w14:textId="1CABA12F" w:rsidR="00C6122A" w:rsidRPr="00E439A6" w:rsidRDefault="00C6122A" w:rsidP="00E439A6">
            <w:pPr>
              <w:pStyle w:val="Bullet1"/>
              <w:numPr>
                <w:ilvl w:val="0"/>
                <w:numId w:val="0"/>
              </w:numPr>
              <w:spacing w:before="60" w:after="60"/>
              <w:rPr>
                <w:rFonts w:cs="Arial"/>
                <w:b/>
                <w:sz w:val="16"/>
                <w:szCs w:val="16"/>
              </w:rPr>
            </w:pPr>
            <w:r w:rsidRPr="00E439A6">
              <w:rPr>
                <w:rFonts w:cs="Arial"/>
                <w:b/>
                <w:sz w:val="16"/>
                <w:szCs w:val="16"/>
              </w:rPr>
              <w:t>Pipeline leak (5 mm hole @ 3,500 kPa)</w:t>
            </w:r>
          </w:p>
        </w:tc>
        <w:tc>
          <w:tcPr>
            <w:tcW w:w="4394" w:type="dxa"/>
            <w:gridSpan w:val="3"/>
            <w:tcBorders>
              <w:left w:val="nil"/>
            </w:tcBorders>
            <w:shd w:val="clear" w:color="auto" w:fill="BFBFBF" w:themeFill="background1" w:themeFillShade="BF"/>
          </w:tcPr>
          <w:p w14:paraId="1C606891" w14:textId="52A1BB09" w:rsidR="00C6122A" w:rsidRPr="00E439A6" w:rsidRDefault="00C6122A" w:rsidP="00E439A6">
            <w:pPr>
              <w:pStyle w:val="Bullet1"/>
              <w:numPr>
                <w:ilvl w:val="0"/>
                <w:numId w:val="0"/>
              </w:numPr>
              <w:spacing w:before="60" w:after="60"/>
              <w:rPr>
                <w:rFonts w:cs="Arial"/>
                <w:b/>
                <w:sz w:val="16"/>
                <w:szCs w:val="16"/>
              </w:rPr>
            </w:pPr>
            <w:r w:rsidRPr="00E439A6">
              <w:rPr>
                <w:rFonts w:cs="Arial"/>
                <w:b/>
                <w:sz w:val="16"/>
                <w:szCs w:val="16"/>
              </w:rPr>
              <w:t>Pipeline rupture (300 mm [pipeline diameter] @ 3,500 kPa)</w:t>
            </w:r>
          </w:p>
        </w:tc>
      </w:tr>
      <w:tr w:rsidR="00C6122A" w:rsidRPr="0079374A" w14:paraId="61507AA9" w14:textId="77777777" w:rsidTr="00C6122A">
        <w:trPr>
          <w:gridBefore w:val="1"/>
          <w:wBefore w:w="149" w:type="dxa"/>
        </w:trPr>
        <w:tc>
          <w:tcPr>
            <w:tcW w:w="1096" w:type="dxa"/>
            <w:shd w:val="clear" w:color="auto" w:fill="auto"/>
          </w:tcPr>
          <w:p w14:paraId="7414C84B" w14:textId="02507DA1"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Low exposure</w:t>
            </w:r>
          </w:p>
        </w:tc>
        <w:tc>
          <w:tcPr>
            <w:tcW w:w="3575" w:type="dxa"/>
            <w:shd w:val="clear" w:color="auto" w:fill="auto"/>
          </w:tcPr>
          <w:p w14:paraId="3F2CE786" w14:textId="2451EBE5"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92% chance of shoreline contact (5 km section of shore), taking 1 hour to reach the shore, with a maximum stranding volume of 0.5 m</w:t>
            </w:r>
            <w:r w:rsidRPr="00E25547">
              <w:rPr>
                <w:rFonts w:cs="Arial"/>
                <w:sz w:val="16"/>
                <w:szCs w:val="16"/>
                <w:vertAlign w:val="superscript"/>
              </w:rPr>
              <w:t>3</w:t>
            </w:r>
            <w:r w:rsidRPr="00E25547">
              <w:rPr>
                <w:rFonts w:cs="Arial"/>
                <w:sz w:val="16"/>
                <w:szCs w:val="16"/>
              </w:rPr>
              <w:t xml:space="preserve">. This exposure zone would remain concentrated within an 18 km radius of the release site and a 6 km section of coastline </w:t>
            </w:r>
          </w:p>
        </w:tc>
        <w:tc>
          <w:tcPr>
            <w:tcW w:w="4394" w:type="dxa"/>
            <w:gridSpan w:val="3"/>
            <w:shd w:val="clear" w:color="auto" w:fill="auto"/>
          </w:tcPr>
          <w:p w14:paraId="71DBC4A2" w14:textId="32E251FE"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No visible hydrocarbons after 7 hours. Concentrated within a 2.75 km distance (ENE) of the release point with a 5% chance of shoreline contact, taking 1 hour to reach the shore, resulting in a maximum stranding volume of 1.25 m</w:t>
            </w:r>
            <w:r w:rsidRPr="00E25547">
              <w:rPr>
                <w:rFonts w:cs="Arial"/>
                <w:sz w:val="16"/>
                <w:szCs w:val="16"/>
                <w:vertAlign w:val="superscript"/>
              </w:rPr>
              <w:t>3</w:t>
            </w:r>
            <w:r w:rsidRPr="00E25547">
              <w:rPr>
                <w:rFonts w:cs="Arial"/>
                <w:sz w:val="16"/>
                <w:szCs w:val="16"/>
              </w:rPr>
              <w:t xml:space="preserve"> </w:t>
            </w:r>
          </w:p>
        </w:tc>
      </w:tr>
      <w:tr w:rsidR="00C6122A" w:rsidRPr="0079374A" w14:paraId="0A0CAB1C" w14:textId="77777777" w:rsidTr="00C6122A">
        <w:trPr>
          <w:gridBefore w:val="1"/>
          <w:wBefore w:w="149" w:type="dxa"/>
        </w:trPr>
        <w:tc>
          <w:tcPr>
            <w:tcW w:w="1096" w:type="dxa"/>
            <w:shd w:val="clear" w:color="auto" w:fill="F2F2F2"/>
          </w:tcPr>
          <w:p w14:paraId="5E37085B" w14:textId="15984C91"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Moderate exposure</w:t>
            </w:r>
          </w:p>
        </w:tc>
        <w:tc>
          <w:tcPr>
            <w:tcW w:w="3575" w:type="dxa"/>
            <w:shd w:val="clear" w:color="auto" w:fill="F2F2F2"/>
          </w:tcPr>
          <w:p w14:paraId="7955A38B" w14:textId="012EEBEB"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 xml:space="preserve">No moderate zones predicted for this scenario. </w:t>
            </w:r>
          </w:p>
        </w:tc>
        <w:tc>
          <w:tcPr>
            <w:tcW w:w="4394" w:type="dxa"/>
            <w:gridSpan w:val="3"/>
            <w:shd w:val="clear" w:color="auto" w:fill="F2F2F2"/>
          </w:tcPr>
          <w:p w14:paraId="16F0ACFD" w14:textId="27CF68E4"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Concentrated within a 1.2 km distance (ENE) of the release point with a 5% chance of shoreline contact, taking 1 hour to reach the shore, resulting in a maximum stranding volume of 1.25 m</w:t>
            </w:r>
            <w:r w:rsidRPr="00E25547">
              <w:rPr>
                <w:rFonts w:cs="Arial"/>
                <w:sz w:val="16"/>
                <w:szCs w:val="16"/>
                <w:vertAlign w:val="superscript"/>
              </w:rPr>
              <w:t>3</w:t>
            </w:r>
            <w:r w:rsidRPr="00E25547">
              <w:rPr>
                <w:rFonts w:cs="Arial"/>
                <w:sz w:val="16"/>
                <w:szCs w:val="16"/>
              </w:rPr>
              <w:t xml:space="preserve">. </w:t>
            </w:r>
          </w:p>
        </w:tc>
      </w:tr>
      <w:tr w:rsidR="00C6122A" w:rsidRPr="0079374A" w14:paraId="56E31FAB" w14:textId="77777777" w:rsidTr="00E439A6">
        <w:trPr>
          <w:gridBefore w:val="1"/>
          <w:wBefore w:w="149" w:type="dxa"/>
        </w:trPr>
        <w:tc>
          <w:tcPr>
            <w:tcW w:w="1096" w:type="dxa"/>
            <w:tcBorders>
              <w:bottom w:val="single" w:sz="6" w:space="0" w:color="A6A6A6"/>
            </w:tcBorders>
            <w:shd w:val="clear" w:color="auto" w:fill="auto"/>
          </w:tcPr>
          <w:p w14:paraId="62B61041" w14:textId="0EBE1B04"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High exposure</w:t>
            </w:r>
          </w:p>
        </w:tc>
        <w:tc>
          <w:tcPr>
            <w:tcW w:w="3575" w:type="dxa"/>
            <w:tcBorders>
              <w:bottom w:val="single" w:sz="6" w:space="0" w:color="A6A6A6"/>
            </w:tcBorders>
            <w:shd w:val="clear" w:color="auto" w:fill="auto"/>
          </w:tcPr>
          <w:p w14:paraId="2831D6CC" w14:textId="7C11638B" w:rsidR="00C6122A" w:rsidRPr="00617184" w:rsidRDefault="00C6122A" w:rsidP="00E439A6">
            <w:pPr>
              <w:spacing w:before="60" w:after="60"/>
              <w:rPr>
                <w:rFonts w:cs="Arial"/>
                <w:sz w:val="16"/>
                <w:szCs w:val="16"/>
              </w:rPr>
            </w:pPr>
            <w:r w:rsidRPr="0079374A">
              <w:rPr>
                <w:rFonts w:cs="Arial"/>
                <w:sz w:val="16"/>
                <w:szCs w:val="16"/>
              </w:rPr>
              <w:t>No high zones predicted for this scenario.</w:t>
            </w:r>
            <w:r w:rsidRPr="00617184">
              <w:rPr>
                <w:rFonts w:cs="Arial"/>
                <w:sz w:val="16"/>
                <w:szCs w:val="16"/>
              </w:rPr>
              <w:t xml:space="preserve"> </w:t>
            </w:r>
          </w:p>
        </w:tc>
        <w:tc>
          <w:tcPr>
            <w:tcW w:w="4394" w:type="dxa"/>
            <w:gridSpan w:val="3"/>
            <w:tcBorders>
              <w:bottom w:val="single" w:sz="6" w:space="0" w:color="A6A6A6"/>
            </w:tcBorders>
            <w:shd w:val="clear" w:color="auto" w:fill="auto"/>
          </w:tcPr>
          <w:p w14:paraId="6C1B4D6F" w14:textId="1040D82C"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 xml:space="preserve">Concentrated within a </w:t>
            </w:r>
            <w:r w:rsidRPr="00E25547">
              <w:rPr>
                <w:rFonts w:cs="Arial"/>
                <w:sz w:val="16"/>
                <w:szCs w:val="16"/>
              </w:rPr>
              <w:br/>
              <w:t xml:space="preserve">0.5 km distance (in any direction) of the release point. </w:t>
            </w:r>
          </w:p>
        </w:tc>
      </w:tr>
      <w:tr w:rsidR="00C6122A" w:rsidRPr="00C75D7F" w14:paraId="1555E710" w14:textId="77777777" w:rsidTr="00E439A6">
        <w:trPr>
          <w:gridBefore w:val="1"/>
          <w:wBefore w:w="149" w:type="dxa"/>
        </w:trPr>
        <w:tc>
          <w:tcPr>
            <w:tcW w:w="9065" w:type="dxa"/>
            <w:gridSpan w:val="5"/>
            <w:shd w:val="clear" w:color="auto" w:fill="BFBFBF" w:themeFill="background1" w:themeFillShade="BF"/>
          </w:tcPr>
          <w:p w14:paraId="6B9A2604" w14:textId="29B7D749" w:rsidR="00C6122A" w:rsidRPr="00E439A6" w:rsidRDefault="00C6122A" w:rsidP="00E439A6">
            <w:pPr>
              <w:pStyle w:val="Bullet1"/>
              <w:numPr>
                <w:ilvl w:val="0"/>
                <w:numId w:val="0"/>
              </w:numPr>
              <w:spacing w:before="60" w:after="60"/>
              <w:rPr>
                <w:rFonts w:cs="Arial"/>
                <w:b/>
                <w:sz w:val="16"/>
                <w:szCs w:val="16"/>
              </w:rPr>
            </w:pPr>
            <w:r w:rsidRPr="00E439A6">
              <w:rPr>
                <w:rFonts w:cs="Arial"/>
                <w:b/>
                <w:sz w:val="16"/>
                <w:szCs w:val="16"/>
              </w:rPr>
              <w:t>DISSOLVED PHASE</w:t>
            </w:r>
          </w:p>
        </w:tc>
      </w:tr>
      <w:tr w:rsidR="00C6122A" w:rsidRPr="0079374A" w14:paraId="58412DE6" w14:textId="77777777" w:rsidTr="00C6122A">
        <w:trPr>
          <w:gridBefore w:val="1"/>
          <w:wBefore w:w="149" w:type="dxa"/>
        </w:trPr>
        <w:tc>
          <w:tcPr>
            <w:tcW w:w="1096" w:type="dxa"/>
            <w:shd w:val="clear" w:color="auto" w:fill="auto"/>
          </w:tcPr>
          <w:p w14:paraId="500CFB78" w14:textId="475F7684"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Low exposure</w:t>
            </w:r>
          </w:p>
        </w:tc>
        <w:tc>
          <w:tcPr>
            <w:tcW w:w="3575" w:type="dxa"/>
            <w:shd w:val="clear" w:color="auto" w:fill="auto"/>
          </w:tcPr>
          <w:p w14:paraId="3E467E4C" w14:textId="7E6E26EA"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No exposure of any meaningful level.</w:t>
            </w:r>
          </w:p>
        </w:tc>
        <w:tc>
          <w:tcPr>
            <w:tcW w:w="4394" w:type="dxa"/>
            <w:gridSpan w:val="3"/>
            <w:shd w:val="clear" w:color="auto" w:fill="auto"/>
          </w:tcPr>
          <w:p w14:paraId="7DF488F9" w14:textId="0F784256"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 xml:space="preserve">Extends up to 9.3 km from the release site, with shoreline contact. </w:t>
            </w:r>
          </w:p>
        </w:tc>
      </w:tr>
      <w:tr w:rsidR="00C6122A" w:rsidRPr="0079374A" w14:paraId="06A23D02" w14:textId="77777777" w:rsidTr="00C6122A">
        <w:trPr>
          <w:gridBefore w:val="1"/>
          <w:wBefore w:w="149" w:type="dxa"/>
        </w:trPr>
        <w:tc>
          <w:tcPr>
            <w:tcW w:w="1096" w:type="dxa"/>
            <w:shd w:val="clear" w:color="auto" w:fill="F2F2F2"/>
          </w:tcPr>
          <w:p w14:paraId="56FACC60" w14:textId="34529200"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Moderate exposure</w:t>
            </w:r>
          </w:p>
        </w:tc>
        <w:tc>
          <w:tcPr>
            <w:tcW w:w="3575" w:type="dxa"/>
            <w:shd w:val="clear" w:color="auto" w:fill="F2F2F2"/>
          </w:tcPr>
          <w:p w14:paraId="29949276" w14:textId="3D810B32"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No exposure of any meaningful level.</w:t>
            </w:r>
          </w:p>
        </w:tc>
        <w:tc>
          <w:tcPr>
            <w:tcW w:w="4394" w:type="dxa"/>
            <w:gridSpan w:val="3"/>
            <w:shd w:val="clear" w:color="auto" w:fill="F2F2F2"/>
          </w:tcPr>
          <w:p w14:paraId="3D1A26E1" w14:textId="0BA201FE"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Extends up to 3.3 km from the releas</w:t>
            </w:r>
            <w:r w:rsidR="008D3313">
              <w:rPr>
                <w:rFonts w:cs="Arial"/>
                <w:sz w:val="16"/>
                <w:szCs w:val="16"/>
              </w:rPr>
              <w:t xml:space="preserve">e site, with shoreline contact </w:t>
            </w:r>
            <w:r w:rsidRPr="00E25547">
              <w:rPr>
                <w:rFonts w:cs="Arial"/>
                <w:sz w:val="16"/>
                <w:szCs w:val="16"/>
              </w:rPr>
              <w:t xml:space="preserve"> </w:t>
            </w:r>
          </w:p>
        </w:tc>
      </w:tr>
      <w:tr w:rsidR="00C6122A" w:rsidRPr="0079374A" w14:paraId="08F66CC8" w14:textId="77777777" w:rsidTr="00E439A6">
        <w:trPr>
          <w:gridBefore w:val="1"/>
          <w:wBefore w:w="149" w:type="dxa"/>
        </w:trPr>
        <w:tc>
          <w:tcPr>
            <w:tcW w:w="1096" w:type="dxa"/>
            <w:tcBorders>
              <w:bottom w:val="single" w:sz="6" w:space="0" w:color="A6A6A6"/>
            </w:tcBorders>
            <w:shd w:val="clear" w:color="auto" w:fill="auto"/>
          </w:tcPr>
          <w:p w14:paraId="572F7403" w14:textId="5EB7E0FD"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High exposure</w:t>
            </w:r>
          </w:p>
        </w:tc>
        <w:tc>
          <w:tcPr>
            <w:tcW w:w="3575" w:type="dxa"/>
            <w:tcBorders>
              <w:bottom w:val="single" w:sz="6" w:space="0" w:color="A6A6A6"/>
            </w:tcBorders>
            <w:shd w:val="clear" w:color="auto" w:fill="auto"/>
          </w:tcPr>
          <w:p w14:paraId="73E50D17" w14:textId="6CFCE2A6"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No exposure of any meaningful level.</w:t>
            </w:r>
          </w:p>
        </w:tc>
        <w:tc>
          <w:tcPr>
            <w:tcW w:w="4394" w:type="dxa"/>
            <w:gridSpan w:val="3"/>
            <w:tcBorders>
              <w:bottom w:val="single" w:sz="6" w:space="0" w:color="A6A6A6"/>
            </w:tcBorders>
            <w:shd w:val="clear" w:color="auto" w:fill="auto"/>
          </w:tcPr>
          <w:p w14:paraId="2EA890FD" w14:textId="767C6DBB"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No exposure of any meaningful level. Exposure to marine parks.</w:t>
            </w:r>
          </w:p>
        </w:tc>
      </w:tr>
      <w:tr w:rsidR="00C6122A" w:rsidRPr="00C75D7F" w14:paraId="272D7876" w14:textId="77777777" w:rsidTr="00E439A6">
        <w:trPr>
          <w:gridBefore w:val="1"/>
          <w:wBefore w:w="149" w:type="dxa"/>
        </w:trPr>
        <w:tc>
          <w:tcPr>
            <w:tcW w:w="9065" w:type="dxa"/>
            <w:gridSpan w:val="5"/>
            <w:shd w:val="clear" w:color="auto" w:fill="BFBFBF" w:themeFill="background1" w:themeFillShade="BF"/>
          </w:tcPr>
          <w:p w14:paraId="21B9AC56" w14:textId="7F2F5B66" w:rsidR="00C6122A" w:rsidRPr="00E439A6" w:rsidRDefault="00C6122A" w:rsidP="00E439A6">
            <w:pPr>
              <w:pStyle w:val="Bullet1"/>
              <w:numPr>
                <w:ilvl w:val="0"/>
                <w:numId w:val="0"/>
              </w:numPr>
              <w:spacing w:before="60" w:after="60"/>
              <w:rPr>
                <w:rFonts w:cs="Arial"/>
                <w:b/>
                <w:sz w:val="16"/>
                <w:szCs w:val="16"/>
              </w:rPr>
            </w:pPr>
            <w:r w:rsidRPr="00E439A6">
              <w:rPr>
                <w:rFonts w:cs="Arial"/>
                <w:b/>
                <w:sz w:val="16"/>
                <w:szCs w:val="16"/>
              </w:rPr>
              <w:t>ENTRAINED PHASE</w:t>
            </w:r>
          </w:p>
        </w:tc>
      </w:tr>
      <w:tr w:rsidR="00C6122A" w:rsidRPr="0079374A" w14:paraId="4A2F95D1" w14:textId="77777777" w:rsidTr="00C6122A">
        <w:trPr>
          <w:gridBefore w:val="1"/>
          <w:wBefore w:w="149" w:type="dxa"/>
        </w:trPr>
        <w:tc>
          <w:tcPr>
            <w:tcW w:w="1096" w:type="dxa"/>
            <w:shd w:val="clear" w:color="auto" w:fill="auto"/>
          </w:tcPr>
          <w:p w14:paraId="6286AA60" w14:textId="5667FC69"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Low exposure</w:t>
            </w:r>
          </w:p>
        </w:tc>
        <w:tc>
          <w:tcPr>
            <w:tcW w:w="3575" w:type="dxa"/>
            <w:shd w:val="clear" w:color="auto" w:fill="auto"/>
          </w:tcPr>
          <w:p w14:paraId="21120C07" w14:textId="45038E57"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Exposure zone extends for 4.2 km around HDD point.</w:t>
            </w:r>
          </w:p>
        </w:tc>
        <w:tc>
          <w:tcPr>
            <w:tcW w:w="4394" w:type="dxa"/>
            <w:gridSpan w:val="3"/>
            <w:shd w:val="clear" w:color="auto" w:fill="auto"/>
          </w:tcPr>
          <w:p w14:paraId="39B0252D" w14:textId="0591E312"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A high (64%) probability of exposure at Port Campbell, with moderate probabilities at Bay of Islands (26%), Moonlight Head (30%) and Twelve Apost</w:t>
            </w:r>
            <w:r w:rsidR="008D3313">
              <w:rPr>
                <w:rFonts w:cs="Arial"/>
                <w:sz w:val="16"/>
                <w:szCs w:val="16"/>
              </w:rPr>
              <w:t xml:space="preserve">les Marine National Park (35%) </w:t>
            </w:r>
            <w:r w:rsidRPr="00E25547">
              <w:rPr>
                <w:rFonts w:cs="Arial"/>
                <w:sz w:val="16"/>
                <w:szCs w:val="16"/>
              </w:rPr>
              <w:t>Maximum travel distance of 37 km.</w:t>
            </w:r>
          </w:p>
        </w:tc>
      </w:tr>
      <w:tr w:rsidR="00C6122A" w:rsidRPr="0079374A" w14:paraId="109E432E" w14:textId="77777777" w:rsidTr="00C6122A">
        <w:trPr>
          <w:gridBefore w:val="1"/>
          <w:wBefore w:w="149" w:type="dxa"/>
        </w:trPr>
        <w:tc>
          <w:tcPr>
            <w:tcW w:w="1096" w:type="dxa"/>
            <w:shd w:val="clear" w:color="auto" w:fill="F2F2F2"/>
          </w:tcPr>
          <w:p w14:paraId="37FBC4EA" w14:textId="6E4B2654"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Moderate exposure</w:t>
            </w:r>
          </w:p>
        </w:tc>
        <w:tc>
          <w:tcPr>
            <w:tcW w:w="3575" w:type="dxa"/>
            <w:shd w:val="clear" w:color="auto" w:fill="F2F2F2"/>
          </w:tcPr>
          <w:p w14:paraId="26901514" w14:textId="060D3EE4"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No moderate zones predicted</w:t>
            </w:r>
          </w:p>
        </w:tc>
        <w:tc>
          <w:tcPr>
            <w:tcW w:w="4394" w:type="dxa"/>
            <w:gridSpan w:val="3"/>
            <w:shd w:val="clear" w:color="auto" w:fill="F2F2F2"/>
          </w:tcPr>
          <w:p w14:paraId="65154740" w14:textId="77777777"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Low risk of exposure at Childers Cove and Bay of Island (1%), a 3% probability of exposure at Moonlight Head, 8% at the Twelve Apostles Marine National Park and a 31% probability of exposure at Port Campbell.</w:t>
            </w:r>
          </w:p>
          <w:p w14:paraId="1834D751" w14:textId="45326B0C"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Maximum travel distance of 9 km.</w:t>
            </w:r>
          </w:p>
        </w:tc>
      </w:tr>
      <w:tr w:rsidR="00C6122A" w:rsidRPr="0079374A" w14:paraId="4EB55495" w14:textId="77777777" w:rsidTr="00E439A6">
        <w:trPr>
          <w:gridBefore w:val="1"/>
          <w:wBefore w:w="149" w:type="dxa"/>
        </w:trPr>
        <w:tc>
          <w:tcPr>
            <w:tcW w:w="1096" w:type="dxa"/>
            <w:tcBorders>
              <w:bottom w:val="single" w:sz="6" w:space="0" w:color="A6A6A6"/>
            </w:tcBorders>
            <w:shd w:val="clear" w:color="auto" w:fill="auto"/>
          </w:tcPr>
          <w:p w14:paraId="532D2DE8" w14:textId="540A4AB8"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High exposure</w:t>
            </w:r>
          </w:p>
        </w:tc>
        <w:tc>
          <w:tcPr>
            <w:tcW w:w="3575" w:type="dxa"/>
            <w:tcBorders>
              <w:bottom w:val="single" w:sz="6" w:space="0" w:color="A6A6A6"/>
            </w:tcBorders>
            <w:shd w:val="clear" w:color="auto" w:fill="auto"/>
          </w:tcPr>
          <w:p w14:paraId="4A913A44" w14:textId="3A418A5E"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No high exposure zones predicted.</w:t>
            </w:r>
          </w:p>
        </w:tc>
        <w:tc>
          <w:tcPr>
            <w:tcW w:w="4394" w:type="dxa"/>
            <w:gridSpan w:val="3"/>
            <w:tcBorders>
              <w:bottom w:val="single" w:sz="6" w:space="0" w:color="A6A6A6"/>
            </w:tcBorders>
            <w:shd w:val="clear" w:color="auto" w:fill="auto"/>
          </w:tcPr>
          <w:p w14:paraId="69BA9C4F" w14:textId="0BA45360"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 xml:space="preserve">Extends to 3 km east of the release point with a 3% chance of shoreline contact at Port Campbell. </w:t>
            </w:r>
          </w:p>
        </w:tc>
      </w:tr>
      <w:tr w:rsidR="00C6122A" w:rsidRPr="00C75D7F" w14:paraId="2D2F4113" w14:textId="77777777" w:rsidTr="00E439A6">
        <w:trPr>
          <w:gridBefore w:val="1"/>
          <w:wBefore w:w="149" w:type="dxa"/>
        </w:trPr>
        <w:tc>
          <w:tcPr>
            <w:tcW w:w="9065" w:type="dxa"/>
            <w:gridSpan w:val="5"/>
            <w:shd w:val="clear" w:color="auto" w:fill="BFBFBF" w:themeFill="background1" w:themeFillShade="BF"/>
          </w:tcPr>
          <w:p w14:paraId="610F724A" w14:textId="5449FD22" w:rsidR="00C6122A" w:rsidRPr="00E439A6" w:rsidRDefault="00C6122A" w:rsidP="00E439A6">
            <w:pPr>
              <w:pStyle w:val="Bullet1"/>
              <w:numPr>
                <w:ilvl w:val="0"/>
                <w:numId w:val="0"/>
              </w:numPr>
              <w:spacing w:before="60" w:after="60"/>
              <w:rPr>
                <w:rFonts w:cs="Arial"/>
                <w:b/>
                <w:sz w:val="16"/>
                <w:szCs w:val="16"/>
              </w:rPr>
            </w:pPr>
            <w:r w:rsidRPr="00E439A6">
              <w:rPr>
                <w:rFonts w:cs="Arial"/>
                <w:b/>
                <w:sz w:val="16"/>
                <w:szCs w:val="16"/>
              </w:rPr>
              <w:t>SHORELINE</w:t>
            </w:r>
          </w:p>
        </w:tc>
      </w:tr>
      <w:tr w:rsidR="00C6122A" w:rsidRPr="0079374A" w14:paraId="65688B35" w14:textId="77777777" w:rsidTr="00C6122A">
        <w:trPr>
          <w:gridBefore w:val="1"/>
          <w:wBefore w:w="149" w:type="dxa"/>
        </w:trPr>
        <w:tc>
          <w:tcPr>
            <w:tcW w:w="1096" w:type="dxa"/>
            <w:shd w:val="clear" w:color="auto" w:fill="auto"/>
          </w:tcPr>
          <w:p w14:paraId="5976DC4A" w14:textId="64C24C8A"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Low exposure</w:t>
            </w:r>
          </w:p>
        </w:tc>
        <w:tc>
          <w:tcPr>
            <w:tcW w:w="3575" w:type="dxa"/>
            <w:shd w:val="clear" w:color="auto" w:fill="auto"/>
            <w:vAlign w:val="center"/>
          </w:tcPr>
          <w:p w14:paraId="231CB82D" w14:textId="5CB5ED7E"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No exposure above threshold.</w:t>
            </w:r>
          </w:p>
        </w:tc>
        <w:tc>
          <w:tcPr>
            <w:tcW w:w="4394" w:type="dxa"/>
            <w:gridSpan w:val="3"/>
            <w:shd w:val="clear" w:color="auto" w:fill="auto"/>
            <w:vAlign w:val="center"/>
          </w:tcPr>
          <w:p w14:paraId="61C2F12F" w14:textId="3A1F4BBD"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Exposure between Port Campbell and Shelley Beach (1% probability).</w:t>
            </w:r>
          </w:p>
        </w:tc>
      </w:tr>
      <w:tr w:rsidR="00C6122A" w:rsidRPr="0079374A" w14:paraId="44F77644" w14:textId="77777777" w:rsidTr="00C6122A">
        <w:trPr>
          <w:gridBefore w:val="1"/>
          <w:wBefore w:w="149" w:type="dxa"/>
        </w:trPr>
        <w:tc>
          <w:tcPr>
            <w:tcW w:w="1096" w:type="dxa"/>
            <w:shd w:val="clear" w:color="auto" w:fill="F2F2F2"/>
          </w:tcPr>
          <w:p w14:paraId="23EE8A43" w14:textId="0CFF2D91"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Moderate exposure</w:t>
            </w:r>
          </w:p>
        </w:tc>
        <w:tc>
          <w:tcPr>
            <w:tcW w:w="3575" w:type="dxa"/>
            <w:shd w:val="clear" w:color="auto" w:fill="F2F2F2"/>
            <w:vAlign w:val="center"/>
          </w:tcPr>
          <w:p w14:paraId="1D5267F3" w14:textId="548B4CDB"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No exposure.</w:t>
            </w:r>
          </w:p>
        </w:tc>
        <w:tc>
          <w:tcPr>
            <w:tcW w:w="4394" w:type="dxa"/>
            <w:gridSpan w:val="3"/>
            <w:shd w:val="clear" w:color="auto" w:fill="F2F2F2"/>
            <w:vAlign w:val="center"/>
          </w:tcPr>
          <w:p w14:paraId="7E1822BC" w14:textId="1E3208D5"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 xml:space="preserve">Isolated exposure between Shelley Beach and Port Campbell (1% probability). </w:t>
            </w:r>
          </w:p>
        </w:tc>
      </w:tr>
      <w:tr w:rsidR="00C6122A" w:rsidRPr="0079374A" w14:paraId="497E622A" w14:textId="77777777" w:rsidTr="00C6122A">
        <w:trPr>
          <w:gridBefore w:val="1"/>
          <w:wBefore w:w="149" w:type="dxa"/>
        </w:trPr>
        <w:tc>
          <w:tcPr>
            <w:tcW w:w="1096" w:type="dxa"/>
            <w:shd w:val="clear" w:color="auto" w:fill="auto"/>
          </w:tcPr>
          <w:p w14:paraId="74992089" w14:textId="3483C894"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High exposure</w:t>
            </w:r>
          </w:p>
        </w:tc>
        <w:tc>
          <w:tcPr>
            <w:tcW w:w="3575" w:type="dxa"/>
            <w:shd w:val="clear" w:color="auto" w:fill="auto"/>
            <w:vAlign w:val="center"/>
          </w:tcPr>
          <w:p w14:paraId="65701960" w14:textId="7F1056D4"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No exposure.</w:t>
            </w:r>
          </w:p>
        </w:tc>
        <w:tc>
          <w:tcPr>
            <w:tcW w:w="4394" w:type="dxa"/>
            <w:gridSpan w:val="3"/>
            <w:shd w:val="clear" w:color="auto" w:fill="auto"/>
            <w:vAlign w:val="center"/>
          </w:tcPr>
          <w:p w14:paraId="13138A1B" w14:textId="3C71B198" w:rsidR="00C6122A" w:rsidRPr="00E25547" w:rsidRDefault="00C6122A" w:rsidP="00E439A6">
            <w:pPr>
              <w:pStyle w:val="Bullet1"/>
              <w:numPr>
                <w:ilvl w:val="0"/>
                <w:numId w:val="0"/>
              </w:numPr>
              <w:spacing w:before="60" w:after="60"/>
              <w:rPr>
                <w:rFonts w:cs="Arial"/>
                <w:sz w:val="16"/>
                <w:szCs w:val="16"/>
              </w:rPr>
            </w:pPr>
            <w:r w:rsidRPr="00E25547">
              <w:rPr>
                <w:rFonts w:cs="Arial"/>
                <w:sz w:val="16"/>
                <w:szCs w:val="16"/>
              </w:rPr>
              <w:t>No exposure.</w:t>
            </w:r>
          </w:p>
        </w:tc>
      </w:tr>
      <w:tr w:rsidR="00484BC1" w:rsidRPr="00E366B4" w14:paraId="66776CCE" w14:textId="77777777" w:rsidTr="00E439A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2"/>
          <w:wAfter w:w="998" w:type="dxa"/>
          <w:trHeight w:val="386"/>
          <w:jc w:val="center"/>
        </w:trPr>
        <w:tc>
          <w:tcPr>
            <w:tcW w:w="8216" w:type="dxa"/>
            <w:gridSpan w:val="4"/>
            <w:shd w:val="clear" w:color="auto" w:fill="auto"/>
          </w:tcPr>
          <w:p w14:paraId="4A562933" w14:textId="12806BAF" w:rsidR="00484BC1" w:rsidRPr="004705DB" w:rsidRDefault="00484BC1" w:rsidP="00E439A6">
            <w:pPr>
              <w:spacing w:before="60" w:after="60"/>
              <w:rPr>
                <w:rFonts w:cs="Arial"/>
                <w:sz w:val="16"/>
                <w:szCs w:val="16"/>
                <w:lang w:val="en-US"/>
              </w:rPr>
            </w:pPr>
          </w:p>
        </w:tc>
      </w:tr>
      <w:tr w:rsidR="00484BC1" w:rsidRPr="00544C5F" w14:paraId="06618CF1" w14:textId="77777777" w:rsidTr="00C6122A">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878" w:type="dxa"/>
          <w:jc w:val="center"/>
        </w:trPr>
        <w:tc>
          <w:tcPr>
            <w:tcW w:w="8336" w:type="dxa"/>
            <w:gridSpan w:val="5"/>
            <w:shd w:val="clear" w:color="auto" w:fill="auto"/>
          </w:tcPr>
          <w:p w14:paraId="481C7281" w14:textId="09609C5E" w:rsidR="00484BC1" w:rsidRPr="00544C5F" w:rsidRDefault="00484BC1" w:rsidP="00E439A6">
            <w:pPr>
              <w:spacing w:before="60" w:after="60"/>
              <w:rPr>
                <w:rFonts w:cs="Arial"/>
                <w:lang w:val="en-US"/>
              </w:rPr>
            </w:pPr>
          </w:p>
        </w:tc>
      </w:tr>
    </w:tbl>
    <w:p w14:paraId="31A44C5F" w14:textId="5AE5F9F7" w:rsidR="00E1729C" w:rsidRDefault="00E1729C" w:rsidP="001371AD">
      <w:pPr>
        <w:pStyle w:val="Heading3"/>
      </w:pPr>
      <w:r>
        <w:t>Known and Potential Impacts</w:t>
      </w:r>
    </w:p>
    <w:p w14:paraId="0712AC5C" w14:textId="15760B8D" w:rsidR="00E1729C" w:rsidRPr="00774B01" w:rsidRDefault="00E1729C" w:rsidP="00887A82">
      <w:pPr>
        <w:pStyle w:val="BodyText"/>
        <w:spacing w:after="240"/>
        <w:ind w:left="720"/>
        <w:rPr>
          <w:szCs w:val="20"/>
          <w:lang w:eastAsia="en-US"/>
        </w:rPr>
      </w:pPr>
      <w:r w:rsidRPr="00774B01">
        <w:rPr>
          <w:szCs w:val="20"/>
          <w:lang w:eastAsia="en-US"/>
        </w:rPr>
        <w:t xml:space="preserve">The known and potential environmental impacts of </w:t>
      </w:r>
      <w:r w:rsidR="00B437F7" w:rsidRPr="00774B01">
        <w:rPr>
          <w:szCs w:val="20"/>
          <w:lang w:eastAsia="en-US"/>
        </w:rPr>
        <w:t>a large gas condensate spill</w:t>
      </w:r>
      <w:r w:rsidRPr="00774B01">
        <w:rPr>
          <w:szCs w:val="20"/>
          <w:lang w:eastAsia="en-US"/>
        </w:rPr>
        <w:t xml:space="preserve"> are: </w:t>
      </w:r>
    </w:p>
    <w:p w14:paraId="726B02B6" w14:textId="4DFEABE8" w:rsidR="00E1729C" w:rsidRPr="00774B01" w:rsidRDefault="00E1729C" w:rsidP="0036080A">
      <w:pPr>
        <w:pStyle w:val="Bullet1"/>
        <w:numPr>
          <w:ilvl w:val="0"/>
          <w:numId w:val="40"/>
        </w:numPr>
      </w:pPr>
      <w:r w:rsidRPr="00774B01">
        <w:t xml:space="preserve">Temporary and localised reduction of surface </w:t>
      </w:r>
      <w:r w:rsidR="00B437F7" w:rsidRPr="00774B01">
        <w:t xml:space="preserve">and </w:t>
      </w:r>
      <w:r w:rsidRPr="00774B01">
        <w:t>water</w:t>
      </w:r>
      <w:r w:rsidR="00B437F7" w:rsidRPr="00774B01">
        <w:t xml:space="preserve"> column</w:t>
      </w:r>
      <w:r w:rsidRPr="00774B01">
        <w:t xml:space="preserve"> quality; </w:t>
      </w:r>
    </w:p>
    <w:p w14:paraId="10BB083D" w14:textId="5968DB2B" w:rsidR="00B437F7" w:rsidRPr="00774B01" w:rsidRDefault="00B437F7" w:rsidP="0036080A">
      <w:pPr>
        <w:pStyle w:val="Bullet1"/>
        <w:numPr>
          <w:ilvl w:val="0"/>
          <w:numId w:val="40"/>
        </w:numPr>
      </w:pPr>
      <w:r w:rsidRPr="00774B01">
        <w:t>Injury or death of marine fauna (from physical smothering, ingestion and inhalation);</w:t>
      </w:r>
    </w:p>
    <w:p w14:paraId="7237C015" w14:textId="6B58D632" w:rsidR="00B437F7" w:rsidRPr="00774B01" w:rsidRDefault="00B437F7" w:rsidP="0036080A">
      <w:pPr>
        <w:pStyle w:val="Bullet1"/>
        <w:numPr>
          <w:ilvl w:val="0"/>
          <w:numId w:val="40"/>
        </w:numPr>
      </w:pPr>
      <w:r w:rsidRPr="00774B01">
        <w:t>Shoreline pollution; and</w:t>
      </w:r>
    </w:p>
    <w:p w14:paraId="5E9B9E40" w14:textId="4DFD75CC" w:rsidR="00E1729C" w:rsidRDefault="00B437F7" w:rsidP="00E439A6">
      <w:pPr>
        <w:pStyle w:val="Bullet1"/>
        <w:numPr>
          <w:ilvl w:val="0"/>
          <w:numId w:val="40"/>
        </w:numPr>
      </w:pPr>
      <w:r w:rsidRPr="00774B01">
        <w:t>Coastal habitat degradation</w:t>
      </w:r>
    </w:p>
    <w:p w14:paraId="1312E780" w14:textId="77777777" w:rsidR="00E1729C" w:rsidRPr="00887A82" w:rsidRDefault="00E1729C" w:rsidP="00887A82">
      <w:pPr>
        <w:pStyle w:val="BodyText"/>
        <w:ind w:left="709"/>
        <w:rPr>
          <w:b/>
          <w:u w:val="single"/>
        </w:rPr>
      </w:pPr>
      <w:r w:rsidRPr="00887A82">
        <w:rPr>
          <w:b/>
          <w:u w:val="single"/>
        </w:rPr>
        <w:t>Receptors within the EMBA</w:t>
      </w:r>
    </w:p>
    <w:p w14:paraId="5747E2B4" w14:textId="77777777" w:rsidR="00E1729C" w:rsidRPr="00774B01" w:rsidRDefault="00E1729C" w:rsidP="00887A82">
      <w:pPr>
        <w:pStyle w:val="BodyText"/>
        <w:ind w:left="709"/>
        <w:rPr>
          <w:szCs w:val="20"/>
          <w:lang w:eastAsia="en-US"/>
        </w:rPr>
      </w:pPr>
      <w:r w:rsidRPr="00774B01">
        <w:rPr>
          <w:szCs w:val="20"/>
          <w:lang w:eastAsia="en-US"/>
        </w:rPr>
        <w:lastRenderedPageBreak/>
        <w:t xml:space="preserve">Receptors that may occur within this EMBA, either as residents or migrants, are: </w:t>
      </w:r>
    </w:p>
    <w:p w14:paraId="7BD0FEFC" w14:textId="0AB5DE8E" w:rsidR="00E1729C" w:rsidRPr="00774B01" w:rsidRDefault="00E1729C" w:rsidP="0036080A">
      <w:pPr>
        <w:pStyle w:val="Bullet1"/>
        <w:numPr>
          <w:ilvl w:val="0"/>
          <w:numId w:val="40"/>
        </w:numPr>
      </w:pPr>
      <w:r w:rsidRPr="00774B01">
        <w:t xml:space="preserve">Plankton; </w:t>
      </w:r>
    </w:p>
    <w:p w14:paraId="7E279F1C" w14:textId="52912171" w:rsidR="00534F8D" w:rsidRPr="00774B01" w:rsidRDefault="00534F8D" w:rsidP="0036080A">
      <w:pPr>
        <w:pStyle w:val="Bullet1"/>
        <w:numPr>
          <w:ilvl w:val="0"/>
          <w:numId w:val="40"/>
        </w:numPr>
      </w:pPr>
      <w:r w:rsidRPr="00774B01">
        <w:t xml:space="preserve">Pelagic </w:t>
      </w:r>
      <w:r w:rsidR="00367ED9">
        <w:t xml:space="preserve">and demersal </w:t>
      </w:r>
      <w:r w:rsidRPr="00774B01">
        <w:t>fish;</w:t>
      </w:r>
    </w:p>
    <w:p w14:paraId="510FF7D9" w14:textId="762DB54C" w:rsidR="00534F8D" w:rsidRPr="00774B01" w:rsidRDefault="00534F8D" w:rsidP="0036080A">
      <w:pPr>
        <w:pStyle w:val="Bullet1"/>
        <w:numPr>
          <w:ilvl w:val="0"/>
          <w:numId w:val="40"/>
        </w:numPr>
      </w:pPr>
      <w:r w:rsidRPr="00774B01">
        <w:t>Benthic species</w:t>
      </w:r>
      <w:r w:rsidR="00BF5698">
        <w:t xml:space="preserve"> and filter-feeding epifauna</w:t>
      </w:r>
      <w:r w:rsidRPr="00774B01">
        <w:t>;</w:t>
      </w:r>
    </w:p>
    <w:p w14:paraId="6D37BBA3" w14:textId="5B2BCE2A" w:rsidR="00534F8D" w:rsidRPr="00774B01" w:rsidRDefault="00534F8D" w:rsidP="0036080A">
      <w:pPr>
        <w:pStyle w:val="Bullet1"/>
        <w:numPr>
          <w:ilvl w:val="0"/>
          <w:numId w:val="40"/>
        </w:numPr>
      </w:pPr>
      <w:r w:rsidRPr="00774B01">
        <w:t>Marine mammals (cetaceans and pinnipeds);</w:t>
      </w:r>
    </w:p>
    <w:p w14:paraId="58F4619A" w14:textId="77777777" w:rsidR="006055B2" w:rsidRDefault="00906672" w:rsidP="0036080A">
      <w:pPr>
        <w:pStyle w:val="Bullet1"/>
        <w:numPr>
          <w:ilvl w:val="0"/>
          <w:numId w:val="40"/>
        </w:numPr>
      </w:pPr>
      <w:r w:rsidRPr="00774B01">
        <w:t>Seabirds and shorebirds</w:t>
      </w:r>
      <w:r w:rsidR="006055B2">
        <w:t>;</w:t>
      </w:r>
    </w:p>
    <w:p w14:paraId="6EAF7504" w14:textId="77777777" w:rsidR="006055B2" w:rsidRDefault="006055B2" w:rsidP="0036080A">
      <w:pPr>
        <w:pStyle w:val="Bullet1"/>
        <w:numPr>
          <w:ilvl w:val="0"/>
          <w:numId w:val="40"/>
        </w:numPr>
      </w:pPr>
      <w:r>
        <w:t>Tourism;</w:t>
      </w:r>
    </w:p>
    <w:p w14:paraId="1BD30375" w14:textId="2F7D75F4" w:rsidR="00E1729C" w:rsidRPr="00774B01" w:rsidRDefault="006055B2" w:rsidP="0036080A">
      <w:pPr>
        <w:pStyle w:val="Bullet1"/>
        <w:numPr>
          <w:ilvl w:val="0"/>
          <w:numId w:val="40"/>
        </w:numPr>
      </w:pPr>
      <w:r>
        <w:t>Commercial fishing</w:t>
      </w:r>
      <w:r w:rsidR="00E1729C" w:rsidRPr="00774B01">
        <w:t>.</w:t>
      </w:r>
    </w:p>
    <w:p w14:paraId="6A65E95B" w14:textId="4831AD70" w:rsidR="00906672" w:rsidRPr="00774B01" w:rsidRDefault="00906672" w:rsidP="001313DC">
      <w:pPr>
        <w:pStyle w:val="Bullet1"/>
        <w:numPr>
          <w:ilvl w:val="0"/>
          <w:numId w:val="0"/>
        </w:numPr>
        <w:ind w:left="709"/>
      </w:pPr>
      <w:r w:rsidRPr="00774B01">
        <w:t xml:space="preserve">Habitat that may occur within this EMBA </w:t>
      </w:r>
      <w:r w:rsidR="006D4731">
        <w:t xml:space="preserve">which support these species </w:t>
      </w:r>
      <w:r w:rsidRPr="00774B01">
        <w:t xml:space="preserve">includes: </w:t>
      </w:r>
    </w:p>
    <w:p w14:paraId="09AF32AD" w14:textId="3B4BC257" w:rsidR="00906672" w:rsidRPr="00774B01" w:rsidRDefault="00906672" w:rsidP="0036080A">
      <w:pPr>
        <w:pStyle w:val="Bullet1"/>
        <w:numPr>
          <w:ilvl w:val="0"/>
          <w:numId w:val="40"/>
        </w:numPr>
      </w:pPr>
      <w:r w:rsidRPr="00774B01">
        <w:t xml:space="preserve">Sandy beaches; </w:t>
      </w:r>
    </w:p>
    <w:p w14:paraId="2137BE30" w14:textId="17FBCA46" w:rsidR="00906672" w:rsidRPr="00774B01" w:rsidRDefault="00906672" w:rsidP="0036080A">
      <w:pPr>
        <w:pStyle w:val="Bullet1"/>
        <w:numPr>
          <w:ilvl w:val="0"/>
          <w:numId w:val="40"/>
        </w:numPr>
      </w:pPr>
      <w:r w:rsidRPr="00774B01">
        <w:t>Rocky shoreline;</w:t>
      </w:r>
    </w:p>
    <w:p w14:paraId="7287F8C6" w14:textId="13AA2BB4" w:rsidR="00906672" w:rsidRPr="00774B01" w:rsidRDefault="00906672" w:rsidP="0036080A">
      <w:pPr>
        <w:pStyle w:val="Bullet1"/>
        <w:numPr>
          <w:ilvl w:val="0"/>
          <w:numId w:val="40"/>
        </w:numPr>
      </w:pPr>
      <w:r w:rsidRPr="00774B01">
        <w:t xml:space="preserve">Submerged </w:t>
      </w:r>
      <w:r w:rsidR="006B254B">
        <w:t xml:space="preserve">shelf </w:t>
      </w:r>
      <w:r w:rsidRPr="00774B01">
        <w:t>rocky reefs</w:t>
      </w:r>
      <w:r w:rsidR="006B254B">
        <w:t xml:space="preserve"> and hard substrate</w:t>
      </w:r>
      <w:r w:rsidRPr="00774B01">
        <w:t>;</w:t>
      </w:r>
    </w:p>
    <w:p w14:paraId="318BAD22" w14:textId="2307CA83" w:rsidR="00906672" w:rsidRPr="00774B01" w:rsidRDefault="00906672" w:rsidP="0036080A">
      <w:pPr>
        <w:pStyle w:val="Bullet1"/>
        <w:numPr>
          <w:ilvl w:val="0"/>
          <w:numId w:val="40"/>
        </w:numPr>
      </w:pPr>
      <w:r w:rsidRPr="00774B01">
        <w:t>Macro</w:t>
      </w:r>
      <w:r w:rsidR="00D2196B">
        <w:t>-</w:t>
      </w:r>
      <w:r w:rsidRPr="00774B01">
        <w:t>algal and seagrass beds;</w:t>
      </w:r>
      <w:r w:rsidR="003C5039" w:rsidRPr="00774B01">
        <w:t xml:space="preserve"> and</w:t>
      </w:r>
    </w:p>
    <w:p w14:paraId="655FACC1" w14:textId="5472F571" w:rsidR="00906672" w:rsidRPr="00774B01" w:rsidRDefault="00906672" w:rsidP="0036080A">
      <w:pPr>
        <w:pStyle w:val="Bullet1"/>
        <w:numPr>
          <w:ilvl w:val="0"/>
          <w:numId w:val="40"/>
        </w:numPr>
      </w:pPr>
      <w:r w:rsidRPr="00774B01">
        <w:t>Open water</w:t>
      </w:r>
      <w:r w:rsidR="003C5039" w:rsidRPr="00774B01">
        <w:t>.</w:t>
      </w:r>
    </w:p>
    <w:p w14:paraId="0147BA55" w14:textId="09DED2E4" w:rsidR="00906672" w:rsidRPr="00774B01" w:rsidRDefault="003C5039" w:rsidP="001313DC">
      <w:pPr>
        <w:pStyle w:val="Bullet1"/>
        <w:numPr>
          <w:ilvl w:val="0"/>
          <w:numId w:val="0"/>
        </w:numPr>
        <w:ind w:left="709"/>
      </w:pPr>
      <w:r w:rsidRPr="00774B01">
        <w:t xml:space="preserve">Protected areas </w:t>
      </w:r>
      <w:r w:rsidR="00D30068" w:rsidRPr="00774B01">
        <w:t xml:space="preserve">or features </w:t>
      </w:r>
      <w:r w:rsidRPr="00774B01">
        <w:t>that occur within the EMBA are:</w:t>
      </w:r>
    </w:p>
    <w:p w14:paraId="7D51A6B0" w14:textId="440D9B43" w:rsidR="003C5039" w:rsidRPr="00774B01" w:rsidRDefault="004C620E" w:rsidP="0036080A">
      <w:pPr>
        <w:pStyle w:val="Bullet1"/>
        <w:numPr>
          <w:ilvl w:val="0"/>
          <w:numId w:val="40"/>
        </w:numPr>
      </w:pPr>
      <w:r w:rsidRPr="00774B01">
        <w:t>The Arches Marine Sanctuary</w:t>
      </w:r>
      <w:r w:rsidR="003C5039" w:rsidRPr="00774B01">
        <w:t xml:space="preserve">; </w:t>
      </w:r>
    </w:p>
    <w:p w14:paraId="4074AD77" w14:textId="5A949993" w:rsidR="003C5039" w:rsidRPr="00774B01" w:rsidRDefault="004C620E" w:rsidP="0036080A">
      <w:pPr>
        <w:pStyle w:val="Bullet1"/>
        <w:numPr>
          <w:ilvl w:val="0"/>
          <w:numId w:val="40"/>
        </w:numPr>
      </w:pPr>
      <w:r w:rsidRPr="00774B01">
        <w:t>The Twelve Apostles Marine National Parks</w:t>
      </w:r>
      <w:r w:rsidR="003C5039" w:rsidRPr="00774B01">
        <w:t>;</w:t>
      </w:r>
    </w:p>
    <w:p w14:paraId="188C0FDB" w14:textId="77777777" w:rsidR="003F5AED" w:rsidRPr="00774B01" w:rsidRDefault="003F5AED" w:rsidP="0036080A">
      <w:pPr>
        <w:pStyle w:val="Bullet1"/>
        <w:numPr>
          <w:ilvl w:val="0"/>
          <w:numId w:val="40"/>
        </w:numPr>
      </w:pPr>
      <w:r w:rsidRPr="00774B01">
        <w:t>The Port Campbell National Park;</w:t>
      </w:r>
    </w:p>
    <w:p w14:paraId="2EEB81CE" w14:textId="77777777" w:rsidR="00F3714C" w:rsidRDefault="003F5AED" w:rsidP="0036080A">
      <w:pPr>
        <w:pStyle w:val="Bullet1"/>
        <w:numPr>
          <w:ilvl w:val="0"/>
          <w:numId w:val="40"/>
        </w:numPr>
      </w:pPr>
      <w:r w:rsidRPr="00774B01">
        <w:t>The Bay of Islands Coastal Park</w:t>
      </w:r>
      <w:r w:rsidR="003C5039" w:rsidRPr="00774B01">
        <w:t xml:space="preserve">; </w:t>
      </w:r>
    </w:p>
    <w:p w14:paraId="11D47592" w14:textId="6131EDAA" w:rsidR="004C620E" w:rsidRPr="00774B01" w:rsidRDefault="00F3714C" w:rsidP="0036080A">
      <w:pPr>
        <w:pStyle w:val="Bullet1"/>
        <w:numPr>
          <w:ilvl w:val="0"/>
          <w:numId w:val="40"/>
        </w:numPr>
      </w:pPr>
      <w:r>
        <w:t xml:space="preserve">Sub-tropical and Temperate Coastal Saltmarsh; </w:t>
      </w:r>
      <w:r w:rsidR="00BE1A57" w:rsidRPr="00774B01">
        <w:t>and</w:t>
      </w:r>
    </w:p>
    <w:p w14:paraId="370AC443" w14:textId="3648A55E" w:rsidR="003C5039" w:rsidRDefault="004C620E" w:rsidP="0036080A">
      <w:pPr>
        <w:pStyle w:val="Bullet1"/>
        <w:numPr>
          <w:ilvl w:val="0"/>
          <w:numId w:val="40"/>
        </w:numPr>
      </w:pPr>
      <w:r w:rsidRPr="00774B01">
        <w:t>Giant Kelp Marine Forests of SE Australia TEC</w:t>
      </w:r>
      <w:r w:rsidR="00BE1A57" w:rsidRPr="00774B01">
        <w:t>.</w:t>
      </w:r>
    </w:p>
    <w:p w14:paraId="1479A075" w14:textId="102A3B28" w:rsidR="00FD1A99" w:rsidRPr="00774B01" w:rsidRDefault="00F16C7E" w:rsidP="001313DC">
      <w:pPr>
        <w:pStyle w:val="Bullet1"/>
        <w:numPr>
          <w:ilvl w:val="0"/>
          <w:numId w:val="0"/>
        </w:numPr>
        <w:ind w:left="709"/>
      </w:pPr>
      <w:r w:rsidRPr="000B70C7">
        <w:t xml:space="preserve">A summary </w:t>
      </w:r>
      <w:r w:rsidR="00882E0D" w:rsidRPr="000B70C7">
        <w:t>of receptors</w:t>
      </w:r>
      <w:r w:rsidR="00497403" w:rsidRPr="00083759">
        <w:t xml:space="preserve">, their </w:t>
      </w:r>
      <w:r w:rsidR="00887A82">
        <w:t>locations within the CHN c</w:t>
      </w:r>
      <w:r w:rsidR="00882E0D" w:rsidRPr="000B70C7">
        <w:t xml:space="preserve">ondensate EMBA </w:t>
      </w:r>
      <w:r w:rsidR="00497403" w:rsidRPr="00083759">
        <w:t xml:space="preserve">and the type of exposure </w:t>
      </w:r>
      <w:r w:rsidR="00882E0D" w:rsidRPr="000B70C7">
        <w:t xml:space="preserve">is provided in </w:t>
      </w:r>
      <w:r w:rsidR="000B70C7" w:rsidRPr="00083759">
        <w:fldChar w:fldCharType="begin"/>
      </w:r>
      <w:r w:rsidR="000B70C7" w:rsidRPr="00083759">
        <w:instrText xml:space="preserve"> REF _Ref477166622 \h </w:instrText>
      </w:r>
      <w:r w:rsidR="000B70C7">
        <w:instrText xml:space="preserve"> \* MERGEFORMAT </w:instrText>
      </w:r>
      <w:r w:rsidR="000B70C7" w:rsidRPr="00083759">
        <w:fldChar w:fldCharType="separate"/>
      </w:r>
      <w:r w:rsidR="00CC4C35">
        <w:rPr>
          <w:b/>
          <w:bCs/>
          <w:lang w:val="en-US"/>
        </w:rPr>
        <w:t>Error! Reference source not found.</w:t>
      </w:r>
      <w:r w:rsidR="000B70C7" w:rsidRPr="00083759">
        <w:fldChar w:fldCharType="end"/>
      </w:r>
      <w:r w:rsidR="00882E0D" w:rsidRPr="000B70C7">
        <w:t>.</w:t>
      </w:r>
    </w:p>
    <w:p w14:paraId="0938675D" w14:textId="2AB243D4" w:rsidR="00E1729C" w:rsidRPr="00356055" w:rsidRDefault="00E1729C" w:rsidP="001371AD">
      <w:pPr>
        <w:pStyle w:val="Heading3"/>
      </w:pPr>
      <w:r w:rsidRPr="00356055">
        <w:t>Evaluation of Environmental Impacts</w:t>
      </w:r>
      <w:r w:rsidR="007F6F13" w:rsidRPr="00356055">
        <w:t xml:space="preserve"> </w:t>
      </w:r>
    </w:p>
    <w:p w14:paraId="537B315E" w14:textId="44F3686C" w:rsidR="00D30068" w:rsidRPr="00774B01" w:rsidRDefault="00356055" w:rsidP="00887A82">
      <w:pPr>
        <w:pStyle w:val="BodyText"/>
        <w:spacing w:after="240"/>
        <w:ind w:left="720"/>
        <w:rPr>
          <w:szCs w:val="20"/>
          <w:lang w:eastAsia="en-US"/>
        </w:rPr>
      </w:pPr>
      <w:r w:rsidRPr="00356055">
        <w:rPr>
          <w:szCs w:val="20"/>
          <w:lang w:eastAsia="en-US"/>
        </w:rPr>
        <w:t xml:space="preserve">The </w:t>
      </w:r>
      <w:r w:rsidR="00BE1A57" w:rsidRPr="00356055">
        <w:rPr>
          <w:szCs w:val="20"/>
          <w:lang w:eastAsia="en-US"/>
        </w:rPr>
        <w:t xml:space="preserve">sensitivity </w:t>
      </w:r>
      <w:r w:rsidR="00BE1A57" w:rsidRPr="00774B01">
        <w:rPr>
          <w:szCs w:val="20"/>
          <w:lang w:eastAsia="en-US"/>
        </w:rPr>
        <w:t xml:space="preserve">of the receptors </w:t>
      </w:r>
      <w:r w:rsidR="00B653DE" w:rsidRPr="00774B01">
        <w:rPr>
          <w:szCs w:val="20"/>
          <w:lang w:eastAsia="en-US"/>
        </w:rPr>
        <w:t xml:space="preserve">listed in these tables is defined as per </w:t>
      </w:r>
      <w:r w:rsidR="00774B01">
        <w:rPr>
          <w:color w:val="FF0000"/>
          <w:szCs w:val="20"/>
          <w:lang w:eastAsia="en-US"/>
        </w:rPr>
        <w:fldChar w:fldCharType="begin"/>
      </w:r>
      <w:r w:rsidR="00774B01">
        <w:rPr>
          <w:szCs w:val="20"/>
          <w:lang w:eastAsia="en-US"/>
        </w:rPr>
        <w:instrText xml:space="preserve"> REF _Ref473446055 \h </w:instrText>
      </w:r>
      <w:r w:rsidR="00774B01">
        <w:rPr>
          <w:color w:val="FF0000"/>
          <w:szCs w:val="20"/>
          <w:lang w:eastAsia="en-US"/>
        </w:rPr>
      </w:r>
      <w:r w:rsidR="00774B01">
        <w:rPr>
          <w:color w:val="FF0000"/>
          <w:szCs w:val="20"/>
          <w:lang w:eastAsia="en-US"/>
        </w:rPr>
        <w:fldChar w:fldCharType="separate"/>
      </w:r>
      <w:r w:rsidR="00CC4C35" w:rsidRPr="00774B01">
        <w:rPr>
          <w:szCs w:val="20"/>
        </w:rPr>
        <w:t xml:space="preserve">Table </w:t>
      </w:r>
      <w:r w:rsidR="00CC4C35">
        <w:rPr>
          <w:noProof/>
          <w:szCs w:val="20"/>
        </w:rPr>
        <w:t>5</w:t>
      </w:r>
      <w:r w:rsidR="00CC4C35">
        <w:rPr>
          <w:szCs w:val="20"/>
        </w:rPr>
        <w:noBreakHyphen/>
      </w:r>
      <w:r w:rsidR="00CC4C35">
        <w:rPr>
          <w:noProof/>
          <w:szCs w:val="20"/>
        </w:rPr>
        <w:t>20</w:t>
      </w:r>
      <w:r w:rsidR="00774B01">
        <w:rPr>
          <w:color w:val="FF0000"/>
          <w:szCs w:val="20"/>
          <w:lang w:eastAsia="en-US"/>
        </w:rPr>
        <w:fldChar w:fldCharType="end"/>
      </w:r>
      <w:r w:rsidR="00774B01">
        <w:rPr>
          <w:color w:val="FF0000"/>
          <w:szCs w:val="20"/>
          <w:lang w:eastAsia="en-US"/>
        </w:rPr>
        <w:t xml:space="preserve"> </w:t>
      </w:r>
      <w:r w:rsidR="00B653DE" w:rsidRPr="00774B01">
        <w:rPr>
          <w:szCs w:val="20"/>
          <w:lang w:eastAsia="en-US"/>
        </w:rPr>
        <w:t xml:space="preserve">below. </w:t>
      </w:r>
    </w:p>
    <w:p w14:paraId="613A24CF" w14:textId="2F2374B5" w:rsidR="000C6356" w:rsidRDefault="000C6356" w:rsidP="00887A82">
      <w:pPr>
        <w:pStyle w:val="BodyText"/>
        <w:spacing w:after="240"/>
        <w:ind w:left="720"/>
        <w:rPr>
          <w:szCs w:val="20"/>
          <w:lang w:eastAsia="en-US"/>
        </w:rPr>
      </w:pPr>
      <w:r w:rsidRPr="00774B01">
        <w:rPr>
          <w:szCs w:val="20"/>
          <w:lang w:eastAsia="en-US"/>
        </w:rPr>
        <w:t>Please note that the impact assessment presented in this section is as specific to light hydrocarbons (i.e., gas condensate) as possible</w:t>
      </w:r>
      <w:r w:rsidR="006259FE" w:rsidRPr="00774B01">
        <w:rPr>
          <w:szCs w:val="20"/>
          <w:lang w:eastAsia="en-US"/>
        </w:rPr>
        <w:t>. However</w:t>
      </w:r>
      <w:r w:rsidRPr="00774B01">
        <w:rPr>
          <w:szCs w:val="20"/>
          <w:lang w:eastAsia="en-US"/>
        </w:rPr>
        <w:t xml:space="preserve">, the available literature generally </w:t>
      </w:r>
      <w:r w:rsidR="006259FE" w:rsidRPr="00774B01">
        <w:rPr>
          <w:szCs w:val="20"/>
          <w:lang w:eastAsia="en-US"/>
        </w:rPr>
        <w:t xml:space="preserve">lacks specific information regarding </w:t>
      </w:r>
      <w:r w:rsidRPr="00774B01">
        <w:rPr>
          <w:szCs w:val="20"/>
          <w:lang w:eastAsia="en-US"/>
        </w:rPr>
        <w:t xml:space="preserve">the impacts of condensate, and as such the impacts of hydrocarbons in general are discussed where specific information about condensate is not available. </w:t>
      </w:r>
    </w:p>
    <w:p w14:paraId="150E41E2" w14:textId="5872F008" w:rsidR="00B653DE" w:rsidRPr="00B653DE" w:rsidRDefault="00774B01" w:rsidP="00B86A7D">
      <w:pPr>
        <w:pStyle w:val="Caption"/>
        <w:outlineLvl w:val="9"/>
        <w:rPr>
          <w:sz w:val="20"/>
          <w:szCs w:val="20"/>
        </w:rPr>
      </w:pPr>
      <w:bookmarkStart w:id="256" w:name="_Ref473446055"/>
      <w:bookmarkStart w:id="257" w:name="_Toc511032611"/>
      <w:r w:rsidRPr="00774B01">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20</w:t>
      </w:r>
      <w:r w:rsidR="00103328">
        <w:rPr>
          <w:sz w:val="20"/>
          <w:szCs w:val="20"/>
        </w:rPr>
        <w:fldChar w:fldCharType="end"/>
      </w:r>
      <w:bookmarkEnd w:id="256"/>
      <w:r w:rsidRPr="00774B01">
        <w:rPr>
          <w:sz w:val="20"/>
          <w:szCs w:val="20"/>
        </w:rPr>
        <w:t>: Sensitivity Criteria for receptors within the EMBA</w:t>
      </w:r>
      <w:bookmarkEnd w:id="257"/>
    </w:p>
    <w:tbl>
      <w:tblPr>
        <w:tblStyle w:val="TableGrid"/>
        <w:tblW w:w="0" w:type="auto"/>
        <w:tblInd w:w="652" w:type="dxa"/>
        <w:tblLook w:val="04A0" w:firstRow="1" w:lastRow="0" w:firstColumn="1" w:lastColumn="0" w:noHBand="0" w:noVBand="1"/>
      </w:tblPr>
      <w:tblGrid>
        <w:gridCol w:w="1134"/>
        <w:gridCol w:w="993"/>
        <w:gridCol w:w="6095"/>
      </w:tblGrid>
      <w:tr w:rsidR="00B653DE" w:rsidRPr="00774B01" w14:paraId="5C4855BA" w14:textId="77777777" w:rsidTr="00B653DE">
        <w:trPr>
          <w:cnfStyle w:val="100000000000" w:firstRow="1" w:lastRow="0" w:firstColumn="0" w:lastColumn="0" w:oddVBand="0" w:evenVBand="0" w:oddHBand="0" w:evenHBand="0" w:firstRowFirstColumn="0" w:firstRowLastColumn="0" w:lastRowFirstColumn="0" w:lastRowLastColumn="0"/>
        </w:trPr>
        <w:tc>
          <w:tcPr>
            <w:tcW w:w="1134" w:type="dxa"/>
          </w:tcPr>
          <w:p w14:paraId="5F0246A1" w14:textId="77777777" w:rsidR="00B653DE" w:rsidRPr="00774B01" w:rsidRDefault="00B653DE" w:rsidP="00B653DE">
            <w:pPr>
              <w:rPr>
                <w:sz w:val="16"/>
                <w:szCs w:val="16"/>
              </w:rPr>
            </w:pPr>
            <w:r w:rsidRPr="00774B01">
              <w:rPr>
                <w:sz w:val="16"/>
                <w:szCs w:val="16"/>
              </w:rPr>
              <w:t>Sensitivity</w:t>
            </w:r>
          </w:p>
        </w:tc>
        <w:tc>
          <w:tcPr>
            <w:tcW w:w="993" w:type="dxa"/>
          </w:tcPr>
          <w:p w14:paraId="755C6BEC" w14:textId="77777777" w:rsidR="00B653DE" w:rsidRPr="00774B01" w:rsidRDefault="00B653DE" w:rsidP="00B653DE">
            <w:pPr>
              <w:rPr>
                <w:sz w:val="16"/>
                <w:szCs w:val="16"/>
              </w:rPr>
            </w:pPr>
            <w:r w:rsidRPr="00774B01">
              <w:rPr>
                <w:sz w:val="16"/>
                <w:szCs w:val="16"/>
              </w:rPr>
              <w:t>Code</w:t>
            </w:r>
          </w:p>
        </w:tc>
        <w:tc>
          <w:tcPr>
            <w:tcW w:w="6095" w:type="dxa"/>
          </w:tcPr>
          <w:p w14:paraId="75A529FA" w14:textId="77777777" w:rsidR="00B653DE" w:rsidRPr="00774B01" w:rsidRDefault="00B653DE" w:rsidP="00B653DE">
            <w:pPr>
              <w:rPr>
                <w:sz w:val="16"/>
                <w:szCs w:val="16"/>
              </w:rPr>
            </w:pPr>
            <w:r w:rsidRPr="00774B01">
              <w:rPr>
                <w:sz w:val="16"/>
                <w:szCs w:val="16"/>
              </w:rPr>
              <w:t>Criteria</w:t>
            </w:r>
          </w:p>
        </w:tc>
      </w:tr>
      <w:tr w:rsidR="00B653DE" w:rsidRPr="00774B01" w14:paraId="13387663" w14:textId="77777777" w:rsidTr="00B653DE">
        <w:tc>
          <w:tcPr>
            <w:tcW w:w="1134" w:type="dxa"/>
            <w:vAlign w:val="center"/>
          </w:tcPr>
          <w:p w14:paraId="5E0DAECA" w14:textId="2A4C5CF6" w:rsidR="00B653DE" w:rsidRPr="00774B01" w:rsidRDefault="00D8439F" w:rsidP="00D8439F">
            <w:pPr>
              <w:jc w:val="center"/>
              <w:rPr>
                <w:b/>
                <w:sz w:val="16"/>
                <w:szCs w:val="16"/>
              </w:rPr>
            </w:pPr>
            <w:r w:rsidRPr="00774B01">
              <w:rPr>
                <w:b/>
                <w:sz w:val="16"/>
                <w:szCs w:val="16"/>
              </w:rPr>
              <w:t>High</w:t>
            </w:r>
            <w:r w:rsidR="00B653DE" w:rsidRPr="00774B01">
              <w:rPr>
                <w:b/>
                <w:sz w:val="16"/>
                <w:szCs w:val="16"/>
              </w:rPr>
              <w:t xml:space="preserve"> </w:t>
            </w:r>
          </w:p>
        </w:tc>
        <w:tc>
          <w:tcPr>
            <w:tcW w:w="993" w:type="dxa"/>
            <w:shd w:val="clear" w:color="auto" w:fill="FF0000"/>
            <w:vAlign w:val="center"/>
          </w:tcPr>
          <w:p w14:paraId="4DF75CA4" w14:textId="77777777" w:rsidR="00B653DE" w:rsidRPr="00774B01" w:rsidRDefault="00B653DE" w:rsidP="00B653DE">
            <w:pPr>
              <w:jc w:val="center"/>
              <w:rPr>
                <w:b/>
                <w:sz w:val="16"/>
                <w:szCs w:val="16"/>
              </w:rPr>
            </w:pPr>
            <w:r w:rsidRPr="00774B01">
              <w:rPr>
                <w:b/>
                <w:sz w:val="16"/>
                <w:szCs w:val="16"/>
              </w:rPr>
              <w:t>S1</w:t>
            </w:r>
          </w:p>
        </w:tc>
        <w:tc>
          <w:tcPr>
            <w:tcW w:w="6095" w:type="dxa"/>
          </w:tcPr>
          <w:p w14:paraId="25A9D094" w14:textId="77777777" w:rsidR="00B653DE" w:rsidRPr="00774B01" w:rsidRDefault="00B653DE" w:rsidP="00B653DE">
            <w:pPr>
              <w:rPr>
                <w:sz w:val="16"/>
                <w:szCs w:val="16"/>
              </w:rPr>
            </w:pPr>
            <w:r w:rsidRPr="00774B01">
              <w:rPr>
                <w:sz w:val="16"/>
                <w:szCs w:val="16"/>
              </w:rPr>
              <w:t>Identified marine sanctuary or reserve.</w:t>
            </w:r>
          </w:p>
          <w:p w14:paraId="7EB37ECD" w14:textId="77777777" w:rsidR="00B653DE" w:rsidRPr="00774B01" w:rsidRDefault="00B653DE" w:rsidP="00B653DE">
            <w:pPr>
              <w:rPr>
                <w:sz w:val="16"/>
                <w:szCs w:val="16"/>
              </w:rPr>
            </w:pPr>
            <w:r w:rsidRPr="00774B01">
              <w:rPr>
                <w:sz w:val="16"/>
                <w:szCs w:val="16"/>
              </w:rPr>
              <w:t>Presence of known threatened species feeding, breeding, nesting or congregation areas.</w:t>
            </w:r>
          </w:p>
          <w:p w14:paraId="471471CA" w14:textId="77777777" w:rsidR="00B653DE" w:rsidRPr="00774B01" w:rsidRDefault="00B653DE" w:rsidP="00B653DE">
            <w:pPr>
              <w:rPr>
                <w:sz w:val="16"/>
                <w:szCs w:val="16"/>
              </w:rPr>
            </w:pPr>
            <w:r w:rsidRPr="00774B01">
              <w:rPr>
                <w:sz w:val="16"/>
                <w:szCs w:val="16"/>
              </w:rPr>
              <w:t xml:space="preserve">Areas of national significance or biological processes for species of national significance (e.g. breeding sites and National and State Parks, Commonwealth Heritage listed areas) </w:t>
            </w:r>
          </w:p>
          <w:p w14:paraId="765E1AD6" w14:textId="77777777" w:rsidR="00B653DE" w:rsidRPr="00774B01" w:rsidRDefault="00B653DE" w:rsidP="00B653DE">
            <w:pPr>
              <w:rPr>
                <w:sz w:val="16"/>
                <w:szCs w:val="16"/>
              </w:rPr>
            </w:pPr>
            <w:r w:rsidRPr="00774B01">
              <w:rPr>
                <w:sz w:val="16"/>
                <w:szCs w:val="16"/>
              </w:rPr>
              <w:t>Region of known sensitive habitat (mangrove, salt marshes, and sheltered tidal flats) which if impacted may have significant impacts and long recovery periods.</w:t>
            </w:r>
          </w:p>
        </w:tc>
      </w:tr>
      <w:tr w:rsidR="00B653DE" w:rsidRPr="00774B01" w14:paraId="672D6E00" w14:textId="77777777" w:rsidTr="00B653DE">
        <w:trPr>
          <w:cnfStyle w:val="000000010000" w:firstRow="0" w:lastRow="0" w:firstColumn="0" w:lastColumn="0" w:oddVBand="0" w:evenVBand="0" w:oddHBand="0" w:evenHBand="1" w:firstRowFirstColumn="0" w:firstRowLastColumn="0" w:lastRowFirstColumn="0" w:lastRowLastColumn="0"/>
        </w:trPr>
        <w:tc>
          <w:tcPr>
            <w:tcW w:w="1134" w:type="dxa"/>
            <w:vAlign w:val="center"/>
          </w:tcPr>
          <w:p w14:paraId="78226424" w14:textId="4E971CB0" w:rsidR="00B653DE" w:rsidRPr="00774B01" w:rsidRDefault="00B653DE" w:rsidP="00D8439F">
            <w:pPr>
              <w:jc w:val="center"/>
              <w:rPr>
                <w:b/>
                <w:sz w:val="16"/>
                <w:szCs w:val="16"/>
              </w:rPr>
            </w:pPr>
            <w:r w:rsidRPr="00774B01">
              <w:rPr>
                <w:b/>
                <w:sz w:val="16"/>
                <w:szCs w:val="16"/>
              </w:rPr>
              <w:lastRenderedPageBreak/>
              <w:t xml:space="preserve">Medium </w:t>
            </w:r>
          </w:p>
        </w:tc>
        <w:tc>
          <w:tcPr>
            <w:tcW w:w="993" w:type="dxa"/>
            <w:shd w:val="clear" w:color="auto" w:fill="FFC000"/>
            <w:vAlign w:val="center"/>
          </w:tcPr>
          <w:p w14:paraId="5A68B169" w14:textId="77777777" w:rsidR="00B653DE" w:rsidRPr="00774B01" w:rsidRDefault="00B653DE" w:rsidP="00B653DE">
            <w:pPr>
              <w:jc w:val="center"/>
              <w:rPr>
                <w:b/>
                <w:sz w:val="16"/>
                <w:szCs w:val="16"/>
              </w:rPr>
            </w:pPr>
            <w:r w:rsidRPr="00774B01">
              <w:rPr>
                <w:b/>
                <w:sz w:val="16"/>
                <w:szCs w:val="16"/>
              </w:rPr>
              <w:t>S2</w:t>
            </w:r>
          </w:p>
        </w:tc>
        <w:tc>
          <w:tcPr>
            <w:tcW w:w="6095" w:type="dxa"/>
          </w:tcPr>
          <w:p w14:paraId="7D6AFE8E" w14:textId="636202E3" w:rsidR="00B653DE" w:rsidRPr="00774B01" w:rsidRDefault="00B653DE" w:rsidP="00B653DE">
            <w:pPr>
              <w:rPr>
                <w:sz w:val="16"/>
                <w:szCs w:val="16"/>
              </w:rPr>
            </w:pPr>
            <w:r w:rsidRPr="00774B01">
              <w:rPr>
                <w:sz w:val="16"/>
                <w:szCs w:val="16"/>
              </w:rPr>
              <w:t xml:space="preserve">Region of known moderately sensitive habitats (sheltered rocky rubble coasts, exposed tidal flats, gravel beaches, mixed sand and gravel beaches) </w:t>
            </w:r>
            <w:r w:rsidR="000C6356" w:rsidRPr="00774B01">
              <w:rPr>
                <w:sz w:val="16"/>
                <w:szCs w:val="16"/>
              </w:rPr>
              <w:t xml:space="preserve">that </w:t>
            </w:r>
            <w:r w:rsidRPr="00774B01">
              <w:rPr>
                <w:sz w:val="16"/>
                <w:szCs w:val="16"/>
              </w:rPr>
              <w:t>have a medium recovery period (</w:t>
            </w:r>
            <w:r w:rsidRPr="00774B01">
              <w:rPr>
                <w:rFonts w:ascii="Verdana" w:hAnsi="Verdana"/>
                <w:sz w:val="16"/>
                <w:szCs w:val="16"/>
              </w:rPr>
              <w:t>~</w:t>
            </w:r>
            <w:r w:rsidRPr="00774B01">
              <w:rPr>
                <w:sz w:val="16"/>
                <w:szCs w:val="16"/>
              </w:rPr>
              <w:t>2-5 years).</w:t>
            </w:r>
          </w:p>
          <w:p w14:paraId="0CB47FA1" w14:textId="77777777" w:rsidR="00B653DE" w:rsidRPr="00774B01" w:rsidRDefault="00B653DE" w:rsidP="00B653DE">
            <w:pPr>
              <w:rPr>
                <w:sz w:val="16"/>
                <w:szCs w:val="16"/>
              </w:rPr>
            </w:pPr>
            <w:r w:rsidRPr="00774B01">
              <w:rPr>
                <w:sz w:val="16"/>
                <w:szCs w:val="16"/>
              </w:rPr>
              <w:t>Presence of known threatened species or cultural heritage impacted.</w:t>
            </w:r>
          </w:p>
          <w:p w14:paraId="039108A7" w14:textId="77777777" w:rsidR="00B653DE" w:rsidRPr="00774B01" w:rsidRDefault="00B653DE" w:rsidP="00B653DE">
            <w:pPr>
              <w:rPr>
                <w:sz w:val="16"/>
                <w:szCs w:val="16"/>
              </w:rPr>
            </w:pPr>
            <w:r w:rsidRPr="00774B01">
              <w:rPr>
                <w:sz w:val="16"/>
                <w:szCs w:val="16"/>
              </w:rPr>
              <w:t>Region of significant commercial activity (e.g. fishing, tourism).</w:t>
            </w:r>
          </w:p>
          <w:p w14:paraId="6E0594E1" w14:textId="77777777" w:rsidR="00B653DE" w:rsidRPr="00774B01" w:rsidRDefault="00B653DE" w:rsidP="00B653DE">
            <w:pPr>
              <w:rPr>
                <w:sz w:val="16"/>
                <w:szCs w:val="16"/>
              </w:rPr>
            </w:pPr>
            <w:r w:rsidRPr="00774B01">
              <w:rPr>
                <w:sz w:val="16"/>
                <w:szCs w:val="16"/>
              </w:rPr>
              <w:t>Places of public interest such as beaches.</w:t>
            </w:r>
          </w:p>
        </w:tc>
      </w:tr>
      <w:tr w:rsidR="00B653DE" w:rsidRPr="00774B01" w14:paraId="24A1C9C3" w14:textId="77777777" w:rsidTr="00B653DE">
        <w:tc>
          <w:tcPr>
            <w:tcW w:w="1134" w:type="dxa"/>
            <w:vAlign w:val="center"/>
          </w:tcPr>
          <w:p w14:paraId="54E1F65A" w14:textId="1634652E" w:rsidR="00B653DE" w:rsidRPr="00774B01" w:rsidRDefault="00B653DE" w:rsidP="00D8439F">
            <w:pPr>
              <w:jc w:val="center"/>
              <w:rPr>
                <w:b/>
                <w:sz w:val="16"/>
                <w:szCs w:val="16"/>
              </w:rPr>
            </w:pPr>
            <w:r w:rsidRPr="00774B01">
              <w:rPr>
                <w:b/>
                <w:sz w:val="16"/>
                <w:szCs w:val="16"/>
              </w:rPr>
              <w:t xml:space="preserve">Low </w:t>
            </w:r>
          </w:p>
        </w:tc>
        <w:tc>
          <w:tcPr>
            <w:tcW w:w="993" w:type="dxa"/>
            <w:shd w:val="clear" w:color="auto" w:fill="92D050"/>
            <w:vAlign w:val="center"/>
          </w:tcPr>
          <w:p w14:paraId="7BB4BA4D" w14:textId="77777777" w:rsidR="00B653DE" w:rsidRPr="00774B01" w:rsidRDefault="00B653DE" w:rsidP="00B653DE">
            <w:pPr>
              <w:jc w:val="center"/>
              <w:rPr>
                <w:b/>
                <w:sz w:val="16"/>
                <w:szCs w:val="16"/>
              </w:rPr>
            </w:pPr>
            <w:r w:rsidRPr="00774B01">
              <w:rPr>
                <w:b/>
                <w:sz w:val="16"/>
                <w:szCs w:val="16"/>
              </w:rPr>
              <w:t>S3</w:t>
            </w:r>
          </w:p>
        </w:tc>
        <w:tc>
          <w:tcPr>
            <w:tcW w:w="6095" w:type="dxa"/>
          </w:tcPr>
          <w:p w14:paraId="5F5C137B" w14:textId="77777777" w:rsidR="00B653DE" w:rsidRPr="00774B01" w:rsidRDefault="00B653DE" w:rsidP="00B653DE">
            <w:pPr>
              <w:rPr>
                <w:sz w:val="16"/>
                <w:szCs w:val="16"/>
              </w:rPr>
            </w:pPr>
            <w:r w:rsidRPr="00774B01">
              <w:rPr>
                <w:sz w:val="16"/>
                <w:szCs w:val="16"/>
              </w:rPr>
              <w:t>Region of known low sensitivity habitat (fine grained beaches, exposed wave-cut platform and exposed rocky shores) which have a rapid recovery period (</w:t>
            </w:r>
            <w:r w:rsidRPr="00774B01">
              <w:rPr>
                <w:rFonts w:ascii="Verdana" w:hAnsi="Verdana"/>
                <w:sz w:val="16"/>
                <w:szCs w:val="16"/>
              </w:rPr>
              <w:t>~</w:t>
            </w:r>
            <w:r w:rsidRPr="00774B01">
              <w:rPr>
                <w:sz w:val="16"/>
                <w:szCs w:val="16"/>
              </w:rPr>
              <w:t xml:space="preserve"> year).</w:t>
            </w:r>
          </w:p>
          <w:p w14:paraId="6A644B18" w14:textId="77777777" w:rsidR="00B653DE" w:rsidRPr="00774B01" w:rsidRDefault="00B653DE" w:rsidP="00B653DE">
            <w:pPr>
              <w:rPr>
                <w:sz w:val="16"/>
                <w:szCs w:val="16"/>
              </w:rPr>
            </w:pPr>
            <w:r w:rsidRPr="00774B01">
              <w:rPr>
                <w:sz w:val="16"/>
                <w:szCs w:val="16"/>
              </w:rPr>
              <w:t>Minimal impact to marine life, business, public areas or cultural heritage items.</w:t>
            </w:r>
          </w:p>
        </w:tc>
      </w:tr>
    </w:tbl>
    <w:p w14:paraId="13E0E96B" w14:textId="77777777" w:rsidR="00BE1A57" w:rsidRDefault="00BE1A57" w:rsidP="00E1729C">
      <w:pPr>
        <w:pStyle w:val="BodyText"/>
        <w:rPr>
          <w:lang w:eastAsia="en-US"/>
        </w:rPr>
      </w:pPr>
    </w:p>
    <w:p w14:paraId="00BDEEB3" w14:textId="356F7174" w:rsidR="00D30068" w:rsidRDefault="00D30068" w:rsidP="00E1729C">
      <w:pPr>
        <w:pStyle w:val="BodyText"/>
        <w:rPr>
          <w:lang w:eastAsia="en-US"/>
        </w:rPr>
      </w:pPr>
    </w:p>
    <w:p w14:paraId="330A95A9" w14:textId="77777777" w:rsidR="006D4731" w:rsidRDefault="006D4731" w:rsidP="006D4731">
      <w:pPr>
        <w:sectPr w:rsidR="006D4731" w:rsidSect="00DD7B68">
          <w:pgSz w:w="11906" w:h="16838" w:code="9"/>
          <w:pgMar w:top="1994" w:right="1440" w:bottom="1440" w:left="1440" w:header="680" w:footer="284" w:gutter="0"/>
          <w:cols w:space="720"/>
          <w:docGrid w:linePitch="326"/>
        </w:sectPr>
      </w:pPr>
    </w:p>
    <w:p w14:paraId="15850EA9" w14:textId="30BC2DA8" w:rsidR="002A230A" w:rsidRPr="006259FE" w:rsidRDefault="00774B01" w:rsidP="00024BA3">
      <w:pPr>
        <w:pStyle w:val="Caption"/>
        <w:outlineLvl w:val="9"/>
        <w:rPr>
          <w:sz w:val="20"/>
          <w:szCs w:val="20"/>
        </w:rPr>
      </w:pPr>
      <w:bookmarkStart w:id="258" w:name="_Ref473454232"/>
      <w:bookmarkStart w:id="259" w:name="_Toc511032612"/>
      <w:r w:rsidRPr="00774B01">
        <w:rPr>
          <w:sz w:val="20"/>
          <w:szCs w:val="20"/>
        </w:rPr>
        <w:lastRenderedPageBreak/>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21</w:t>
      </w:r>
      <w:r w:rsidR="00103328">
        <w:rPr>
          <w:sz w:val="20"/>
          <w:szCs w:val="20"/>
        </w:rPr>
        <w:fldChar w:fldCharType="end"/>
      </w:r>
      <w:bookmarkEnd w:id="258"/>
      <w:r w:rsidRPr="00774B01">
        <w:rPr>
          <w:sz w:val="20"/>
          <w:szCs w:val="20"/>
        </w:rPr>
        <w:t>: Potential impacts of hydrocarbons on benthic assemblages</w:t>
      </w:r>
      <w:bookmarkEnd w:id="259"/>
    </w:p>
    <w:tbl>
      <w:tblPr>
        <w:tblW w:w="0" w:type="auto"/>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2247"/>
        <w:gridCol w:w="6160"/>
        <w:gridCol w:w="4624"/>
      </w:tblGrid>
      <w:tr w:rsidR="002A230A" w:rsidRPr="00774B01" w14:paraId="30DE3B1B" w14:textId="77777777" w:rsidTr="00774B01">
        <w:tc>
          <w:tcPr>
            <w:tcW w:w="13183" w:type="dxa"/>
            <w:gridSpan w:val="3"/>
            <w:shd w:val="clear" w:color="auto" w:fill="A6A6A6"/>
          </w:tcPr>
          <w:p w14:paraId="2C9024BD" w14:textId="6279FAA0" w:rsidR="002A230A" w:rsidRPr="00774B01" w:rsidRDefault="002A230A" w:rsidP="00774B01">
            <w:pPr>
              <w:pStyle w:val="BodyText"/>
              <w:spacing w:before="40" w:after="40"/>
              <w:ind w:left="0"/>
              <w:jc w:val="center"/>
              <w:rPr>
                <w:rFonts w:cs="Arial"/>
                <w:b/>
                <w:sz w:val="16"/>
                <w:szCs w:val="16"/>
                <w:lang w:eastAsia="en-US"/>
              </w:rPr>
            </w:pPr>
            <w:r w:rsidRPr="00774B01">
              <w:rPr>
                <w:rFonts w:cs="Arial"/>
                <w:b/>
                <w:sz w:val="16"/>
                <w:szCs w:val="16"/>
                <w:lang w:eastAsia="en-US"/>
              </w:rPr>
              <w:t>General sensitivity to oiling – benthic assemblages</w:t>
            </w:r>
          </w:p>
        </w:tc>
      </w:tr>
      <w:tr w:rsidR="002A230A" w:rsidRPr="00774B01" w14:paraId="54E8ACBF" w14:textId="77777777" w:rsidTr="00774B01">
        <w:tc>
          <w:tcPr>
            <w:tcW w:w="13183" w:type="dxa"/>
            <w:gridSpan w:val="3"/>
            <w:shd w:val="clear" w:color="auto" w:fill="auto"/>
          </w:tcPr>
          <w:p w14:paraId="37700E3F" w14:textId="501B810A"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Benthic species are generally protected from exposure to surface hydrocarbon however may be affected by seabed releases. The primary modes of exposure for benthic</w:t>
            </w:r>
          </w:p>
          <w:p w14:paraId="60DF45C0"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communities in oil spills include direct exposure to dispersed oil (e.g., physical smothering) where seabed discharges stay at the ocean bottom or sink down from surface; through</w:t>
            </w:r>
          </w:p>
          <w:p w14:paraId="7083BFCC"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partitioning on sediments or update through the food chain (i.e. prey) (NRDA, 2012).</w:t>
            </w:r>
          </w:p>
          <w:p w14:paraId="0961E847" w14:textId="77777777" w:rsidR="00CE77E2" w:rsidRPr="00CE77E2" w:rsidRDefault="00CE77E2" w:rsidP="00CE77E2">
            <w:pPr>
              <w:autoSpaceDE w:val="0"/>
              <w:autoSpaceDN w:val="0"/>
              <w:adjustRightInd w:val="0"/>
              <w:spacing w:after="0"/>
              <w:outlineLvl w:val="9"/>
              <w:rPr>
                <w:rFonts w:ascii="ArialMT" w:eastAsia="Calibri" w:hAnsi="ArialMT" w:cs="ArialMT"/>
                <w:kern w:val="0"/>
                <w:sz w:val="16"/>
                <w:szCs w:val="16"/>
                <w:u w:val="single"/>
                <w:lang w:eastAsia="en-US"/>
              </w:rPr>
            </w:pPr>
            <w:r w:rsidRPr="00CE77E2">
              <w:rPr>
                <w:rFonts w:ascii="ArialMT" w:eastAsia="Calibri" w:hAnsi="ArialMT" w:cs="ArialMT"/>
                <w:kern w:val="0"/>
                <w:sz w:val="16"/>
                <w:szCs w:val="16"/>
                <w:u w:val="single"/>
                <w:lang w:eastAsia="en-US"/>
              </w:rPr>
              <w:t>Surface Hydrocarbons</w:t>
            </w:r>
          </w:p>
          <w:p w14:paraId="0C18A651"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Adult marine invertebrates and larvae usually reside within benthic substrates and pelagic waters, rarely reaching the water’s surface in their life cycle (to breed, breathe and feed).</w:t>
            </w:r>
          </w:p>
          <w:p w14:paraId="28B11F95"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Therefore, surface hydrocarbons are not considered to pose a high risk to marine invertebrates except at locations where surface oil reaches shorelines. Acute or chronic exposure,</w:t>
            </w:r>
          </w:p>
          <w:p w14:paraId="2E156CC6"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through surface contact, and/or ingestion can result in toxicological risks. Invertebrates with no exoskeleton (limits exposure) and larval forms may be more prone to impacts.</w:t>
            </w:r>
          </w:p>
          <w:p w14:paraId="06FAB303" w14:textId="77777777" w:rsidR="00CE77E2" w:rsidRPr="00CE77E2" w:rsidRDefault="00CE77E2" w:rsidP="00CE77E2">
            <w:pPr>
              <w:autoSpaceDE w:val="0"/>
              <w:autoSpaceDN w:val="0"/>
              <w:adjustRightInd w:val="0"/>
              <w:spacing w:after="0"/>
              <w:outlineLvl w:val="9"/>
              <w:rPr>
                <w:rFonts w:ascii="ArialMT" w:eastAsia="Calibri" w:hAnsi="ArialMT" w:cs="ArialMT"/>
                <w:kern w:val="0"/>
                <w:sz w:val="16"/>
                <w:szCs w:val="16"/>
                <w:u w:val="single"/>
                <w:lang w:eastAsia="en-US"/>
              </w:rPr>
            </w:pPr>
            <w:r w:rsidRPr="00CE77E2">
              <w:rPr>
                <w:rFonts w:ascii="ArialMT" w:eastAsia="Calibri" w:hAnsi="ArialMT" w:cs="ArialMT"/>
                <w:kern w:val="0"/>
                <w:sz w:val="16"/>
                <w:szCs w:val="16"/>
                <w:u w:val="single"/>
                <w:lang w:eastAsia="en-US"/>
              </w:rPr>
              <w:t>Water column/seabed hydrocarbons</w:t>
            </w:r>
          </w:p>
          <w:p w14:paraId="5AB22DB7"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Entrained and dissolved hydrocarbons can have negative impacts on marine invertebrates and associated larval forms. If invertebrates are contaminated by hydrocarbons, tissue</w:t>
            </w:r>
          </w:p>
          <w:p w14:paraId="0090A518"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taint can remain for several months, although taint may eventually be lost (e.g., lobsters lost taint within 2-5 months when exposed to a light hydrocarbon (NOAA, 2002).</w:t>
            </w:r>
          </w:p>
          <w:p w14:paraId="481A3481"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Exposure to microscopic oil droplets may also impact aquatic biota either mechanically (especially filter feeders) or act as a conduit for exposure to semi-soluble hydrocarbons (taken</w:t>
            </w:r>
          </w:p>
          <w:p w14:paraId="305D07D7"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up by the gills or digestive tract) (McCay-French, 2009). Toxicity is primarily attributed to water soluble PAHs. Other possible impacts from pelagic oil include oxygen depletion in</w:t>
            </w:r>
          </w:p>
          <w:p w14:paraId="7C029347"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bottom waters due to bacterial metabolism of oil and light deprivation under surface oil (NRDA, 2012).</w:t>
            </w:r>
          </w:p>
          <w:p w14:paraId="09D8F246"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Abalone is a gastropod (i.e. grazer). Direct dissolved/entrained phase contact may lead to toxic impacts or impact to food sources (i.e. algal communities). Sub-lethal concentrations</w:t>
            </w:r>
          </w:p>
          <w:p w14:paraId="62D3150F"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lead to developmental problems (slow growth and deformities) (Fingas, 2001) or narcosis (death</w:t>
            </w:r>
            <w:r>
              <w:rPr>
                <w:rFonts w:ascii="Cambria" w:eastAsia="Calibri" w:hAnsi="Cambria" w:cs="Cambria"/>
                <w:kern w:val="0"/>
                <w:sz w:val="16"/>
                <w:szCs w:val="16"/>
                <w:lang w:eastAsia="en-US"/>
              </w:rPr>
              <w:t>‐</w:t>
            </w:r>
            <w:r>
              <w:rPr>
                <w:rFonts w:ascii="ArialMT" w:eastAsia="Calibri" w:hAnsi="ArialMT" w:cs="ArialMT"/>
                <w:kern w:val="0"/>
                <w:sz w:val="16"/>
                <w:szCs w:val="16"/>
                <w:lang w:eastAsia="en-US"/>
              </w:rPr>
              <w:t>like appearance). The invertebrates often recover but are more vulnerable to</w:t>
            </w:r>
          </w:p>
          <w:p w14:paraId="56DBD20A"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predators or being swept away by currents.</w:t>
            </w:r>
          </w:p>
          <w:p w14:paraId="4A15B18F"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Studies of offshore benthic seaweeds in the northwest Gulf of Mexico (GoM) prior to and after the Macondo well blowout in water depths of 55-75 m found a dramatic die-off of</w:t>
            </w:r>
          </w:p>
          <w:p w14:paraId="3D499251"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 xml:space="preserve">seaweeds after the spill (Felder </w:t>
            </w:r>
            <w:r>
              <w:rPr>
                <w:rFonts w:ascii="Arial-ItalicMT" w:eastAsia="Calibri" w:hAnsi="Arial-ItalicMT" w:cs="Arial-ItalicMT"/>
                <w:i/>
                <w:iCs/>
                <w:kern w:val="0"/>
                <w:sz w:val="16"/>
                <w:szCs w:val="16"/>
                <w:lang w:eastAsia="en-US"/>
              </w:rPr>
              <w:t>et al</w:t>
            </w:r>
            <w:r>
              <w:rPr>
                <w:rFonts w:ascii="ArialMT" w:eastAsia="Calibri" w:hAnsi="ArialMT" w:cs="ArialMT"/>
                <w:kern w:val="0"/>
                <w:sz w:val="16"/>
                <w:szCs w:val="16"/>
                <w:lang w:eastAsia="en-US"/>
              </w:rPr>
              <w:t>., 2014). Benthic decapod assemblages (crabs, lobsters, prawns) associated with the seaweeds showed a strong decline in abundance at both</w:t>
            </w:r>
          </w:p>
          <w:p w14:paraId="4A7EFF52"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banks post-spill but definitive links to Macondo are not possible due to the influence of Mississippi River. Petroleum residues observed on Ewing Bank may have caused localized</w:t>
            </w:r>
          </w:p>
          <w:p w14:paraId="0515DB16"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 xml:space="preserve">mortalities, reduced the fecundity of surviving female decapods or reduced recruitment (Felder </w:t>
            </w:r>
            <w:r>
              <w:rPr>
                <w:rFonts w:ascii="Arial-ItalicMT" w:eastAsia="Calibri" w:hAnsi="Arial-ItalicMT" w:cs="Arial-ItalicMT"/>
                <w:i/>
                <w:iCs/>
                <w:kern w:val="0"/>
                <w:sz w:val="16"/>
                <w:szCs w:val="16"/>
                <w:lang w:eastAsia="en-US"/>
              </w:rPr>
              <w:t>et al</w:t>
            </w:r>
            <w:r>
              <w:rPr>
                <w:rFonts w:ascii="ArialMT" w:eastAsia="Calibri" w:hAnsi="ArialMT" w:cs="ArialMT"/>
                <w:kern w:val="0"/>
                <w:sz w:val="16"/>
                <w:szCs w:val="16"/>
                <w:lang w:eastAsia="en-US"/>
              </w:rPr>
              <w:t>., 2014). Felder et al (2014) also notes that freshly caught soft-sediment decapod</w:t>
            </w:r>
          </w:p>
          <w:p w14:paraId="32829CDB"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samples caught in early and mid-2011 near the spill site exhibited lesions that were severe enough to cause appendage loss and mortality. Sub-lethal effects of crude oil emulsions</w:t>
            </w:r>
          </w:p>
          <w:p w14:paraId="57C84A6F"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on lobster larvae (reduced metabolism and respiratory activity) occur down to 1 ppm and concentrations of 100 ppm are lethal (Kennish, 1996).</w:t>
            </w:r>
          </w:p>
          <w:p w14:paraId="39DC6C1A"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Recovery of benthic habitats exposed to entrained hydrocarbons would be expected to return to background conditions within weeks to months of contact. Several studies have</w:t>
            </w:r>
          </w:p>
          <w:p w14:paraId="5D6DB5EA" w14:textId="582BEAE0" w:rsidR="002A230A" w:rsidRPr="00774B01" w:rsidRDefault="00CE77E2" w:rsidP="00CE77E2">
            <w:pPr>
              <w:pStyle w:val="BodyText"/>
              <w:spacing w:before="40" w:after="40"/>
              <w:ind w:left="0"/>
              <w:rPr>
                <w:rFonts w:cs="Arial"/>
                <w:sz w:val="16"/>
                <w:szCs w:val="16"/>
                <w:lang w:eastAsia="en-US"/>
              </w:rPr>
            </w:pPr>
            <w:r>
              <w:rPr>
                <w:rFonts w:ascii="ArialMT" w:eastAsia="Calibri" w:hAnsi="ArialMT" w:cs="ArialMT"/>
                <w:kern w:val="0"/>
                <w:sz w:val="16"/>
                <w:szCs w:val="16"/>
                <w:lang w:eastAsia="en-US"/>
              </w:rPr>
              <w:t>indicated that rapid recovery rates may occur even in cases of heavy oiling (NRC, 2003).</w:t>
            </w:r>
            <w:r>
              <w:rPr>
                <w:rFonts w:cs="Arial"/>
                <w:sz w:val="16"/>
                <w:szCs w:val="16"/>
                <w:lang w:eastAsia="en-US"/>
              </w:rPr>
              <w:t xml:space="preserve">  </w:t>
            </w:r>
          </w:p>
        </w:tc>
      </w:tr>
      <w:tr w:rsidR="002A230A" w:rsidRPr="00774B01" w14:paraId="6696A5F0" w14:textId="77777777" w:rsidTr="00774B01">
        <w:tc>
          <w:tcPr>
            <w:tcW w:w="13183" w:type="dxa"/>
            <w:gridSpan w:val="3"/>
            <w:shd w:val="clear" w:color="auto" w:fill="D9D9D9"/>
          </w:tcPr>
          <w:p w14:paraId="7D37F3F3" w14:textId="77777777" w:rsidR="002A230A" w:rsidRPr="00774B01" w:rsidRDefault="002A230A" w:rsidP="00774B01">
            <w:pPr>
              <w:pStyle w:val="BodyText"/>
              <w:spacing w:before="40" w:after="40"/>
              <w:ind w:left="0"/>
              <w:jc w:val="center"/>
              <w:rPr>
                <w:rFonts w:cs="Arial"/>
                <w:b/>
                <w:sz w:val="16"/>
                <w:szCs w:val="16"/>
                <w:lang w:eastAsia="en-US"/>
              </w:rPr>
            </w:pPr>
            <w:r w:rsidRPr="00774B01">
              <w:rPr>
                <w:rFonts w:cs="Arial"/>
                <w:b/>
                <w:sz w:val="16"/>
                <w:szCs w:val="16"/>
                <w:lang w:eastAsia="en-US"/>
              </w:rPr>
              <w:t>Potential impacts from this project</w:t>
            </w:r>
          </w:p>
        </w:tc>
      </w:tr>
      <w:tr w:rsidR="002A230A" w:rsidRPr="00774B01" w14:paraId="7E2E727D" w14:textId="77777777" w:rsidTr="00992887">
        <w:tc>
          <w:tcPr>
            <w:tcW w:w="2268" w:type="dxa"/>
            <w:shd w:val="clear" w:color="auto" w:fill="F2F2F2"/>
          </w:tcPr>
          <w:p w14:paraId="3C68E159" w14:textId="77777777" w:rsidR="002A230A" w:rsidRPr="00774B01" w:rsidRDefault="002A230A" w:rsidP="00774B01">
            <w:pPr>
              <w:pStyle w:val="BodyText"/>
              <w:spacing w:before="40" w:after="40"/>
              <w:ind w:left="0"/>
              <w:jc w:val="center"/>
              <w:rPr>
                <w:rFonts w:cs="Arial"/>
                <w:sz w:val="16"/>
                <w:szCs w:val="16"/>
                <w:lang w:eastAsia="en-US"/>
              </w:rPr>
            </w:pPr>
            <w:r w:rsidRPr="00774B01">
              <w:rPr>
                <w:rFonts w:cs="Arial"/>
                <w:sz w:val="16"/>
                <w:szCs w:val="16"/>
                <w:lang w:eastAsia="en-US"/>
              </w:rPr>
              <w:t>Surface oiling</w:t>
            </w:r>
          </w:p>
        </w:tc>
        <w:tc>
          <w:tcPr>
            <w:tcW w:w="6237" w:type="dxa"/>
            <w:shd w:val="clear" w:color="auto" w:fill="F2F2F2"/>
          </w:tcPr>
          <w:p w14:paraId="1E99E229" w14:textId="28E0EF0F" w:rsidR="002A230A" w:rsidRPr="00774B01" w:rsidRDefault="002A230A" w:rsidP="00774B01">
            <w:pPr>
              <w:pStyle w:val="BodyText"/>
              <w:spacing w:before="40" w:after="40"/>
              <w:ind w:left="0"/>
              <w:jc w:val="center"/>
              <w:rPr>
                <w:rFonts w:cs="Arial"/>
                <w:sz w:val="16"/>
                <w:szCs w:val="16"/>
                <w:lang w:eastAsia="en-US"/>
              </w:rPr>
            </w:pPr>
            <w:r w:rsidRPr="00774B01">
              <w:rPr>
                <w:rFonts w:cs="Arial"/>
                <w:sz w:val="16"/>
                <w:szCs w:val="16"/>
                <w:lang w:eastAsia="en-US"/>
              </w:rPr>
              <w:t>Water column</w:t>
            </w:r>
            <w:r w:rsidR="006D5364" w:rsidRPr="00774B01">
              <w:rPr>
                <w:rFonts w:cs="Arial"/>
                <w:sz w:val="16"/>
                <w:szCs w:val="16"/>
                <w:lang w:eastAsia="en-US"/>
              </w:rPr>
              <w:t>/seabed</w:t>
            </w:r>
          </w:p>
        </w:tc>
        <w:tc>
          <w:tcPr>
            <w:tcW w:w="4678" w:type="dxa"/>
            <w:shd w:val="clear" w:color="auto" w:fill="F2F2F2"/>
          </w:tcPr>
          <w:p w14:paraId="1085F5AC" w14:textId="77777777" w:rsidR="002A230A" w:rsidRPr="00774B01" w:rsidRDefault="002A230A" w:rsidP="00774B01">
            <w:pPr>
              <w:pStyle w:val="BodyText"/>
              <w:spacing w:before="40" w:after="40"/>
              <w:ind w:left="0"/>
              <w:jc w:val="center"/>
              <w:rPr>
                <w:rFonts w:cs="Arial"/>
                <w:sz w:val="16"/>
                <w:szCs w:val="16"/>
                <w:lang w:eastAsia="en-US"/>
              </w:rPr>
            </w:pPr>
            <w:r w:rsidRPr="00774B01">
              <w:rPr>
                <w:rFonts w:cs="Arial"/>
                <w:sz w:val="16"/>
                <w:szCs w:val="16"/>
                <w:lang w:eastAsia="en-US"/>
              </w:rPr>
              <w:t>Shoreline</w:t>
            </w:r>
          </w:p>
        </w:tc>
      </w:tr>
      <w:tr w:rsidR="002A230A" w:rsidRPr="00774B01" w14:paraId="493F8390" w14:textId="77777777" w:rsidTr="00992887">
        <w:tc>
          <w:tcPr>
            <w:tcW w:w="2268" w:type="dxa"/>
            <w:shd w:val="clear" w:color="auto" w:fill="auto"/>
          </w:tcPr>
          <w:p w14:paraId="56EB2FA7" w14:textId="77777777" w:rsidR="002A230A" w:rsidRPr="00774B01" w:rsidRDefault="002A230A" w:rsidP="00774B01">
            <w:pPr>
              <w:spacing w:before="40" w:after="40"/>
              <w:rPr>
                <w:rFonts w:cs="Arial"/>
                <w:sz w:val="16"/>
                <w:szCs w:val="16"/>
                <w:lang w:eastAsia="en-US"/>
              </w:rPr>
            </w:pPr>
            <w:r w:rsidRPr="00774B01">
              <w:rPr>
                <w:sz w:val="16"/>
                <w:szCs w:val="16"/>
                <w:lang w:val="en-GB"/>
              </w:rPr>
              <w:t>Not applicable.</w:t>
            </w:r>
          </w:p>
          <w:p w14:paraId="178FF874" w14:textId="77777777" w:rsidR="002A230A" w:rsidRPr="00774B01" w:rsidRDefault="002A230A" w:rsidP="00774B01">
            <w:pPr>
              <w:pStyle w:val="BodyText"/>
              <w:spacing w:before="40" w:after="40"/>
              <w:ind w:left="0"/>
              <w:rPr>
                <w:rFonts w:cs="Arial"/>
                <w:sz w:val="16"/>
                <w:szCs w:val="16"/>
                <w:lang w:eastAsia="en-US"/>
              </w:rPr>
            </w:pPr>
          </w:p>
        </w:tc>
        <w:tc>
          <w:tcPr>
            <w:tcW w:w="6237" w:type="dxa"/>
            <w:shd w:val="clear" w:color="auto" w:fill="auto"/>
          </w:tcPr>
          <w:p w14:paraId="093B4B5E" w14:textId="77777777" w:rsidR="002A230A" w:rsidRPr="00774B01" w:rsidRDefault="002A230A" w:rsidP="00774B01">
            <w:pPr>
              <w:spacing w:before="40" w:after="40"/>
              <w:rPr>
                <w:sz w:val="16"/>
                <w:szCs w:val="16"/>
                <w:lang w:val="en-GB"/>
              </w:rPr>
            </w:pPr>
            <w:r w:rsidRPr="00774B01">
              <w:rPr>
                <w:sz w:val="16"/>
                <w:szCs w:val="16"/>
                <w:lang w:val="en-GB"/>
              </w:rPr>
              <w:t>Water column impacts on larval stages are addressed under ‘Plankton’.</w:t>
            </w:r>
          </w:p>
          <w:p w14:paraId="157A6722" w14:textId="6A76AF70" w:rsidR="003F21FD" w:rsidRDefault="002A230A" w:rsidP="00774B01">
            <w:pPr>
              <w:spacing w:before="40" w:after="40"/>
              <w:rPr>
                <w:sz w:val="16"/>
                <w:szCs w:val="16"/>
                <w:lang w:val="en-GB"/>
              </w:rPr>
            </w:pPr>
            <w:r w:rsidRPr="00774B01">
              <w:rPr>
                <w:sz w:val="16"/>
                <w:szCs w:val="16"/>
                <w:lang w:val="en-GB"/>
              </w:rPr>
              <w:t xml:space="preserve">Hydrocarbons from a well </w:t>
            </w:r>
            <w:r w:rsidR="006259FE" w:rsidRPr="00774B01">
              <w:rPr>
                <w:sz w:val="16"/>
                <w:szCs w:val="16"/>
                <w:lang w:val="en-GB"/>
              </w:rPr>
              <w:t>release</w:t>
            </w:r>
            <w:r w:rsidRPr="00774B01">
              <w:rPr>
                <w:sz w:val="16"/>
                <w:szCs w:val="16"/>
                <w:lang w:val="en-GB"/>
              </w:rPr>
              <w:t xml:space="preserve"> </w:t>
            </w:r>
            <w:r w:rsidR="004F7216" w:rsidRPr="00774B01">
              <w:rPr>
                <w:sz w:val="16"/>
                <w:szCs w:val="16"/>
                <w:lang w:val="en-GB"/>
              </w:rPr>
              <w:t xml:space="preserve">or pipeline leak </w:t>
            </w:r>
            <w:r w:rsidRPr="00774B01">
              <w:rPr>
                <w:sz w:val="16"/>
                <w:szCs w:val="16"/>
                <w:lang w:val="en-GB"/>
              </w:rPr>
              <w:t xml:space="preserve">scenario are likely to make contact with the seabed within a relatively close vicinity of the source of release. </w:t>
            </w:r>
            <w:r w:rsidR="003F21FD" w:rsidRPr="00774B01">
              <w:rPr>
                <w:sz w:val="16"/>
                <w:szCs w:val="16"/>
                <w:lang w:val="en-GB"/>
              </w:rPr>
              <w:t xml:space="preserve">Modelling of a subsea gas plume conducted by </w:t>
            </w:r>
            <w:r w:rsidR="00DF5DD8" w:rsidRPr="00774B01">
              <w:rPr>
                <w:sz w:val="16"/>
                <w:szCs w:val="16"/>
                <w:lang w:val="en-GB"/>
              </w:rPr>
              <w:t xml:space="preserve">RPS </w:t>
            </w:r>
            <w:r w:rsidR="003F21FD" w:rsidRPr="00774B01">
              <w:rPr>
                <w:sz w:val="16"/>
                <w:szCs w:val="16"/>
                <w:lang w:val="en-GB"/>
              </w:rPr>
              <w:t>APASA (201</w:t>
            </w:r>
            <w:r w:rsidR="00DF5DD8" w:rsidRPr="00774B01">
              <w:rPr>
                <w:sz w:val="16"/>
                <w:szCs w:val="16"/>
                <w:lang w:val="en-GB"/>
              </w:rPr>
              <w:t>6</w:t>
            </w:r>
            <w:r w:rsidR="003F21FD" w:rsidRPr="00774B01">
              <w:rPr>
                <w:sz w:val="16"/>
                <w:szCs w:val="16"/>
                <w:lang w:val="en-GB"/>
              </w:rPr>
              <w:t>) indicates that gas and associated reservoir flui</w:t>
            </w:r>
            <w:r w:rsidR="00D01ED4" w:rsidRPr="00774B01">
              <w:rPr>
                <w:sz w:val="16"/>
                <w:szCs w:val="16"/>
                <w:lang w:val="en-GB"/>
              </w:rPr>
              <w:t>d</w:t>
            </w:r>
            <w:r w:rsidR="003F21FD" w:rsidRPr="00774B01">
              <w:rPr>
                <w:sz w:val="16"/>
                <w:szCs w:val="16"/>
                <w:lang w:val="en-GB"/>
              </w:rPr>
              <w:t xml:space="preserve">s released from the seabed are driven into the water column due to the momentum of the discharge. </w:t>
            </w:r>
            <w:r w:rsidR="004F7216" w:rsidRPr="00774B01">
              <w:rPr>
                <w:sz w:val="16"/>
                <w:szCs w:val="16"/>
                <w:lang w:val="en-GB"/>
              </w:rPr>
              <w:t>The OSTM results also indicate a highly localised area with a probability of contact.</w:t>
            </w:r>
          </w:p>
          <w:p w14:paraId="7EC7B990" w14:textId="4F26C8EA" w:rsidR="00782B5C" w:rsidRPr="00FA36A5" w:rsidRDefault="00782B5C" w:rsidP="00774B01">
            <w:pPr>
              <w:spacing w:before="40" w:after="40"/>
              <w:rPr>
                <w:sz w:val="16"/>
                <w:szCs w:val="16"/>
                <w:u w:val="single"/>
                <w:lang w:val="en-GB"/>
              </w:rPr>
            </w:pPr>
            <w:r w:rsidRPr="00FA36A5">
              <w:rPr>
                <w:sz w:val="16"/>
                <w:szCs w:val="16"/>
                <w:u w:val="single"/>
                <w:lang w:val="en-GB"/>
              </w:rPr>
              <w:t>Offshore</w:t>
            </w:r>
          </w:p>
          <w:p w14:paraId="680D3A85" w14:textId="507DEAE4" w:rsidR="002A230A" w:rsidRDefault="00156794" w:rsidP="00774B01">
            <w:pPr>
              <w:spacing w:before="40" w:after="40"/>
              <w:rPr>
                <w:sz w:val="16"/>
                <w:szCs w:val="16"/>
                <w:lang w:val="en-GB"/>
              </w:rPr>
            </w:pPr>
            <w:r>
              <w:rPr>
                <w:sz w:val="16"/>
                <w:szCs w:val="16"/>
                <w:lang w:val="en-GB"/>
              </w:rPr>
              <w:t xml:space="preserve">The modelled larger offshore scenarios (pipeline rupture and well blowout) predict no exposure from aromatics however low (effects) level entrained phase may be experienced up to 7 km from the release site. </w:t>
            </w:r>
            <w:r w:rsidR="002A230A" w:rsidRPr="00774B01">
              <w:rPr>
                <w:sz w:val="16"/>
                <w:szCs w:val="16"/>
                <w:lang w:val="en-GB"/>
              </w:rPr>
              <w:t xml:space="preserve">Impacts by direct contact of benthic species with hydrocarbon in the </w:t>
            </w:r>
            <w:r>
              <w:rPr>
                <w:sz w:val="16"/>
                <w:szCs w:val="16"/>
                <w:lang w:val="en-GB"/>
              </w:rPr>
              <w:t xml:space="preserve">offshore </w:t>
            </w:r>
            <w:r w:rsidR="00D01ED4" w:rsidRPr="00774B01">
              <w:rPr>
                <w:sz w:val="16"/>
                <w:szCs w:val="16"/>
                <w:lang w:val="en-GB"/>
              </w:rPr>
              <w:t xml:space="preserve">release </w:t>
            </w:r>
            <w:r w:rsidR="002A230A" w:rsidRPr="00774B01">
              <w:rPr>
                <w:sz w:val="16"/>
                <w:szCs w:val="16"/>
                <w:lang w:val="en-GB"/>
              </w:rPr>
              <w:t xml:space="preserve">area will be localised. Filter-feeding benthic invertebrates such as sponges, bryozoans and hydroids exposed to </w:t>
            </w:r>
            <w:r w:rsidR="002A230A" w:rsidRPr="00774B01">
              <w:rPr>
                <w:sz w:val="16"/>
                <w:szCs w:val="16"/>
                <w:lang w:val="en-GB"/>
              </w:rPr>
              <w:lastRenderedPageBreak/>
              <w:t>hydrocarbons in the water column</w:t>
            </w:r>
            <w:r w:rsidR="00790C77" w:rsidRPr="00774B01">
              <w:rPr>
                <w:sz w:val="16"/>
                <w:szCs w:val="16"/>
                <w:lang w:val="en-GB"/>
              </w:rPr>
              <w:t xml:space="preserve"> </w:t>
            </w:r>
            <w:r>
              <w:rPr>
                <w:sz w:val="16"/>
                <w:szCs w:val="16"/>
                <w:lang w:val="en-GB"/>
              </w:rPr>
              <w:t xml:space="preserve">will be at 99% species protection levels for effect and significant impacts are not expected on this basis. </w:t>
            </w:r>
          </w:p>
          <w:p w14:paraId="1DF69FBD" w14:textId="195ACA43" w:rsidR="00782B5C" w:rsidRPr="00FA36A5" w:rsidRDefault="00782B5C" w:rsidP="00774B01">
            <w:pPr>
              <w:spacing w:before="40" w:after="40"/>
              <w:rPr>
                <w:sz w:val="16"/>
                <w:szCs w:val="16"/>
                <w:u w:val="single"/>
                <w:lang w:val="en-GB"/>
              </w:rPr>
            </w:pPr>
            <w:r w:rsidRPr="00FA36A5">
              <w:rPr>
                <w:sz w:val="16"/>
                <w:szCs w:val="16"/>
                <w:u w:val="single"/>
                <w:lang w:val="en-GB"/>
              </w:rPr>
              <w:t>Near-shore</w:t>
            </w:r>
          </w:p>
          <w:p w14:paraId="51A79B59" w14:textId="7F4E3D7C" w:rsidR="00156794" w:rsidRPr="00774B01" w:rsidRDefault="00156794" w:rsidP="00774B01">
            <w:pPr>
              <w:spacing w:before="40" w:after="40"/>
              <w:rPr>
                <w:sz w:val="16"/>
                <w:szCs w:val="16"/>
                <w:lang w:val="en-GB"/>
              </w:rPr>
            </w:pPr>
            <w:r>
              <w:rPr>
                <w:sz w:val="16"/>
                <w:szCs w:val="16"/>
                <w:lang w:val="en-GB"/>
              </w:rPr>
              <w:t>The onshore pipeline rupture scenario predicts dissolved aromatics may extend to 9.3 km (low level exposure) and 3.3 km (moderate level exposures). Also moderate (effects-level) entrained hydrocarbons may extend 9 km from the spill site and low level exposures 30 km to the south-east.</w:t>
            </w:r>
            <w:r w:rsidR="00782B5C">
              <w:rPr>
                <w:sz w:val="16"/>
                <w:szCs w:val="16"/>
                <w:lang w:val="en-GB"/>
              </w:rPr>
              <w:t xml:space="preserve"> It is noted that </w:t>
            </w:r>
            <w:r w:rsidR="00D21656">
              <w:rPr>
                <w:sz w:val="16"/>
                <w:szCs w:val="16"/>
                <w:lang w:val="en-GB"/>
              </w:rPr>
              <w:t>b</w:t>
            </w:r>
            <w:r>
              <w:rPr>
                <w:sz w:val="16"/>
                <w:szCs w:val="16"/>
                <w:lang w:val="en-GB"/>
              </w:rPr>
              <w:t xml:space="preserve">ased upon these results it is possible that very sensitive species </w:t>
            </w:r>
            <w:r w:rsidR="00782B5C">
              <w:rPr>
                <w:sz w:val="16"/>
                <w:szCs w:val="16"/>
                <w:lang w:val="en-GB"/>
              </w:rPr>
              <w:t xml:space="preserve">(plankton, juvenile fish) </w:t>
            </w:r>
            <w:r>
              <w:rPr>
                <w:sz w:val="16"/>
                <w:szCs w:val="16"/>
                <w:lang w:val="en-GB"/>
              </w:rPr>
              <w:t xml:space="preserve">may be affected by the dissolved phase plume within 9.3 km and average sensitive species affected within </w:t>
            </w:r>
            <w:r w:rsidR="00782B5C">
              <w:rPr>
                <w:sz w:val="16"/>
                <w:szCs w:val="16"/>
                <w:lang w:val="en-GB"/>
              </w:rPr>
              <w:t>a</w:t>
            </w:r>
            <w:r>
              <w:rPr>
                <w:sz w:val="16"/>
                <w:szCs w:val="16"/>
                <w:lang w:val="en-GB"/>
              </w:rPr>
              <w:t xml:space="preserve"> 3.3 km radius. Given the HDD scenario is a limited inventory, </w:t>
            </w:r>
            <w:r w:rsidR="00D21656">
              <w:rPr>
                <w:sz w:val="16"/>
                <w:szCs w:val="16"/>
                <w:lang w:val="en-GB"/>
              </w:rPr>
              <w:t xml:space="preserve">if </w:t>
            </w:r>
            <w:r>
              <w:rPr>
                <w:sz w:val="16"/>
                <w:szCs w:val="16"/>
                <w:lang w:val="en-GB"/>
              </w:rPr>
              <w:t>worst duration spill scenario</w:t>
            </w:r>
            <w:r w:rsidR="00782B5C">
              <w:rPr>
                <w:sz w:val="16"/>
                <w:szCs w:val="16"/>
                <w:lang w:val="en-GB"/>
              </w:rPr>
              <w:t xml:space="preserve"> this case represents worst case conditions. On this basis, worst case mortality impacts to sensitive species </w:t>
            </w:r>
            <w:r w:rsidR="00D21656">
              <w:rPr>
                <w:sz w:val="16"/>
                <w:szCs w:val="16"/>
                <w:lang w:val="en-GB"/>
              </w:rPr>
              <w:t xml:space="preserve">occurs this </w:t>
            </w:r>
            <w:r w:rsidR="00782B5C">
              <w:rPr>
                <w:sz w:val="16"/>
                <w:szCs w:val="16"/>
                <w:lang w:val="en-GB"/>
              </w:rPr>
              <w:t xml:space="preserve">will be localised and limited </w:t>
            </w:r>
            <w:r w:rsidR="00D21656">
              <w:rPr>
                <w:sz w:val="16"/>
                <w:szCs w:val="16"/>
                <w:lang w:val="en-GB"/>
              </w:rPr>
              <w:t xml:space="preserve">in </w:t>
            </w:r>
            <w:r w:rsidR="00782B5C">
              <w:rPr>
                <w:sz w:val="16"/>
                <w:szCs w:val="16"/>
                <w:lang w:val="en-GB"/>
              </w:rPr>
              <w:t xml:space="preserve">duration and not represent significance at a population level. </w:t>
            </w:r>
          </w:p>
          <w:p w14:paraId="132D1C2F" w14:textId="0DDE3D93" w:rsidR="00BC7AC8" w:rsidRPr="00774B01" w:rsidRDefault="00782B5C">
            <w:pPr>
              <w:pStyle w:val="BodyText"/>
              <w:spacing w:before="40" w:after="40"/>
              <w:ind w:left="0"/>
              <w:rPr>
                <w:rFonts w:cs="Arial"/>
                <w:sz w:val="16"/>
                <w:szCs w:val="16"/>
                <w:lang w:eastAsia="en-US"/>
              </w:rPr>
            </w:pPr>
            <w:r>
              <w:rPr>
                <w:sz w:val="16"/>
                <w:szCs w:val="16"/>
                <w:lang w:val="en-GB"/>
              </w:rPr>
              <w:t>For more tolerant species s</w:t>
            </w:r>
            <w:r w:rsidR="002A230A" w:rsidRPr="00774B01">
              <w:rPr>
                <w:sz w:val="16"/>
                <w:szCs w:val="16"/>
                <w:lang w:val="en-GB"/>
              </w:rPr>
              <w:t xml:space="preserve">ub-lethal impacts </w:t>
            </w:r>
            <w:r>
              <w:rPr>
                <w:sz w:val="16"/>
                <w:szCs w:val="16"/>
                <w:lang w:val="en-GB"/>
              </w:rPr>
              <w:t>may be experienced over this short-duration event.</w:t>
            </w:r>
            <w:r w:rsidR="002A230A" w:rsidRPr="00774B01">
              <w:rPr>
                <w:sz w:val="16"/>
                <w:szCs w:val="16"/>
                <w:lang w:val="en-GB"/>
              </w:rPr>
              <w:t xml:space="preserve"> Tissue taint may remain for several months in some species (e.g., lobster</w:t>
            </w:r>
            <w:r w:rsidR="00BC7AC8">
              <w:rPr>
                <w:sz w:val="16"/>
                <w:szCs w:val="16"/>
                <w:lang w:val="en-GB"/>
              </w:rPr>
              <w:t>, abalone</w:t>
            </w:r>
            <w:r w:rsidR="002A230A" w:rsidRPr="00774B01">
              <w:rPr>
                <w:sz w:val="16"/>
                <w:szCs w:val="16"/>
                <w:lang w:val="en-GB"/>
              </w:rPr>
              <w:t xml:space="preserve">), however, </w:t>
            </w:r>
            <w:r w:rsidR="00BC7AC8">
              <w:rPr>
                <w:sz w:val="16"/>
                <w:szCs w:val="16"/>
                <w:lang w:val="en-GB"/>
              </w:rPr>
              <w:t xml:space="preserve">the CHN pipeline alignment </w:t>
            </w:r>
            <w:r>
              <w:rPr>
                <w:sz w:val="16"/>
                <w:szCs w:val="16"/>
                <w:lang w:val="en-GB"/>
              </w:rPr>
              <w:t xml:space="preserve">has </w:t>
            </w:r>
            <w:r w:rsidR="00BC7AC8">
              <w:rPr>
                <w:sz w:val="16"/>
                <w:szCs w:val="16"/>
                <w:lang w:val="en-GB"/>
              </w:rPr>
              <w:t xml:space="preserve">considered the presence of primary lobster and abalone habitats during installation and avoided habitat suitable for these species with the exception of the sponge reef habitat located at KP19.5. Accordingly, given the limited water column/seabed footprint associated with seabed condensate releases at CHN, and the limited amount of habitat which support these species in proximity to the pipeline, impacts are considered to be negligible on a </w:t>
            </w:r>
            <w:r>
              <w:rPr>
                <w:sz w:val="16"/>
                <w:szCs w:val="16"/>
                <w:lang w:val="en-GB"/>
              </w:rPr>
              <w:t xml:space="preserve">commercial fishery </w:t>
            </w:r>
            <w:r w:rsidR="00BC7AC8">
              <w:rPr>
                <w:sz w:val="16"/>
                <w:szCs w:val="16"/>
                <w:lang w:val="en-GB"/>
              </w:rPr>
              <w:t>basis.</w:t>
            </w:r>
          </w:p>
        </w:tc>
        <w:tc>
          <w:tcPr>
            <w:tcW w:w="4678" w:type="dxa"/>
            <w:shd w:val="clear" w:color="auto" w:fill="auto"/>
          </w:tcPr>
          <w:p w14:paraId="04C30A11" w14:textId="5B8FFCCE" w:rsidR="00992887" w:rsidRDefault="0071495F" w:rsidP="00774B01">
            <w:pPr>
              <w:spacing w:before="40" w:after="40"/>
              <w:rPr>
                <w:sz w:val="16"/>
                <w:szCs w:val="16"/>
                <w:lang w:val="en-GB"/>
              </w:rPr>
            </w:pPr>
            <w:r w:rsidRPr="00774B01">
              <w:rPr>
                <w:sz w:val="16"/>
                <w:szCs w:val="16"/>
                <w:lang w:val="en-GB"/>
              </w:rPr>
              <w:lastRenderedPageBreak/>
              <w:t xml:space="preserve">There is a </w:t>
            </w:r>
            <w:r w:rsidR="00280AD9">
              <w:rPr>
                <w:sz w:val="16"/>
                <w:szCs w:val="16"/>
                <w:lang w:val="en-GB"/>
              </w:rPr>
              <w:t>1</w:t>
            </w:r>
            <w:r w:rsidRPr="00774B01">
              <w:rPr>
                <w:sz w:val="16"/>
                <w:szCs w:val="16"/>
                <w:lang w:val="en-GB"/>
              </w:rPr>
              <w:t>% probability of shoreline exposure to 1</w:t>
            </w:r>
            <w:r w:rsidR="00280AD9">
              <w:rPr>
                <w:sz w:val="16"/>
                <w:szCs w:val="16"/>
                <w:lang w:val="en-GB"/>
              </w:rPr>
              <w:t>00</w:t>
            </w:r>
            <w:r w:rsidRPr="00774B01">
              <w:rPr>
                <w:sz w:val="16"/>
                <w:szCs w:val="16"/>
                <w:lang w:val="en-GB"/>
              </w:rPr>
              <w:t xml:space="preserve"> g/m</w:t>
            </w:r>
            <w:r w:rsidRPr="00774B01">
              <w:rPr>
                <w:sz w:val="16"/>
                <w:szCs w:val="16"/>
                <w:vertAlign w:val="superscript"/>
                <w:lang w:val="en-GB"/>
              </w:rPr>
              <w:t>2</w:t>
            </w:r>
            <w:r w:rsidRPr="00774B01">
              <w:rPr>
                <w:sz w:val="16"/>
                <w:szCs w:val="16"/>
                <w:lang w:val="en-GB"/>
              </w:rPr>
              <w:t xml:space="preserve"> at isolate</w:t>
            </w:r>
            <w:r w:rsidR="00B75EEA" w:rsidRPr="00774B01">
              <w:rPr>
                <w:sz w:val="16"/>
                <w:szCs w:val="16"/>
                <w:lang w:val="en-GB"/>
              </w:rPr>
              <w:t>d</w:t>
            </w:r>
            <w:r w:rsidRPr="00774B01">
              <w:rPr>
                <w:sz w:val="16"/>
                <w:szCs w:val="16"/>
                <w:lang w:val="en-GB"/>
              </w:rPr>
              <w:t xml:space="preserve"> areas of shoreline west of Port Campbell</w:t>
            </w:r>
            <w:r w:rsidR="00B75EEA" w:rsidRPr="00774B01">
              <w:rPr>
                <w:sz w:val="16"/>
                <w:szCs w:val="16"/>
                <w:lang w:val="en-GB"/>
              </w:rPr>
              <w:t xml:space="preserve"> from a 100 m</w:t>
            </w:r>
            <w:r w:rsidR="00B75EEA" w:rsidRPr="00774B01">
              <w:rPr>
                <w:sz w:val="16"/>
                <w:szCs w:val="16"/>
                <w:vertAlign w:val="superscript"/>
                <w:lang w:val="en-GB"/>
              </w:rPr>
              <w:t>3</w:t>
            </w:r>
            <w:r w:rsidR="00B75EEA" w:rsidRPr="00774B01">
              <w:rPr>
                <w:sz w:val="16"/>
                <w:szCs w:val="16"/>
                <w:lang w:val="en-GB"/>
              </w:rPr>
              <w:t xml:space="preserve"> subsea pipeline release (no shoreline contact for the well failure scenario)</w:t>
            </w:r>
            <w:r w:rsidRPr="00774B01">
              <w:rPr>
                <w:sz w:val="16"/>
                <w:szCs w:val="16"/>
                <w:lang w:val="en-GB"/>
              </w:rPr>
              <w:t xml:space="preserve">. </w:t>
            </w:r>
            <w:r w:rsidR="00992887">
              <w:rPr>
                <w:sz w:val="16"/>
                <w:szCs w:val="16"/>
                <w:lang w:val="en-GB"/>
              </w:rPr>
              <w:t>Note that this is below oiling thresholds which cause ecological impacts.</w:t>
            </w:r>
          </w:p>
          <w:p w14:paraId="449EFA23" w14:textId="08FF20CD" w:rsidR="002A230A" w:rsidRPr="00774B01" w:rsidRDefault="002A230A" w:rsidP="00774B01">
            <w:pPr>
              <w:spacing w:before="40" w:after="40"/>
              <w:rPr>
                <w:sz w:val="16"/>
                <w:szCs w:val="16"/>
                <w:lang w:val="en-GB"/>
              </w:rPr>
            </w:pPr>
            <w:r w:rsidRPr="00774B01">
              <w:rPr>
                <w:sz w:val="16"/>
                <w:szCs w:val="16"/>
                <w:lang w:val="en-GB"/>
              </w:rPr>
              <w:t xml:space="preserve">Inshore and intertidal benthic species may be exposed to </w:t>
            </w:r>
            <w:r w:rsidR="00790C77" w:rsidRPr="00774B01">
              <w:rPr>
                <w:sz w:val="16"/>
                <w:szCs w:val="16"/>
                <w:lang w:val="en-GB"/>
              </w:rPr>
              <w:t>condensate (albeit slightly weathered)</w:t>
            </w:r>
            <w:r w:rsidRPr="00774B01">
              <w:rPr>
                <w:sz w:val="16"/>
                <w:szCs w:val="16"/>
                <w:lang w:val="en-GB"/>
              </w:rPr>
              <w:t>.</w:t>
            </w:r>
            <w:r w:rsidR="0071495F" w:rsidRPr="00774B01">
              <w:rPr>
                <w:sz w:val="16"/>
                <w:szCs w:val="16"/>
                <w:lang w:val="en-GB"/>
              </w:rPr>
              <w:t xml:space="preserve"> Inshore reefs occur along this section of coastline, so it is likely that benthic communities would be exposed to </w:t>
            </w:r>
            <w:r w:rsidR="00992887">
              <w:rPr>
                <w:sz w:val="16"/>
                <w:szCs w:val="16"/>
                <w:lang w:val="en-GB"/>
              </w:rPr>
              <w:t xml:space="preserve">very low level </w:t>
            </w:r>
            <w:r w:rsidR="0071495F" w:rsidRPr="00774B01">
              <w:rPr>
                <w:sz w:val="16"/>
                <w:szCs w:val="16"/>
                <w:lang w:val="en-GB"/>
              </w:rPr>
              <w:t>hydrocarbons.</w:t>
            </w:r>
            <w:r w:rsidR="00672015">
              <w:rPr>
                <w:sz w:val="16"/>
                <w:szCs w:val="16"/>
                <w:lang w:val="en-GB"/>
              </w:rPr>
              <w:t xml:space="preserve"> It is noted that the predicted area of contact is mixed sand/shore platform. Residues deposited on these areas are rapidly remobilised due to wave and tidal action so </w:t>
            </w:r>
            <w:r w:rsidR="00672015">
              <w:rPr>
                <w:sz w:val="16"/>
                <w:szCs w:val="16"/>
                <w:lang w:val="en-GB"/>
              </w:rPr>
              <w:lastRenderedPageBreak/>
              <w:t xml:space="preserve">any accumulation is likely to be short-term and temporary. Intertidal platform areas </w:t>
            </w:r>
          </w:p>
          <w:p w14:paraId="70BE2287" w14:textId="34BF9AAF" w:rsidR="002A230A" w:rsidRPr="00774B01" w:rsidRDefault="00672015">
            <w:pPr>
              <w:spacing w:before="40" w:after="40"/>
              <w:rPr>
                <w:rFonts w:cs="Arial"/>
                <w:sz w:val="16"/>
                <w:szCs w:val="16"/>
                <w:lang w:eastAsia="en-US"/>
              </w:rPr>
            </w:pPr>
            <w:r>
              <w:rPr>
                <w:sz w:val="16"/>
                <w:szCs w:val="16"/>
                <w:lang w:val="en-GB"/>
              </w:rPr>
              <w:t>At 100 g/m</w:t>
            </w:r>
            <w:r w:rsidRPr="00FA36A5">
              <w:rPr>
                <w:sz w:val="16"/>
                <w:szCs w:val="16"/>
                <w:vertAlign w:val="superscript"/>
                <w:lang w:val="en-GB"/>
              </w:rPr>
              <w:t>2</w:t>
            </w:r>
            <w:r>
              <w:rPr>
                <w:sz w:val="16"/>
                <w:szCs w:val="16"/>
                <w:lang w:val="en-GB"/>
              </w:rPr>
              <w:t>, r</w:t>
            </w:r>
            <w:r w:rsidR="002A230A" w:rsidRPr="00774B01">
              <w:rPr>
                <w:sz w:val="16"/>
                <w:szCs w:val="16"/>
                <w:lang w:val="en-GB"/>
              </w:rPr>
              <w:t xml:space="preserve">esident fauna such as worms, molluscs and crustaceans may suffer lethal impacts if </w:t>
            </w:r>
            <w:r w:rsidR="00B75EEA" w:rsidRPr="00774B01">
              <w:rPr>
                <w:sz w:val="16"/>
                <w:szCs w:val="16"/>
                <w:lang w:val="en-GB"/>
              </w:rPr>
              <w:t>hydrocarbons</w:t>
            </w:r>
            <w:r w:rsidR="002A230A" w:rsidRPr="00774B01">
              <w:rPr>
                <w:sz w:val="16"/>
                <w:szCs w:val="16"/>
                <w:lang w:val="en-GB"/>
              </w:rPr>
              <w:t xml:space="preserve"> penetrate into sediments, especially in highly productive sheltered shorelines where </w:t>
            </w:r>
            <w:r w:rsidR="00B75EEA" w:rsidRPr="00774B01">
              <w:rPr>
                <w:sz w:val="16"/>
                <w:szCs w:val="16"/>
                <w:lang w:val="en-GB"/>
              </w:rPr>
              <w:t>hydrocarbon</w:t>
            </w:r>
            <w:r w:rsidR="002A230A" w:rsidRPr="00774B01">
              <w:rPr>
                <w:sz w:val="16"/>
                <w:szCs w:val="16"/>
                <w:lang w:val="en-GB"/>
              </w:rPr>
              <w:t xml:space="preserve"> is more likely to be retained.</w:t>
            </w:r>
            <w:r w:rsidR="006A0443">
              <w:rPr>
                <w:sz w:val="16"/>
                <w:szCs w:val="16"/>
                <w:lang w:val="en-GB"/>
              </w:rPr>
              <w:t xml:space="preserve"> </w:t>
            </w:r>
            <w:r>
              <w:rPr>
                <w:sz w:val="16"/>
                <w:szCs w:val="16"/>
                <w:lang w:val="en-GB"/>
              </w:rPr>
              <w:t xml:space="preserve">The shorelines affected are not predicted to be sheltered. On this basis, impacts to benthic and shoreline assemblages are considered to be limited localised, and if impacts occur, areas will be rapidly recolonised by adjacent species </w:t>
            </w:r>
            <w:r w:rsidR="00280AD9">
              <w:rPr>
                <w:sz w:val="16"/>
                <w:szCs w:val="16"/>
                <w:lang w:val="en-GB"/>
              </w:rPr>
              <w:t>(negligible impacts)</w:t>
            </w:r>
            <w:r w:rsidR="006A0443">
              <w:rPr>
                <w:sz w:val="16"/>
                <w:szCs w:val="16"/>
                <w:lang w:val="en-GB"/>
              </w:rPr>
              <w:t>.</w:t>
            </w:r>
            <w:r w:rsidR="002A230A" w:rsidRPr="00774B01">
              <w:rPr>
                <w:sz w:val="16"/>
                <w:szCs w:val="16"/>
                <w:lang w:val="en-GB"/>
              </w:rPr>
              <w:t xml:space="preserve"> </w:t>
            </w:r>
          </w:p>
        </w:tc>
      </w:tr>
    </w:tbl>
    <w:p w14:paraId="0C2ECA3B" w14:textId="14AA3032" w:rsidR="006A0443" w:rsidRDefault="006A0443" w:rsidP="006A0443">
      <w:pPr>
        <w:pStyle w:val="BodyText"/>
      </w:pPr>
    </w:p>
    <w:p w14:paraId="609D1FCB" w14:textId="104FAAE9" w:rsidR="00342738" w:rsidRPr="006259FE" w:rsidRDefault="006A0443" w:rsidP="00B86A7D">
      <w:pPr>
        <w:pStyle w:val="Caption"/>
        <w:outlineLvl w:val="9"/>
        <w:rPr>
          <w:sz w:val="20"/>
          <w:szCs w:val="20"/>
        </w:rPr>
      </w:pPr>
      <w:bookmarkStart w:id="260" w:name="_Toc511032613"/>
      <w:r w:rsidRPr="006A0443">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22</w:t>
      </w:r>
      <w:r w:rsidR="00103328">
        <w:rPr>
          <w:sz w:val="20"/>
          <w:szCs w:val="20"/>
        </w:rPr>
        <w:fldChar w:fldCharType="end"/>
      </w:r>
      <w:r w:rsidRPr="006A0443">
        <w:rPr>
          <w:sz w:val="20"/>
          <w:szCs w:val="20"/>
        </w:rPr>
        <w:t>: Potential impacts of hydrocarbon on plankton</w:t>
      </w:r>
      <w:r w:rsidR="00D21656">
        <w:rPr>
          <w:sz w:val="20"/>
          <w:szCs w:val="20"/>
        </w:rPr>
        <w:t xml:space="preserve"> (including fish larvae)</w:t>
      </w:r>
      <w:bookmarkEnd w:id="260"/>
    </w:p>
    <w:tbl>
      <w:tblPr>
        <w:tblW w:w="0" w:type="auto"/>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6143"/>
        <w:gridCol w:w="5446"/>
        <w:gridCol w:w="1442"/>
      </w:tblGrid>
      <w:tr w:rsidR="00DA3155" w:rsidRPr="006A0443" w14:paraId="67679701" w14:textId="77777777" w:rsidTr="006A0443">
        <w:tc>
          <w:tcPr>
            <w:tcW w:w="13217" w:type="dxa"/>
            <w:gridSpan w:val="3"/>
            <w:shd w:val="clear" w:color="auto" w:fill="A6A6A6"/>
          </w:tcPr>
          <w:p w14:paraId="3ADA6529" w14:textId="673F5569" w:rsidR="00DA3155" w:rsidRPr="006A0443" w:rsidRDefault="00DA3155" w:rsidP="006A0443">
            <w:pPr>
              <w:pStyle w:val="BodyText"/>
              <w:spacing w:before="40" w:after="40"/>
              <w:ind w:left="0"/>
              <w:jc w:val="center"/>
              <w:rPr>
                <w:rFonts w:cs="Arial"/>
                <w:b/>
                <w:sz w:val="16"/>
                <w:szCs w:val="16"/>
                <w:lang w:eastAsia="en-US"/>
              </w:rPr>
            </w:pPr>
            <w:r w:rsidRPr="006A0443">
              <w:rPr>
                <w:rFonts w:cs="Arial"/>
                <w:b/>
                <w:sz w:val="16"/>
                <w:szCs w:val="16"/>
                <w:lang w:eastAsia="en-US"/>
              </w:rPr>
              <w:t>General sensitivity to oiling - plankton</w:t>
            </w:r>
          </w:p>
        </w:tc>
      </w:tr>
      <w:tr w:rsidR="00BC70F0" w:rsidRPr="006A0443" w14:paraId="2DD9CB6A" w14:textId="77777777" w:rsidTr="006A0443">
        <w:tc>
          <w:tcPr>
            <w:tcW w:w="13217" w:type="dxa"/>
            <w:gridSpan w:val="3"/>
            <w:shd w:val="clear" w:color="auto" w:fill="auto"/>
          </w:tcPr>
          <w:p w14:paraId="54BFD421"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Plankton is found in nearshore and open waters in the water column. These organisms migrate vertically through the water column to feed in surface waters at night (NRDA, 2012).</w:t>
            </w:r>
          </w:p>
          <w:p w14:paraId="5E39D6DE"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As they move close to the sea surface it is possible that they may be exposed to both surface hydrocarbons but to a greater extent, dissolved or entrained in the water column.</w:t>
            </w:r>
          </w:p>
          <w:p w14:paraId="6BF4FD87"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 xml:space="preserve">Phytoplankton is typically not sensitive to the impacts of oil, though they do accumulate it rapidly (Hook </w:t>
            </w:r>
            <w:r>
              <w:rPr>
                <w:rFonts w:ascii="Arial-ItalicMT" w:eastAsia="Calibri" w:hAnsi="Arial-ItalicMT" w:cs="Arial-ItalicMT"/>
                <w:i/>
                <w:iCs/>
                <w:kern w:val="0"/>
                <w:sz w:val="16"/>
                <w:szCs w:val="16"/>
                <w:lang w:eastAsia="en-US"/>
              </w:rPr>
              <w:t>et al</w:t>
            </w:r>
            <w:r>
              <w:rPr>
                <w:rFonts w:ascii="ArialMT" w:eastAsia="Calibri" w:hAnsi="ArialMT" w:cs="ArialMT"/>
                <w:kern w:val="0"/>
                <w:sz w:val="16"/>
                <w:szCs w:val="16"/>
                <w:lang w:eastAsia="en-US"/>
              </w:rPr>
              <w:t>., 2016). Phytoplankton exposed to hydrocarbons at the sea surface, may</w:t>
            </w:r>
          </w:p>
          <w:p w14:paraId="30AF200D" w14:textId="77777777" w:rsidR="00CE77E2" w:rsidRDefault="00CE77E2" w:rsidP="00CE77E2">
            <w:pPr>
              <w:autoSpaceDE w:val="0"/>
              <w:autoSpaceDN w:val="0"/>
              <w:adjustRightInd w:val="0"/>
              <w:spacing w:after="0"/>
              <w:outlineLvl w:val="9"/>
              <w:rPr>
                <w:rFonts w:ascii="Arial-ItalicMT" w:eastAsia="Calibri" w:hAnsi="Arial-ItalicMT" w:cs="Arial-ItalicMT"/>
                <w:i/>
                <w:iCs/>
                <w:kern w:val="0"/>
                <w:sz w:val="16"/>
                <w:szCs w:val="16"/>
                <w:lang w:eastAsia="en-US"/>
              </w:rPr>
            </w:pPr>
            <w:r>
              <w:rPr>
                <w:rFonts w:ascii="ArialMT" w:eastAsia="Calibri" w:hAnsi="ArialMT" w:cs="ArialMT"/>
                <w:kern w:val="0"/>
                <w:sz w:val="16"/>
                <w:szCs w:val="16"/>
                <w:lang w:eastAsia="en-US"/>
              </w:rPr>
              <w:t xml:space="preserve">directly affect their ability to photosynthesize (&amp; secondary effects associated with availability of light) and impacts for the next trophic level in the food chain (e.g., small fish) (Hook </w:t>
            </w:r>
            <w:r>
              <w:rPr>
                <w:rFonts w:ascii="Arial-ItalicMT" w:eastAsia="Calibri" w:hAnsi="Arial-ItalicMT" w:cs="Arial-ItalicMT"/>
                <w:i/>
                <w:iCs/>
                <w:kern w:val="0"/>
                <w:sz w:val="16"/>
                <w:szCs w:val="16"/>
                <w:lang w:eastAsia="en-US"/>
              </w:rPr>
              <w:t>et</w:t>
            </w:r>
          </w:p>
          <w:p w14:paraId="496D5DE0"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ItalicMT" w:eastAsia="Calibri" w:hAnsi="Arial-ItalicMT" w:cs="Arial-ItalicMT"/>
                <w:i/>
                <w:iCs/>
                <w:kern w:val="0"/>
                <w:sz w:val="16"/>
                <w:szCs w:val="16"/>
                <w:lang w:eastAsia="en-US"/>
              </w:rPr>
              <w:t>al</w:t>
            </w:r>
            <w:r>
              <w:rPr>
                <w:rFonts w:ascii="ArialMT" w:eastAsia="Calibri" w:hAnsi="ArialMT" w:cs="ArialMT"/>
                <w:kern w:val="0"/>
                <w:sz w:val="16"/>
                <w:szCs w:val="16"/>
                <w:lang w:eastAsia="en-US"/>
              </w:rPr>
              <w:t>., 2016). Photosynthesis is stimulated by low concentrations of oil in the water column (10-30 ppb), but become progressively inhibited above 50 ppb. Conversely, photosynthesis</w:t>
            </w:r>
          </w:p>
          <w:p w14:paraId="03B73B56"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 xml:space="preserve">can be stimulated below 100 ppb for exposure to weathered oil (Volkman </w:t>
            </w:r>
            <w:r>
              <w:rPr>
                <w:rFonts w:ascii="Arial-ItalicMT" w:eastAsia="Calibri" w:hAnsi="Arial-ItalicMT" w:cs="Arial-ItalicMT"/>
                <w:i/>
                <w:iCs/>
                <w:kern w:val="0"/>
                <w:sz w:val="16"/>
                <w:szCs w:val="16"/>
                <w:lang w:eastAsia="en-US"/>
              </w:rPr>
              <w:t>et al</w:t>
            </w:r>
            <w:r>
              <w:rPr>
                <w:rFonts w:ascii="ArialMT" w:eastAsia="Calibri" w:hAnsi="ArialMT" w:cs="ArialMT"/>
                <w:kern w:val="0"/>
                <w:sz w:val="16"/>
                <w:szCs w:val="16"/>
                <w:lang w:eastAsia="en-US"/>
              </w:rPr>
              <w:t>., 2004).</w:t>
            </w:r>
          </w:p>
          <w:p w14:paraId="276C075E"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 xml:space="preserve">Zooplankton (microscopic animals such as rotifers, copepods and krill that feed on phytoplankton) is vulnerable to hydrocarbons (Hook </w:t>
            </w:r>
            <w:r>
              <w:rPr>
                <w:rFonts w:ascii="Arial-ItalicMT" w:eastAsia="Calibri" w:hAnsi="Arial-ItalicMT" w:cs="Arial-ItalicMT"/>
                <w:i/>
                <w:iCs/>
                <w:kern w:val="0"/>
                <w:sz w:val="16"/>
                <w:szCs w:val="16"/>
                <w:lang w:eastAsia="en-US"/>
              </w:rPr>
              <w:t>et al</w:t>
            </w:r>
            <w:r>
              <w:rPr>
                <w:rFonts w:ascii="ArialMT" w:eastAsia="Calibri" w:hAnsi="ArialMT" w:cs="ArialMT"/>
                <w:kern w:val="0"/>
                <w:sz w:val="16"/>
                <w:szCs w:val="16"/>
                <w:lang w:eastAsia="en-US"/>
              </w:rPr>
              <w:t>., 2016). Water column organisms that</w:t>
            </w:r>
          </w:p>
          <w:p w14:paraId="766372AB"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come into contact with oil risk exposure through ingestion, inhalation and dermal contact (NRDA, 2012), which can cause immediate mortality or declines in egg production and</w:t>
            </w:r>
          </w:p>
          <w:p w14:paraId="6032FBEF"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 xml:space="preserve">hatching rates along with a decline in swimming speeds (Hook </w:t>
            </w:r>
            <w:r>
              <w:rPr>
                <w:rFonts w:ascii="Arial-ItalicMT" w:eastAsia="Calibri" w:hAnsi="Arial-ItalicMT" w:cs="Arial-ItalicMT"/>
                <w:i/>
                <w:iCs/>
                <w:kern w:val="0"/>
                <w:sz w:val="16"/>
                <w:szCs w:val="16"/>
                <w:lang w:eastAsia="en-US"/>
              </w:rPr>
              <w:t>et al</w:t>
            </w:r>
            <w:r>
              <w:rPr>
                <w:rFonts w:ascii="ArialMT" w:eastAsia="Calibri" w:hAnsi="ArialMT" w:cs="ArialMT"/>
                <w:kern w:val="0"/>
                <w:sz w:val="16"/>
                <w:szCs w:val="16"/>
                <w:lang w:eastAsia="en-US"/>
              </w:rPr>
              <w:t>., 2016).</w:t>
            </w:r>
          </w:p>
          <w:p w14:paraId="1EF7FCBB"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Plankton is generally abundant in the upper layers of the water column and is the basis of the marine food web, so an oil spill in any one location is unlikely to have long-lasting</w:t>
            </w:r>
          </w:p>
          <w:p w14:paraId="2AA763E8"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 xml:space="preserve">impacts on plankton populations at a regional level. Reproduction by survivors or migration from unaffected areas is likely to rapidly replenish losses (Volkman </w:t>
            </w:r>
            <w:r>
              <w:rPr>
                <w:rFonts w:ascii="Arial-ItalicMT" w:eastAsia="Calibri" w:hAnsi="Arial-ItalicMT" w:cs="Arial-ItalicMT"/>
                <w:i/>
                <w:iCs/>
                <w:kern w:val="0"/>
                <w:sz w:val="16"/>
                <w:szCs w:val="16"/>
                <w:lang w:eastAsia="en-US"/>
              </w:rPr>
              <w:t>et al</w:t>
            </w:r>
            <w:r>
              <w:rPr>
                <w:rFonts w:ascii="ArialMT" w:eastAsia="Calibri" w:hAnsi="ArialMT" w:cs="ArialMT"/>
                <w:kern w:val="0"/>
                <w:sz w:val="16"/>
                <w:szCs w:val="16"/>
                <w:lang w:eastAsia="en-US"/>
              </w:rPr>
              <w:t>., 2004). Oil spill</w:t>
            </w:r>
          </w:p>
          <w:p w14:paraId="72B08A2E"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 xml:space="preserve">field observations show minimal or transient effects on plankton (Volkman </w:t>
            </w:r>
            <w:r>
              <w:rPr>
                <w:rFonts w:ascii="Arial-ItalicMT" w:eastAsia="Calibri" w:hAnsi="Arial-ItalicMT" w:cs="Arial-ItalicMT"/>
                <w:i/>
                <w:iCs/>
                <w:kern w:val="0"/>
                <w:sz w:val="16"/>
                <w:szCs w:val="16"/>
                <w:lang w:eastAsia="en-US"/>
              </w:rPr>
              <w:t>et al</w:t>
            </w:r>
            <w:r>
              <w:rPr>
                <w:rFonts w:ascii="ArialMT" w:eastAsia="Calibri" w:hAnsi="ArialMT" w:cs="ArialMT"/>
                <w:kern w:val="0"/>
                <w:sz w:val="16"/>
                <w:szCs w:val="16"/>
                <w:lang w:eastAsia="en-US"/>
              </w:rPr>
              <w:t>., 2004). Once background water quality is re-established, plankton takes weeks to months to recover</w:t>
            </w:r>
          </w:p>
          <w:p w14:paraId="79B1EAD0"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(ITOPF, 2011a).</w:t>
            </w:r>
          </w:p>
          <w:p w14:paraId="398A212D"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sidRPr="00CE77E2">
              <w:rPr>
                <w:rFonts w:ascii="ArialMT" w:eastAsia="Calibri" w:hAnsi="ArialMT" w:cs="ArialMT"/>
                <w:kern w:val="0"/>
                <w:sz w:val="16"/>
                <w:szCs w:val="16"/>
                <w:u w:val="single"/>
                <w:lang w:eastAsia="en-US"/>
              </w:rPr>
              <w:t>Planktonic Eggs:</w:t>
            </w:r>
            <w:r>
              <w:rPr>
                <w:rFonts w:ascii="ArialMT" w:eastAsia="Calibri" w:hAnsi="ArialMT" w:cs="ArialMT"/>
                <w:kern w:val="0"/>
                <w:sz w:val="16"/>
                <w:szCs w:val="16"/>
                <w:lang w:eastAsia="en-US"/>
              </w:rPr>
              <w:t xml:space="preserve"> Some corals, fish and other marine organisms (e.g. abalone) are broadcast spawners eggs are released into the water column to be fertilised with the eggs then</w:t>
            </w:r>
          </w:p>
          <w:p w14:paraId="03279FAE"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staying in the upper water column while the embryo develops. Because of their small size and high lipid content, eggs accumulate hydrocarbons from the dissolved phase rapidly and</w:t>
            </w:r>
          </w:p>
          <w:p w14:paraId="22259202"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are sensitive to PAH concentrations down to 0.5μg/l. Primary commercial fish species in the area are abalone (broadcast spawners between October to April) and Rock Lobster (egg</w:t>
            </w:r>
          </w:p>
          <w:p w14:paraId="165F0842"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hatching between September and November). Most recruitment of lobster larvae into Victorian waters is from South Australia (i.e. rapid replacement). For lobsters it is noted that</w:t>
            </w:r>
          </w:p>
          <w:p w14:paraId="56CC98ED"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lastRenderedPageBreak/>
              <w:t>waters contain a number of larval cohorts at all times of the year. Porifora (sponges) spawn in spring/summer period. Given the rapid replacement of waters within the Otway Basin</w:t>
            </w:r>
          </w:p>
          <w:p w14:paraId="4413275C" w14:textId="0213AAD9" w:rsidR="00D21656" w:rsidRPr="006A0443" w:rsidRDefault="00CE77E2" w:rsidP="00CE77E2">
            <w:pPr>
              <w:pStyle w:val="BodyText"/>
              <w:spacing w:before="40" w:after="40"/>
              <w:ind w:left="0"/>
              <w:rPr>
                <w:rFonts w:cs="Arial"/>
                <w:sz w:val="16"/>
                <w:szCs w:val="16"/>
                <w:lang w:eastAsia="en-US"/>
              </w:rPr>
            </w:pPr>
            <w:r>
              <w:rPr>
                <w:rFonts w:ascii="ArialMT" w:eastAsia="Calibri" w:hAnsi="ArialMT" w:cs="ArialMT"/>
                <w:kern w:val="0"/>
                <w:sz w:val="16"/>
                <w:szCs w:val="16"/>
                <w:lang w:eastAsia="en-US"/>
              </w:rPr>
              <w:t>from the Leeuwin Current, larval impacts at a population level are not expected.</w:t>
            </w:r>
            <w:r w:rsidR="00D21656">
              <w:rPr>
                <w:rFonts w:cs="Arial"/>
                <w:sz w:val="16"/>
                <w:szCs w:val="16"/>
                <w:lang w:val="en-GB"/>
              </w:rPr>
              <w:t xml:space="preserve"> </w:t>
            </w:r>
          </w:p>
        </w:tc>
      </w:tr>
      <w:tr w:rsidR="00BC70F0" w:rsidRPr="006A0443" w14:paraId="6722B086" w14:textId="77777777" w:rsidTr="006A0443">
        <w:tc>
          <w:tcPr>
            <w:tcW w:w="13217" w:type="dxa"/>
            <w:gridSpan w:val="3"/>
            <w:shd w:val="clear" w:color="auto" w:fill="D9D9D9"/>
          </w:tcPr>
          <w:p w14:paraId="0C77B335" w14:textId="2B50A8DD" w:rsidR="00BC70F0" w:rsidRPr="006A0443" w:rsidRDefault="00BC70F0" w:rsidP="006A0443">
            <w:pPr>
              <w:pStyle w:val="BodyText"/>
              <w:spacing w:before="40" w:after="40"/>
              <w:ind w:left="0"/>
              <w:jc w:val="center"/>
              <w:rPr>
                <w:rFonts w:cs="Arial"/>
                <w:b/>
                <w:sz w:val="16"/>
                <w:szCs w:val="16"/>
                <w:lang w:eastAsia="en-US"/>
              </w:rPr>
            </w:pPr>
            <w:r w:rsidRPr="006A0443">
              <w:rPr>
                <w:rFonts w:cs="Arial"/>
                <w:b/>
                <w:sz w:val="16"/>
                <w:szCs w:val="16"/>
                <w:lang w:eastAsia="en-US"/>
              </w:rPr>
              <w:lastRenderedPageBreak/>
              <w:t>Potential impacts from this project</w:t>
            </w:r>
          </w:p>
        </w:tc>
      </w:tr>
      <w:tr w:rsidR="00DC2C7B" w:rsidRPr="006A0443" w14:paraId="7812E5AE" w14:textId="77777777" w:rsidTr="006A0443">
        <w:tc>
          <w:tcPr>
            <w:tcW w:w="6237" w:type="dxa"/>
            <w:shd w:val="clear" w:color="auto" w:fill="F2F2F2"/>
          </w:tcPr>
          <w:p w14:paraId="6EB2B823" w14:textId="08022E63" w:rsidR="00BC70F0" w:rsidRPr="006A0443" w:rsidRDefault="00BC70F0" w:rsidP="006A0443">
            <w:pPr>
              <w:pStyle w:val="BodyText"/>
              <w:spacing w:before="40" w:after="40"/>
              <w:ind w:left="0"/>
              <w:jc w:val="center"/>
              <w:rPr>
                <w:rFonts w:cs="Arial"/>
                <w:sz w:val="16"/>
                <w:szCs w:val="16"/>
                <w:lang w:eastAsia="en-US"/>
              </w:rPr>
            </w:pPr>
            <w:r w:rsidRPr="006A0443">
              <w:rPr>
                <w:rFonts w:cs="Arial"/>
                <w:sz w:val="16"/>
                <w:szCs w:val="16"/>
                <w:lang w:eastAsia="en-US"/>
              </w:rPr>
              <w:t>Surface oiling</w:t>
            </w:r>
          </w:p>
        </w:tc>
        <w:tc>
          <w:tcPr>
            <w:tcW w:w="5529" w:type="dxa"/>
            <w:shd w:val="clear" w:color="auto" w:fill="F2F2F2"/>
          </w:tcPr>
          <w:p w14:paraId="594EFEA4" w14:textId="56BA4E46" w:rsidR="00BC70F0" w:rsidRPr="006A0443" w:rsidRDefault="00BC70F0" w:rsidP="006A0443">
            <w:pPr>
              <w:pStyle w:val="BodyText"/>
              <w:spacing w:before="40" w:after="40"/>
              <w:ind w:left="0"/>
              <w:jc w:val="center"/>
              <w:rPr>
                <w:rFonts w:cs="Arial"/>
                <w:sz w:val="16"/>
                <w:szCs w:val="16"/>
                <w:lang w:eastAsia="en-US"/>
              </w:rPr>
            </w:pPr>
            <w:r w:rsidRPr="006A0443">
              <w:rPr>
                <w:rFonts w:cs="Arial"/>
                <w:sz w:val="16"/>
                <w:szCs w:val="16"/>
                <w:lang w:eastAsia="en-US"/>
              </w:rPr>
              <w:t>Water column</w:t>
            </w:r>
          </w:p>
        </w:tc>
        <w:tc>
          <w:tcPr>
            <w:tcW w:w="1451" w:type="dxa"/>
            <w:shd w:val="clear" w:color="auto" w:fill="F2F2F2"/>
          </w:tcPr>
          <w:p w14:paraId="468BB105" w14:textId="4459CA1E" w:rsidR="00BC70F0" w:rsidRPr="006A0443" w:rsidRDefault="00BC70F0" w:rsidP="006A0443">
            <w:pPr>
              <w:pStyle w:val="BodyText"/>
              <w:spacing w:before="40" w:after="40"/>
              <w:ind w:left="0"/>
              <w:jc w:val="center"/>
              <w:rPr>
                <w:rFonts w:cs="Arial"/>
                <w:sz w:val="16"/>
                <w:szCs w:val="16"/>
                <w:lang w:eastAsia="en-US"/>
              </w:rPr>
            </w:pPr>
            <w:r w:rsidRPr="006A0443">
              <w:rPr>
                <w:rFonts w:cs="Arial"/>
                <w:sz w:val="16"/>
                <w:szCs w:val="16"/>
                <w:lang w:eastAsia="en-US"/>
              </w:rPr>
              <w:t>Shoreline</w:t>
            </w:r>
          </w:p>
        </w:tc>
      </w:tr>
      <w:tr w:rsidR="002F1AEB" w:rsidRPr="006A0443" w14:paraId="4BD096FB" w14:textId="77777777" w:rsidTr="006A0443">
        <w:tc>
          <w:tcPr>
            <w:tcW w:w="11766" w:type="dxa"/>
            <w:gridSpan w:val="2"/>
            <w:shd w:val="clear" w:color="auto" w:fill="auto"/>
          </w:tcPr>
          <w:p w14:paraId="24D901B3" w14:textId="614FFC76" w:rsidR="00887225" w:rsidRPr="006A0443" w:rsidRDefault="00887225" w:rsidP="006A0443">
            <w:pPr>
              <w:spacing w:before="40" w:after="40"/>
              <w:rPr>
                <w:rFonts w:cs="Arial"/>
                <w:sz w:val="16"/>
                <w:szCs w:val="16"/>
                <w:lang w:val="en-GB"/>
              </w:rPr>
            </w:pPr>
            <w:r w:rsidRPr="006A0443">
              <w:rPr>
                <w:rFonts w:cs="Arial"/>
                <w:sz w:val="16"/>
                <w:szCs w:val="16"/>
                <w:lang w:val="en-GB"/>
              </w:rPr>
              <w:t xml:space="preserve">Plankton </w:t>
            </w:r>
            <w:r w:rsidR="00BE6BF7">
              <w:rPr>
                <w:rFonts w:cs="Arial"/>
                <w:sz w:val="16"/>
                <w:szCs w:val="16"/>
                <w:lang w:val="en-GB"/>
              </w:rPr>
              <w:t xml:space="preserve">and plantonic eggs </w:t>
            </w:r>
            <w:r w:rsidRPr="006A0443">
              <w:rPr>
                <w:rFonts w:cs="Arial"/>
                <w:sz w:val="16"/>
                <w:szCs w:val="16"/>
                <w:lang w:val="en-GB"/>
              </w:rPr>
              <w:t xml:space="preserve">found in open waters of the EMBA </w:t>
            </w:r>
            <w:r w:rsidR="00BE6BF7">
              <w:rPr>
                <w:rFonts w:cs="Arial"/>
                <w:sz w:val="16"/>
                <w:szCs w:val="16"/>
                <w:lang w:val="en-GB"/>
              </w:rPr>
              <w:t>are</w:t>
            </w:r>
            <w:r w:rsidRPr="006A0443">
              <w:rPr>
                <w:rFonts w:cs="Arial"/>
                <w:sz w:val="16"/>
                <w:szCs w:val="16"/>
                <w:lang w:val="en-GB"/>
              </w:rPr>
              <w:t xml:space="preserve"> expected to be widely represented within waters of the wider Bass Strait region. Plankton in the upper water column is likely to be directly (e.g., through smothering and ingestion) and indirectly (e.g., toxicity from decrease in water quality and bioaccumulation) affected by dissolved and dispersed hydrocarbons. </w:t>
            </w:r>
          </w:p>
          <w:p w14:paraId="73A006F4" w14:textId="77777777" w:rsidR="0037391E" w:rsidRPr="006A0443" w:rsidRDefault="0037391E" w:rsidP="006A0443">
            <w:pPr>
              <w:spacing w:before="40" w:after="40"/>
              <w:rPr>
                <w:rFonts w:cs="Arial"/>
                <w:sz w:val="16"/>
                <w:szCs w:val="16"/>
                <w:lang w:val="en-GB"/>
              </w:rPr>
            </w:pPr>
            <w:r w:rsidRPr="006A0443">
              <w:rPr>
                <w:rFonts w:cs="Arial"/>
                <w:sz w:val="16"/>
                <w:szCs w:val="16"/>
                <w:lang w:val="en-GB"/>
              </w:rPr>
              <w:t xml:space="preserve">Once background water quality conditions are re-established, plankton populations are expected to recover rapidly due to the recruitment of plankton from surrounding waters. </w:t>
            </w:r>
          </w:p>
          <w:p w14:paraId="66CA22A5" w14:textId="6630397D" w:rsidR="0037391E" w:rsidRPr="006A0443" w:rsidRDefault="0037391E" w:rsidP="006A0443">
            <w:pPr>
              <w:spacing w:before="40" w:after="40"/>
              <w:rPr>
                <w:rFonts w:cs="Arial"/>
                <w:sz w:val="16"/>
                <w:szCs w:val="16"/>
                <w:lang w:val="en-GB"/>
              </w:rPr>
            </w:pPr>
            <w:r w:rsidRPr="006A0443">
              <w:rPr>
                <w:rFonts w:cs="Arial"/>
                <w:sz w:val="16"/>
                <w:szCs w:val="16"/>
              </w:rPr>
              <w:t>The overall impact of hydrocarbon spills on plankton is not considered to be significant in the long</w:t>
            </w:r>
            <w:r w:rsidR="00616B17" w:rsidRPr="006A0443">
              <w:rPr>
                <w:rFonts w:cs="Arial"/>
                <w:sz w:val="16"/>
                <w:szCs w:val="16"/>
              </w:rPr>
              <w:t>-</w:t>
            </w:r>
            <w:r w:rsidRPr="006A0443">
              <w:rPr>
                <w:rFonts w:cs="Arial"/>
                <w:sz w:val="16"/>
                <w:szCs w:val="16"/>
              </w:rPr>
              <w:t>term</w:t>
            </w:r>
            <w:r w:rsidR="006A0443">
              <w:rPr>
                <w:rFonts w:cs="Arial"/>
                <w:sz w:val="16"/>
                <w:szCs w:val="16"/>
              </w:rPr>
              <w:t xml:space="preserve"> (negligible consequence)</w:t>
            </w:r>
            <w:r w:rsidRPr="006A0443">
              <w:rPr>
                <w:rFonts w:cs="Arial"/>
                <w:sz w:val="16"/>
                <w:szCs w:val="16"/>
              </w:rPr>
              <w:t>.</w:t>
            </w:r>
          </w:p>
          <w:p w14:paraId="3D95E251" w14:textId="3A182461" w:rsidR="0037391E" w:rsidRPr="006A0443" w:rsidRDefault="0037391E" w:rsidP="006A0443">
            <w:pPr>
              <w:spacing w:before="40" w:after="40"/>
              <w:rPr>
                <w:rFonts w:cs="Arial"/>
                <w:sz w:val="16"/>
                <w:szCs w:val="16"/>
                <w:u w:val="single"/>
                <w:lang w:val="en-GB"/>
              </w:rPr>
            </w:pPr>
            <w:r w:rsidRPr="006A0443">
              <w:rPr>
                <w:rFonts w:cs="Arial"/>
                <w:sz w:val="16"/>
                <w:szCs w:val="16"/>
                <w:u w:val="single"/>
                <w:lang w:val="en-GB"/>
              </w:rPr>
              <w:t>Pipeline rupture scenario</w:t>
            </w:r>
          </w:p>
          <w:p w14:paraId="41F5EAB3" w14:textId="391DA1AE" w:rsidR="002F1AEB" w:rsidRPr="006A0443" w:rsidRDefault="00C1168E">
            <w:pPr>
              <w:spacing w:before="40" w:after="40"/>
              <w:rPr>
                <w:rFonts w:cs="Arial"/>
                <w:sz w:val="16"/>
                <w:szCs w:val="16"/>
                <w:lang w:eastAsia="en-US"/>
              </w:rPr>
            </w:pPr>
            <w:r w:rsidRPr="006A0443">
              <w:rPr>
                <w:rFonts w:cs="Arial"/>
                <w:sz w:val="16"/>
                <w:szCs w:val="16"/>
                <w:lang w:val="en-GB"/>
              </w:rPr>
              <w:t xml:space="preserve">In the case of a release from a pipeline rupture at the HDD site, the OSTM indicates a </w:t>
            </w:r>
            <w:r w:rsidR="00672015">
              <w:rPr>
                <w:rFonts w:cs="Arial"/>
                <w:sz w:val="16"/>
                <w:szCs w:val="16"/>
                <w:lang w:val="en-GB"/>
              </w:rPr>
              <w:t>surface hydrocarbon extent of approximately 3 km (sheen) with greater surface thicknesses adjacent to the release location (0.5km). Moderate zones of dissolved phase hydrocarbons can also to 9.3 km which could lead to lethal impacts to plankton.</w:t>
            </w:r>
            <w:r w:rsidR="001108D0">
              <w:rPr>
                <w:rFonts w:cs="Arial"/>
                <w:sz w:val="16"/>
                <w:szCs w:val="16"/>
                <w:lang w:val="en-GB"/>
              </w:rPr>
              <w:t xml:space="preserve"> </w:t>
            </w:r>
            <w:r w:rsidRPr="006A0443">
              <w:rPr>
                <w:rFonts w:cs="Arial"/>
                <w:sz w:val="16"/>
                <w:szCs w:val="16"/>
                <w:lang w:val="en-GB"/>
              </w:rPr>
              <w:t>In this case</w:t>
            </w:r>
            <w:r w:rsidR="00887225" w:rsidRPr="006A0443">
              <w:rPr>
                <w:rFonts w:cs="Arial"/>
                <w:sz w:val="16"/>
                <w:szCs w:val="16"/>
                <w:lang w:val="en-GB"/>
              </w:rPr>
              <w:t>, sensitive mature individuals and early life stages (larvae, gametes and juveniles) may experience some mortality upon exposure.</w:t>
            </w:r>
            <w:r w:rsidR="00D21656">
              <w:rPr>
                <w:rFonts w:cs="Arial"/>
                <w:sz w:val="16"/>
                <w:szCs w:val="16"/>
                <w:lang w:val="en-GB"/>
              </w:rPr>
              <w:t xml:space="preserve"> This limited footprint is not expected o have a significant impact on plankton or planktonic fish species.</w:t>
            </w:r>
            <w:r w:rsidR="00887225" w:rsidRPr="006A0443">
              <w:rPr>
                <w:rFonts w:cs="Arial"/>
                <w:sz w:val="16"/>
                <w:szCs w:val="16"/>
                <w:lang w:val="en-GB"/>
              </w:rPr>
              <w:t xml:space="preserve"> </w:t>
            </w:r>
            <w:r w:rsidR="006A0443">
              <w:rPr>
                <w:rFonts w:cs="Arial"/>
                <w:sz w:val="16"/>
                <w:szCs w:val="16"/>
                <w:lang w:val="en-GB"/>
              </w:rPr>
              <w:t>This exposure is temporary</w:t>
            </w:r>
            <w:r w:rsidR="008C2ED4">
              <w:rPr>
                <w:rFonts w:cs="Arial"/>
                <w:sz w:val="16"/>
                <w:szCs w:val="16"/>
                <w:lang w:val="en-GB"/>
              </w:rPr>
              <w:t xml:space="preserve"> and recoverable (negligible consequence)</w:t>
            </w:r>
            <w:r w:rsidR="006A0443">
              <w:rPr>
                <w:rFonts w:cs="Arial"/>
                <w:sz w:val="16"/>
                <w:szCs w:val="16"/>
                <w:lang w:val="en-GB"/>
              </w:rPr>
              <w:t>.</w:t>
            </w:r>
          </w:p>
        </w:tc>
        <w:tc>
          <w:tcPr>
            <w:tcW w:w="1451" w:type="dxa"/>
            <w:shd w:val="clear" w:color="auto" w:fill="auto"/>
          </w:tcPr>
          <w:p w14:paraId="1239BB3C" w14:textId="4F24056C" w:rsidR="002F1AEB" w:rsidRPr="006A0443" w:rsidRDefault="002F1AEB" w:rsidP="006A0443">
            <w:pPr>
              <w:pStyle w:val="BodyText"/>
              <w:spacing w:before="40" w:after="40"/>
              <w:ind w:left="0"/>
              <w:rPr>
                <w:rFonts w:cs="Arial"/>
                <w:sz w:val="16"/>
                <w:szCs w:val="16"/>
                <w:lang w:eastAsia="en-US"/>
              </w:rPr>
            </w:pPr>
            <w:r w:rsidRPr="006A0443">
              <w:rPr>
                <w:rFonts w:cs="Arial"/>
                <w:sz w:val="16"/>
                <w:szCs w:val="16"/>
                <w:lang w:eastAsia="en-US"/>
              </w:rPr>
              <w:t>Not applicable.</w:t>
            </w:r>
          </w:p>
        </w:tc>
      </w:tr>
    </w:tbl>
    <w:p w14:paraId="2A7E657B" w14:textId="0424EDF5" w:rsidR="00875439" w:rsidRDefault="00875439" w:rsidP="00887A82">
      <w:pPr>
        <w:pStyle w:val="BodyText"/>
        <w:rPr>
          <w:lang w:eastAsia="en-US"/>
        </w:rPr>
      </w:pPr>
    </w:p>
    <w:p w14:paraId="0D33945D" w14:textId="15ED792E" w:rsidR="00BC70F0" w:rsidRDefault="00312C10" w:rsidP="00024BA3">
      <w:pPr>
        <w:pStyle w:val="Caption"/>
        <w:outlineLvl w:val="9"/>
      </w:pPr>
      <w:bookmarkStart w:id="261" w:name="_Toc511032614"/>
      <w:r w:rsidRPr="00312C10">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23</w:t>
      </w:r>
      <w:r w:rsidR="00103328">
        <w:rPr>
          <w:sz w:val="20"/>
          <w:szCs w:val="20"/>
        </w:rPr>
        <w:fldChar w:fldCharType="end"/>
      </w:r>
      <w:r w:rsidRPr="00312C10">
        <w:rPr>
          <w:sz w:val="20"/>
          <w:szCs w:val="20"/>
        </w:rPr>
        <w:t>: Potential impacts of hydrocarbons on pelagic fish</w:t>
      </w:r>
      <w:bookmarkEnd w:id="261"/>
    </w:p>
    <w:tbl>
      <w:tblPr>
        <w:tblW w:w="0" w:type="auto"/>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3647"/>
        <w:gridCol w:w="7555"/>
        <w:gridCol w:w="1829"/>
      </w:tblGrid>
      <w:tr w:rsidR="00BC70F0" w:rsidRPr="00312C10" w14:paraId="48B024DF" w14:textId="77777777" w:rsidTr="00312C10">
        <w:tc>
          <w:tcPr>
            <w:tcW w:w="13183" w:type="dxa"/>
            <w:gridSpan w:val="3"/>
            <w:shd w:val="clear" w:color="auto" w:fill="A6A6A6"/>
          </w:tcPr>
          <w:p w14:paraId="0ECF7B0C" w14:textId="60E0ABE9" w:rsidR="00BC70F0" w:rsidRPr="00312C10" w:rsidRDefault="00BC70F0" w:rsidP="00312C10">
            <w:pPr>
              <w:pStyle w:val="BodyText"/>
              <w:spacing w:before="40" w:after="40"/>
              <w:ind w:left="0"/>
              <w:jc w:val="center"/>
              <w:rPr>
                <w:rFonts w:cs="Arial"/>
                <w:b/>
                <w:sz w:val="16"/>
                <w:szCs w:val="16"/>
                <w:lang w:eastAsia="en-US"/>
              </w:rPr>
            </w:pPr>
            <w:r w:rsidRPr="00312C10">
              <w:rPr>
                <w:rFonts w:cs="Arial"/>
                <w:b/>
                <w:sz w:val="16"/>
                <w:szCs w:val="16"/>
                <w:lang w:eastAsia="en-US"/>
              </w:rPr>
              <w:t>General sensitivity to oiling – pelagic fish</w:t>
            </w:r>
          </w:p>
        </w:tc>
      </w:tr>
      <w:tr w:rsidR="00BC70F0" w:rsidRPr="00312C10" w14:paraId="4FD24D70" w14:textId="77777777" w:rsidTr="00312C10">
        <w:tc>
          <w:tcPr>
            <w:tcW w:w="13183" w:type="dxa"/>
            <w:gridSpan w:val="3"/>
            <w:shd w:val="clear" w:color="auto" w:fill="auto"/>
          </w:tcPr>
          <w:p w14:paraId="3DDE637A"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The behaviours and habitat preferences of fish species determine their potential for exposure to hydrocarbons and the resulting impacts. Demersal species may be susceptible to</w:t>
            </w:r>
          </w:p>
          <w:p w14:paraId="179B0A7A"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oiled sediments, particularly species that are site restricted. Pelagic species that occupy the water column are more susceptible to entrained and dissolved hydrocarbons, however</w:t>
            </w:r>
          </w:p>
          <w:p w14:paraId="31EDA4EA"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generally are highly mobile and not likely to suffer extended exposure due to their patterns of movement. The exception would be in areas such as reefs and other seabed features</w:t>
            </w:r>
          </w:p>
          <w:p w14:paraId="04DC8080"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where species are less likely to move away into open waters (i.e., site-attached).</w:t>
            </w:r>
          </w:p>
          <w:p w14:paraId="1A3A59A9"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 xml:space="preserve">Fish are exposed to hydrocarbon droplets through a variety of pathways, including: Direct dermal contact with diffusion across their gills (Hook </w:t>
            </w:r>
            <w:r>
              <w:rPr>
                <w:rFonts w:ascii="Arial-ItalicMT" w:eastAsia="Calibri" w:hAnsi="Arial-ItalicMT" w:cs="Arial-ItalicMT"/>
                <w:i/>
                <w:iCs/>
                <w:kern w:val="0"/>
                <w:sz w:val="16"/>
                <w:szCs w:val="16"/>
                <w:lang w:eastAsia="en-US"/>
              </w:rPr>
              <w:t>et al</w:t>
            </w:r>
            <w:r>
              <w:rPr>
                <w:rFonts w:ascii="ArialMT" w:eastAsia="Calibri" w:hAnsi="ArialMT" w:cs="ArialMT"/>
                <w:kern w:val="0"/>
                <w:sz w:val="16"/>
                <w:szCs w:val="16"/>
                <w:lang w:eastAsia="en-US"/>
              </w:rPr>
              <w:t>., 2016)); Ingestion of</w:t>
            </w:r>
          </w:p>
          <w:p w14:paraId="4B8E73D9"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contaminated prey; and Inhalation (e.g., elevated dissolved contaminant concentrations in water passing over the gills).</w:t>
            </w:r>
          </w:p>
          <w:p w14:paraId="32FF224D"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Exposure to hydrocarbons can be toxic to fish. Studies have shown a range of impacts including changes in abundance, decreased size, inhibited swimming ability, changes to</w:t>
            </w:r>
          </w:p>
          <w:p w14:paraId="00D3AEFB"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oxygen consumption and respiration, changes to reproduction, immune system responses, DNA damage, visible skin and organ lesions, and increased parasitism. However, many</w:t>
            </w:r>
          </w:p>
          <w:p w14:paraId="53EC7FD7"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fish species can metabolise toxic hydrocarbons, reducing the risk of bioaccumulation in the food web (and human exposure to contaminants through the consumption of seafood)</w:t>
            </w:r>
          </w:p>
          <w:p w14:paraId="32F13ED6"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(NRDA, 2012).</w:t>
            </w:r>
          </w:p>
          <w:p w14:paraId="6C0473FA"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Sub-lethal impacts in adult fish include altered heart and respiratory rates, gill hyperplasia, enlarged liver, reduced growth, fin erosion, impaired endocrine systems, behavioural</w:t>
            </w:r>
          </w:p>
          <w:p w14:paraId="01E22EAB"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modifications and alterations in feeding, migration, reproduction, swimming, schooling and burrowing behaviour (Kennish, 1996). However, high mobile fish are unlikely to remain in</w:t>
            </w:r>
          </w:p>
          <w:p w14:paraId="5D24F883"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the area of a spill for sufficient time to be exposed to sub-lethal doses.</w:t>
            </w:r>
          </w:p>
          <w:p w14:paraId="6E5EA1BD"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Since fish and sharks do not generally break the sea surface, surface hydrocarbons impact to fish and shark species are unlikely to occur. Near the sea surface, fish are able to</w:t>
            </w:r>
          </w:p>
          <w:p w14:paraId="3F6FD2EF"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 xml:space="preserve">detect and avoid contact with surface slicks with fish mortalities rare in open waters (Volkman </w:t>
            </w:r>
            <w:r>
              <w:rPr>
                <w:rFonts w:ascii="Arial-ItalicMT" w:eastAsia="Calibri" w:hAnsi="Arial-ItalicMT" w:cs="Arial-ItalicMT"/>
                <w:i/>
                <w:iCs/>
                <w:kern w:val="0"/>
                <w:sz w:val="16"/>
                <w:szCs w:val="16"/>
                <w:lang w:eastAsia="en-US"/>
              </w:rPr>
              <w:t>et al</w:t>
            </w:r>
            <w:r>
              <w:rPr>
                <w:rFonts w:ascii="ArialMT" w:eastAsia="Calibri" w:hAnsi="ArialMT" w:cs="ArialMT"/>
                <w:kern w:val="0"/>
                <w:sz w:val="16"/>
                <w:szCs w:val="16"/>
                <w:lang w:eastAsia="en-US"/>
              </w:rPr>
              <w:t>., 2004). Adult fish kills reported after oil spills occur mainly to shallow water, nearshore</w:t>
            </w:r>
          </w:p>
          <w:p w14:paraId="3FFBFDA8"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 xml:space="preserve">benthic species (Volkman </w:t>
            </w:r>
            <w:r>
              <w:rPr>
                <w:rFonts w:ascii="Arial-ItalicMT" w:eastAsia="Calibri" w:hAnsi="Arial-ItalicMT" w:cs="Arial-ItalicMT"/>
                <w:i/>
                <w:iCs/>
                <w:kern w:val="0"/>
                <w:sz w:val="16"/>
                <w:szCs w:val="16"/>
                <w:lang w:eastAsia="en-US"/>
              </w:rPr>
              <w:t>et al</w:t>
            </w:r>
            <w:r>
              <w:rPr>
                <w:rFonts w:ascii="ArialMT" w:eastAsia="Calibri" w:hAnsi="ArialMT" w:cs="ArialMT"/>
                <w:kern w:val="0"/>
                <w:sz w:val="16"/>
                <w:szCs w:val="16"/>
                <w:lang w:eastAsia="en-US"/>
              </w:rPr>
              <w:t>., 2004).</w:t>
            </w:r>
          </w:p>
          <w:p w14:paraId="413EDFE9"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Hydrocarbon in the water column can physically affect reef fish (site attached) exposed for an extended duration (weeks to months) by coating of gills/body surfaces, leading to lethal</w:t>
            </w:r>
          </w:p>
          <w:p w14:paraId="2420CB3B"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 xml:space="preserve">and sub-lethal effects from reduced oxygen exchange and irritation and infection. Ingestion of oil droplets/contaminated food may lead to reduced growth (Volkman </w:t>
            </w:r>
            <w:r>
              <w:rPr>
                <w:rFonts w:ascii="Arial-ItalicMT" w:eastAsia="Calibri" w:hAnsi="Arial-ItalicMT" w:cs="Arial-ItalicMT"/>
                <w:i/>
                <w:iCs/>
                <w:kern w:val="0"/>
                <w:sz w:val="16"/>
                <w:szCs w:val="16"/>
                <w:lang w:eastAsia="en-US"/>
              </w:rPr>
              <w:t>et al</w:t>
            </w:r>
            <w:r>
              <w:rPr>
                <w:rFonts w:ascii="ArialMT" w:eastAsia="Calibri" w:hAnsi="ArialMT" w:cs="ArialMT"/>
                <w:kern w:val="0"/>
                <w:sz w:val="16"/>
                <w:szCs w:val="16"/>
                <w:lang w:eastAsia="en-US"/>
              </w:rPr>
              <w:t>., 2004).</w:t>
            </w:r>
          </w:p>
          <w:p w14:paraId="19216B41"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Davis et al (2002) report detectable tainting of fish flesh after a 24-hour exposure at crude concentrations of 0.1 ppm, marine fuel oil concentrations of 0.33 ppm and diesel</w:t>
            </w:r>
          </w:p>
          <w:p w14:paraId="321C67C4"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concentrations of 0.25 ppm. The majority of studies, either from laboratory trials or of fish collected after spill events find evidence of elimination of PAHs in fish tissues returning to</w:t>
            </w:r>
          </w:p>
          <w:p w14:paraId="06C5AB2A"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lastRenderedPageBreak/>
              <w:t xml:space="preserve">reference levels within two months of exposure (Challenger and Mauseth, 2011; Gagnon &amp; Rawson, 2011; Gohlke </w:t>
            </w:r>
            <w:r>
              <w:rPr>
                <w:rFonts w:ascii="Arial-ItalicMT" w:eastAsia="Calibri" w:hAnsi="Arial-ItalicMT" w:cs="Arial-ItalicMT"/>
                <w:i/>
                <w:iCs/>
                <w:kern w:val="0"/>
                <w:sz w:val="16"/>
                <w:szCs w:val="16"/>
                <w:lang w:eastAsia="en-US"/>
              </w:rPr>
              <w:t>et al</w:t>
            </w:r>
            <w:r>
              <w:rPr>
                <w:rFonts w:ascii="ArialMT" w:eastAsia="Calibri" w:hAnsi="ArialMT" w:cs="ArialMT"/>
                <w:kern w:val="0"/>
                <w:sz w:val="16"/>
                <w:szCs w:val="16"/>
                <w:lang w:eastAsia="en-US"/>
              </w:rPr>
              <w:t xml:space="preserve">., 2011; Jung </w:t>
            </w:r>
            <w:r>
              <w:rPr>
                <w:rFonts w:ascii="Arial-ItalicMT" w:eastAsia="Calibri" w:hAnsi="Arial-ItalicMT" w:cs="Arial-ItalicMT"/>
                <w:i/>
                <w:iCs/>
                <w:kern w:val="0"/>
                <w:sz w:val="16"/>
                <w:szCs w:val="16"/>
                <w:lang w:eastAsia="en-US"/>
              </w:rPr>
              <w:t>et al</w:t>
            </w:r>
            <w:r>
              <w:rPr>
                <w:rFonts w:ascii="ArialMT" w:eastAsia="Calibri" w:hAnsi="ArialMT" w:cs="ArialMT"/>
                <w:kern w:val="0"/>
                <w:sz w:val="16"/>
                <w:szCs w:val="16"/>
                <w:lang w:eastAsia="en-US"/>
              </w:rPr>
              <w:t xml:space="preserve">., 2011; Law </w:t>
            </w:r>
            <w:r>
              <w:rPr>
                <w:rFonts w:ascii="Arial-ItalicMT" w:eastAsia="Calibri" w:hAnsi="Arial-ItalicMT" w:cs="Arial-ItalicMT"/>
                <w:i/>
                <w:iCs/>
                <w:kern w:val="0"/>
                <w:sz w:val="16"/>
                <w:szCs w:val="16"/>
                <w:lang w:eastAsia="en-US"/>
              </w:rPr>
              <w:t>et al</w:t>
            </w:r>
            <w:r>
              <w:rPr>
                <w:rFonts w:ascii="ArialMT" w:eastAsia="Calibri" w:hAnsi="ArialMT" w:cs="ArialMT"/>
                <w:kern w:val="0"/>
                <w:sz w:val="16"/>
                <w:szCs w:val="16"/>
                <w:lang w:eastAsia="en-US"/>
              </w:rPr>
              <w:t xml:space="preserve">., 1997; Rawson </w:t>
            </w:r>
            <w:r>
              <w:rPr>
                <w:rFonts w:ascii="Arial-ItalicMT" w:eastAsia="Calibri" w:hAnsi="Arial-ItalicMT" w:cs="Arial-ItalicMT"/>
                <w:i/>
                <w:iCs/>
                <w:kern w:val="0"/>
                <w:sz w:val="16"/>
                <w:szCs w:val="16"/>
                <w:lang w:eastAsia="en-US"/>
              </w:rPr>
              <w:t>et al</w:t>
            </w:r>
            <w:r>
              <w:rPr>
                <w:rFonts w:ascii="ArialMT" w:eastAsia="Calibri" w:hAnsi="ArialMT" w:cs="ArialMT"/>
                <w:kern w:val="0"/>
                <w:sz w:val="16"/>
                <w:szCs w:val="16"/>
                <w:lang w:eastAsia="en-US"/>
              </w:rPr>
              <w:t>.,</w:t>
            </w:r>
          </w:p>
          <w:p w14:paraId="68441F61"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2011).</w:t>
            </w:r>
          </w:p>
          <w:p w14:paraId="1874C420"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Squid are widely distributed, however, when squid reach maturity at 1-2 years, they move inshore to spawn in large numbers and then die after spawning. Where large numbers of</w:t>
            </w:r>
          </w:p>
          <w:p w14:paraId="5294CB14"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squid spawn in small areas, the population could be impacted by the reduction in successful spawn. As squid are generally abundant and reach sexual maturity rapidly, recovery is</w:t>
            </w:r>
          </w:p>
          <w:p w14:paraId="313F94BC"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expected to be rapid (1-2 years) (Minerals Management Service, 1983).</w:t>
            </w:r>
          </w:p>
          <w:p w14:paraId="6F39BB4C"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No reported studies of the impacts of oil spills on cartilaginous fish (including sharks, rays and sawfish) were found in the literature. It is not known how the data on the sensitivity of</w:t>
            </w:r>
          </w:p>
          <w:p w14:paraId="14D34BFF"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bony fishes would relate to toxicity in cartilaginous fishes. All EPBC Act-listed sharks in the EMBA are viviparous or ovoviviparous and so do not have a free-swimming larval stage.</w:t>
            </w:r>
          </w:p>
          <w:p w14:paraId="574DDDD5" w14:textId="77777777" w:rsidR="00CE77E2" w:rsidRDefault="00CE77E2" w:rsidP="00CE77E2">
            <w:pPr>
              <w:spacing w:before="40" w:after="40"/>
              <w:rPr>
                <w:rFonts w:ascii="ArialMT" w:eastAsia="Calibri" w:hAnsi="ArialMT" w:cs="ArialMT"/>
                <w:kern w:val="0"/>
                <w:sz w:val="16"/>
                <w:szCs w:val="16"/>
                <w:lang w:eastAsia="en-US"/>
              </w:rPr>
            </w:pPr>
            <w:r>
              <w:rPr>
                <w:rFonts w:ascii="ArialMT" w:eastAsia="Calibri" w:hAnsi="ArialMT" w:cs="ArialMT"/>
                <w:kern w:val="0"/>
                <w:sz w:val="16"/>
                <w:szCs w:val="16"/>
                <w:lang w:eastAsia="en-US"/>
              </w:rPr>
              <w:t>These species are also larger than the bony fish species for which toxicity has been studied.</w:t>
            </w:r>
          </w:p>
          <w:p w14:paraId="4D5E0E37"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The assessment of effects on fish species in the Timor Sea as a result of the Montara well blowout (a light gas condensate), conducted from November 2009 to November 2010</w:t>
            </w:r>
          </w:p>
          <w:p w14:paraId="2C542907"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undertaken by Gagnon &amp; Rawson (2011), found that of the species studied (mostly goldband snapper, red emperor, rainbow runner and Spanish mackerel) were in good physical</w:t>
            </w:r>
          </w:p>
          <w:p w14:paraId="33B6AB3D"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health at all sites, suggesting good health status. Gagnon &amp; Rawson (2011) concluded that there were no detectable petroleum hydrocarbons found in the fish muscle samples,</w:t>
            </w:r>
          </w:p>
          <w:p w14:paraId="01D417C2"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limited ill effects were detected in a small number of individual fish, and no consistent adverse effects of exposure on fish health could be detected within two weeks following the end</w:t>
            </w:r>
          </w:p>
          <w:p w14:paraId="40A023BA"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of the well release. Notwithstanding, fishes from close to the Montara well, collected seven months after the discharge began, showed continuing exposure to hydrocarbons in terms</w:t>
            </w:r>
          </w:p>
          <w:p w14:paraId="5A875D87"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of biomarker responses. Two years after the discharge, biomarker levels in fishes had mostly returned to reference levels, except for liver size.</w:t>
            </w:r>
          </w:p>
          <w:p w14:paraId="161BF56A"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Sampling from January 2010 to June 2011 by the University of South Alabama and Dauphin Island Sea Lab found no significant evidence of diseased fish in reef populations off</w:t>
            </w:r>
          </w:p>
          <w:p w14:paraId="28834A9E" w14:textId="49A2902A" w:rsidR="00BC70F0" w:rsidRPr="00312C10" w:rsidRDefault="00CE77E2" w:rsidP="00CE77E2">
            <w:pPr>
              <w:spacing w:before="40" w:after="40"/>
              <w:rPr>
                <w:rFonts w:cs="Arial"/>
                <w:sz w:val="16"/>
                <w:szCs w:val="16"/>
                <w:lang w:eastAsia="en-US"/>
              </w:rPr>
            </w:pPr>
            <w:r>
              <w:rPr>
                <w:rFonts w:ascii="ArialMT" w:eastAsia="Calibri" w:hAnsi="ArialMT" w:cs="ArialMT"/>
                <w:kern w:val="0"/>
                <w:sz w:val="16"/>
                <w:szCs w:val="16"/>
                <w:lang w:eastAsia="en-US"/>
              </w:rPr>
              <w:t>Alabama or the western Florida Panhandle as a result of the Montara well blowout (BP, 2014).</w:t>
            </w:r>
            <w:r w:rsidR="00875439" w:rsidRPr="00312C10">
              <w:rPr>
                <w:rFonts w:cs="Arial"/>
                <w:sz w:val="16"/>
                <w:szCs w:val="16"/>
                <w:lang w:val="en-GB"/>
              </w:rPr>
              <w:t xml:space="preserve"> </w:t>
            </w:r>
          </w:p>
        </w:tc>
      </w:tr>
      <w:tr w:rsidR="00BC70F0" w:rsidRPr="00312C10" w14:paraId="3F32C155" w14:textId="77777777" w:rsidTr="00312C10">
        <w:tc>
          <w:tcPr>
            <w:tcW w:w="13183" w:type="dxa"/>
            <w:gridSpan w:val="3"/>
            <w:shd w:val="clear" w:color="auto" w:fill="D9D9D9"/>
          </w:tcPr>
          <w:p w14:paraId="51F1AAD0" w14:textId="77777777" w:rsidR="00BC70F0" w:rsidRPr="00312C10" w:rsidRDefault="00BC70F0" w:rsidP="00312C10">
            <w:pPr>
              <w:pStyle w:val="BodyText"/>
              <w:spacing w:before="40" w:after="40"/>
              <w:ind w:left="0"/>
              <w:jc w:val="center"/>
              <w:rPr>
                <w:rFonts w:cs="Arial"/>
                <w:b/>
                <w:sz w:val="16"/>
                <w:szCs w:val="16"/>
                <w:lang w:eastAsia="en-US"/>
              </w:rPr>
            </w:pPr>
            <w:r w:rsidRPr="00312C10">
              <w:rPr>
                <w:rFonts w:cs="Arial"/>
                <w:b/>
                <w:sz w:val="16"/>
                <w:szCs w:val="16"/>
                <w:lang w:eastAsia="en-US"/>
              </w:rPr>
              <w:lastRenderedPageBreak/>
              <w:t>Potential impacts from this project</w:t>
            </w:r>
          </w:p>
        </w:tc>
      </w:tr>
      <w:tr w:rsidR="00391E28" w:rsidRPr="00312C10" w14:paraId="567F65E6" w14:textId="77777777" w:rsidTr="00A03024">
        <w:tc>
          <w:tcPr>
            <w:tcW w:w="3686" w:type="dxa"/>
            <w:shd w:val="clear" w:color="auto" w:fill="F2F2F2"/>
          </w:tcPr>
          <w:p w14:paraId="192FB691" w14:textId="77777777" w:rsidR="00BC70F0" w:rsidRPr="00312C10" w:rsidRDefault="00BC70F0" w:rsidP="00312C10">
            <w:pPr>
              <w:pStyle w:val="BodyText"/>
              <w:spacing w:before="40" w:after="40"/>
              <w:ind w:left="0"/>
              <w:jc w:val="center"/>
              <w:rPr>
                <w:rFonts w:cs="Arial"/>
                <w:sz w:val="16"/>
                <w:szCs w:val="16"/>
                <w:lang w:eastAsia="en-US"/>
              </w:rPr>
            </w:pPr>
            <w:r w:rsidRPr="00312C10">
              <w:rPr>
                <w:rFonts w:cs="Arial"/>
                <w:sz w:val="16"/>
                <w:szCs w:val="16"/>
                <w:lang w:eastAsia="en-US"/>
              </w:rPr>
              <w:t>Surface oiling</w:t>
            </w:r>
          </w:p>
        </w:tc>
        <w:tc>
          <w:tcPr>
            <w:tcW w:w="7654" w:type="dxa"/>
            <w:shd w:val="clear" w:color="auto" w:fill="F2F2F2"/>
          </w:tcPr>
          <w:p w14:paraId="567BA69A" w14:textId="77777777" w:rsidR="00BC70F0" w:rsidRPr="00312C10" w:rsidRDefault="00BC70F0" w:rsidP="00312C10">
            <w:pPr>
              <w:pStyle w:val="BodyText"/>
              <w:spacing w:before="40" w:after="40"/>
              <w:ind w:left="0"/>
              <w:jc w:val="center"/>
              <w:rPr>
                <w:rFonts w:cs="Arial"/>
                <w:sz w:val="16"/>
                <w:szCs w:val="16"/>
                <w:lang w:eastAsia="en-US"/>
              </w:rPr>
            </w:pPr>
            <w:r w:rsidRPr="00312C10">
              <w:rPr>
                <w:rFonts w:cs="Arial"/>
                <w:sz w:val="16"/>
                <w:szCs w:val="16"/>
                <w:lang w:eastAsia="en-US"/>
              </w:rPr>
              <w:t>Water column</w:t>
            </w:r>
          </w:p>
        </w:tc>
        <w:tc>
          <w:tcPr>
            <w:tcW w:w="1843" w:type="dxa"/>
            <w:shd w:val="clear" w:color="auto" w:fill="F2F2F2"/>
          </w:tcPr>
          <w:p w14:paraId="60B33830" w14:textId="77777777" w:rsidR="00BC70F0" w:rsidRPr="00312C10" w:rsidRDefault="00BC70F0" w:rsidP="00312C10">
            <w:pPr>
              <w:pStyle w:val="BodyText"/>
              <w:spacing w:before="40" w:after="40"/>
              <w:ind w:left="0"/>
              <w:jc w:val="center"/>
              <w:rPr>
                <w:rFonts w:cs="Arial"/>
                <w:sz w:val="16"/>
                <w:szCs w:val="16"/>
                <w:lang w:eastAsia="en-US"/>
              </w:rPr>
            </w:pPr>
            <w:r w:rsidRPr="00312C10">
              <w:rPr>
                <w:rFonts w:cs="Arial"/>
                <w:sz w:val="16"/>
                <w:szCs w:val="16"/>
                <w:lang w:eastAsia="en-US"/>
              </w:rPr>
              <w:t>Shoreline</w:t>
            </w:r>
          </w:p>
        </w:tc>
      </w:tr>
      <w:tr w:rsidR="00391E28" w:rsidRPr="00312C10" w14:paraId="1BA35E94" w14:textId="77777777" w:rsidTr="00A03024">
        <w:tc>
          <w:tcPr>
            <w:tcW w:w="3686" w:type="dxa"/>
            <w:shd w:val="clear" w:color="auto" w:fill="auto"/>
          </w:tcPr>
          <w:p w14:paraId="6D545DBA" w14:textId="77777777" w:rsidR="00EE10DD" w:rsidRPr="00312C10" w:rsidRDefault="00EE10DD" w:rsidP="00312C10">
            <w:pPr>
              <w:spacing w:before="40" w:after="40"/>
              <w:rPr>
                <w:rFonts w:cs="Arial"/>
                <w:sz w:val="16"/>
                <w:szCs w:val="16"/>
                <w:lang w:val="en-GB"/>
              </w:rPr>
            </w:pPr>
            <w:r w:rsidRPr="00312C10">
              <w:rPr>
                <w:rFonts w:cs="Arial"/>
                <w:sz w:val="16"/>
                <w:szCs w:val="16"/>
                <w:lang w:val="en-GB"/>
              </w:rPr>
              <w:t>The majority of adult fish, including sharks, tend to remain in the mid-pelagic zone and are not likely to come into contact with surface hydrocarbons.</w:t>
            </w:r>
          </w:p>
          <w:p w14:paraId="7BE64962" w14:textId="342EA8BE" w:rsidR="001108D0" w:rsidRPr="006B189E" w:rsidRDefault="001108D0" w:rsidP="001108D0">
            <w:pPr>
              <w:rPr>
                <w:sz w:val="16"/>
                <w:szCs w:val="16"/>
                <w:lang w:val="en-GB"/>
              </w:rPr>
            </w:pPr>
            <w:r>
              <w:rPr>
                <w:sz w:val="16"/>
                <w:szCs w:val="16"/>
                <w:lang w:val="en-GB"/>
              </w:rPr>
              <w:t xml:space="preserve">It is possible that some near-shore species (e.g. </w:t>
            </w:r>
            <w:r w:rsidRPr="006B189E">
              <w:rPr>
                <w:sz w:val="16"/>
                <w:szCs w:val="16"/>
                <w:lang w:val="en-GB"/>
              </w:rPr>
              <w:t>some syngnathid species</w:t>
            </w:r>
            <w:r>
              <w:rPr>
                <w:sz w:val="16"/>
                <w:szCs w:val="16"/>
                <w:lang w:val="en-GB"/>
              </w:rPr>
              <w:t>)</w:t>
            </w:r>
            <w:r w:rsidRPr="006B189E">
              <w:rPr>
                <w:sz w:val="16"/>
                <w:szCs w:val="16"/>
                <w:lang w:val="en-GB"/>
              </w:rPr>
              <w:t xml:space="preserve"> associated with nearshore rocky reefs and rafts of floating seaweed may come into contact with surface oil</w:t>
            </w:r>
            <w:r>
              <w:rPr>
                <w:sz w:val="16"/>
                <w:szCs w:val="16"/>
                <w:lang w:val="en-GB"/>
              </w:rPr>
              <w:t xml:space="preserve"> if present through entrainment, however given the dynamic nature around near-shore reefs exposure is not considered to be significant</w:t>
            </w:r>
            <w:r w:rsidRPr="006B189E">
              <w:rPr>
                <w:sz w:val="16"/>
                <w:szCs w:val="16"/>
                <w:lang w:val="en-GB"/>
              </w:rPr>
              <w:t xml:space="preserve">.  </w:t>
            </w:r>
          </w:p>
          <w:p w14:paraId="707507F0" w14:textId="4C9A2285" w:rsidR="001108D0" w:rsidRPr="00312C10" w:rsidRDefault="001108D0" w:rsidP="001108D0">
            <w:pPr>
              <w:pStyle w:val="BodyText"/>
              <w:spacing w:before="40" w:after="40"/>
              <w:ind w:left="0"/>
              <w:rPr>
                <w:rFonts w:cs="Arial"/>
                <w:sz w:val="16"/>
                <w:szCs w:val="16"/>
                <w:lang w:eastAsia="en-US"/>
              </w:rPr>
            </w:pPr>
            <w:r>
              <w:rPr>
                <w:sz w:val="16"/>
                <w:szCs w:val="16"/>
                <w:lang w:val="en-GB"/>
              </w:rPr>
              <w:t xml:space="preserve">Any impacts from </w:t>
            </w:r>
            <w:r w:rsidRPr="006B189E">
              <w:rPr>
                <w:sz w:val="16"/>
                <w:szCs w:val="16"/>
                <w:lang w:val="en-GB"/>
              </w:rPr>
              <w:t xml:space="preserve">surface oiling on fish </w:t>
            </w:r>
            <w:r>
              <w:rPr>
                <w:sz w:val="16"/>
                <w:szCs w:val="16"/>
                <w:lang w:val="en-GB"/>
              </w:rPr>
              <w:t>are</w:t>
            </w:r>
            <w:r w:rsidRPr="006B189E">
              <w:rPr>
                <w:sz w:val="16"/>
                <w:szCs w:val="16"/>
                <w:lang w:val="en-GB"/>
              </w:rPr>
              <w:t xml:space="preserve"> considered to be negligible at a population level.</w:t>
            </w:r>
          </w:p>
        </w:tc>
        <w:tc>
          <w:tcPr>
            <w:tcW w:w="7654" w:type="dxa"/>
            <w:shd w:val="clear" w:color="auto" w:fill="auto"/>
          </w:tcPr>
          <w:p w14:paraId="37F72C34" w14:textId="7D0C4B59" w:rsidR="00EE10DD" w:rsidRPr="00312C10" w:rsidRDefault="00EE10DD" w:rsidP="00312C10">
            <w:pPr>
              <w:spacing w:before="40" w:after="40"/>
              <w:rPr>
                <w:rFonts w:cs="Arial"/>
                <w:sz w:val="16"/>
                <w:szCs w:val="16"/>
                <w:lang w:val="en-GB"/>
              </w:rPr>
            </w:pPr>
            <w:r w:rsidRPr="00312C10">
              <w:rPr>
                <w:rFonts w:cs="Arial"/>
                <w:sz w:val="16"/>
                <w:szCs w:val="16"/>
                <w:lang w:val="en-GB"/>
              </w:rPr>
              <w:t>Ingestion of hydrocarbons in the water column is possible for adults and juveniles in the mid-pelagic zone, however generally these species are highly mobile and as such are not likely to suffer extended exposure.</w:t>
            </w:r>
            <w:r w:rsidR="00E83A01" w:rsidRPr="00312C10">
              <w:rPr>
                <w:rFonts w:cs="Arial"/>
                <w:sz w:val="16"/>
                <w:szCs w:val="16"/>
                <w:lang w:val="en-GB"/>
              </w:rPr>
              <w:t xml:space="preserve"> Hook et al (2016) states that high concentrations of dissolved hydrocarbons are required to cause outright fish mortality</w:t>
            </w:r>
            <w:r w:rsidR="001108D0">
              <w:rPr>
                <w:rFonts w:cs="Arial"/>
                <w:sz w:val="16"/>
                <w:szCs w:val="16"/>
                <w:lang w:val="en-GB"/>
              </w:rPr>
              <w:t>.</w:t>
            </w:r>
            <w:r w:rsidR="00E83A01" w:rsidRPr="00312C10">
              <w:rPr>
                <w:rFonts w:cs="Arial"/>
                <w:sz w:val="16"/>
                <w:szCs w:val="16"/>
                <w:lang w:val="en-GB"/>
              </w:rPr>
              <w:t xml:space="preserve"> </w:t>
            </w:r>
          </w:p>
          <w:p w14:paraId="46533EEE" w14:textId="02A1FB3E" w:rsidR="00770C39" w:rsidRPr="00312C10" w:rsidRDefault="00770C39" w:rsidP="00312C10">
            <w:pPr>
              <w:spacing w:before="40" w:after="40"/>
              <w:rPr>
                <w:rFonts w:cs="Arial"/>
                <w:sz w:val="16"/>
                <w:szCs w:val="16"/>
                <w:lang w:val="en-GB"/>
              </w:rPr>
            </w:pPr>
            <w:r w:rsidRPr="00312C10">
              <w:rPr>
                <w:rFonts w:cs="Arial"/>
                <w:sz w:val="16"/>
                <w:szCs w:val="16"/>
                <w:lang w:val="en-GB"/>
              </w:rPr>
              <w:t>Large scale population level impacts of unplanned discharges on fish species, abundances or assemblage composition would be unlikely due to the wide geographical distribution of many fishes of Bass Strait and the potential for rapid recolonisation.</w:t>
            </w:r>
          </w:p>
          <w:p w14:paraId="4DCA6821" w14:textId="68DF2B95" w:rsidR="0037391E" w:rsidRPr="00312C10" w:rsidRDefault="000831CE" w:rsidP="00312C10">
            <w:pPr>
              <w:spacing w:before="40" w:after="40"/>
              <w:rPr>
                <w:rFonts w:cs="Arial"/>
                <w:sz w:val="16"/>
                <w:szCs w:val="16"/>
                <w:u w:val="single"/>
                <w:lang w:val="en-GB"/>
              </w:rPr>
            </w:pPr>
            <w:r w:rsidRPr="00312C10">
              <w:rPr>
                <w:rFonts w:cs="Arial"/>
                <w:sz w:val="16"/>
                <w:szCs w:val="16"/>
                <w:u w:val="single"/>
                <w:lang w:val="en-GB"/>
              </w:rPr>
              <w:t>Pipeline rupture scenario</w:t>
            </w:r>
          </w:p>
          <w:p w14:paraId="384B5E7F" w14:textId="2146516B" w:rsidR="00EE10DD" w:rsidRDefault="00A56F5A">
            <w:pPr>
              <w:spacing w:before="40" w:after="40"/>
              <w:rPr>
                <w:rFonts w:cs="Arial"/>
                <w:sz w:val="16"/>
                <w:szCs w:val="16"/>
                <w:lang w:val="en-GB"/>
              </w:rPr>
            </w:pPr>
            <w:r w:rsidRPr="00312C10">
              <w:rPr>
                <w:rFonts w:cs="Arial"/>
                <w:sz w:val="16"/>
                <w:szCs w:val="16"/>
                <w:lang w:val="en-GB"/>
              </w:rPr>
              <w:t xml:space="preserve">Given the location of pipeline rupture, it is likely that shallow inshore species, such as </w:t>
            </w:r>
            <w:r w:rsidR="00EE10DD" w:rsidRPr="00312C10">
              <w:rPr>
                <w:rFonts w:cs="Arial"/>
                <w:sz w:val="16"/>
                <w:szCs w:val="16"/>
                <w:lang w:val="en-GB"/>
              </w:rPr>
              <w:t>syngnathids</w:t>
            </w:r>
            <w:r w:rsidRPr="00312C10">
              <w:rPr>
                <w:rFonts w:cs="Arial"/>
                <w:sz w:val="16"/>
                <w:szCs w:val="16"/>
                <w:lang w:val="en-GB"/>
              </w:rPr>
              <w:t xml:space="preserve"> and other</w:t>
            </w:r>
            <w:r w:rsidR="000C1E75" w:rsidRPr="00312C10">
              <w:rPr>
                <w:rFonts w:cs="Arial"/>
                <w:sz w:val="16"/>
                <w:szCs w:val="16"/>
                <w:lang w:val="en-GB"/>
              </w:rPr>
              <w:t xml:space="preserve"> site-attached</w:t>
            </w:r>
            <w:r w:rsidRPr="00312C10">
              <w:rPr>
                <w:rFonts w:cs="Arial"/>
                <w:sz w:val="16"/>
                <w:szCs w:val="16"/>
                <w:lang w:val="en-GB"/>
              </w:rPr>
              <w:t xml:space="preserve"> species may be exposed to moderate to high levels of entrained</w:t>
            </w:r>
            <w:r w:rsidR="001108D0">
              <w:rPr>
                <w:rFonts w:cs="Arial"/>
                <w:sz w:val="16"/>
                <w:szCs w:val="16"/>
                <w:lang w:val="en-GB"/>
              </w:rPr>
              <w:t xml:space="preserve"> and low to moderate levels of dissolved phase </w:t>
            </w:r>
            <w:r w:rsidR="000C1E75" w:rsidRPr="00312C10">
              <w:rPr>
                <w:rFonts w:cs="Arial"/>
                <w:sz w:val="16"/>
                <w:szCs w:val="16"/>
                <w:lang w:val="en-GB"/>
              </w:rPr>
              <w:t>hydrocarbons</w:t>
            </w:r>
            <w:r w:rsidR="00EE10DD" w:rsidRPr="00312C10">
              <w:rPr>
                <w:rFonts w:cs="Arial"/>
                <w:sz w:val="16"/>
                <w:szCs w:val="16"/>
                <w:lang w:val="en-GB"/>
              </w:rPr>
              <w:t xml:space="preserve">. </w:t>
            </w:r>
            <w:r w:rsidR="00CD599C" w:rsidRPr="00312C10">
              <w:rPr>
                <w:rFonts w:cs="Arial"/>
                <w:sz w:val="16"/>
                <w:szCs w:val="16"/>
                <w:lang w:val="en-GB"/>
              </w:rPr>
              <w:t>As the condensate will not have much time to weather (and lose the toxic MAH and PAH components), there may be some mortality of individuals exposed t</w:t>
            </w:r>
            <w:r w:rsidR="000C1E75" w:rsidRPr="00312C10">
              <w:rPr>
                <w:rFonts w:cs="Arial"/>
                <w:sz w:val="16"/>
                <w:szCs w:val="16"/>
                <w:lang w:val="en-GB"/>
              </w:rPr>
              <w:t>o freshly released hydrocarbons if they cannot move out of the plume</w:t>
            </w:r>
            <w:r w:rsidR="00CD599C" w:rsidRPr="00312C10">
              <w:rPr>
                <w:rFonts w:cs="Arial"/>
                <w:sz w:val="16"/>
                <w:szCs w:val="16"/>
                <w:lang w:val="en-GB"/>
              </w:rPr>
              <w:t xml:space="preserve">. </w:t>
            </w:r>
          </w:p>
          <w:p w14:paraId="54BE64CB" w14:textId="7974A1D7" w:rsidR="001108D0" w:rsidRPr="00312C10" w:rsidRDefault="001108D0">
            <w:pPr>
              <w:spacing w:before="40" w:after="40"/>
              <w:rPr>
                <w:rFonts w:cs="Arial"/>
                <w:sz w:val="16"/>
                <w:szCs w:val="16"/>
                <w:lang w:val="en-GB"/>
              </w:rPr>
            </w:pPr>
            <w:r>
              <w:rPr>
                <w:rFonts w:cs="Arial"/>
                <w:sz w:val="16"/>
                <w:szCs w:val="16"/>
                <w:lang w:val="en-GB"/>
              </w:rPr>
              <w:t>The area of impact is limited and short-term and while localised mortality is possible, at a population level, the impact is not expected to be significant.</w:t>
            </w:r>
          </w:p>
        </w:tc>
        <w:tc>
          <w:tcPr>
            <w:tcW w:w="1843" w:type="dxa"/>
            <w:shd w:val="clear" w:color="auto" w:fill="auto"/>
          </w:tcPr>
          <w:p w14:paraId="272D9B16" w14:textId="1DA2B2AA" w:rsidR="00EE10DD" w:rsidRPr="00312C10" w:rsidRDefault="00EE10DD" w:rsidP="00312C10">
            <w:pPr>
              <w:pStyle w:val="BodyText"/>
              <w:spacing w:before="40" w:after="40"/>
              <w:ind w:left="0"/>
              <w:rPr>
                <w:rFonts w:cs="Arial"/>
                <w:sz w:val="16"/>
                <w:szCs w:val="16"/>
                <w:lang w:eastAsia="en-US"/>
              </w:rPr>
            </w:pPr>
            <w:r w:rsidRPr="00312C10">
              <w:rPr>
                <w:rFonts w:cs="Arial"/>
                <w:sz w:val="16"/>
                <w:szCs w:val="16"/>
                <w:lang w:eastAsia="en-US"/>
              </w:rPr>
              <w:t>Not applicable.</w:t>
            </w:r>
          </w:p>
        </w:tc>
      </w:tr>
    </w:tbl>
    <w:p w14:paraId="681AD59C" w14:textId="77777777" w:rsidR="00887A82" w:rsidRDefault="00887A82" w:rsidP="00FA36A5">
      <w:pPr>
        <w:pStyle w:val="Caption"/>
        <w:outlineLvl w:val="9"/>
      </w:pPr>
    </w:p>
    <w:p w14:paraId="0099D7D9" w14:textId="4635FD0E" w:rsidR="00C37F67" w:rsidRPr="006259FE" w:rsidRDefault="00A03024" w:rsidP="00B86A7D">
      <w:pPr>
        <w:pStyle w:val="Caption"/>
        <w:outlineLvl w:val="9"/>
        <w:rPr>
          <w:sz w:val="20"/>
          <w:szCs w:val="20"/>
        </w:rPr>
      </w:pPr>
      <w:bookmarkStart w:id="262" w:name="_Toc511032615"/>
      <w:r w:rsidRPr="00A03024">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24</w:t>
      </w:r>
      <w:r w:rsidR="00103328">
        <w:rPr>
          <w:sz w:val="20"/>
          <w:szCs w:val="20"/>
        </w:rPr>
        <w:fldChar w:fldCharType="end"/>
      </w:r>
      <w:r w:rsidRPr="00A03024">
        <w:rPr>
          <w:sz w:val="20"/>
          <w:szCs w:val="20"/>
        </w:rPr>
        <w:t>: Potential impacts of hydrocarbons on cetaceans</w:t>
      </w:r>
      <w:bookmarkEnd w:id="262"/>
    </w:p>
    <w:tbl>
      <w:tblPr>
        <w:tblW w:w="0" w:type="auto"/>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6142"/>
        <w:gridCol w:w="5169"/>
        <w:gridCol w:w="1720"/>
      </w:tblGrid>
      <w:tr w:rsidR="00BC70F0" w:rsidRPr="00A03024" w14:paraId="07AADF8B" w14:textId="77777777" w:rsidTr="00A03024">
        <w:tc>
          <w:tcPr>
            <w:tcW w:w="13217" w:type="dxa"/>
            <w:gridSpan w:val="3"/>
            <w:shd w:val="clear" w:color="auto" w:fill="A6A6A6"/>
          </w:tcPr>
          <w:p w14:paraId="1AA6AF96" w14:textId="1733D1E4" w:rsidR="00BC70F0" w:rsidRPr="00A03024" w:rsidRDefault="00BC70F0" w:rsidP="00A03024">
            <w:pPr>
              <w:pStyle w:val="BodyText"/>
              <w:spacing w:before="40" w:after="40"/>
              <w:ind w:left="0"/>
              <w:jc w:val="center"/>
              <w:rPr>
                <w:rFonts w:cs="Arial"/>
                <w:b/>
                <w:sz w:val="16"/>
                <w:szCs w:val="16"/>
                <w:lang w:eastAsia="en-US"/>
              </w:rPr>
            </w:pPr>
            <w:r w:rsidRPr="00A03024">
              <w:rPr>
                <w:rFonts w:cs="Arial"/>
                <w:b/>
                <w:sz w:val="16"/>
                <w:szCs w:val="16"/>
                <w:lang w:eastAsia="en-US"/>
              </w:rPr>
              <w:t xml:space="preserve">General sensitivity to oiling - </w:t>
            </w:r>
            <w:r w:rsidR="00D2111D" w:rsidRPr="00A03024">
              <w:rPr>
                <w:rFonts w:cs="Arial"/>
                <w:b/>
                <w:sz w:val="16"/>
                <w:szCs w:val="16"/>
                <w:lang w:eastAsia="en-US"/>
              </w:rPr>
              <w:t>cetaceans</w:t>
            </w:r>
          </w:p>
        </w:tc>
      </w:tr>
      <w:tr w:rsidR="00BC70F0" w:rsidRPr="00A03024" w14:paraId="7C9DEAFB" w14:textId="77777777" w:rsidTr="00A03024">
        <w:tc>
          <w:tcPr>
            <w:tcW w:w="13217" w:type="dxa"/>
            <w:gridSpan w:val="3"/>
            <w:shd w:val="clear" w:color="auto" w:fill="auto"/>
          </w:tcPr>
          <w:p w14:paraId="0B972C1C" w14:textId="618BA893" w:rsidR="00D2111D" w:rsidRPr="00A03024" w:rsidRDefault="00D2111D" w:rsidP="00A03024">
            <w:pPr>
              <w:spacing w:before="40" w:after="40"/>
              <w:rPr>
                <w:sz w:val="16"/>
                <w:szCs w:val="16"/>
                <w:lang w:val="en-GB"/>
              </w:rPr>
            </w:pPr>
            <w:r w:rsidRPr="00A03024">
              <w:rPr>
                <w:sz w:val="16"/>
                <w:szCs w:val="16"/>
                <w:lang w:val="en-GB"/>
              </w:rPr>
              <w:t xml:space="preserve">A description of cetaceans in the </w:t>
            </w:r>
            <w:r w:rsidR="006778C8" w:rsidRPr="00A03024">
              <w:rPr>
                <w:sz w:val="16"/>
                <w:szCs w:val="16"/>
                <w:lang w:val="en-GB"/>
              </w:rPr>
              <w:t>E</w:t>
            </w:r>
            <w:r w:rsidRPr="00A03024">
              <w:rPr>
                <w:sz w:val="16"/>
                <w:szCs w:val="16"/>
                <w:lang w:val="en-GB"/>
              </w:rPr>
              <w:t xml:space="preserve">MBA is provided in </w:t>
            </w:r>
            <w:r w:rsidRPr="00402CD7">
              <w:rPr>
                <w:sz w:val="16"/>
                <w:szCs w:val="16"/>
                <w:lang w:val="en-GB"/>
              </w:rPr>
              <w:t xml:space="preserve">Section </w:t>
            </w:r>
            <w:r w:rsidR="00402CD7" w:rsidRPr="00402CD7">
              <w:rPr>
                <w:sz w:val="16"/>
                <w:szCs w:val="16"/>
                <w:lang w:val="en-GB"/>
              </w:rPr>
              <w:fldChar w:fldCharType="begin"/>
            </w:r>
            <w:r w:rsidR="00402CD7" w:rsidRPr="00402CD7">
              <w:rPr>
                <w:sz w:val="16"/>
                <w:szCs w:val="16"/>
                <w:lang w:val="en-GB"/>
              </w:rPr>
              <w:instrText xml:space="preserve"> REF _Ref473518540 \r \h </w:instrText>
            </w:r>
            <w:r w:rsidR="00402CD7">
              <w:rPr>
                <w:sz w:val="16"/>
                <w:szCs w:val="16"/>
                <w:lang w:val="en-GB"/>
              </w:rPr>
              <w:instrText xml:space="preserve"> \* MERGEFORMAT </w:instrText>
            </w:r>
            <w:r w:rsidR="00402CD7" w:rsidRPr="00402CD7">
              <w:rPr>
                <w:sz w:val="16"/>
                <w:szCs w:val="16"/>
                <w:lang w:val="en-GB"/>
              </w:rPr>
            </w:r>
            <w:r w:rsidR="00402CD7" w:rsidRPr="00402CD7">
              <w:rPr>
                <w:sz w:val="16"/>
                <w:szCs w:val="16"/>
                <w:lang w:val="en-GB"/>
              </w:rPr>
              <w:fldChar w:fldCharType="separate"/>
            </w:r>
            <w:r w:rsidR="00CC4C35">
              <w:rPr>
                <w:sz w:val="16"/>
                <w:szCs w:val="16"/>
                <w:lang w:val="en-GB"/>
              </w:rPr>
              <w:t>3.4.5</w:t>
            </w:r>
            <w:r w:rsidR="00402CD7" w:rsidRPr="00402CD7">
              <w:rPr>
                <w:sz w:val="16"/>
                <w:szCs w:val="16"/>
                <w:lang w:val="en-GB"/>
              </w:rPr>
              <w:fldChar w:fldCharType="end"/>
            </w:r>
            <w:r w:rsidRPr="00402CD7">
              <w:rPr>
                <w:sz w:val="16"/>
                <w:szCs w:val="16"/>
                <w:lang w:val="en-GB"/>
              </w:rPr>
              <w:t>. Cet</w:t>
            </w:r>
            <w:r w:rsidR="005C51CC" w:rsidRPr="00402CD7">
              <w:rPr>
                <w:sz w:val="16"/>
                <w:szCs w:val="16"/>
                <w:lang w:val="en-GB"/>
              </w:rPr>
              <w:t>a</w:t>
            </w:r>
            <w:r w:rsidRPr="00402CD7">
              <w:rPr>
                <w:sz w:val="16"/>
                <w:szCs w:val="16"/>
                <w:lang w:val="en-GB"/>
              </w:rPr>
              <w:t>ceans</w:t>
            </w:r>
            <w:r w:rsidRPr="00A03024">
              <w:rPr>
                <w:sz w:val="16"/>
                <w:szCs w:val="16"/>
                <w:lang w:val="en-GB"/>
              </w:rPr>
              <w:t xml:space="preserve"> have a ‘High’ </w:t>
            </w:r>
            <w:r w:rsidR="006C6710" w:rsidRPr="00A03024">
              <w:rPr>
                <w:sz w:val="16"/>
                <w:szCs w:val="16"/>
                <w:lang w:val="en-GB"/>
              </w:rPr>
              <w:t>sensitivity</w:t>
            </w:r>
            <w:r w:rsidRPr="00A03024">
              <w:rPr>
                <w:sz w:val="16"/>
                <w:szCs w:val="16"/>
                <w:lang w:val="en-GB"/>
              </w:rPr>
              <w:t xml:space="preserve"> rating.</w:t>
            </w:r>
          </w:p>
          <w:p w14:paraId="4183F3B5" w14:textId="77777777" w:rsidR="00D2111D" w:rsidRPr="00A03024" w:rsidRDefault="00D2111D" w:rsidP="00A03024">
            <w:pPr>
              <w:spacing w:before="40" w:after="40"/>
              <w:rPr>
                <w:sz w:val="16"/>
                <w:szCs w:val="16"/>
                <w:lang w:val="en-GB"/>
              </w:rPr>
            </w:pPr>
            <w:r w:rsidRPr="00A03024">
              <w:rPr>
                <w:sz w:val="16"/>
                <w:szCs w:val="16"/>
                <w:lang w:val="en-GB"/>
              </w:rPr>
              <w:t xml:space="preserve">Whales and dolphins can be exposed to the chemicals in oil through: </w:t>
            </w:r>
          </w:p>
          <w:p w14:paraId="7E292FCE" w14:textId="77777777" w:rsidR="00D2111D" w:rsidRPr="00A03024" w:rsidRDefault="00D2111D" w:rsidP="0036080A">
            <w:pPr>
              <w:numPr>
                <w:ilvl w:val="0"/>
                <w:numId w:val="14"/>
              </w:numPr>
              <w:spacing w:before="40" w:after="40"/>
              <w:outlineLvl w:val="9"/>
              <w:rPr>
                <w:sz w:val="16"/>
                <w:szCs w:val="16"/>
                <w:lang w:val="en-GB"/>
              </w:rPr>
            </w:pPr>
            <w:r w:rsidRPr="00A03024">
              <w:rPr>
                <w:sz w:val="16"/>
                <w:szCs w:val="16"/>
                <w:lang w:val="en-GB"/>
              </w:rPr>
              <w:lastRenderedPageBreak/>
              <w:t>Internal exposure by consuming oil or contaminated prey;</w:t>
            </w:r>
          </w:p>
          <w:p w14:paraId="0D1BF5DD" w14:textId="77777777" w:rsidR="00D2111D" w:rsidRPr="00A03024" w:rsidRDefault="00D2111D" w:rsidP="0036080A">
            <w:pPr>
              <w:numPr>
                <w:ilvl w:val="0"/>
                <w:numId w:val="14"/>
              </w:numPr>
              <w:spacing w:before="40" w:after="40"/>
              <w:outlineLvl w:val="9"/>
              <w:rPr>
                <w:sz w:val="16"/>
                <w:szCs w:val="16"/>
                <w:lang w:val="en-GB"/>
              </w:rPr>
            </w:pPr>
            <w:r w:rsidRPr="00A03024">
              <w:rPr>
                <w:sz w:val="16"/>
                <w:szCs w:val="16"/>
                <w:lang w:val="en-GB"/>
              </w:rPr>
              <w:t>Inhaling volatile oil compounds when surfacing to breathe;</w:t>
            </w:r>
          </w:p>
          <w:p w14:paraId="04B3D4DD" w14:textId="6A537C2D" w:rsidR="00D2111D" w:rsidRPr="00A03024" w:rsidRDefault="006C6710" w:rsidP="0036080A">
            <w:pPr>
              <w:numPr>
                <w:ilvl w:val="0"/>
                <w:numId w:val="14"/>
              </w:numPr>
              <w:spacing w:before="40" w:after="40"/>
              <w:outlineLvl w:val="9"/>
              <w:rPr>
                <w:sz w:val="16"/>
                <w:szCs w:val="16"/>
                <w:lang w:val="en-GB"/>
              </w:rPr>
            </w:pPr>
            <w:r w:rsidRPr="00A03024">
              <w:rPr>
                <w:sz w:val="16"/>
                <w:szCs w:val="16"/>
                <w:lang w:val="en-GB"/>
              </w:rPr>
              <w:t>Dermal</w:t>
            </w:r>
            <w:r w:rsidR="00D2111D" w:rsidRPr="00A03024">
              <w:rPr>
                <w:sz w:val="16"/>
                <w:szCs w:val="16"/>
                <w:lang w:val="en-GB"/>
              </w:rPr>
              <w:t xml:space="preserve"> </w:t>
            </w:r>
            <w:r w:rsidRPr="00A03024">
              <w:rPr>
                <w:sz w:val="16"/>
                <w:szCs w:val="16"/>
                <w:lang w:val="en-GB"/>
              </w:rPr>
              <w:t>contact</w:t>
            </w:r>
            <w:r w:rsidR="00D2111D" w:rsidRPr="00A03024">
              <w:rPr>
                <w:sz w:val="16"/>
                <w:szCs w:val="16"/>
                <w:lang w:val="en-GB"/>
              </w:rPr>
              <w:t>, by swimming in oil and having oil directly on the skin and body; and</w:t>
            </w:r>
          </w:p>
          <w:p w14:paraId="01F9D0E5" w14:textId="76CA9A20" w:rsidR="00D2111D" w:rsidRPr="00A03024" w:rsidRDefault="00D2111D" w:rsidP="0036080A">
            <w:pPr>
              <w:numPr>
                <w:ilvl w:val="0"/>
                <w:numId w:val="14"/>
              </w:numPr>
              <w:spacing w:before="40" w:after="40"/>
              <w:outlineLvl w:val="9"/>
              <w:rPr>
                <w:sz w:val="16"/>
                <w:szCs w:val="16"/>
                <w:lang w:val="en-GB"/>
              </w:rPr>
            </w:pPr>
            <w:r w:rsidRPr="00A03024">
              <w:rPr>
                <w:sz w:val="16"/>
                <w:szCs w:val="16"/>
                <w:lang w:val="en-GB"/>
              </w:rPr>
              <w:t>Maternal transfer of contaminants to embryos (NRDA, 2012</w:t>
            </w:r>
            <w:r w:rsidR="006C6710" w:rsidRPr="00A03024">
              <w:rPr>
                <w:sz w:val="16"/>
                <w:szCs w:val="16"/>
                <w:lang w:val="en-GB"/>
              </w:rPr>
              <w:t xml:space="preserve">; Hook </w:t>
            </w:r>
            <w:r w:rsidR="006C6710" w:rsidRPr="00A03024">
              <w:rPr>
                <w:i/>
                <w:sz w:val="16"/>
                <w:szCs w:val="16"/>
                <w:lang w:val="en-GB"/>
              </w:rPr>
              <w:t>et al</w:t>
            </w:r>
            <w:r w:rsidR="006C6710" w:rsidRPr="00A03024">
              <w:rPr>
                <w:sz w:val="16"/>
                <w:szCs w:val="16"/>
                <w:lang w:val="en-GB"/>
              </w:rPr>
              <w:t>., 2016</w:t>
            </w:r>
            <w:r w:rsidRPr="00A03024">
              <w:rPr>
                <w:sz w:val="16"/>
                <w:szCs w:val="16"/>
                <w:lang w:val="en-GB"/>
              </w:rPr>
              <w:t xml:space="preserve">). </w:t>
            </w:r>
          </w:p>
          <w:p w14:paraId="42B2997D" w14:textId="7AE5C732" w:rsidR="00D22454" w:rsidRPr="00A03024" w:rsidRDefault="00D22454" w:rsidP="00A03024">
            <w:pPr>
              <w:spacing w:before="40" w:after="40"/>
              <w:rPr>
                <w:sz w:val="16"/>
                <w:szCs w:val="16"/>
                <w:lang w:val="en-GB"/>
              </w:rPr>
            </w:pPr>
            <w:r w:rsidRPr="00A03024">
              <w:rPr>
                <w:sz w:val="16"/>
                <w:szCs w:val="16"/>
                <w:lang w:val="en-GB"/>
              </w:rPr>
              <w:t xml:space="preserve">The effects of this exposure include: </w:t>
            </w:r>
          </w:p>
          <w:p w14:paraId="177113E7" w14:textId="2085F023" w:rsidR="00171786" w:rsidRPr="00A03024" w:rsidRDefault="00171786" w:rsidP="0036080A">
            <w:pPr>
              <w:numPr>
                <w:ilvl w:val="0"/>
                <w:numId w:val="14"/>
              </w:numPr>
              <w:spacing w:before="40" w:after="40"/>
              <w:outlineLvl w:val="9"/>
              <w:rPr>
                <w:sz w:val="16"/>
                <w:szCs w:val="16"/>
                <w:lang w:val="en-GB"/>
              </w:rPr>
            </w:pPr>
            <w:r w:rsidRPr="00A03024">
              <w:rPr>
                <w:sz w:val="16"/>
                <w:szCs w:val="16"/>
                <w:lang w:val="en-GB"/>
              </w:rPr>
              <w:t>Hypothermia due to conductance changes in skin, resulting in metabolic shock (expected to be more problematic for non-cetaceans in colder waters);</w:t>
            </w:r>
          </w:p>
          <w:p w14:paraId="6815376B" w14:textId="15EA02F5" w:rsidR="00171786" w:rsidRPr="00A03024" w:rsidRDefault="00171786" w:rsidP="0036080A">
            <w:pPr>
              <w:numPr>
                <w:ilvl w:val="0"/>
                <w:numId w:val="14"/>
              </w:numPr>
              <w:spacing w:before="40" w:after="40"/>
              <w:outlineLvl w:val="9"/>
              <w:rPr>
                <w:sz w:val="16"/>
                <w:szCs w:val="16"/>
                <w:lang w:val="en-GB"/>
              </w:rPr>
            </w:pPr>
            <w:r w:rsidRPr="00A03024">
              <w:rPr>
                <w:sz w:val="16"/>
                <w:szCs w:val="16"/>
                <w:lang w:val="en-GB"/>
              </w:rPr>
              <w:t>Toxic effects and secondary organ dysfunction due to ingestion of oil;</w:t>
            </w:r>
          </w:p>
          <w:p w14:paraId="10FBEE0C" w14:textId="4B3A6F5E" w:rsidR="00171786" w:rsidRPr="00A03024" w:rsidRDefault="00171786" w:rsidP="0036080A">
            <w:pPr>
              <w:numPr>
                <w:ilvl w:val="0"/>
                <w:numId w:val="14"/>
              </w:numPr>
              <w:spacing w:before="40" w:after="40"/>
              <w:outlineLvl w:val="9"/>
              <w:rPr>
                <w:sz w:val="16"/>
                <w:szCs w:val="16"/>
                <w:lang w:val="en-GB"/>
              </w:rPr>
            </w:pPr>
            <w:r w:rsidRPr="00A03024">
              <w:rPr>
                <w:sz w:val="16"/>
                <w:szCs w:val="16"/>
                <w:lang w:val="en-GB"/>
              </w:rPr>
              <w:t>Congested lungs;</w:t>
            </w:r>
          </w:p>
          <w:p w14:paraId="2BE80499" w14:textId="7AD0A3FE" w:rsidR="00171786" w:rsidRPr="00A03024" w:rsidRDefault="00171786" w:rsidP="0036080A">
            <w:pPr>
              <w:numPr>
                <w:ilvl w:val="0"/>
                <w:numId w:val="14"/>
              </w:numPr>
              <w:spacing w:before="40" w:after="40"/>
              <w:outlineLvl w:val="9"/>
              <w:rPr>
                <w:sz w:val="16"/>
                <w:szCs w:val="16"/>
                <w:lang w:val="en-GB"/>
              </w:rPr>
            </w:pPr>
            <w:r w:rsidRPr="00A03024">
              <w:rPr>
                <w:sz w:val="16"/>
                <w:szCs w:val="16"/>
                <w:lang w:val="en-GB"/>
              </w:rPr>
              <w:t>Damaged airways;</w:t>
            </w:r>
          </w:p>
          <w:p w14:paraId="7F052AEF" w14:textId="20A0CE32" w:rsidR="00171786" w:rsidRPr="00A03024" w:rsidRDefault="00171786" w:rsidP="0036080A">
            <w:pPr>
              <w:numPr>
                <w:ilvl w:val="0"/>
                <w:numId w:val="14"/>
              </w:numPr>
              <w:spacing w:before="40" w:after="40"/>
              <w:outlineLvl w:val="9"/>
              <w:rPr>
                <w:sz w:val="16"/>
                <w:szCs w:val="16"/>
                <w:lang w:val="en-GB"/>
              </w:rPr>
            </w:pPr>
            <w:r w:rsidRPr="00A03024">
              <w:rPr>
                <w:sz w:val="16"/>
                <w:szCs w:val="16"/>
                <w:lang w:val="en-GB"/>
              </w:rPr>
              <w:t>Interstitial emphysema due to inhalation of oil droplets and vapour;</w:t>
            </w:r>
          </w:p>
          <w:p w14:paraId="044D0C5D" w14:textId="7AFEBA64" w:rsidR="00171786" w:rsidRPr="00A03024" w:rsidRDefault="00171786" w:rsidP="0036080A">
            <w:pPr>
              <w:numPr>
                <w:ilvl w:val="0"/>
                <w:numId w:val="14"/>
              </w:numPr>
              <w:spacing w:before="40" w:after="40"/>
              <w:outlineLvl w:val="9"/>
              <w:rPr>
                <w:sz w:val="16"/>
                <w:szCs w:val="16"/>
                <w:lang w:val="en-GB"/>
              </w:rPr>
            </w:pPr>
            <w:r w:rsidRPr="00A03024">
              <w:rPr>
                <w:sz w:val="16"/>
                <w:szCs w:val="16"/>
                <w:lang w:val="en-GB"/>
              </w:rPr>
              <w:t>Gastrointestinal ulceration and haemorrhaging due to ingestion of oil during grooming and feeding;</w:t>
            </w:r>
          </w:p>
          <w:p w14:paraId="1ADFF0E1" w14:textId="0211743A" w:rsidR="00171786" w:rsidRPr="00A03024" w:rsidRDefault="00171786" w:rsidP="0036080A">
            <w:pPr>
              <w:numPr>
                <w:ilvl w:val="0"/>
                <w:numId w:val="14"/>
              </w:numPr>
              <w:spacing w:before="40" w:after="40"/>
              <w:outlineLvl w:val="9"/>
              <w:rPr>
                <w:sz w:val="16"/>
                <w:szCs w:val="16"/>
                <w:lang w:val="en-GB"/>
              </w:rPr>
            </w:pPr>
            <w:r w:rsidRPr="00A03024">
              <w:rPr>
                <w:sz w:val="16"/>
                <w:szCs w:val="16"/>
                <w:lang w:val="en-GB"/>
              </w:rPr>
              <w:t>Eye and skin lesions from continuous exposure to oil;</w:t>
            </w:r>
          </w:p>
          <w:p w14:paraId="1C2897D8" w14:textId="476398C6" w:rsidR="00171786" w:rsidRPr="00A03024" w:rsidRDefault="00171786" w:rsidP="0036080A">
            <w:pPr>
              <w:numPr>
                <w:ilvl w:val="0"/>
                <w:numId w:val="14"/>
              </w:numPr>
              <w:spacing w:before="40" w:after="40"/>
              <w:outlineLvl w:val="9"/>
              <w:rPr>
                <w:sz w:val="16"/>
                <w:szCs w:val="16"/>
                <w:lang w:val="en-GB"/>
              </w:rPr>
            </w:pPr>
            <w:r w:rsidRPr="00A03024">
              <w:rPr>
                <w:sz w:val="16"/>
                <w:szCs w:val="16"/>
                <w:lang w:val="en-GB"/>
              </w:rPr>
              <w:t>Decreased body mass due to restricted diet; and</w:t>
            </w:r>
          </w:p>
          <w:p w14:paraId="5C560478" w14:textId="77777777" w:rsidR="00171786" w:rsidRPr="00A03024" w:rsidRDefault="00171786" w:rsidP="0036080A">
            <w:pPr>
              <w:numPr>
                <w:ilvl w:val="0"/>
                <w:numId w:val="14"/>
              </w:numPr>
              <w:spacing w:before="40" w:after="40"/>
              <w:ind w:left="714" w:hanging="357"/>
              <w:outlineLvl w:val="9"/>
              <w:rPr>
                <w:sz w:val="16"/>
                <w:szCs w:val="16"/>
                <w:lang w:val="en-GB"/>
              </w:rPr>
            </w:pPr>
            <w:r w:rsidRPr="00A03024">
              <w:rPr>
                <w:sz w:val="16"/>
                <w:szCs w:val="16"/>
                <w:lang w:val="en-GB"/>
              </w:rPr>
              <w:t>Stress due to oil exposure and behavioural changes.</w:t>
            </w:r>
          </w:p>
          <w:p w14:paraId="626CD84D" w14:textId="4D255655" w:rsidR="00633F8C" w:rsidRPr="00A03024" w:rsidRDefault="00D2111D" w:rsidP="00A03024">
            <w:pPr>
              <w:spacing w:before="40" w:after="40"/>
              <w:rPr>
                <w:sz w:val="16"/>
                <w:szCs w:val="16"/>
                <w:lang w:val="en-GB"/>
              </w:rPr>
            </w:pPr>
            <w:r w:rsidRPr="00A03024">
              <w:rPr>
                <w:sz w:val="16"/>
                <w:szCs w:val="16"/>
                <w:lang w:val="en-GB"/>
              </w:rPr>
              <w:t xml:space="preserve">French-McCay (2009) identifies that a 10-25 </w:t>
            </w:r>
            <w:r w:rsidR="005C51CC" w:rsidRPr="00A03024">
              <w:rPr>
                <w:rFonts w:cs="Arial"/>
                <w:sz w:val="16"/>
                <w:szCs w:val="16"/>
                <w:lang w:val="en-GB"/>
              </w:rPr>
              <w:t>μ</w:t>
            </w:r>
            <w:r w:rsidR="006778C8" w:rsidRPr="00A03024">
              <w:rPr>
                <w:sz w:val="16"/>
                <w:szCs w:val="16"/>
                <w:lang w:val="en-GB"/>
              </w:rPr>
              <w:t>m</w:t>
            </w:r>
            <w:r w:rsidRPr="00A03024">
              <w:rPr>
                <w:sz w:val="16"/>
                <w:szCs w:val="16"/>
                <w:lang w:val="en-GB"/>
              </w:rPr>
              <w:t xml:space="preserve"> oil thickness threshold has the potential to impart a lethal dose </w:t>
            </w:r>
            <w:r w:rsidR="00434AF6" w:rsidRPr="00A03024">
              <w:rPr>
                <w:sz w:val="16"/>
                <w:szCs w:val="16"/>
                <w:lang w:val="en-GB"/>
              </w:rPr>
              <w:t>on marine species</w:t>
            </w:r>
            <w:r w:rsidRPr="00A03024">
              <w:rPr>
                <w:sz w:val="16"/>
                <w:szCs w:val="16"/>
                <w:lang w:val="en-GB"/>
              </w:rPr>
              <w:t>, however also estimates a probability of 0.1% mortality to cetaceans if they encounter these thresholds based on the proportion of the time spent at surface.</w:t>
            </w:r>
            <w:r w:rsidR="00633F8C" w:rsidRPr="00A03024">
              <w:rPr>
                <w:sz w:val="16"/>
                <w:szCs w:val="16"/>
                <w:lang w:val="en-GB"/>
              </w:rPr>
              <w:t xml:space="preserve"> Direct surface oil contact with hydrocarbons is considered to have little deleterious effect on whales, possibly due to the skin’s effectiveness as a barrier to toxicity, and effect of oil on cetacean skin is probably minor and temporary (Geraci &amp; St Aubin, 1982).</w:t>
            </w:r>
            <w:r w:rsidR="00171786" w:rsidRPr="00A03024">
              <w:rPr>
                <w:sz w:val="16"/>
                <w:szCs w:val="16"/>
                <w:lang w:val="en-GB"/>
              </w:rPr>
              <w:t xml:space="preserve"> Cetaceans in particular have mostly smooth skins with limited areas of pelage (hair covered skin) or rough surfaces such as barnacled skin. Oil tends to adhere to rough surfaces, hair or calluses of animals, so contact with hydrocarbons by whales and dolphins may cause only minor hydrocarbon adherence.</w:t>
            </w:r>
          </w:p>
          <w:p w14:paraId="03BFE57A" w14:textId="77777777" w:rsidR="006C453A" w:rsidRPr="00A03024" w:rsidRDefault="00D2111D" w:rsidP="00A03024">
            <w:pPr>
              <w:spacing w:before="40" w:after="40"/>
              <w:rPr>
                <w:sz w:val="16"/>
                <w:szCs w:val="16"/>
                <w:lang w:val="en-GB"/>
              </w:rPr>
            </w:pPr>
            <w:r w:rsidRPr="00A03024">
              <w:rPr>
                <w:sz w:val="16"/>
                <w:szCs w:val="16"/>
                <w:lang w:val="en-GB"/>
              </w:rPr>
              <w:t xml:space="preserve">The physical impacts from ingested hydrocarbon with subsequent lethal or sub-lethal impacts are both applicable to entrained oil. However, the susceptibility of cetaceans varies with feeding habits. Baleen whales </w:t>
            </w:r>
            <w:r w:rsidR="00434AF6" w:rsidRPr="00A03024">
              <w:rPr>
                <w:sz w:val="16"/>
                <w:szCs w:val="16"/>
                <w:lang w:val="en-GB"/>
              </w:rPr>
              <w:t xml:space="preserve">(such as blue, southern right and humpback whales) </w:t>
            </w:r>
            <w:r w:rsidRPr="00A03024">
              <w:rPr>
                <w:sz w:val="16"/>
                <w:szCs w:val="16"/>
                <w:lang w:val="en-GB"/>
              </w:rPr>
              <w:t>are not particularly susceptible to ingestion of oil in the water column</w:t>
            </w:r>
            <w:r w:rsidR="0028120F" w:rsidRPr="00A03024">
              <w:rPr>
                <w:sz w:val="16"/>
                <w:szCs w:val="16"/>
                <w:lang w:val="en-GB"/>
              </w:rPr>
              <w:t>, but are susceptible to oil at the sea surface</w:t>
            </w:r>
            <w:r w:rsidRPr="00A03024">
              <w:rPr>
                <w:sz w:val="16"/>
                <w:szCs w:val="16"/>
                <w:lang w:val="en-GB"/>
              </w:rPr>
              <w:t xml:space="preserve"> as they feed by skimming the surface.</w:t>
            </w:r>
            <w:r w:rsidR="0028120F" w:rsidRPr="00A03024">
              <w:rPr>
                <w:sz w:val="16"/>
                <w:szCs w:val="16"/>
                <w:lang w:val="en-GB"/>
              </w:rPr>
              <w:t xml:space="preserve"> Oil may stick to the baleen while they ‘filter feed’ near slicks. Sticky, tar-like residues are particularly likely to foul the baleen plates.</w:t>
            </w:r>
            <w:r w:rsidR="006C453A" w:rsidRPr="00A03024">
              <w:rPr>
                <w:sz w:val="16"/>
                <w:szCs w:val="16"/>
                <w:lang w:val="en-GB"/>
              </w:rPr>
              <w:t xml:space="preserve"> </w:t>
            </w:r>
          </w:p>
          <w:p w14:paraId="1FCC1C1E" w14:textId="26A47E34" w:rsidR="00434AF6" w:rsidRPr="00A03024" w:rsidRDefault="006C453A" w:rsidP="00A03024">
            <w:pPr>
              <w:spacing w:before="40" w:after="40"/>
              <w:rPr>
                <w:sz w:val="16"/>
                <w:szCs w:val="16"/>
                <w:lang w:val="en-GB"/>
              </w:rPr>
            </w:pPr>
            <w:r w:rsidRPr="00A03024">
              <w:rPr>
                <w:sz w:val="16"/>
                <w:szCs w:val="16"/>
                <w:lang w:val="en-GB"/>
              </w:rPr>
              <w:t>The inhalation of oil droplets, vapours and fumes is a distinct possibility if whales surface in slicks to breathe. Exposure to hydrocarbons in this way could damage mucous membranes, damage airways or even cause death.</w:t>
            </w:r>
          </w:p>
          <w:p w14:paraId="0E9C8209" w14:textId="60D580D5" w:rsidR="00434AF6" w:rsidRPr="00A03024" w:rsidRDefault="00D2111D" w:rsidP="00A03024">
            <w:pPr>
              <w:pStyle w:val="BodyText"/>
              <w:spacing w:before="40" w:after="40"/>
              <w:ind w:left="0"/>
              <w:rPr>
                <w:sz w:val="16"/>
                <w:szCs w:val="16"/>
                <w:lang w:val="en-GB"/>
              </w:rPr>
            </w:pPr>
            <w:r w:rsidRPr="00A03024">
              <w:rPr>
                <w:sz w:val="16"/>
                <w:szCs w:val="16"/>
                <w:lang w:val="en-GB"/>
              </w:rPr>
              <w:t xml:space="preserve">Toothed whales and dolphins may be susceptible to ingestion of dissolved and entrained oil as they gulp feed at depth. </w:t>
            </w:r>
            <w:r w:rsidR="00CF011E" w:rsidRPr="00A03024">
              <w:rPr>
                <w:sz w:val="16"/>
                <w:szCs w:val="16"/>
                <w:lang w:val="en-GB"/>
              </w:rPr>
              <w:t xml:space="preserve">There are reports of declines in the health of individual pods of killer whales (a toothed whale species), though not the population as a whole, in Prince William Sound after the Exxon Valdez spill (heavy oil) (Hook </w:t>
            </w:r>
            <w:r w:rsidR="00CF011E" w:rsidRPr="00A03024">
              <w:rPr>
                <w:i/>
                <w:sz w:val="16"/>
                <w:szCs w:val="16"/>
                <w:lang w:val="en-GB"/>
              </w:rPr>
              <w:t>et al</w:t>
            </w:r>
            <w:r w:rsidR="00CF011E" w:rsidRPr="00A03024">
              <w:rPr>
                <w:sz w:val="16"/>
                <w:szCs w:val="16"/>
                <w:lang w:val="en-GB"/>
              </w:rPr>
              <w:t>., 2016).</w:t>
            </w:r>
          </w:p>
          <w:p w14:paraId="103474B0" w14:textId="7AFCF42C" w:rsidR="0028120F" w:rsidRPr="00A03024" w:rsidRDefault="0028120F" w:rsidP="00A03024">
            <w:pPr>
              <w:spacing w:before="40" w:after="40"/>
              <w:rPr>
                <w:sz w:val="16"/>
                <w:szCs w:val="16"/>
                <w:lang w:val="en-GB"/>
              </w:rPr>
            </w:pPr>
            <w:r w:rsidRPr="00A03024">
              <w:rPr>
                <w:sz w:val="16"/>
                <w:szCs w:val="16"/>
                <w:lang w:val="en-GB"/>
              </w:rPr>
              <w:t>It has been stated that pelagic species will avoid hydrocarbon, mainly because of its noxious odours, but this has not been proven. The strong attraction to specific areas for breeding or feeding (e.g., use of the Warrnambool coastline as a nursery area for southern right whales) may override any tendency for cetaceans to avoid the noxious presence of hydrocarbons. So weathered or tar-like oil residues</w:t>
            </w:r>
            <w:r w:rsidR="00A03024">
              <w:rPr>
                <w:sz w:val="16"/>
                <w:szCs w:val="16"/>
                <w:lang w:val="en-GB"/>
              </w:rPr>
              <w:t>, typical of some crude oil and heavy fuel oil spills,</w:t>
            </w:r>
            <w:r w:rsidRPr="00A03024">
              <w:rPr>
                <w:sz w:val="16"/>
                <w:szCs w:val="16"/>
                <w:lang w:val="en-GB"/>
              </w:rPr>
              <w:t xml:space="preserve"> can still present a problem by fouling baleen whales feeding systems.</w:t>
            </w:r>
          </w:p>
          <w:p w14:paraId="60E6E9A2" w14:textId="764ECD83" w:rsidR="00F07E08" w:rsidRPr="00A03024" w:rsidRDefault="00F07E08" w:rsidP="00A03024">
            <w:pPr>
              <w:pStyle w:val="BodyText"/>
              <w:spacing w:before="40" w:after="40"/>
              <w:ind w:left="0"/>
              <w:rPr>
                <w:sz w:val="16"/>
                <w:szCs w:val="16"/>
                <w:lang w:val="en-GB"/>
              </w:rPr>
            </w:pPr>
            <w:r w:rsidRPr="00A03024">
              <w:rPr>
                <w:sz w:val="16"/>
                <w:szCs w:val="16"/>
                <w:lang w:val="en-GB"/>
              </w:rPr>
              <w:t xml:space="preserve">Dolphin populations from Barataria Bay, Louisianna, USA, which were exposed to prolonged and continuous oiling from the Macondo oil spill in 2010, had higher incidences of lung and kidney disease than those in the other urbanised environments (Hook </w:t>
            </w:r>
            <w:r w:rsidRPr="00A03024">
              <w:rPr>
                <w:i/>
                <w:sz w:val="16"/>
                <w:szCs w:val="16"/>
                <w:lang w:val="en-GB"/>
              </w:rPr>
              <w:t>et al</w:t>
            </w:r>
            <w:r w:rsidRPr="00A03024">
              <w:rPr>
                <w:sz w:val="16"/>
                <w:szCs w:val="16"/>
                <w:lang w:val="en-GB"/>
              </w:rPr>
              <w:t>., 2016).</w:t>
            </w:r>
            <w:r w:rsidR="008F2CDC" w:rsidRPr="00A03024">
              <w:rPr>
                <w:sz w:val="16"/>
                <w:szCs w:val="16"/>
                <w:lang w:val="en-GB"/>
              </w:rPr>
              <w:t xml:space="preserve"> The spill may have also contributed to unusually high perinatal mortality in bottlenose dolphins (Hook </w:t>
            </w:r>
            <w:r w:rsidR="008F2CDC" w:rsidRPr="00A03024">
              <w:rPr>
                <w:i/>
                <w:sz w:val="16"/>
                <w:szCs w:val="16"/>
                <w:lang w:val="en-GB"/>
              </w:rPr>
              <w:t>et al</w:t>
            </w:r>
            <w:r w:rsidR="008F2CDC" w:rsidRPr="00A03024">
              <w:rPr>
                <w:sz w:val="16"/>
                <w:szCs w:val="16"/>
                <w:lang w:val="en-GB"/>
              </w:rPr>
              <w:t>., 2016).</w:t>
            </w:r>
          </w:p>
          <w:p w14:paraId="414E8700" w14:textId="0F8A59A6" w:rsidR="00D22454" w:rsidRPr="00A03024" w:rsidRDefault="00D2111D" w:rsidP="00A03024">
            <w:pPr>
              <w:pStyle w:val="BodyText"/>
              <w:spacing w:before="40" w:after="40"/>
              <w:ind w:left="0"/>
              <w:rPr>
                <w:sz w:val="16"/>
                <w:szCs w:val="16"/>
                <w:lang w:val="en-GB"/>
              </w:rPr>
            </w:pPr>
            <w:r w:rsidRPr="00A03024">
              <w:rPr>
                <w:sz w:val="16"/>
                <w:szCs w:val="16"/>
                <w:lang w:val="en-GB"/>
              </w:rPr>
              <w:t xml:space="preserve">As highly mobile species, in general it is very unlikely that </w:t>
            </w:r>
            <w:r w:rsidR="00B25C61" w:rsidRPr="00A03024">
              <w:rPr>
                <w:sz w:val="16"/>
                <w:szCs w:val="16"/>
                <w:lang w:val="en-GB"/>
              </w:rPr>
              <w:t xml:space="preserve">cetaceans </w:t>
            </w:r>
            <w:r w:rsidRPr="00A03024">
              <w:rPr>
                <w:sz w:val="16"/>
                <w:szCs w:val="16"/>
                <w:lang w:val="en-GB"/>
              </w:rPr>
              <w:t xml:space="preserve">will be constantly exposed to concentrations of hydrocarbons in the water column for continuous durations (e.g., &gt;96 hours) that would lead to chronic </w:t>
            </w:r>
            <w:r w:rsidR="00F07E08" w:rsidRPr="00A03024">
              <w:rPr>
                <w:sz w:val="16"/>
                <w:szCs w:val="16"/>
                <w:lang w:val="en-GB"/>
              </w:rPr>
              <w:t xml:space="preserve">toxicity </w:t>
            </w:r>
            <w:r w:rsidRPr="00A03024">
              <w:rPr>
                <w:sz w:val="16"/>
                <w:szCs w:val="16"/>
                <w:lang w:val="en-GB"/>
              </w:rPr>
              <w:t>effects.</w:t>
            </w:r>
          </w:p>
        </w:tc>
      </w:tr>
      <w:tr w:rsidR="00BC70F0" w:rsidRPr="00A03024" w14:paraId="01B6DFB9" w14:textId="77777777" w:rsidTr="00A03024">
        <w:tc>
          <w:tcPr>
            <w:tcW w:w="13217" w:type="dxa"/>
            <w:gridSpan w:val="3"/>
            <w:shd w:val="clear" w:color="auto" w:fill="D9D9D9"/>
          </w:tcPr>
          <w:p w14:paraId="514C932C" w14:textId="77777777" w:rsidR="00BC70F0" w:rsidRPr="00A03024" w:rsidRDefault="00BC70F0" w:rsidP="00A03024">
            <w:pPr>
              <w:pStyle w:val="BodyText"/>
              <w:spacing w:before="40" w:after="40"/>
              <w:ind w:left="0"/>
              <w:jc w:val="center"/>
              <w:rPr>
                <w:rFonts w:cs="Arial"/>
                <w:b/>
                <w:sz w:val="16"/>
                <w:szCs w:val="16"/>
                <w:lang w:eastAsia="en-US"/>
              </w:rPr>
            </w:pPr>
            <w:r w:rsidRPr="00A03024">
              <w:rPr>
                <w:rFonts w:cs="Arial"/>
                <w:b/>
                <w:sz w:val="16"/>
                <w:szCs w:val="16"/>
                <w:lang w:eastAsia="en-US"/>
              </w:rPr>
              <w:lastRenderedPageBreak/>
              <w:t>Potential impacts from this project</w:t>
            </w:r>
          </w:p>
        </w:tc>
      </w:tr>
      <w:tr w:rsidR="006778C8" w:rsidRPr="00A03024" w14:paraId="48F81634" w14:textId="77777777" w:rsidTr="00A03024">
        <w:tc>
          <w:tcPr>
            <w:tcW w:w="6237" w:type="dxa"/>
            <w:shd w:val="clear" w:color="auto" w:fill="F2F2F2"/>
          </w:tcPr>
          <w:p w14:paraId="5FB15C6D" w14:textId="77777777" w:rsidR="00BC70F0" w:rsidRPr="00A03024" w:rsidRDefault="00BC70F0" w:rsidP="00A03024">
            <w:pPr>
              <w:pStyle w:val="BodyText"/>
              <w:spacing w:before="40" w:after="40"/>
              <w:ind w:left="0"/>
              <w:jc w:val="center"/>
              <w:rPr>
                <w:rFonts w:cs="Arial"/>
                <w:sz w:val="16"/>
                <w:szCs w:val="16"/>
                <w:lang w:eastAsia="en-US"/>
              </w:rPr>
            </w:pPr>
            <w:r w:rsidRPr="00A03024">
              <w:rPr>
                <w:rFonts w:cs="Arial"/>
                <w:sz w:val="16"/>
                <w:szCs w:val="16"/>
                <w:lang w:eastAsia="en-US"/>
              </w:rPr>
              <w:t>Surface oiling</w:t>
            </w:r>
          </w:p>
        </w:tc>
        <w:tc>
          <w:tcPr>
            <w:tcW w:w="5245" w:type="dxa"/>
            <w:shd w:val="clear" w:color="auto" w:fill="F2F2F2"/>
          </w:tcPr>
          <w:p w14:paraId="32339F7C" w14:textId="77777777" w:rsidR="00BC70F0" w:rsidRPr="00A03024" w:rsidRDefault="00BC70F0" w:rsidP="00A03024">
            <w:pPr>
              <w:pStyle w:val="BodyText"/>
              <w:spacing w:before="40" w:after="40"/>
              <w:ind w:left="0"/>
              <w:jc w:val="center"/>
              <w:rPr>
                <w:rFonts w:cs="Arial"/>
                <w:sz w:val="16"/>
                <w:szCs w:val="16"/>
                <w:lang w:eastAsia="en-US"/>
              </w:rPr>
            </w:pPr>
            <w:r w:rsidRPr="00A03024">
              <w:rPr>
                <w:rFonts w:cs="Arial"/>
                <w:sz w:val="16"/>
                <w:szCs w:val="16"/>
                <w:lang w:eastAsia="en-US"/>
              </w:rPr>
              <w:t>Water column</w:t>
            </w:r>
          </w:p>
        </w:tc>
        <w:tc>
          <w:tcPr>
            <w:tcW w:w="1735" w:type="dxa"/>
            <w:shd w:val="clear" w:color="auto" w:fill="F2F2F2"/>
          </w:tcPr>
          <w:p w14:paraId="017A3962" w14:textId="77777777" w:rsidR="00BC70F0" w:rsidRPr="00A03024" w:rsidRDefault="00BC70F0" w:rsidP="00A03024">
            <w:pPr>
              <w:pStyle w:val="BodyText"/>
              <w:spacing w:before="40" w:after="40"/>
              <w:ind w:left="0"/>
              <w:jc w:val="center"/>
              <w:rPr>
                <w:rFonts w:cs="Arial"/>
                <w:sz w:val="16"/>
                <w:szCs w:val="16"/>
                <w:lang w:eastAsia="en-US"/>
              </w:rPr>
            </w:pPr>
            <w:r w:rsidRPr="00A03024">
              <w:rPr>
                <w:rFonts w:cs="Arial"/>
                <w:sz w:val="16"/>
                <w:szCs w:val="16"/>
                <w:lang w:eastAsia="en-US"/>
              </w:rPr>
              <w:t>Shoreline</w:t>
            </w:r>
          </w:p>
        </w:tc>
      </w:tr>
      <w:tr w:rsidR="006778C8" w:rsidRPr="00A03024" w14:paraId="337323F2" w14:textId="77777777" w:rsidTr="00A03024">
        <w:tc>
          <w:tcPr>
            <w:tcW w:w="6237" w:type="dxa"/>
            <w:shd w:val="clear" w:color="auto" w:fill="auto"/>
          </w:tcPr>
          <w:p w14:paraId="1A13CFC2" w14:textId="61190584" w:rsidR="00880286" w:rsidRPr="00A03024" w:rsidRDefault="006778C8" w:rsidP="00A03024">
            <w:pPr>
              <w:spacing w:before="40" w:after="40"/>
              <w:rPr>
                <w:sz w:val="16"/>
                <w:szCs w:val="16"/>
                <w:lang w:val="en-GB"/>
              </w:rPr>
            </w:pPr>
            <w:r w:rsidRPr="00A03024">
              <w:rPr>
                <w:sz w:val="16"/>
                <w:szCs w:val="16"/>
                <w:lang w:val="en-GB"/>
              </w:rPr>
              <w:lastRenderedPageBreak/>
              <w:t xml:space="preserve">The modelling </w:t>
            </w:r>
            <w:r w:rsidR="001108D0">
              <w:rPr>
                <w:sz w:val="16"/>
                <w:szCs w:val="16"/>
                <w:lang w:val="en-GB"/>
              </w:rPr>
              <w:t xml:space="preserve">predicts only surface oil sheens from CHN infrastructure release scenarios, except for the HDD pipeline rupture where high exposures may be observed within 0.4km of the release location. For the near-shore pipeline rupture surface hydrocarbons would not be expected after 7 hours of the release (temporary). The HDD area is located in the BIA for nearshore migration of southern right whales and does not </w:t>
            </w:r>
            <w:r w:rsidR="001B4A59" w:rsidRPr="00A03024">
              <w:rPr>
                <w:sz w:val="16"/>
                <w:szCs w:val="16"/>
                <w:lang w:val="en-GB"/>
              </w:rPr>
              <w:t xml:space="preserve">overlap the nearby aggregation BIA for southern right whales. </w:t>
            </w:r>
          </w:p>
          <w:p w14:paraId="1A299543" w14:textId="2B671AFD" w:rsidR="006778C8" w:rsidRPr="00A03024" w:rsidRDefault="001B4A59" w:rsidP="00A03024">
            <w:pPr>
              <w:spacing w:before="40" w:after="40"/>
              <w:rPr>
                <w:sz w:val="16"/>
                <w:szCs w:val="16"/>
                <w:lang w:val="en-GB"/>
              </w:rPr>
            </w:pPr>
            <w:r w:rsidRPr="00A03024">
              <w:rPr>
                <w:sz w:val="16"/>
                <w:szCs w:val="16"/>
                <w:lang w:val="en-GB"/>
              </w:rPr>
              <w:t xml:space="preserve">A </w:t>
            </w:r>
            <w:r w:rsidR="001108D0">
              <w:rPr>
                <w:sz w:val="16"/>
                <w:szCs w:val="16"/>
                <w:lang w:val="en-GB"/>
              </w:rPr>
              <w:t xml:space="preserve">low-level </w:t>
            </w:r>
            <w:r w:rsidRPr="00A03024">
              <w:rPr>
                <w:sz w:val="16"/>
                <w:szCs w:val="16"/>
                <w:lang w:val="en-GB"/>
              </w:rPr>
              <w:t xml:space="preserve">surface </w:t>
            </w:r>
            <w:r w:rsidR="001108D0">
              <w:rPr>
                <w:sz w:val="16"/>
                <w:szCs w:val="16"/>
                <w:lang w:val="en-GB"/>
              </w:rPr>
              <w:t xml:space="preserve">sheen from offshore spills </w:t>
            </w:r>
            <w:r w:rsidRPr="00A03024">
              <w:rPr>
                <w:sz w:val="16"/>
                <w:szCs w:val="16"/>
                <w:lang w:val="en-GB"/>
              </w:rPr>
              <w:t>overlap</w:t>
            </w:r>
            <w:r w:rsidR="001108D0">
              <w:rPr>
                <w:sz w:val="16"/>
                <w:szCs w:val="16"/>
                <w:lang w:val="en-GB"/>
              </w:rPr>
              <w:t>s</w:t>
            </w:r>
            <w:r w:rsidRPr="00A03024">
              <w:rPr>
                <w:sz w:val="16"/>
                <w:szCs w:val="16"/>
                <w:lang w:val="en-GB"/>
              </w:rPr>
              <w:t xml:space="preserve"> the foraging BIA for the </w:t>
            </w:r>
            <w:r w:rsidR="00880286" w:rsidRPr="00A03024">
              <w:rPr>
                <w:sz w:val="16"/>
                <w:szCs w:val="16"/>
                <w:lang w:val="en-GB"/>
              </w:rPr>
              <w:t>pygmy blue</w:t>
            </w:r>
            <w:r w:rsidRPr="00A03024">
              <w:rPr>
                <w:sz w:val="16"/>
                <w:szCs w:val="16"/>
                <w:lang w:val="en-GB"/>
              </w:rPr>
              <w:t xml:space="preserve"> whale</w:t>
            </w:r>
            <w:r w:rsidR="000A50EC" w:rsidRPr="00A03024">
              <w:rPr>
                <w:sz w:val="16"/>
                <w:szCs w:val="16"/>
                <w:lang w:val="en-GB"/>
              </w:rPr>
              <w:t xml:space="preserve"> (if the spill occurs </w:t>
            </w:r>
            <w:r w:rsidR="008E4F99" w:rsidRPr="00A03024">
              <w:rPr>
                <w:sz w:val="16"/>
                <w:szCs w:val="16"/>
                <w:lang w:val="en-GB"/>
              </w:rPr>
              <w:t>during</w:t>
            </w:r>
            <w:r w:rsidR="000A50EC" w:rsidRPr="00A03024">
              <w:rPr>
                <w:sz w:val="16"/>
                <w:szCs w:val="16"/>
                <w:lang w:val="en-GB"/>
              </w:rPr>
              <w:t xml:space="preserve"> their </w:t>
            </w:r>
            <w:r w:rsidR="00880286" w:rsidRPr="00A03024">
              <w:rPr>
                <w:sz w:val="16"/>
                <w:szCs w:val="16"/>
                <w:lang w:val="en-GB"/>
              </w:rPr>
              <w:t xml:space="preserve">main feeding </w:t>
            </w:r>
            <w:r w:rsidR="000A50EC" w:rsidRPr="00A03024">
              <w:rPr>
                <w:sz w:val="16"/>
                <w:szCs w:val="16"/>
                <w:lang w:val="en-GB"/>
              </w:rPr>
              <w:t xml:space="preserve">period of </w:t>
            </w:r>
            <w:r w:rsidR="00880286" w:rsidRPr="00A03024">
              <w:rPr>
                <w:sz w:val="16"/>
                <w:szCs w:val="16"/>
                <w:lang w:val="en-GB"/>
              </w:rPr>
              <w:t xml:space="preserve">November </w:t>
            </w:r>
            <w:r w:rsidR="008E4F99" w:rsidRPr="00A03024">
              <w:rPr>
                <w:sz w:val="16"/>
                <w:szCs w:val="16"/>
                <w:lang w:val="en-GB"/>
              </w:rPr>
              <w:t xml:space="preserve">to </w:t>
            </w:r>
            <w:r w:rsidR="00880286" w:rsidRPr="00A03024">
              <w:rPr>
                <w:sz w:val="16"/>
                <w:szCs w:val="16"/>
                <w:lang w:val="en-GB"/>
              </w:rPr>
              <w:t>May</w:t>
            </w:r>
            <w:r w:rsidR="008E4F99" w:rsidRPr="00A03024">
              <w:rPr>
                <w:sz w:val="16"/>
                <w:szCs w:val="16"/>
                <w:lang w:val="en-GB"/>
              </w:rPr>
              <w:t>)</w:t>
            </w:r>
            <w:r w:rsidRPr="00A03024">
              <w:rPr>
                <w:sz w:val="16"/>
                <w:szCs w:val="16"/>
                <w:lang w:val="en-GB"/>
              </w:rPr>
              <w:t xml:space="preserve">. </w:t>
            </w:r>
            <w:r w:rsidR="0002320A" w:rsidRPr="00A03024">
              <w:rPr>
                <w:sz w:val="16"/>
                <w:szCs w:val="16"/>
                <w:lang w:val="en-GB"/>
              </w:rPr>
              <w:t>Zooplankton</w:t>
            </w:r>
            <w:r w:rsidR="006915FB">
              <w:rPr>
                <w:sz w:val="16"/>
                <w:szCs w:val="16"/>
                <w:lang w:val="en-GB"/>
              </w:rPr>
              <w:t xml:space="preserve"> is</w:t>
            </w:r>
            <w:r w:rsidR="0002320A" w:rsidRPr="00A03024">
              <w:rPr>
                <w:sz w:val="16"/>
                <w:szCs w:val="16"/>
                <w:lang w:val="en-GB"/>
              </w:rPr>
              <w:t xml:space="preserve"> able to ingest hydrocarbon particles and rapidly process them (Volkman </w:t>
            </w:r>
            <w:r w:rsidR="0002320A" w:rsidRPr="00A03024">
              <w:rPr>
                <w:i/>
                <w:sz w:val="16"/>
                <w:szCs w:val="16"/>
                <w:lang w:val="en-GB"/>
              </w:rPr>
              <w:t>et al</w:t>
            </w:r>
            <w:r w:rsidR="0002320A" w:rsidRPr="00A03024">
              <w:rPr>
                <w:sz w:val="16"/>
                <w:szCs w:val="16"/>
                <w:lang w:val="en-GB"/>
              </w:rPr>
              <w:t xml:space="preserve">., 1994), so if large quantities of affected prey were ingested, </w:t>
            </w:r>
            <w:r w:rsidR="00AB146A">
              <w:rPr>
                <w:sz w:val="16"/>
                <w:szCs w:val="16"/>
                <w:lang w:val="en-GB"/>
              </w:rPr>
              <w:t xml:space="preserve">it is possible sub-lethal or </w:t>
            </w:r>
            <w:r w:rsidR="0002320A" w:rsidRPr="00A03024">
              <w:rPr>
                <w:sz w:val="16"/>
                <w:szCs w:val="16"/>
                <w:lang w:val="en-GB"/>
              </w:rPr>
              <w:t>chronic toxicity impacts to pygmy blue whales may occur.</w:t>
            </w:r>
            <w:r w:rsidR="006778C8" w:rsidRPr="00A03024">
              <w:rPr>
                <w:sz w:val="16"/>
                <w:szCs w:val="16"/>
                <w:lang w:val="en-GB"/>
              </w:rPr>
              <w:t xml:space="preserve"> </w:t>
            </w:r>
          </w:p>
          <w:p w14:paraId="7078AC2B" w14:textId="616F6875" w:rsidR="006778C8" w:rsidRPr="00A03024" w:rsidRDefault="006778C8" w:rsidP="008C2ED4">
            <w:pPr>
              <w:spacing w:before="40" w:after="40"/>
              <w:rPr>
                <w:rFonts w:cs="Arial"/>
                <w:sz w:val="16"/>
                <w:szCs w:val="16"/>
                <w:lang w:eastAsia="en-US"/>
              </w:rPr>
            </w:pPr>
            <w:r w:rsidRPr="00A03024">
              <w:rPr>
                <w:sz w:val="16"/>
                <w:szCs w:val="16"/>
                <w:lang w:val="en-GB"/>
              </w:rPr>
              <w:t xml:space="preserve">Biological consequences of physical contact with </w:t>
            </w:r>
            <w:r w:rsidR="00860484" w:rsidRPr="00A03024">
              <w:rPr>
                <w:sz w:val="16"/>
                <w:szCs w:val="16"/>
                <w:lang w:val="en-GB"/>
              </w:rPr>
              <w:t xml:space="preserve">very localised areas of low concentrations of hydrocarbons </w:t>
            </w:r>
            <w:r w:rsidR="000A50EC" w:rsidRPr="00A03024">
              <w:rPr>
                <w:sz w:val="16"/>
                <w:szCs w:val="16"/>
                <w:lang w:val="en-GB"/>
              </w:rPr>
              <w:t xml:space="preserve">at the sea surface </w:t>
            </w:r>
            <w:r w:rsidR="00860484" w:rsidRPr="00A03024">
              <w:rPr>
                <w:sz w:val="16"/>
                <w:szCs w:val="16"/>
                <w:lang w:val="en-GB"/>
              </w:rPr>
              <w:t>are unlikely to lead to any long-term impacts</w:t>
            </w:r>
            <w:r w:rsidR="000A50EC" w:rsidRPr="00A03024">
              <w:rPr>
                <w:sz w:val="16"/>
                <w:szCs w:val="16"/>
                <w:lang w:val="en-GB"/>
              </w:rPr>
              <w:t xml:space="preserve">, with temporary skin </w:t>
            </w:r>
            <w:r w:rsidRPr="00A03024">
              <w:rPr>
                <w:sz w:val="16"/>
                <w:szCs w:val="16"/>
                <w:lang w:val="en-GB"/>
              </w:rPr>
              <w:t xml:space="preserve">irritation </w:t>
            </w:r>
            <w:r w:rsidR="00AF7E43" w:rsidRPr="00A03024">
              <w:rPr>
                <w:sz w:val="16"/>
                <w:szCs w:val="16"/>
                <w:lang w:val="en-GB"/>
              </w:rPr>
              <w:t>and very light fouling</w:t>
            </w:r>
            <w:r w:rsidR="00837EDD" w:rsidRPr="00A03024">
              <w:rPr>
                <w:sz w:val="16"/>
                <w:szCs w:val="16"/>
                <w:lang w:val="en-GB"/>
              </w:rPr>
              <w:t>/matting</w:t>
            </w:r>
            <w:r w:rsidR="00AF7E43" w:rsidRPr="00A03024">
              <w:rPr>
                <w:sz w:val="16"/>
                <w:szCs w:val="16"/>
                <w:lang w:val="en-GB"/>
              </w:rPr>
              <w:t xml:space="preserve"> of baleen plates </w:t>
            </w:r>
            <w:r w:rsidR="000A50EC" w:rsidRPr="00A03024">
              <w:rPr>
                <w:sz w:val="16"/>
                <w:szCs w:val="16"/>
                <w:lang w:val="en-GB"/>
              </w:rPr>
              <w:t xml:space="preserve">likely to </w:t>
            </w:r>
            <w:r w:rsidR="00AF7E43" w:rsidRPr="00A03024">
              <w:rPr>
                <w:sz w:val="16"/>
                <w:szCs w:val="16"/>
                <w:lang w:val="en-GB"/>
              </w:rPr>
              <w:t>occur (</w:t>
            </w:r>
            <w:r w:rsidR="008F2CDC" w:rsidRPr="00A03024">
              <w:rPr>
                <w:sz w:val="16"/>
                <w:szCs w:val="16"/>
                <w:lang w:val="en-GB"/>
              </w:rPr>
              <w:t xml:space="preserve">it is unknown whether </w:t>
            </w:r>
            <w:r w:rsidR="00AF7E43" w:rsidRPr="00A03024">
              <w:rPr>
                <w:sz w:val="16"/>
                <w:szCs w:val="16"/>
                <w:lang w:val="en-GB"/>
              </w:rPr>
              <w:t xml:space="preserve">the latter </w:t>
            </w:r>
            <w:r w:rsidR="008F2CDC" w:rsidRPr="00A03024">
              <w:rPr>
                <w:sz w:val="16"/>
                <w:szCs w:val="16"/>
                <w:lang w:val="en-GB"/>
              </w:rPr>
              <w:t xml:space="preserve">would </w:t>
            </w:r>
            <w:r w:rsidR="00AF7E43" w:rsidRPr="00A03024">
              <w:rPr>
                <w:sz w:val="16"/>
                <w:szCs w:val="16"/>
                <w:lang w:val="en-GB"/>
              </w:rPr>
              <w:t>affect feeding ability)</w:t>
            </w:r>
            <w:r w:rsidR="000A50EC" w:rsidRPr="00A03024">
              <w:rPr>
                <w:sz w:val="16"/>
                <w:szCs w:val="16"/>
                <w:lang w:val="en-GB"/>
              </w:rPr>
              <w:t xml:space="preserve">. Population level effects on </w:t>
            </w:r>
            <w:r w:rsidR="00633F8C" w:rsidRPr="00A03024">
              <w:rPr>
                <w:sz w:val="16"/>
                <w:szCs w:val="16"/>
                <w:lang w:val="en-GB"/>
              </w:rPr>
              <w:t xml:space="preserve">the pygmy blue </w:t>
            </w:r>
            <w:r w:rsidR="000A50EC" w:rsidRPr="00A03024">
              <w:rPr>
                <w:sz w:val="16"/>
                <w:szCs w:val="16"/>
                <w:lang w:val="en-GB"/>
              </w:rPr>
              <w:t xml:space="preserve">whale </w:t>
            </w:r>
            <w:r w:rsidR="00633F8C" w:rsidRPr="00A03024">
              <w:rPr>
                <w:sz w:val="16"/>
                <w:szCs w:val="16"/>
                <w:lang w:val="en-GB"/>
              </w:rPr>
              <w:t xml:space="preserve">(or any other cetaceans species present) </w:t>
            </w:r>
            <w:r w:rsidR="001C42DA">
              <w:rPr>
                <w:sz w:val="16"/>
                <w:szCs w:val="16"/>
                <w:lang w:val="en-GB"/>
              </w:rPr>
              <w:t>are considered unlikely (</w:t>
            </w:r>
            <w:r w:rsidR="008C2ED4">
              <w:rPr>
                <w:sz w:val="16"/>
                <w:szCs w:val="16"/>
                <w:lang w:val="en-GB"/>
              </w:rPr>
              <w:t>negligible</w:t>
            </w:r>
            <w:r w:rsidR="001C42DA">
              <w:rPr>
                <w:sz w:val="16"/>
                <w:szCs w:val="16"/>
                <w:lang w:val="en-GB"/>
              </w:rPr>
              <w:t xml:space="preserve"> consequence)</w:t>
            </w:r>
          </w:p>
        </w:tc>
        <w:tc>
          <w:tcPr>
            <w:tcW w:w="5245" w:type="dxa"/>
            <w:shd w:val="clear" w:color="auto" w:fill="auto"/>
          </w:tcPr>
          <w:p w14:paraId="2FCA2480" w14:textId="77777777" w:rsidR="00A92BA3" w:rsidRPr="00A03024" w:rsidRDefault="006778C8" w:rsidP="00A03024">
            <w:pPr>
              <w:spacing w:before="40" w:after="40"/>
              <w:rPr>
                <w:sz w:val="16"/>
                <w:szCs w:val="16"/>
                <w:lang w:val="en-GB"/>
              </w:rPr>
            </w:pPr>
            <w:r w:rsidRPr="00A03024">
              <w:rPr>
                <w:sz w:val="16"/>
                <w:szCs w:val="16"/>
                <w:lang w:val="en-GB"/>
              </w:rPr>
              <w:t xml:space="preserve">The </w:t>
            </w:r>
            <w:r w:rsidR="009B5B91" w:rsidRPr="00A03024">
              <w:rPr>
                <w:sz w:val="16"/>
                <w:szCs w:val="16"/>
                <w:lang w:val="en-GB"/>
              </w:rPr>
              <w:t>zones of potential dissolved and entrained hydrocarbons for the pipeline rupture and well failure scenarios are highly localised</w:t>
            </w:r>
            <w:r w:rsidR="00AD4D60" w:rsidRPr="00A03024">
              <w:rPr>
                <w:sz w:val="16"/>
                <w:szCs w:val="16"/>
                <w:lang w:val="en-GB"/>
              </w:rPr>
              <w:t xml:space="preserve">. </w:t>
            </w:r>
          </w:p>
          <w:p w14:paraId="7E15B378" w14:textId="77777777" w:rsidR="00AB146A" w:rsidRDefault="00AD4D60" w:rsidP="008C2ED4">
            <w:pPr>
              <w:spacing w:before="40" w:after="40"/>
              <w:rPr>
                <w:sz w:val="16"/>
                <w:szCs w:val="16"/>
                <w:lang w:val="en-GB"/>
              </w:rPr>
            </w:pPr>
            <w:r w:rsidRPr="00A03024">
              <w:rPr>
                <w:sz w:val="16"/>
                <w:szCs w:val="16"/>
                <w:lang w:val="en-GB"/>
              </w:rPr>
              <w:t>Cetaceans migrating through these zones, especially southern right whales during their predicted nearshore migration (mid-May to mid-July and September to mid-November)</w:t>
            </w:r>
            <w:r w:rsidR="00837EDD" w:rsidRPr="00A03024">
              <w:rPr>
                <w:sz w:val="16"/>
                <w:szCs w:val="16"/>
                <w:lang w:val="en-GB"/>
              </w:rPr>
              <w:t>, may ingest contaminated water</w:t>
            </w:r>
            <w:r w:rsidR="00EE1A4B" w:rsidRPr="00A03024">
              <w:rPr>
                <w:sz w:val="16"/>
                <w:szCs w:val="16"/>
                <w:lang w:val="en-GB"/>
              </w:rPr>
              <w:t xml:space="preserve"> and plankton</w:t>
            </w:r>
            <w:r w:rsidR="00837EDD" w:rsidRPr="00A03024">
              <w:rPr>
                <w:sz w:val="16"/>
                <w:szCs w:val="16"/>
                <w:lang w:val="en-GB"/>
              </w:rPr>
              <w:t>.</w:t>
            </w:r>
            <w:r w:rsidR="00A92BA3" w:rsidRPr="00A03024">
              <w:rPr>
                <w:sz w:val="16"/>
                <w:szCs w:val="16"/>
                <w:lang w:val="en-GB"/>
              </w:rPr>
              <w:t xml:space="preserve"> </w:t>
            </w:r>
          </w:p>
          <w:p w14:paraId="5BFF7117" w14:textId="1881D42C" w:rsidR="00AB146A" w:rsidRDefault="00A92BA3">
            <w:pPr>
              <w:spacing w:before="40" w:after="40"/>
              <w:rPr>
                <w:sz w:val="16"/>
                <w:szCs w:val="16"/>
                <w:lang w:val="en-GB"/>
              </w:rPr>
            </w:pPr>
            <w:r w:rsidRPr="00A03024">
              <w:rPr>
                <w:sz w:val="16"/>
                <w:szCs w:val="16"/>
                <w:lang w:val="en-GB"/>
              </w:rPr>
              <w:t xml:space="preserve">The biological consequences of physical contact with very localised areas of hydrocarbons in the water column are unlikely to lead to any long-term impacts, with temporary skin irritation being the most likely </w:t>
            </w:r>
            <w:r w:rsidR="00AB146A">
              <w:rPr>
                <w:sz w:val="16"/>
                <w:szCs w:val="16"/>
                <w:lang w:val="en-GB"/>
              </w:rPr>
              <w:t>effect</w:t>
            </w:r>
            <w:r w:rsidRPr="00A03024">
              <w:rPr>
                <w:sz w:val="16"/>
                <w:szCs w:val="16"/>
                <w:lang w:val="en-GB"/>
              </w:rPr>
              <w:t xml:space="preserve">. </w:t>
            </w:r>
          </w:p>
          <w:p w14:paraId="7F020547" w14:textId="7852646C" w:rsidR="00AB146A" w:rsidRDefault="00AB146A">
            <w:pPr>
              <w:spacing w:before="40" w:after="40"/>
              <w:rPr>
                <w:sz w:val="16"/>
                <w:szCs w:val="16"/>
                <w:lang w:val="en-GB"/>
              </w:rPr>
            </w:pPr>
            <w:r>
              <w:rPr>
                <w:sz w:val="16"/>
                <w:szCs w:val="16"/>
                <w:lang w:val="en-GB"/>
              </w:rPr>
              <w:t>For offshore releases the entrained phase (effects) levels are very low and effect-level impacts to whales would be unlikely.</w:t>
            </w:r>
          </w:p>
          <w:p w14:paraId="0BE36F5C" w14:textId="02C3939F" w:rsidR="00AB146A" w:rsidRDefault="00AB146A">
            <w:pPr>
              <w:spacing w:before="40" w:after="40"/>
              <w:rPr>
                <w:sz w:val="16"/>
                <w:szCs w:val="16"/>
                <w:lang w:val="en-GB"/>
              </w:rPr>
            </w:pPr>
            <w:r>
              <w:rPr>
                <w:sz w:val="16"/>
                <w:szCs w:val="16"/>
                <w:lang w:val="en-GB"/>
              </w:rPr>
              <w:t>For the onshore release, higher concentration exposure may be experienced during coastline migrations however this would be on a very localised basis and temporary in nature.</w:t>
            </w:r>
          </w:p>
          <w:p w14:paraId="6071ECC6" w14:textId="71A26B79" w:rsidR="006778C8" w:rsidRPr="00A03024" w:rsidRDefault="006778C8">
            <w:pPr>
              <w:spacing w:before="40" w:after="40"/>
              <w:rPr>
                <w:rFonts w:cs="Arial"/>
                <w:sz w:val="16"/>
                <w:szCs w:val="16"/>
                <w:lang w:eastAsia="en-US"/>
              </w:rPr>
            </w:pPr>
            <w:r w:rsidRPr="00A03024">
              <w:rPr>
                <w:sz w:val="16"/>
                <w:szCs w:val="16"/>
                <w:lang w:val="en-GB"/>
              </w:rPr>
              <w:t xml:space="preserve">Population level effects on </w:t>
            </w:r>
            <w:r w:rsidR="00A92BA3" w:rsidRPr="00A03024">
              <w:rPr>
                <w:sz w:val="16"/>
                <w:szCs w:val="16"/>
                <w:lang w:val="en-GB"/>
              </w:rPr>
              <w:t>migrating southern right whales (and other species that may be present)</w:t>
            </w:r>
            <w:r w:rsidRPr="00A03024">
              <w:rPr>
                <w:sz w:val="16"/>
                <w:szCs w:val="16"/>
                <w:lang w:val="en-GB"/>
              </w:rPr>
              <w:t xml:space="preserve"> are considered unlikely</w:t>
            </w:r>
            <w:r w:rsidR="001C42DA">
              <w:rPr>
                <w:sz w:val="16"/>
                <w:szCs w:val="16"/>
                <w:lang w:val="en-GB"/>
              </w:rPr>
              <w:t xml:space="preserve"> (</w:t>
            </w:r>
            <w:r w:rsidR="008C2ED4">
              <w:rPr>
                <w:sz w:val="16"/>
                <w:szCs w:val="16"/>
                <w:lang w:val="en-GB"/>
              </w:rPr>
              <w:t>negligible</w:t>
            </w:r>
            <w:r w:rsidR="001C42DA">
              <w:rPr>
                <w:sz w:val="16"/>
                <w:szCs w:val="16"/>
                <w:lang w:val="en-GB"/>
              </w:rPr>
              <w:t xml:space="preserve"> consequence)</w:t>
            </w:r>
            <w:r w:rsidRPr="00A03024">
              <w:rPr>
                <w:sz w:val="16"/>
                <w:szCs w:val="16"/>
                <w:lang w:val="en-GB"/>
              </w:rPr>
              <w:t>.</w:t>
            </w:r>
          </w:p>
        </w:tc>
        <w:tc>
          <w:tcPr>
            <w:tcW w:w="1735" w:type="dxa"/>
            <w:shd w:val="clear" w:color="auto" w:fill="auto"/>
          </w:tcPr>
          <w:p w14:paraId="0D954B37" w14:textId="570705EE" w:rsidR="006778C8" w:rsidRPr="00A03024" w:rsidRDefault="006778C8" w:rsidP="00A03024">
            <w:pPr>
              <w:pStyle w:val="BodyText"/>
              <w:spacing w:before="40" w:after="40"/>
              <w:ind w:left="0"/>
              <w:rPr>
                <w:rFonts w:cs="Arial"/>
                <w:sz w:val="16"/>
                <w:szCs w:val="16"/>
                <w:lang w:eastAsia="en-US"/>
              </w:rPr>
            </w:pPr>
            <w:r w:rsidRPr="00A03024">
              <w:rPr>
                <w:rFonts w:cs="Arial"/>
                <w:sz w:val="16"/>
                <w:szCs w:val="16"/>
                <w:lang w:eastAsia="en-US"/>
              </w:rPr>
              <w:t>Not applicable.</w:t>
            </w:r>
          </w:p>
        </w:tc>
      </w:tr>
    </w:tbl>
    <w:p w14:paraId="02FE6A28" w14:textId="77777777" w:rsidR="00BC70F0" w:rsidRDefault="00BC70F0" w:rsidP="00E1729C">
      <w:pPr>
        <w:pStyle w:val="BodyText"/>
        <w:rPr>
          <w:lang w:eastAsia="en-US"/>
        </w:rPr>
      </w:pPr>
    </w:p>
    <w:p w14:paraId="57700C95" w14:textId="34862551" w:rsidR="00EE1A4B" w:rsidRPr="006259FE" w:rsidRDefault="001C42DA" w:rsidP="00024BA3">
      <w:pPr>
        <w:pStyle w:val="Caption"/>
        <w:outlineLvl w:val="9"/>
        <w:rPr>
          <w:sz w:val="20"/>
          <w:szCs w:val="20"/>
        </w:rPr>
      </w:pPr>
      <w:bookmarkStart w:id="263" w:name="_Toc511032616"/>
      <w:r w:rsidRPr="001C42DA">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25</w:t>
      </w:r>
      <w:r w:rsidR="00103328">
        <w:rPr>
          <w:sz w:val="20"/>
          <w:szCs w:val="20"/>
        </w:rPr>
        <w:fldChar w:fldCharType="end"/>
      </w:r>
      <w:r w:rsidRPr="001C42DA">
        <w:rPr>
          <w:sz w:val="20"/>
          <w:szCs w:val="20"/>
        </w:rPr>
        <w:t>: Potential impacts of hydrocarbons on pinnipeds</w:t>
      </w:r>
      <w:bookmarkEnd w:id="263"/>
    </w:p>
    <w:tbl>
      <w:tblPr>
        <w:tblW w:w="0" w:type="auto"/>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4658"/>
        <w:gridCol w:w="4187"/>
        <w:gridCol w:w="4186"/>
      </w:tblGrid>
      <w:tr w:rsidR="00BC70F0" w:rsidRPr="0040192D" w14:paraId="1AEF4407" w14:textId="77777777" w:rsidTr="001C42DA">
        <w:tc>
          <w:tcPr>
            <w:tcW w:w="13217" w:type="dxa"/>
            <w:gridSpan w:val="3"/>
            <w:shd w:val="clear" w:color="auto" w:fill="A6A6A6"/>
          </w:tcPr>
          <w:p w14:paraId="4667E5FF" w14:textId="38D05F60" w:rsidR="00BC70F0" w:rsidRPr="0040192D" w:rsidRDefault="00BC70F0" w:rsidP="0040192D">
            <w:pPr>
              <w:pStyle w:val="BodyText"/>
              <w:spacing w:before="40" w:after="40"/>
              <w:ind w:left="0"/>
              <w:jc w:val="center"/>
              <w:rPr>
                <w:rFonts w:cs="Arial"/>
                <w:b/>
                <w:sz w:val="16"/>
                <w:szCs w:val="16"/>
                <w:lang w:eastAsia="en-US"/>
              </w:rPr>
            </w:pPr>
            <w:r w:rsidRPr="0040192D">
              <w:rPr>
                <w:rFonts w:cs="Arial"/>
                <w:b/>
                <w:sz w:val="16"/>
                <w:szCs w:val="16"/>
                <w:lang w:eastAsia="en-US"/>
              </w:rPr>
              <w:t xml:space="preserve">General sensitivity to oiling - </w:t>
            </w:r>
            <w:r w:rsidR="00683CCE" w:rsidRPr="0040192D">
              <w:rPr>
                <w:rFonts w:cs="Arial"/>
                <w:b/>
                <w:sz w:val="16"/>
                <w:szCs w:val="16"/>
                <w:lang w:eastAsia="en-US"/>
              </w:rPr>
              <w:t>pinnipeds</w:t>
            </w:r>
          </w:p>
        </w:tc>
      </w:tr>
      <w:tr w:rsidR="00BC70F0" w:rsidRPr="0040192D" w14:paraId="006617F3" w14:textId="77777777" w:rsidTr="001C42DA">
        <w:tc>
          <w:tcPr>
            <w:tcW w:w="13217" w:type="dxa"/>
            <w:gridSpan w:val="3"/>
            <w:shd w:val="clear" w:color="auto" w:fill="auto"/>
          </w:tcPr>
          <w:p w14:paraId="4536195B" w14:textId="77777777" w:rsidR="00CE77E2" w:rsidRPr="00CE77E2" w:rsidRDefault="00CE77E2" w:rsidP="0040192D">
            <w:pPr>
              <w:spacing w:before="40" w:after="40"/>
              <w:rPr>
                <w:rFonts w:ascii="ArialMT" w:eastAsia="Calibri" w:hAnsi="ArialMT" w:cs="ArialMT"/>
                <w:kern w:val="0"/>
                <w:sz w:val="16"/>
                <w:szCs w:val="16"/>
                <w:u w:val="single"/>
                <w:lang w:eastAsia="en-US"/>
              </w:rPr>
            </w:pPr>
            <w:r w:rsidRPr="00CE77E2">
              <w:rPr>
                <w:rFonts w:ascii="ArialMT" w:eastAsia="Calibri" w:hAnsi="ArialMT" w:cs="ArialMT"/>
                <w:kern w:val="0"/>
                <w:sz w:val="16"/>
                <w:szCs w:val="16"/>
                <w:u w:val="single"/>
                <w:lang w:eastAsia="en-US"/>
              </w:rPr>
              <w:t>Sea surface oil</w:t>
            </w:r>
          </w:p>
          <w:p w14:paraId="796DC2D3"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Pinnipeds are vulnerable to sea surface exposures given they spend much of their time on or near the surface of the water. Pinnipeds are also sensitive as they will stay near</w:t>
            </w:r>
          </w:p>
          <w:p w14:paraId="02D81D48"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established colonies and haul-out areas and are less likely to practice avoidance behaviours. Exposure to surface oil can result in skin and eye irritations and disruptions to thermal</w:t>
            </w:r>
          </w:p>
          <w:p w14:paraId="37E7F3C0"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regulation.</w:t>
            </w:r>
          </w:p>
          <w:p w14:paraId="587EE71D"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As a result of exposure to surface oils, pinnipeds, with their relatively large, protruding, eyes are particularly vulnerable to effects such as irritation to mucous membranes and the oral</w:t>
            </w:r>
          </w:p>
          <w:p w14:paraId="177536A1"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cavity, respiratory surfaces, and anal and urogenital orifices. Hook et al (2016) reports that seals appear not to be very sensitive to contact with oil, but instead to toxic impact from</w:t>
            </w:r>
          </w:p>
          <w:p w14:paraId="06BD71F8"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the inhalation of volatile components.</w:t>
            </w:r>
          </w:p>
          <w:p w14:paraId="2CC9E267"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For some pinnipeds, fur is an effective thermal barrier because it traps air and repels water. Petroleum stuck to fur reduces its insulation value by removing natural waterproofing oils.</w:t>
            </w:r>
          </w:p>
          <w:p w14:paraId="57FF62CE"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The rate of heat transfer through fur seal pelts can double after oiling (Geraci &amp; St. Aubin, 1988). Fur-seals are particularly vulnerable due to the likelihood of oil adhering to fur. Heavy</w:t>
            </w:r>
          </w:p>
          <w:p w14:paraId="7B7E6D6C"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oil coating and tar deposits on fur-seals may result in reduced swimming ability and lack of mobility out of the water.</w:t>
            </w:r>
          </w:p>
          <w:p w14:paraId="3C38BA5A" w14:textId="77777777" w:rsidR="00CE77E2" w:rsidRPr="00CE77E2" w:rsidRDefault="00CE77E2" w:rsidP="00CE77E2">
            <w:pPr>
              <w:autoSpaceDE w:val="0"/>
              <w:autoSpaceDN w:val="0"/>
              <w:adjustRightInd w:val="0"/>
              <w:spacing w:after="0"/>
              <w:outlineLvl w:val="9"/>
              <w:rPr>
                <w:rFonts w:ascii="ArialMT" w:eastAsia="Calibri" w:hAnsi="ArialMT" w:cs="ArialMT"/>
                <w:kern w:val="0"/>
                <w:sz w:val="16"/>
                <w:szCs w:val="16"/>
                <w:u w:val="single"/>
                <w:lang w:eastAsia="en-US"/>
              </w:rPr>
            </w:pPr>
            <w:r w:rsidRPr="00CE77E2">
              <w:rPr>
                <w:rFonts w:ascii="ArialMT" w:eastAsia="Calibri" w:hAnsi="ArialMT" w:cs="ArialMT"/>
                <w:kern w:val="0"/>
                <w:sz w:val="16"/>
                <w:szCs w:val="16"/>
                <w:u w:val="single"/>
                <w:lang w:eastAsia="en-US"/>
              </w:rPr>
              <w:t>In-water oil</w:t>
            </w:r>
          </w:p>
          <w:p w14:paraId="6751DABF"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Ingested hydrocarbons can irritate or destroy epithelial cells that line the stomach and intestine, thereby affecting motility, digestion and absorption. However, pinnipeds have been</w:t>
            </w:r>
          </w:p>
          <w:p w14:paraId="4A41B93D"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 xml:space="preserve">found to have the enzyme systems necessary to convert absorbed hydrocarbons into polar metabolites, which can be excreted in urine (Engelhardt, 1982; Addison </w:t>
            </w:r>
            <w:r>
              <w:rPr>
                <w:rFonts w:ascii="Arial-ItalicMT" w:eastAsia="Calibri" w:hAnsi="Arial-ItalicMT" w:cs="Arial-ItalicMT"/>
                <w:i/>
                <w:iCs/>
                <w:kern w:val="0"/>
                <w:sz w:val="16"/>
                <w:szCs w:val="16"/>
                <w:lang w:eastAsia="en-US"/>
              </w:rPr>
              <w:t>et al</w:t>
            </w:r>
            <w:r>
              <w:rPr>
                <w:rFonts w:ascii="ArialMT" w:eastAsia="Calibri" w:hAnsi="ArialMT" w:cs="ArialMT"/>
                <w:kern w:val="0"/>
                <w:sz w:val="16"/>
                <w:szCs w:val="16"/>
                <w:lang w:eastAsia="en-US"/>
              </w:rPr>
              <w:t>., 1986).</w:t>
            </w:r>
          </w:p>
          <w:p w14:paraId="0E8328F8" w14:textId="520AD1CB"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Volkman et al (1994) report that benzene and naphthalene ingested by seals is quickly absorbed into the blood through the gut, causing acute stress, with damage to the liver likely. If ingested in large volumes, hydrocarbons may not be completely metabolised, which may result in death.</w:t>
            </w:r>
          </w:p>
          <w:p w14:paraId="58C779A6" w14:textId="7AE72DE8"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u</w:t>
            </w:r>
          </w:p>
          <w:p w14:paraId="7792C10C"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Breeding colonies used to birth and nurse until pups are weaned are particularly sensitive to hydrocarbon spills (Higgins &amp; Gass, 1993). Pinnipeds are further at risk because of their</w:t>
            </w:r>
          </w:p>
          <w:p w14:paraId="5404F134"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tendency to stay near established colonies and haul out areas and unlikely to practice oil avoidance behaviours. It is reported that most pinnipeds scratch themselves vigorously with</w:t>
            </w:r>
          </w:p>
          <w:p w14:paraId="5CA63DDE"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their flippers and do not lick or groom themselves, so are less likely to ingest oil from skin surfaces (Geraci &amp; St. Aubin, 1988). However, mothers trying to clean an oiled pup may</w:t>
            </w:r>
          </w:p>
          <w:p w14:paraId="70A04FA7"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lastRenderedPageBreak/>
              <w:t xml:space="preserve">ingest oil. The </w:t>
            </w:r>
            <w:r>
              <w:rPr>
                <w:rFonts w:ascii="Arial-ItalicMT" w:eastAsia="Calibri" w:hAnsi="Arial-ItalicMT" w:cs="Arial-ItalicMT"/>
                <w:i/>
                <w:iCs/>
                <w:kern w:val="0"/>
                <w:sz w:val="16"/>
                <w:szCs w:val="16"/>
                <w:lang w:eastAsia="en-US"/>
              </w:rPr>
              <w:t xml:space="preserve">Iron Barren </w:t>
            </w:r>
            <w:r>
              <w:rPr>
                <w:rFonts w:ascii="ArialMT" w:eastAsia="Calibri" w:hAnsi="ArialMT" w:cs="ArialMT"/>
                <w:kern w:val="0"/>
                <w:sz w:val="16"/>
                <w:szCs w:val="16"/>
                <w:lang w:eastAsia="en-US"/>
              </w:rPr>
              <w:t>oil spill which released 550 tonnes of heavy fuel oil (in Tasmania, 1995) concluded a strong relationship between the productivity of the seal colonies and</w:t>
            </w:r>
          </w:p>
          <w:p w14:paraId="511CA9FC"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the proximity of the islands to the oil spill where the islands close to the spill showed reduced pup production (Tasmanian SMPC, 1999).</w:t>
            </w:r>
          </w:p>
          <w:p w14:paraId="53B20D2D"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Pinnipeds appear to rely on scent to establish a mother-pup bond (Sandegren, 1970; Fogden, 1971).Oil-coated pups may not be recognisable to their mothers. This is a theory with</w:t>
            </w:r>
          </w:p>
          <w:p w14:paraId="70B04F03"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studies and research indicating interaction between mothers and oiled pups were normal (Davis and Anderson, 1976; Shaughnessy &amp; Chapman, 1984).</w:t>
            </w:r>
          </w:p>
          <w:p w14:paraId="36D413DC" w14:textId="77777777" w:rsidR="00CE77E2" w:rsidRDefault="00CE77E2" w:rsidP="00CE77E2">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Due to the extreme philopatry of females and limited dispersal of males between breeding colonies, the removal of a few individuals annually may increase the likelihood of decline in</w:t>
            </w:r>
          </w:p>
          <w:p w14:paraId="68117298" w14:textId="010ABCD0" w:rsidR="00BC70F0" w:rsidRPr="0040192D" w:rsidRDefault="00CE77E2" w:rsidP="00CE77E2">
            <w:pPr>
              <w:spacing w:before="40" w:after="40"/>
              <w:rPr>
                <w:rFonts w:cs="Arial"/>
                <w:sz w:val="16"/>
                <w:szCs w:val="16"/>
                <w:lang w:eastAsia="en-US"/>
              </w:rPr>
            </w:pPr>
            <w:r>
              <w:rPr>
                <w:rFonts w:ascii="ArialMT" w:eastAsia="Calibri" w:hAnsi="ArialMT" w:cs="ArialMT"/>
                <w:kern w:val="0"/>
                <w:sz w:val="16"/>
                <w:szCs w:val="16"/>
                <w:lang w:eastAsia="en-US"/>
              </w:rPr>
              <w:t>some of the smaller colonies. Extinction of breeding colonies further reduces genetic diversity.</w:t>
            </w:r>
            <w:r w:rsidR="00683CCE" w:rsidRPr="0040192D">
              <w:rPr>
                <w:sz w:val="16"/>
                <w:szCs w:val="16"/>
                <w:lang w:val="en-GB"/>
              </w:rPr>
              <w:t xml:space="preserve"> </w:t>
            </w:r>
          </w:p>
        </w:tc>
      </w:tr>
      <w:tr w:rsidR="00BC70F0" w:rsidRPr="0040192D" w14:paraId="1E9D73D9" w14:textId="77777777" w:rsidTr="001C42DA">
        <w:tc>
          <w:tcPr>
            <w:tcW w:w="13217" w:type="dxa"/>
            <w:gridSpan w:val="3"/>
            <w:shd w:val="clear" w:color="auto" w:fill="D9D9D9"/>
          </w:tcPr>
          <w:p w14:paraId="67B179E0" w14:textId="77777777" w:rsidR="00BC70F0" w:rsidRPr="0040192D" w:rsidRDefault="00BC70F0" w:rsidP="0040192D">
            <w:pPr>
              <w:pStyle w:val="BodyText"/>
              <w:spacing w:before="40" w:after="40"/>
              <w:ind w:left="0"/>
              <w:jc w:val="center"/>
              <w:rPr>
                <w:rFonts w:cs="Arial"/>
                <w:b/>
                <w:sz w:val="16"/>
                <w:szCs w:val="16"/>
                <w:lang w:eastAsia="en-US"/>
              </w:rPr>
            </w:pPr>
            <w:r w:rsidRPr="0040192D">
              <w:rPr>
                <w:rFonts w:cs="Arial"/>
                <w:b/>
                <w:sz w:val="16"/>
                <w:szCs w:val="16"/>
                <w:lang w:eastAsia="en-US"/>
              </w:rPr>
              <w:lastRenderedPageBreak/>
              <w:t>Potential impacts from this project</w:t>
            </w:r>
          </w:p>
        </w:tc>
      </w:tr>
      <w:tr w:rsidR="00DC2C7B" w:rsidRPr="0040192D" w14:paraId="7CBE8E34" w14:textId="77777777" w:rsidTr="001C42DA">
        <w:tc>
          <w:tcPr>
            <w:tcW w:w="4726" w:type="dxa"/>
            <w:shd w:val="clear" w:color="auto" w:fill="F2F2F2"/>
          </w:tcPr>
          <w:p w14:paraId="19721C28" w14:textId="77777777" w:rsidR="00BC70F0" w:rsidRPr="0040192D" w:rsidRDefault="00BC70F0" w:rsidP="0040192D">
            <w:pPr>
              <w:pStyle w:val="BodyText"/>
              <w:spacing w:before="40" w:after="40"/>
              <w:ind w:left="0"/>
              <w:jc w:val="center"/>
              <w:rPr>
                <w:rFonts w:cs="Arial"/>
                <w:sz w:val="16"/>
                <w:szCs w:val="16"/>
                <w:lang w:eastAsia="en-US"/>
              </w:rPr>
            </w:pPr>
            <w:r w:rsidRPr="0040192D">
              <w:rPr>
                <w:rFonts w:cs="Arial"/>
                <w:sz w:val="16"/>
                <w:szCs w:val="16"/>
                <w:lang w:eastAsia="en-US"/>
              </w:rPr>
              <w:t>Surface oiling</w:t>
            </w:r>
          </w:p>
        </w:tc>
        <w:tc>
          <w:tcPr>
            <w:tcW w:w="4245" w:type="dxa"/>
            <w:shd w:val="clear" w:color="auto" w:fill="F2F2F2"/>
          </w:tcPr>
          <w:p w14:paraId="49AEF995" w14:textId="77777777" w:rsidR="00BC70F0" w:rsidRPr="0040192D" w:rsidRDefault="00BC70F0" w:rsidP="0040192D">
            <w:pPr>
              <w:pStyle w:val="BodyText"/>
              <w:spacing w:before="40" w:after="40"/>
              <w:ind w:left="0"/>
              <w:jc w:val="center"/>
              <w:rPr>
                <w:rFonts w:cs="Arial"/>
                <w:sz w:val="16"/>
                <w:szCs w:val="16"/>
                <w:lang w:eastAsia="en-US"/>
              </w:rPr>
            </w:pPr>
            <w:r w:rsidRPr="0040192D">
              <w:rPr>
                <w:rFonts w:cs="Arial"/>
                <w:sz w:val="16"/>
                <w:szCs w:val="16"/>
                <w:lang w:eastAsia="en-US"/>
              </w:rPr>
              <w:t>Water column</w:t>
            </w:r>
          </w:p>
        </w:tc>
        <w:tc>
          <w:tcPr>
            <w:tcW w:w="4246" w:type="dxa"/>
            <w:shd w:val="clear" w:color="auto" w:fill="F2F2F2"/>
          </w:tcPr>
          <w:p w14:paraId="58A994CE" w14:textId="77777777" w:rsidR="00BC70F0" w:rsidRPr="0040192D" w:rsidRDefault="00BC70F0" w:rsidP="0040192D">
            <w:pPr>
              <w:pStyle w:val="BodyText"/>
              <w:spacing w:before="40" w:after="40"/>
              <w:ind w:left="0"/>
              <w:jc w:val="center"/>
              <w:rPr>
                <w:rFonts w:cs="Arial"/>
                <w:sz w:val="16"/>
                <w:szCs w:val="16"/>
                <w:lang w:eastAsia="en-US"/>
              </w:rPr>
            </w:pPr>
            <w:r w:rsidRPr="0040192D">
              <w:rPr>
                <w:rFonts w:cs="Arial"/>
                <w:sz w:val="16"/>
                <w:szCs w:val="16"/>
                <w:lang w:eastAsia="en-US"/>
              </w:rPr>
              <w:t>Shoreline</w:t>
            </w:r>
          </w:p>
        </w:tc>
      </w:tr>
      <w:tr w:rsidR="00B8048A" w:rsidRPr="0040192D" w14:paraId="4F268F48" w14:textId="77777777" w:rsidTr="001C42DA">
        <w:tc>
          <w:tcPr>
            <w:tcW w:w="4726" w:type="dxa"/>
            <w:shd w:val="clear" w:color="auto" w:fill="auto"/>
          </w:tcPr>
          <w:p w14:paraId="0C612CA9" w14:textId="5AB39794" w:rsidR="00345044" w:rsidRPr="0040192D" w:rsidRDefault="00345044" w:rsidP="0040192D">
            <w:pPr>
              <w:spacing w:before="40" w:after="40"/>
              <w:rPr>
                <w:sz w:val="16"/>
                <w:szCs w:val="16"/>
                <w:lang w:val="en-GB"/>
              </w:rPr>
            </w:pPr>
            <w:r w:rsidRPr="0040192D">
              <w:rPr>
                <w:sz w:val="16"/>
                <w:szCs w:val="16"/>
                <w:lang w:val="en-GB"/>
              </w:rPr>
              <w:t>Localised parts of the foraging range for New Zealand fur</w:t>
            </w:r>
            <w:r w:rsidR="008C0225" w:rsidRPr="0040192D">
              <w:rPr>
                <w:sz w:val="16"/>
                <w:szCs w:val="16"/>
                <w:lang w:val="en-GB"/>
              </w:rPr>
              <w:t>-</w:t>
            </w:r>
            <w:r w:rsidRPr="0040192D">
              <w:rPr>
                <w:sz w:val="16"/>
                <w:szCs w:val="16"/>
                <w:lang w:val="en-GB"/>
              </w:rPr>
              <w:t>seals and Australian fur</w:t>
            </w:r>
            <w:r w:rsidR="008C0225" w:rsidRPr="0040192D">
              <w:rPr>
                <w:sz w:val="16"/>
                <w:szCs w:val="16"/>
                <w:lang w:val="en-GB"/>
              </w:rPr>
              <w:t>-</w:t>
            </w:r>
            <w:r w:rsidRPr="0040192D">
              <w:rPr>
                <w:sz w:val="16"/>
                <w:szCs w:val="16"/>
                <w:lang w:val="en-GB"/>
              </w:rPr>
              <w:t>seals may be temporarily exposed to low concentrations (1 – 10 g/m</w:t>
            </w:r>
            <w:r w:rsidRPr="0040192D">
              <w:rPr>
                <w:sz w:val="16"/>
                <w:szCs w:val="16"/>
                <w:vertAlign w:val="superscript"/>
                <w:lang w:val="en-GB"/>
              </w:rPr>
              <w:t>2</w:t>
            </w:r>
            <w:r w:rsidRPr="0040192D">
              <w:rPr>
                <w:sz w:val="16"/>
                <w:szCs w:val="16"/>
                <w:lang w:val="en-GB"/>
              </w:rPr>
              <w:t>) of hydrocarbon at the sea surface (silvery sheen up to metallic appearance).</w:t>
            </w:r>
          </w:p>
          <w:p w14:paraId="55B6D40C" w14:textId="7813FF19" w:rsidR="002067EE" w:rsidRPr="0040192D" w:rsidRDefault="002067EE" w:rsidP="0040192D">
            <w:pPr>
              <w:spacing w:before="40" w:after="40"/>
              <w:rPr>
                <w:sz w:val="16"/>
                <w:szCs w:val="16"/>
                <w:lang w:val="en-GB"/>
              </w:rPr>
            </w:pPr>
            <w:r w:rsidRPr="0040192D">
              <w:rPr>
                <w:sz w:val="16"/>
                <w:szCs w:val="16"/>
                <w:lang w:val="en-GB"/>
              </w:rPr>
              <w:t>Exposure may result in irritation to mucous membranes that surround the eyes and line the oral cavity, respiratory surfaces, and anal and urogenital orifices. The extent that this results in permanent injury or mortality is unknown, but given the absence of breeding colonies and haul-out sites within the EMBA, injuries and mortality are unlikely</w:t>
            </w:r>
            <w:r w:rsidR="0040192D">
              <w:rPr>
                <w:sz w:val="16"/>
                <w:szCs w:val="16"/>
                <w:lang w:val="en-GB"/>
              </w:rPr>
              <w:t xml:space="preserve"> (negligible consequence)</w:t>
            </w:r>
            <w:r w:rsidRPr="0040192D">
              <w:rPr>
                <w:sz w:val="16"/>
                <w:szCs w:val="16"/>
                <w:lang w:val="en-GB"/>
              </w:rPr>
              <w:t xml:space="preserve">. </w:t>
            </w:r>
          </w:p>
          <w:p w14:paraId="49A2FA17" w14:textId="77E8E918" w:rsidR="002067EE" w:rsidRPr="0040192D" w:rsidRDefault="002067EE" w:rsidP="0040192D">
            <w:pPr>
              <w:spacing w:before="40" w:after="40"/>
              <w:rPr>
                <w:rFonts w:cs="Arial"/>
                <w:sz w:val="16"/>
                <w:szCs w:val="16"/>
                <w:lang w:eastAsia="en-US"/>
              </w:rPr>
            </w:pPr>
          </w:p>
          <w:p w14:paraId="35626C42" w14:textId="3472FA5E" w:rsidR="00B8048A" w:rsidRPr="0040192D" w:rsidRDefault="00B8048A" w:rsidP="0040192D">
            <w:pPr>
              <w:pStyle w:val="BodyText"/>
              <w:spacing w:before="40" w:after="40"/>
              <w:ind w:left="0"/>
              <w:rPr>
                <w:rFonts w:cs="Arial"/>
                <w:sz w:val="16"/>
                <w:szCs w:val="16"/>
                <w:highlight w:val="yellow"/>
                <w:lang w:eastAsia="en-US"/>
              </w:rPr>
            </w:pPr>
          </w:p>
        </w:tc>
        <w:tc>
          <w:tcPr>
            <w:tcW w:w="4245" w:type="dxa"/>
            <w:shd w:val="clear" w:color="auto" w:fill="auto"/>
          </w:tcPr>
          <w:p w14:paraId="30FA225C" w14:textId="19C58C6F" w:rsidR="00B8048A" w:rsidRPr="0040192D" w:rsidRDefault="00AB146A" w:rsidP="0040192D">
            <w:pPr>
              <w:spacing w:before="40" w:after="40"/>
              <w:rPr>
                <w:sz w:val="16"/>
                <w:szCs w:val="16"/>
                <w:lang w:val="en-GB"/>
              </w:rPr>
            </w:pPr>
            <w:r>
              <w:rPr>
                <w:sz w:val="16"/>
                <w:szCs w:val="16"/>
                <w:lang w:val="en-GB"/>
              </w:rPr>
              <w:t>Fur-seals tend to forage in deeper waters of the CHN asset area. In these offshore areas, l</w:t>
            </w:r>
            <w:r w:rsidR="006670AE" w:rsidRPr="0040192D">
              <w:rPr>
                <w:sz w:val="16"/>
                <w:szCs w:val="16"/>
                <w:lang w:val="en-GB"/>
              </w:rPr>
              <w:t>ocalised</w:t>
            </w:r>
            <w:r w:rsidR="00AD5349" w:rsidRPr="0040192D">
              <w:rPr>
                <w:sz w:val="16"/>
                <w:szCs w:val="16"/>
                <w:lang w:val="en-GB"/>
              </w:rPr>
              <w:t xml:space="preserve"> parts of the foraging range for New Zealand fur</w:t>
            </w:r>
            <w:r w:rsidR="008C0225" w:rsidRPr="0040192D">
              <w:rPr>
                <w:sz w:val="16"/>
                <w:szCs w:val="16"/>
                <w:lang w:val="en-GB"/>
              </w:rPr>
              <w:t>-</w:t>
            </w:r>
            <w:r w:rsidR="00AD5349" w:rsidRPr="0040192D">
              <w:rPr>
                <w:sz w:val="16"/>
                <w:szCs w:val="16"/>
                <w:lang w:val="en-GB"/>
              </w:rPr>
              <w:t>seals and Australian fur</w:t>
            </w:r>
            <w:r w:rsidR="008C0225" w:rsidRPr="0040192D">
              <w:rPr>
                <w:sz w:val="16"/>
                <w:szCs w:val="16"/>
                <w:lang w:val="en-GB"/>
              </w:rPr>
              <w:t>-</w:t>
            </w:r>
            <w:r w:rsidR="00AD5349" w:rsidRPr="0040192D">
              <w:rPr>
                <w:sz w:val="16"/>
                <w:szCs w:val="16"/>
                <w:lang w:val="en-GB"/>
              </w:rPr>
              <w:t xml:space="preserve">seals may be temporarily </w:t>
            </w:r>
            <w:r w:rsidR="00B8048A" w:rsidRPr="0040192D">
              <w:rPr>
                <w:sz w:val="16"/>
                <w:szCs w:val="16"/>
                <w:lang w:val="en-GB"/>
              </w:rPr>
              <w:t xml:space="preserve">exposed to </w:t>
            </w:r>
            <w:r w:rsidR="00AD5349" w:rsidRPr="0040192D">
              <w:rPr>
                <w:sz w:val="16"/>
                <w:szCs w:val="16"/>
                <w:lang w:val="en-GB"/>
              </w:rPr>
              <w:t xml:space="preserve">low </w:t>
            </w:r>
            <w:r>
              <w:rPr>
                <w:sz w:val="16"/>
                <w:szCs w:val="16"/>
                <w:lang w:val="en-GB"/>
              </w:rPr>
              <w:t xml:space="preserve">(effects level) </w:t>
            </w:r>
            <w:r w:rsidR="00B8048A" w:rsidRPr="0040192D">
              <w:rPr>
                <w:sz w:val="16"/>
                <w:szCs w:val="16"/>
                <w:lang w:val="en-GB"/>
              </w:rPr>
              <w:t>concentrations of hydrocarbon in the water column.</w:t>
            </w:r>
          </w:p>
          <w:p w14:paraId="0F1BC3E9" w14:textId="4AA946C8" w:rsidR="00B8048A" w:rsidRDefault="006670AE">
            <w:pPr>
              <w:spacing w:before="40" w:after="40"/>
              <w:rPr>
                <w:sz w:val="16"/>
                <w:szCs w:val="16"/>
                <w:lang w:val="en-GB"/>
              </w:rPr>
            </w:pPr>
            <w:r w:rsidRPr="0040192D">
              <w:rPr>
                <w:sz w:val="16"/>
                <w:szCs w:val="16"/>
                <w:lang w:val="en-GB"/>
              </w:rPr>
              <w:t xml:space="preserve">Exposure to hydrocarbons in the water column or consumption of prey affected by the oil is unlikely to </w:t>
            </w:r>
            <w:r w:rsidR="00AB146A">
              <w:rPr>
                <w:sz w:val="16"/>
                <w:szCs w:val="16"/>
                <w:lang w:val="en-GB"/>
              </w:rPr>
              <w:t>occur</w:t>
            </w:r>
            <w:r w:rsidRPr="0040192D">
              <w:rPr>
                <w:sz w:val="16"/>
                <w:szCs w:val="16"/>
                <w:lang w:val="en-GB"/>
              </w:rPr>
              <w:t xml:space="preserve"> given the </w:t>
            </w:r>
            <w:r w:rsidR="000B44F7" w:rsidRPr="0040192D">
              <w:rPr>
                <w:sz w:val="16"/>
                <w:szCs w:val="16"/>
                <w:lang w:val="en-GB"/>
              </w:rPr>
              <w:t>low exposure zones</w:t>
            </w:r>
            <w:r w:rsidR="00CA2423" w:rsidRPr="0040192D">
              <w:rPr>
                <w:sz w:val="16"/>
                <w:szCs w:val="16"/>
                <w:lang w:val="en-GB"/>
              </w:rPr>
              <w:t xml:space="preserve"> and rapid loss of the volatile components of condensate in choppy and windy seas (such as that of the EMBA)</w:t>
            </w:r>
            <w:r w:rsidR="000B44F7" w:rsidRPr="0040192D">
              <w:rPr>
                <w:sz w:val="16"/>
                <w:szCs w:val="16"/>
                <w:lang w:val="en-GB"/>
              </w:rPr>
              <w:t xml:space="preserve">. </w:t>
            </w:r>
            <w:r w:rsidR="00B8048A" w:rsidRPr="0040192D">
              <w:rPr>
                <w:sz w:val="16"/>
                <w:szCs w:val="16"/>
                <w:lang w:val="en-GB"/>
              </w:rPr>
              <w:t>Impacts at the population level are not considered likely</w:t>
            </w:r>
            <w:r w:rsidR="0040192D">
              <w:rPr>
                <w:sz w:val="16"/>
                <w:szCs w:val="16"/>
                <w:lang w:val="en-GB"/>
              </w:rPr>
              <w:t xml:space="preserve"> (negligible consequence)</w:t>
            </w:r>
            <w:r w:rsidR="00B8048A" w:rsidRPr="0040192D">
              <w:rPr>
                <w:sz w:val="16"/>
                <w:szCs w:val="16"/>
                <w:lang w:val="en-GB"/>
              </w:rPr>
              <w:t>.</w:t>
            </w:r>
          </w:p>
          <w:p w14:paraId="1BDFF420" w14:textId="3CC40FEC" w:rsidR="00AB146A" w:rsidRPr="0040192D" w:rsidRDefault="00AB146A">
            <w:pPr>
              <w:spacing w:before="40" w:after="40"/>
              <w:rPr>
                <w:rFonts w:cs="Arial"/>
                <w:sz w:val="16"/>
                <w:szCs w:val="16"/>
                <w:highlight w:val="yellow"/>
                <w:lang w:eastAsia="en-US"/>
              </w:rPr>
            </w:pPr>
            <w:r>
              <w:rPr>
                <w:sz w:val="16"/>
                <w:szCs w:val="16"/>
                <w:lang w:val="en-GB"/>
              </w:rPr>
              <w:t>Water quality at the only seal haul-out site in the EMBA (Moonlight Head/Cape Volney) is predicted to be low level (effects level) entrained hydrocarbons. These levels of hydrocarbon are not expected to significantly impact the species.</w:t>
            </w:r>
          </w:p>
        </w:tc>
        <w:tc>
          <w:tcPr>
            <w:tcW w:w="4246" w:type="dxa"/>
            <w:shd w:val="clear" w:color="auto" w:fill="auto"/>
          </w:tcPr>
          <w:p w14:paraId="494101AB" w14:textId="77777777" w:rsidR="00AB146A" w:rsidRDefault="006B4CC0" w:rsidP="0040192D">
            <w:pPr>
              <w:spacing w:before="40" w:after="40"/>
              <w:rPr>
                <w:sz w:val="16"/>
                <w:szCs w:val="16"/>
                <w:lang w:val="en-GB"/>
              </w:rPr>
            </w:pPr>
            <w:r w:rsidRPr="0040192D">
              <w:rPr>
                <w:sz w:val="16"/>
                <w:szCs w:val="16"/>
                <w:lang w:val="en-GB"/>
              </w:rPr>
              <w:t>Small colonies of New Zealand fur</w:t>
            </w:r>
            <w:r w:rsidR="00CA2423" w:rsidRPr="0040192D">
              <w:rPr>
                <w:sz w:val="16"/>
                <w:szCs w:val="16"/>
                <w:lang w:val="en-GB"/>
              </w:rPr>
              <w:t>-</w:t>
            </w:r>
            <w:r w:rsidRPr="0040192D">
              <w:rPr>
                <w:sz w:val="16"/>
                <w:szCs w:val="16"/>
                <w:lang w:val="en-GB"/>
              </w:rPr>
              <w:t>seals and Australian fur</w:t>
            </w:r>
            <w:r w:rsidR="00CA2423" w:rsidRPr="0040192D">
              <w:rPr>
                <w:sz w:val="16"/>
                <w:szCs w:val="16"/>
                <w:lang w:val="en-GB"/>
              </w:rPr>
              <w:t>-</w:t>
            </w:r>
            <w:r w:rsidRPr="0040192D">
              <w:rPr>
                <w:sz w:val="16"/>
                <w:szCs w:val="16"/>
                <w:lang w:val="en-GB"/>
              </w:rPr>
              <w:t>seals occur at Lady Julia Percy Island</w:t>
            </w:r>
            <w:r w:rsidR="00CA2423" w:rsidRPr="0040192D">
              <w:rPr>
                <w:sz w:val="16"/>
                <w:szCs w:val="16"/>
                <w:lang w:val="en-GB"/>
              </w:rPr>
              <w:t>, outside of the EMBA</w:t>
            </w:r>
            <w:r w:rsidR="00AB146A">
              <w:rPr>
                <w:sz w:val="16"/>
                <w:szCs w:val="16"/>
                <w:lang w:val="en-GB"/>
              </w:rPr>
              <w:t xml:space="preserve"> and at Moonlight Head/Cape Volney which is located in the entrained phase EMBA</w:t>
            </w:r>
            <w:r w:rsidR="003B47D0" w:rsidRPr="0040192D">
              <w:rPr>
                <w:sz w:val="16"/>
                <w:szCs w:val="16"/>
                <w:lang w:val="en-GB"/>
              </w:rPr>
              <w:t xml:space="preserve">. </w:t>
            </w:r>
          </w:p>
          <w:p w14:paraId="5DA1E49D" w14:textId="3F8B0161" w:rsidR="00CC5B6B" w:rsidRDefault="003B47D0" w:rsidP="0040192D">
            <w:pPr>
              <w:spacing w:before="40" w:after="40"/>
              <w:rPr>
                <w:sz w:val="16"/>
                <w:szCs w:val="16"/>
                <w:lang w:val="en-GB"/>
              </w:rPr>
            </w:pPr>
            <w:r w:rsidRPr="0040192D">
              <w:rPr>
                <w:sz w:val="16"/>
                <w:szCs w:val="16"/>
                <w:lang w:val="en-GB"/>
              </w:rPr>
              <w:t>The OSTM indicates that shoreline stranding of hydrocarbons at th</w:t>
            </w:r>
            <w:r w:rsidR="00AB146A">
              <w:rPr>
                <w:sz w:val="16"/>
                <w:szCs w:val="16"/>
                <w:lang w:val="en-GB"/>
              </w:rPr>
              <w:t>ese</w:t>
            </w:r>
            <w:r w:rsidRPr="0040192D">
              <w:rPr>
                <w:sz w:val="16"/>
                <w:szCs w:val="16"/>
                <w:lang w:val="en-GB"/>
              </w:rPr>
              <w:t xml:space="preserve"> location</w:t>
            </w:r>
            <w:r w:rsidR="00AB146A">
              <w:rPr>
                <w:sz w:val="16"/>
                <w:szCs w:val="16"/>
                <w:lang w:val="en-GB"/>
              </w:rPr>
              <w:t>s is not predicted</w:t>
            </w:r>
            <w:r w:rsidR="00CC5B6B" w:rsidRPr="0040192D">
              <w:rPr>
                <w:sz w:val="16"/>
                <w:szCs w:val="16"/>
                <w:lang w:val="en-GB"/>
              </w:rPr>
              <w:t xml:space="preserve">. A small section of shoreline between Port Campbell and Peterborough </w:t>
            </w:r>
            <w:r w:rsidR="00AB146A">
              <w:rPr>
                <w:sz w:val="16"/>
                <w:szCs w:val="16"/>
                <w:lang w:val="en-GB"/>
              </w:rPr>
              <w:t xml:space="preserve">(shelly beach) </w:t>
            </w:r>
            <w:r w:rsidR="00CC5B6B" w:rsidRPr="0040192D">
              <w:rPr>
                <w:sz w:val="16"/>
                <w:szCs w:val="16"/>
                <w:lang w:val="en-GB"/>
              </w:rPr>
              <w:t xml:space="preserve">is predicted to be </w:t>
            </w:r>
            <w:r w:rsidR="00AD5349" w:rsidRPr="0040192D">
              <w:rPr>
                <w:sz w:val="16"/>
                <w:szCs w:val="16"/>
                <w:lang w:val="en-GB"/>
              </w:rPr>
              <w:t xml:space="preserve">contacted by </w:t>
            </w:r>
            <w:r w:rsidR="00AB146A">
              <w:rPr>
                <w:sz w:val="16"/>
                <w:szCs w:val="16"/>
                <w:lang w:val="en-GB"/>
              </w:rPr>
              <w:t xml:space="preserve">condensate residues above 100 g/m2 from a HDD </w:t>
            </w:r>
            <w:r w:rsidR="00E45B20">
              <w:rPr>
                <w:sz w:val="16"/>
                <w:szCs w:val="16"/>
                <w:lang w:val="en-GB"/>
              </w:rPr>
              <w:t xml:space="preserve">pipeline rupture </w:t>
            </w:r>
            <w:r w:rsidR="00AB146A">
              <w:rPr>
                <w:sz w:val="16"/>
                <w:szCs w:val="16"/>
                <w:lang w:val="en-GB"/>
              </w:rPr>
              <w:t xml:space="preserve">however </w:t>
            </w:r>
            <w:r w:rsidR="00AD5349" w:rsidRPr="0040192D">
              <w:rPr>
                <w:sz w:val="16"/>
                <w:szCs w:val="16"/>
                <w:lang w:val="en-GB"/>
              </w:rPr>
              <w:t xml:space="preserve">OSRA mapping indicates there are no </w:t>
            </w:r>
            <w:r w:rsidR="00CA2423" w:rsidRPr="0040192D">
              <w:rPr>
                <w:sz w:val="16"/>
                <w:szCs w:val="16"/>
                <w:lang w:val="en-GB"/>
              </w:rPr>
              <w:t>fur-seal</w:t>
            </w:r>
            <w:r w:rsidR="00AD5349" w:rsidRPr="0040192D">
              <w:rPr>
                <w:sz w:val="16"/>
                <w:szCs w:val="16"/>
                <w:lang w:val="en-GB"/>
              </w:rPr>
              <w:t xml:space="preserve"> colonies or haul-out locations </w:t>
            </w:r>
            <w:r w:rsidR="00CA2423" w:rsidRPr="0040192D">
              <w:rPr>
                <w:sz w:val="16"/>
                <w:szCs w:val="16"/>
                <w:lang w:val="en-GB"/>
              </w:rPr>
              <w:t>along this stretch of coastline</w:t>
            </w:r>
            <w:r w:rsidRPr="0040192D">
              <w:rPr>
                <w:sz w:val="16"/>
                <w:szCs w:val="16"/>
                <w:lang w:val="en-GB"/>
              </w:rPr>
              <w:t xml:space="preserve">. </w:t>
            </w:r>
          </w:p>
          <w:p w14:paraId="79A5226C" w14:textId="266B1DA2" w:rsidR="00B8048A" w:rsidRPr="0040192D" w:rsidRDefault="00C22C01">
            <w:pPr>
              <w:spacing w:before="40" w:after="40"/>
              <w:rPr>
                <w:rFonts w:cs="Arial"/>
                <w:sz w:val="16"/>
                <w:szCs w:val="16"/>
                <w:lang w:eastAsia="en-US"/>
              </w:rPr>
            </w:pPr>
            <w:r>
              <w:rPr>
                <w:sz w:val="16"/>
                <w:szCs w:val="16"/>
                <w:lang w:val="en-GB"/>
              </w:rPr>
              <w:t>No impacts from shoreline hydrocarbon residues are expected.</w:t>
            </w:r>
          </w:p>
        </w:tc>
      </w:tr>
    </w:tbl>
    <w:p w14:paraId="4EB9F244" w14:textId="77777777" w:rsidR="0040192D" w:rsidRDefault="0040192D" w:rsidP="00A9166C">
      <w:pPr>
        <w:pStyle w:val="BodyText"/>
        <w:ind w:left="0"/>
      </w:pPr>
    </w:p>
    <w:p w14:paraId="381A7AE1" w14:textId="07877E0D" w:rsidR="00CA2423" w:rsidRDefault="0040192D" w:rsidP="00B86A7D">
      <w:pPr>
        <w:pStyle w:val="Caption"/>
        <w:outlineLvl w:val="9"/>
      </w:pPr>
      <w:bookmarkStart w:id="264" w:name="_Toc511032617"/>
      <w:r w:rsidRPr="0040192D">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26</w:t>
      </w:r>
      <w:r w:rsidR="00103328">
        <w:rPr>
          <w:sz w:val="20"/>
          <w:szCs w:val="20"/>
        </w:rPr>
        <w:fldChar w:fldCharType="end"/>
      </w:r>
      <w:r w:rsidRPr="0040192D">
        <w:rPr>
          <w:sz w:val="20"/>
          <w:szCs w:val="20"/>
        </w:rPr>
        <w:t>: Potential impacts of hydrocarbons on marine reptiles</w:t>
      </w:r>
      <w:bookmarkEnd w:id="264"/>
    </w:p>
    <w:tbl>
      <w:tblPr>
        <w:tblW w:w="0" w:type="auto"/>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5448"/>
        <w:gridCol w:w="5308"/>
        <w:gridCol w:w="2275"/>
      </w:tblGrid>
      <w:tr w:rsidR="00B8048A" w:rsidRPr="0040192D" w14:paraId="68328787" w14:textId="77777777" w:rsidTr="0040192D">
        <w:tc>
          <w:tcPr>
            <w:tcW w:w="13217" w:type="dxa"/>
            <w:gridSpan w:val="3"/>
            <w:shd w:val="clear" w:color="auto" w:fill="A6A6A6"/>
          </w:tcPr>
          <w:p w14:paraId="5C5C9E52" w14:textId="161BD949" w:rsidR="00B8048A" w:rsidRPr="0040192D" w:rsidRDefault="00B8048A" w:rsidP="0040192D">
            <w:pPr>
              <w:pStyle w:val="BodyText"/>
              <w:spacing w:before="40" w:after="40"/>
              <w:ind w:left="0"/>
              <w:jc w:val="center"/>
              <w:rPr>
                <w:rFonts w:cs="Arial"/>
                <w:b/>
                <w:sz w:val="16"/>
                <w:szCs w:val="16"/>
                <w:lang w:eastAsia="en-US"/>
              </w:rPr>
            </w:pPr>
            <w:r w:rsidRPr="0040192D">
              <w:rPr>
                <w:rFonts w:cs="Arial"/>
                <w:b/>
                <w:sz w:val="16"/>
                <w:szCs w:val="16"/>
                <w:lang w:eastAsia="en-US"/>
              </w:rPr>
              <w:t>General sensitivity to oiling – marine reptiles</w:t>
            </w:r>
          </w:p>
        </w:tc>
      </w:tr>
      <w:tr w:rsidR="00B8048A" w:rsidRPr="0040192D" w14:paraId="7458BD95" w14:textId="77777777" w:rsidTr="0040192D">
        <w:tc>
          <w:tcPr>
            <w:tcW w:w="13217" w:type="dxa"/>
            <w:gridSpan w:val="3"/>
            <w:shd w:val="clear" w:color="auto" w:fill="auto"/>
          </w:tcPr>
          <w:p w14:paraId="30A4A6FB"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 xml:space="preserve">Marine reptiles can be exposed to hydrocarbon through ingestion of contaminated prey, inhalation or dermal exposure (Hook </w:t>
            </w:r>
            <w:r>
              <w:rPr>
                <w:rFonts w:ascii="Arial-ItalicMT" w:eastAsia="Calibri" w:hAnsi="Arial-ItalicMT" w:cs="Arial-ItalicMT"/>
                <w:i/>
                <w:iCs/>
                <w:kern w:val="0"/>
                <w:sz w:val="16"/>
                <w:szCs w:val="16"/>
                <w:lang w:eastAsia="en-US"/>
              </w:rPr>
              <w:t>et al</w:t>
            </w:r>
            <w:r>
              <w:rPr>
                <w:rFonts w:ascii="ArialMT" w:eastAsia="Calibri" w:hAnsi="ArialMT" w:cs="ArialMT"/>
                <w:kern w:val="0"/>
                <w:sz w:val="16"/>
                <w:szCs w:val="16"/>
                <w:lang w:eastAsia="en-US"/>
              </w:rPr>
              <w:t>., 2016). Sea turtles are vulnerable to the effects of oil at all life stages—eggs, post-hatchlings, juveniles, and adults in nearshore waters. Several aspects of sea turtle biology and behaviour place them at particular risk, including a lack of avoidance behaviour, indiscriminate feeding in convergence zones, and large pre-dive inhalations. Effects of oil on turtles include increased egg mortality and developmental defects, direct mortality due to oiling in hatchlings, juveniles, and adults; and negative impacts to the skin, blood, digestive and immune systems, and salt glands. Turtles may be exposed to chemicals in oil in two ways: internally – eating or swallowing oil, consuming prey containing oil based chemicals, or inhaling of volatile oil related compounds; and externally – swimming in oil or oil on skin and body. Ingested oil may cause harm to their internal organs. Oil covering their bodies may interfere with breathing because they inhale large volumes of air to dive. Oil can enter cavities such as the eyes, nostrils, or mouth.</w:t>
            </w:r>
          </w:p>
          <w:p w14:paraId="37A6BAAF"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Records of oiled wildlife during spills rarely include marine turtles, even from areas where they are known to be relatively abundant (Short, 2011). An exception to this was the large number of marine turtles collected (613 dead and 536 live) during the Macondo spill in the GoM, although many of these animals did not show any sign of oil exposure (NOAA, 2011; 2013). Of the dead turtles found, 3.4% were visibly oiled and 85% of the live turtles found were oiled (NOAA, 2013). Of the captured animals, 88% of the live turtles were later released, suggesting that oiling does not inevitably lead to mortality.</w:t>
            </w:r>
          </w:p>
          <w:p w14:paraId="576FBAA9" w14:textId="12549AB4" w:rsidR="00B8048A" w:rsidRPr="0040192D" w:rsidRDefault="003E7E61" w:rsidP="003E7E61">
            <w:pPr>
              <w:spacing w:before="40" w:after="40"/>
              <w:rPr>
                <w:rFonts w:cs="Arial"/>
                <w:sz w:val="16"/>
                <w:szCs w:val="16"/>
                <w:lang w:eastAsia="en-US"/>
              </w:rPr>
            </w:pPr>
            <w:r>
              <w:rPr>
                <w:rFonts w:ascii="ArialMT" w:eastAsia="Calibri" w:hAnsi="ArialMT" w:cs="ArialMT"/>
                <w:kern w:val="0"/>
                <w:sz w:val="16"/>
                <w:szCs w:val="16"/>
                <w:lang w:eastAsia="en-US"/>
              </w:rPr>
              <w:lastRenderedPageBreak/>
              <w:t>No nesting beaches are in proximity to the CHN EMBA.</w:t>
            </w:r>
          </w:p>
        </w:tc>
      </w:tr>
      <w:tr w:rsidR="00B8048A" w:rsidRPr="0040192D" w14:paraId="1468E564" w14:textId="77777777" w:rsidTr="0040192D">
        <w:tc>
          <w:tcPr>
            <w:tcW w:w="13217" w:type="dxa"/>
            <w:gridSpan w:val="3"/>
            <w:shd w:val="clear" w:color="auto" w:fill="D9D9D9"/>
          </w:tcPr>
          <w:p w14:paraId="0B6DF551" w14:textId="77777777" w:rsidR="00B8048A" w:rsidRPr="0040192D" w:rsidRDefault="00B8048A" w:rsidP="0040192D">
            <w:pPr>
              <w:pStyle w:val="BodyText"/>
              <w:spacing w:before="40" w:after="40"/>
              <w:ind w:left="0"/>
              <w:jc w:val="center"/>
              <w:rPr>
                <w:rFonts w:cs="Arial"/>
                <w:b/>
                <w:sz w:val="16"/>
                <w:szCs w:val="16"/>
                <w:lang w:eastAsia="en-US"/>
              </w:rPr>
            </w:pPr>
            <w:r w:rsidRPr="0040192D">
              <w:rPr>
                <w:rFonts w:cs="Arial"/>
                <w:b/>
                <w:sz w:val="16"/>
                <w:szCs w:val="16"/>
                <w:lang w:eastAsia="en-US"/>
              </w:rPr>
              <w:lastRenderedPageBreak/>
              <w:t>Potential impacts from this project</w:t>
            </w:r>
          </w:p>
        </w:tc>
      </w:tr>
      <w:tr w:rsidR="00B8048A" w:rsidRPr="0040192D" w14:paraId="3A41F1B5" w14:textId="77777777" w:rsidTr="0040192D">
        <w:tc>
          <w:tcPr>
            <w:tcW w:w="5529" w:type="dxa"/>
            <w:shd w:val="clear" w:color="auto" w:fill="F2F2F2"/>
          </w:tcPr>
          <w:p w14:paraId="1734F350" w14:textId="77777777" w:rsidR="00B8048A" w:rsidRPr="0040192D" w:rsidRDefault="00B8048A" w:rsidP="0040192D">
            <w:pPr>
              <w:pStyle w:val="BodyText"/>
              <w:spacing w:before="40" w:after="40"/>
              <w:ind w:left="0"/>
              <w:jc w:val="center"/>
              <w:rPr>
                <w:rFonts w:cs="Arial"/>
                <w:sz w:val="16"/>
                <w:szCs w:val="16"/>
                <w:lang w:eastAsia="en-US"/>
              </w:rPr>
            </w:pPr>
            <w:r w:rsidRPr="0040192D">
              <w:rPr>
                <w:rFonts w:cs="Arial"/>
                <w:sz w:val="16"/>
                <w:szCs w:val="16"/>
                <w:lang w:eastAsia="en-US"/>
              </w:rPr>
              <w:t>Surface oiling</w:t>
            </w:r>
          </w:p>
        </w:tc>
        <w:tc>
          <w:tcPr>
            <w:tcW w:w="5386" w:type="dxa"/>
            <w:shd w:val="clear" w:color="auto" w:fill="F2F2F2"/>
          </w:tcPr>
          <w:p w14:paraId="65671090" w14:textId="77777777" w:rsidR="00B8048A" w:rsidRPr="0040192D" w:rsidRDefault="00B8048A" w:rsidP="0040192D">
            <w:pPr>
              <w:pStyle w:val="BodyText"/>
              <w:spacing w:before="40" w:after="40"/>
              <w:ind w:left="0"/>
              <w:jc w:val="center"/>
              <w:rPr>
                <w:rFonts w:cs="Arial"/>
                <w:sz w:val="16"/>
                <w:szCs w:val="16"/>
                <w:lang w:eastAsia="en-US"/>
              </w:rPr>
            </w:pPr>
            <w:r w:rsidRPr="0040192D">
              <w:rPr>
                <w:rFonts w:cs="Arial"/>
                <w:sz w:val="16"/>
                <w:szCs w:val="16"/>
                <w:lang w:eastAsia="en-US"/>
              </w:rPr>
              <w:t>Water column</w:t>
            </w:r>
          </w:p>
        </w:tc>
        <w:tc>
          <w:tcPr>
            <w:tcW w:w="2302" w:type="dxa"/>
            <w:shd w:val="clear" w:color="auto" w:fill="F2F2F2"/>
          </w:tcPr>
          <w:p w14:paraId="3DF34F9C" w14:textId="77777777" w:rsidR="00B8048A" w:rsidRPr="0040192D" w:rsidRDefault="00B8048A" w:rsidP="0040192D">
            <w:pPr>
              <w:pStyle w:val="BodyText"/>
              <w:spacing w:before="40" w:after="40"/>
              <w:ind w:left="0"/>
              <w:jc w:val="center"/>
              <w:rPr>
                <w:rFonts w:cs="Arial"/>
                <w:sz w:val="16"/>
                <w:szCs w:val="16"/>
                <w:lang w:eastAsia="en-US"/>
              </w:rPr>
            </w:pPr>
            <w:r w:rsidRPr="0040192D">
              <w:rPr>
                <w:rFonts w:cs="Arial"/>
                <w:sz w:val="16"/>
                <w:szCs w:val="16"/>
                <w:lang w:eastAsia="en-US"/>
              </w:rPr>
              <w:t>Shoreline</w:t>
            </w:r>
          </w:p>
        </w:tc>
      </w:tr>
      <w:tr w:rsidR="00AD7D22" w:rsidRPr="0040192D" w14:paraId="31DBF770" w14:textId="77777777" w:rsidTr="0040192D">
        <w:tc>
          <w:tcPr>
            <w:tcW w:w="5529" w:type="dxa"/>
            <w:shd w:val="clear" w:color="auto" w:fill="auto"/>
          </w:tcPr>
          <w:p w14:paraId="56A55857" w14:textId="4F6DAF89" w:rsidR="00C22C01" w:rsidRDefault="00C22C01" w:rsidP="0040192D">
            <w:pPr>
              <w:spacing w:before="40" w:after="40"/>
              <w:rPr>
                <w:sz w:val="16"/>
                <w:szCs w:val="16"/>
                <w:lang w:val="en-GB"/>
              </w:rPr>
            </w:pPr>
            <w:r>
              <w:rPr>
                <w:sz w:val="16"/>
                <w:szCs w:val="16"/>
                <w:lang w:val="en-GB"/>
              </w:rPr>
              <w:t>Marine turtles in Victoria that are not rare vagrants are deep-water species (i.e. leatherback).</w:t>
            </w:r>
          </w:p>
          <w:p w14:paraId="11229BC5" w14:textId="0AE63123" w:rsidR="00AD7D22" w:rsidRPr="0040192D" w:rsidRDefault="00C22C01" w:rsidP="0040192D">
            <w:pPr>
              <w:spacing w:before="40" w:after="40"/>
              <w:rPr>
                <w:sz w:val="16"/>
                <w:szCs w:val="16"/>
                <w:lang w:val="en-GB"/>
              </w:rPr>
            </w:pPr>
            <w:r>
              <w:rPr>
                <w:sz w:val="16"/>
                <w:szCs w:val="16"/>
                <w:lang w:val="en-GB"/>
              </w:rPr>
              <w:t>Given the limited areas of surface sheen from the offshore CHN (well blowout and PLEM rupture) it is possible s</w:t>
            </w:r>
            <w:r w:rsidR="00AD7D22" w:rsidRPr="0040192D">
              <w:rPr>
                <w:sz w:val="16"/>
                <w:szCs w:val="16"/>
                <w:lang w:val="en-GB"/>
              </w:rPr>
              <w:t xml:space="preserve">ome individual marine reptiles may come into contact with </w:t>
            </w:r>
            <w:r w:rsidR="009D03C7" w:rsidRPr="0040192D">
              <w:rPr>
                <w:sz w:val="16"/>
                <w:szCs w:val="16"/>
                <w:lang w:val="en-GB"/>
              </w:rPr>
              <w:t xml:space="preserve">localised areas of </w:t>
            </w:r>
            <w:r w:rsidR="00AD7D22" w:rsidRPr="0040192D">
              <w:rPr>
                <w:sz w:val="16"/>
                <w:szCs w:val="16"/>
                <w:lang w:val="en-GB"/>
              </w:rPr>
              <w:t xml:space="preserve">low </w:t>
            </w:r>
            <w:r w:rsidR="00D52ECE" w:rsidRPr="0040192D">
              <w:rPr>
                <w:sz w:val="16"/>
                <w:szCs w:val="16"/>
                <w:lang w:val="en-GB"/>
              </w:rPr>
              <w:t>hydrocarbon</w:t>
            </w:r>
            <w:r>
              <w:rPr>
                <w:sz w:val="16"/>
                <w:szCs w:val="16"/>
                <w:lang w:val="en-GB"/>
              </w:rPr>
              <w:t>s</w:t>
            </w:r>
            <w:r w:rsidR="00AD7D22" w:rsidRPr="0040192D">
              <w:rPr>
                <w:sz w:val="16"/>
                <w:szCs w:val="16"/>
                <w:lang w:val="en-GB"/>
              </w:rPr>
              <w:t xml:space="preserve">. </w:t>
            </w:r>
            <w:r w:rsidR="00D52ECE" w:rsidRPr="0040192D">
              <w:rPr>
                <w:sz w:val="16"/>
                <w:szCs w:val="16"/>
                <w:lang w:val="en-GB"/>
              </w:rPr>
              <w:t xml:space="preserve">Based on the literature review above, </w:t>
            </w:r>
            <w:r w:rsidR="009D03C7" w:rsidRPr="0040192D">
              <w:rPr>
                <w:sz w:val="16"/>
                <w:szCs w:val="16"/>
                <w:lang w:val="en-GB"/>
              </w:rPr>
              <w:t xml:space="preserve">this may result in </w:t>
            </w:r>
            <w:r>
              <w:rPr>
                <w:sz w:val="16"/>
                <w:szCs w:val="16"/>
                <w:lang w:val="en-GB"/>
              </w:rPr>
              <w:t xml:space="preserve">sub-lethal impacts such as </w:t>
            </w:r>
            <w:r w:rsidR="009D03C7" w:rsidRPr="0040192D">
              <w:rPr>
                <w:sz w:val="16"/>
                <w:szCs w:val="16"/>
                <w:lang w:val="en-GB"/>
              </w:rPr>
              <w:t>irritation of skin or cavities.</w:t>
            </w:r>
          </w:p>
          <w:p w14:paraId="63C6084F" w14:textId="3BF7BDFE" w:rsidR="00AD7D22" w:rsidRPr="0040192D" w:rsidRDefault="00AD7D22">
            <w:pPr>
              <w:pStyle w:val="BodyText"/>
              <w:spacing w:before="40" w:after="40"/>
              <w:ind w:left="0"/>
              <w:rPr>
                <w:rFonts w:cs="Arial"/>
                <w:sz w:val="16"/>
                <w:szCs w:val="16"/>
                <w:lang w:eastAsia="en-US"/>
              </w:rPr>
            </w:pPr>
            <w:r w:rsidRPr="0040192D">
              <w:rPr>
                <w:sz w:val="16"/>
                <w:szCs w:val="16"/>
                <w:lang w:val="en-GB"/>
              </w:rPr>
              <w:t xml:space="preserve">However, due to the sparse nature of turtles within the </w:t>
            </w:r>
            <w:r w:rsidR="004F031B" w:rsidRPr="0040192D">
              <w:rPr>
                <w:sz w:val="16"/>
                <w:szCs w:val="16"/>
                <w:lang w:val="en-GB"/>
              </w:rPr>
              <w:t>Otway Basin</w:t>
            </w:r>
            <w:r w:rsidRPr="0040192D">
              <w:rPr>
                <w:sz w:val="16"/>
                <w:szCs w:val="16"/>
                <w:lang w:val="en-GB"/>
              </w:rPr>
              <w:t xml:space="preserve">, </w:t>
            </w:r>
            <w:r w:rsidR="00C22C01">
              <w:rPr>
                <w:sz w:val="16"/>
                <w:szCs w:val="16"/>
                <w:lang w:val="en-GB"/>
              </w:rPr>
              <w:t xml:space="preserve">encounter is unlikely and also unlikely to impact at a population level. </w:t>
            </w:r>
          </w:p>
        </w:tc>
        <w:tc>
          <w:tcPr>
            <w:tcW w:w="5386" w:type="dxa"/>
            <w:shd w:val="clear" w:color="auto" w:fill="auto"/>
          </w:tcPr>
          <w:p w14:paraId="75C4F07D" w14:textId="79CDEC65" w:rsidR="00AD7D22" w:rsidRPr="0040192D" w:rsidRDefault="004F031B">
            <w:pPr>
              <w:pStyle w:val="BodyText"/>
              <w:spacing w:before="40" w:after="40"/>
              <w:ind w:left="0"/>
              <w:rPr>
                <w:rFonts w:cs="Arial"/>
                <w:sz w:val="16"/>
                <w:szCs w:val="16"/>
                <w:lang w:eastAsia="en-US"/>
              </w:rPr>
            </w:pPr>
            <w:r w:rsidRPr="0040192D">
              <w:rPr>
                <w:sz w:val="16"/>
                <w:szCs w:val="16"/>
                <w:lang w:val="en-GB"/>
              </w:rPr>
              <w:t xml:space="preserve">The </w:t>
            </w:r>
            <w:r w:rsidR="00AD7D22" w:rsidRPr="0040192D">
              <w:rPr>
                <w:sz w:val="16"/>
                <w:szCs w:val="16"/>
                <w:lang w:val="en-GB"/>
              </w:rPr>
              <w:t xml:space="preserve">sparse population of marine reptiles in the </w:t>
            </w:r>
            <w:r w:rsidRPr="0040192D">
              <w:rPr>
                <w:sz w:val="16"/>
                <w:szCs w:val="16"/>
                <w:lang w:val="en-GB"/>
              </w:rPr>
              <w:t>E</w:t>
            </w:r>
            <w:r w:rsidR="00AD7D22" w:rsidRPr="0040192D">
              <w:rPr>
                <w:sz w:val="16"/>
                <w:szCs w:val="16"/>
                <w:lang w:val="en-GB"/>
              </w:rPr>
              <w:t>MBA</w:t>
            </w:r>
            <w:r w:rsidRPr="0040192D">
              <w:rPr>
                <w:sz w:val="16"/>
                <w:szCs w:val="16"/>
                <w:lang w:val="en-GB"/>
              </w:rPr>
              <w:t xml:space="preserve"> combined with the localised extent of low hydrocarbon exposure </w:t>
            </w:r>
            <w:r w:rsidR="00C22C01">
              <w:rPr>
                <w:sz w:val="16"/>
                <w:szCs w:val="16"/>
                <w:lang w:val="en-GB"/>
              </w:rPr>
              <w:t xml:space="preserve">from the offshore release scenarios would indicate negligible impacts </w:t>
            </w:r>
            <w:r w:rsidR="00AD7D22" w:rsidRPr="0040192D">
              <w:rPr>
                <w:sz w:val="16"/>
                <w:szCs w:val="16"/>
                <w:lang w:val="en-GB"/>
              </w:rPr>
              <w:t xml:space="preserve">to marine reptile populations </w:t>
            </w:r>
            <w:r w:rsidR="00A73942" w:rsidRPr="0040192D">
              <w:rPr>
                <w:sz w:val="16"/>
                <w:szCs w:val="16"/>
                <w:lang w:val="en-GB"/>
              </w:rPr>
              <w:t xml:space="preserve">from </w:t>
            </w:r>
            <w:r w:rsidR="00C22C01">
              <w:rPr>
                <w:sz w:val="16"/>
                <w:szCs w:val="16"/>
                <w:lang w:val="en-GB"/>
              </w:rPr>
              <w:t xml:space="preserve">low level exposure entrained phase </w:t>
            </w:r>
            <w:r w:rsidR="00A73942" w:rsidRPr="0040192D">
              <w:rPr>
                <w:sz w:val="16"/>
                <w:szCs w:val="16"/>
                <w:lang w:val="en-GB"/>
              </w:rPr>
              <w:t>hydrocarbons</w:t>
            </w:r>
            <w:r w:rsidR="00857E16" w:rsidRPr="0040192D">
              <w:rPr>
                <w:sz w:val="16"/>
                <w:szCs w:val="16"/>
                <w:lang w:val="en-GB"/>
              </w:rPr>
              <w:t>.</w:t>
            </w:r>
          </w:p>
        </w:tc>
        <w:tc>
          <w:tcPr>
            <w:tcW w:w="2302" w:type="dxa"/>
            <w:shd w:val="clear" w:color="auto" w:fill="auto"/>
          </w:tcPr>
          <w:p w14:paraId="585E39CB" w14:textId="67EA0908" w:rsidR="00AD7D22" w:rsidRPr="0040192D" w:rsidRDefault="00AD7D22" w:rsidP="0040192D">
            <w:pPr>
              <w:pStyle w:val="BodyText"/>
              <w:spacing w:before="40" w:after="40"/>
              <w:ind w:left="0"/>
              <w:rPr>
                <w:rFonts w:cs="Arial"/>
                <w:sz w:val="16"/>
                <w:szCs w:val="16"/>
                <w:lang w:eastAsia="en-US"/>
              </w:rPr>
            </w:pPr>
            <w:r w:rsidRPr="0040192D">
              <w:rPr>
                <w:sz w:val="16"/>
                <w:szCs w:val="16"/>
                <w:lang w:val="en-GB"/>
              </w:rPr>
              <w:t xml:space="preserve">There are no known turtle nesting beaches within the </w:t>
            </w:r>
            <w:r w:rsidR="00D52ECE" w:rsidRPr="0040192D">
              <w:rPr>
                <w:sz w:val="16"/>
                <w:szCs w:val="16"/>
                <w:lang w:val="en-GB"/>
              </w:rPr>
              <w:t>E</w:t>
            </w:r>
            <w:r w:rsidRPr="0040192D">
              <w:rPr>
                <w:sz w:val="16"/>
                <w:szCs w:val="16"/>
                <w:lang w:val="en-GB"/>
              </w:rPr>
              <w:t>MBA</w:t>
            </w:r>
            <w:r w:rsidR="00D52ECE" w:rsidRPr="0040192D">
              <w:rPr>
                <w:sz w:val="16"/>
                <w:szCs w:val="16"/>
                <w:lang w:val="en-GB"/>
              </w:rPr>
              <w:t>,</w:t>
            </w:r>
            <w:r w:rsidRPr="0040192D">
              <w:rPr>
                <w:sz w:val="16"/>
                <w:szCs w:val="16"/>
                <w:lang w:val="en-GB"/>
              </w:rPr>
              <w:t xml:space="preserve"> so impacts from shoreline oiling </w:t>
            </w:r>
            <w:r w:rsidR="00D52ECE" w:rsidRPr="0040192D">
              <w:rPr>
                <w:sz w:val="16"/>
                <w:szCs w:val="16"/>
                <w:lang w:val="en-GB"/>
              </w:rPr>
              <w:t>will not occur</w:t>
            </w:r>
            <w:r w:rsidRPr="0040192D">
              <w:rPr>
                <w:sz w:val="16"/>
                <w:szCs w:val="16"/>
                <w:lang w:val="en-GB"/>
              </w:rPr>
              <w:t xml:space="preserve">.  </w:t>
            </w:r>
          </w:p>
        </w:tc>
      </w:tr>
    </w:tbl>
    <w:p w14:paraId="654B4AE8" w14:textId="77777777" w:rsidR="0040192D" w:rsidRDefault="0040192D" w:rsidP="0040192D">
      <w:pPr>
        <w:pStyle w:val="BodyText"/>
      </w:pPr>
    </w:p>
    <w:p w14:paraId="3701064D" w14:textId="7199ED03" w:rsidR="006F0CCC" w:rsidRDefault="0040192D" w:rsidP="00024BA3">
      <w:pPr>
        <w:pStyle w:val="Caption"/>
        <w:outlineLvl w:val="9"/>
      </w:pPr>
      <w:bookmarkStart w:id="265" w:name="_Toc511032618"/>
      <w:r w:rsidRPr="0040192D">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27</w:t>
      </w:r>
      <w:r w:rsidR="00103328">
        <w:rPr>
          <w:sz w:val="20"/>
          <w:szCs w:val="20"/>
        </w:rPr>
        <w:fldChar w:fldCharType="end"/>
      </w:r>
      <w:r w:rsidRPr="0040192D">
        <w:rPr>
          <w:sz w:val="20"/>
          <w:szCs w:val="20"/>
        </w:rPr>
        <w:t>: Potential impacts of hydrocarbons on seabirds and shorebirds</w:t>
      </w:r>
      <w:bookmarkEnd w:id="265"/>
    </w:p>
    <w:tbl>
      <w:tblPr>
        <w:tblW w:w="12825" w:type="dxa"/>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3451"/>
        <w:gridCol w:w="5175"/>
        <w:gridCol w:w="4181"/>
        <w:gridCol w:w="18"/>
      </w:tblGrid>
      <w:tr w:rsidR="00B8048A" w:rsidRPr="0040192D" w14:paraId="7004F24E" w14:textId="77777777" w:rsidTr="00CE77E2">
        <w:tc>
          <w:tcPr>
            <w:tcW w:w="12825" w:type="dxa"/>
            <w:gridSpan w:val="4"/>
            <w:shd w:val="clear" w:color="auto" w:fill="A6A6A6"/>
          </w:tcPr>
          <w:p w14:paraId="2E5AE4B6" w14:textId="62EE0FC9" w:rsidR="00B8048A" w:rsidRPr="0040192D" w:rsidRDefault="00B8048A" w:rsidP="0040192D">
            <w:pPr>
              <w:pStyle w:val="BodyText"/>
              <w:spacing w:before="40" w:after="40"/>
              <w:ind w:left="0"/>
              <w:jc w:val="center"/>
              <w:rPr>
                <w:rFonts w:cs="Arial"/>
                <w:b/>
                <w:sz w:val="16"/>
                <w:szCs w:val="16"/>
                <w:lang w:eastAsia="en-US"/>
              </w:rPr>
            </w:pPr>
            <w:r w:rsidRPr="0040192D">
              <w:rPr>
                <w:rFonts w:cs="Arial"/>
                <w:b/>
                <w:sz w:val="16"/>
                <w:szCs w:val="16"/>
                <w:lang w:eastAsia="en-US"/>
              </w:rPr>
              <w:t xml:space="preserve">General sensitivity to oiling </w:t>
            </w:r>
            <w:r w:rsidR="00AD7D22" w:rsidRPr="0040192D">
              <w:rPr>
                <w:rFonts w:cs="Arial"/>
                <w:b/>
                <w:sz w:val="16"/>
                <w:szCs w:val="16"/>
                <w:lang w:eastAsia="en-US"/>
              </w:rPr>
              <w:t>–</w:t>
            </w:r>
            <w:r w:rsidRPr="0040192D">
              <w:rPr>
                <w:rFonts w:cs="Arial"/>
                <w:b/>
                <w:sz w:val="16"/>
                <w:szCs w:val="16"/>
                <w:lang w:eastAsia="en-US"/>
              </w:rPr>
              <w:t xml:space="preserve"> </w:t>
            </w:r>
            <w:r w:rsidR="00AD7D22" w:rsidRPr="0040192D">
              <w:rPr>
                <w:rFonts w:cs="Arial"/>
                <w:b/>
                <w:sz w:val="16"/>
                <w:szCs w:val="16"/>
                <w:lang w:eastAsia="en-US"/>
              </w:rPr>
              <w:t>seabirds and shorebirds</w:t>
            </w:r>
          </w:p>
        </w:tc>
      </w:tr>
      <w:tr w:rsidR="00B8048A" w:rsidRPr="0040192D" w14:paraId="71D48A99" w14:textId="77777777" w:rsidTr="00CE77E2">
        <w:tc>
          <w:tcPr>
            <w:tcW w:w="12825" w:type="dxa"/>
            <w:gridSpan w:val="4"/>
            <w:shd w:val="clear" w:color="auto" w:fill="auto"/>
          </w:tcPr>
          <w:p w14:paraId="48E8FA59" w14:textId="12435CF2"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 xml:space="preserve">Seabirds and shorebirds are sensitive to the impacts of oiling, with their vulnerability arising from the fact that they cross the air-water interface to feed, while their shoreline habitats may also be oiled (Hook </w:t>
            </w:r>
            <w:r>
              <w:rPr>
                <w:rFonts w:ascii="Arial-ItalicMT" w:eastAsia="Calibri" w:hAnsi="Arial-ItalicMT" w:cs="Arial-ItalicMT"/>
                <w:i/>
                <w:iCs/>
                <w:kern w:val="0"/>
                <w:sz w:val="16"/>
                <w:szCs w:val="16"/>
                <w:lang w:eastAsia="en-US"/>
              </w:rPr>
              <w:t>et al</w:t>
            </w:r>
            <w:r>
              <w:rPr>
                <w:rFonts w:ascii="ArialMT" w:eastAsia="Calibri" w:hAnsi="ArialMT" w:cs="ArialMT"/>
                <w:kern w:val="0"/>
                <w:sz w:val="16"/>
                <w:szCs w:val="16"/>
                <w:lang w:eastAsia="en-US"/>
              </w:rPr>
              <w:t>., 2016). Birds foraging at sea have the potential to directly interact with oil on the sea surface in the course of normal foraging activities. Species most at risk include those that readily rest on the sea surface (such as shearwaters) and surface plunging species such as terns and boobies. As seabirds are top order predators, any impact on other marine life (e.g., pelagic fish) may disrupt and limit food supply both for the maintenance of adults and the provisioning of young.</w:t>
            </w:r>
          </w:p>
          <w:p w14:paraId="1C121C10" w14:textId="77777777" w:rsidR="00E16DC3"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 xml:space="preserve">In the case of seabirds, direct contact with hydrocarbons is likely to foul feathers, which may result in hypothermia reducing the ability of the bird to thermo-regulate, impairs waterproofing, may result in impaired navigation and flight performance (Hook </w:t>
            </w:r>
            <w:r>
              <w:rPr>
                <w:rFonts w:ascii="Arial-ItalicMT" w:eastAsia="Calibri" w:hAnsi="Arial-ItalicMT" w:cs="Arial-ItalicMT"/>
                <w:i/>
                <w:iCs/>
                <w:kern w:val="0"/>
                <w:sz w:val="16"/>
                <w:szCs w:val="16"/>
                <w:lang w:eastAsia="en-US"/>
              </w:rPr>
              <w:t>et al</w:t>
            </w:r>
            <w:r>
              <w:rPr>
                <w:rFonts w:ascii="ArialMT" w:eastAsia="Calibri" w:hAnsi="ArialMT" w:cs="ArialMT"/>
                <w:kern w:val="0"/>
                <w:sz w:val="16"/>
                <w:szCs w:val="16"/>
                <w:lang w:eastAsia="en-US"/>
              </w:rPr>
              <w:t>., 2016), and result in dehydration, drowning and starvation (DSEWPC, 2011; AMSA, 2013). Toxic effects of hydrocarbons may result when ingested as the bird attempts to preen its feathers. Whether this toxicity ultimately results in mortality will depend on the amount of hydrocarbon consumed and other factors relating to the health and sensitivity of the bird. Birds that are coated in oil also suffer from damage to external tissues including skin and eyes, as well as internal tissue irritation in their lungs and stomachs. Studies of contamination of duck eggs by small quantities of crude oil have been shown to result in mortality of developing embryos. Engelhardt (1983), Clark (1984), Geraci &amp; St Aubin (1988) and Jenssen (1994) indicated that the threshold thickness of oil that could impart a lethal dose to some intersecting wildlife individual is 10 μm (~10 g/m</w:t>
            </w:r>
            <w:r>
              <w:rPr>
                <w:rFonts w:ascii="ArialMT" w:eastAsia="Calibri" w:hAnsi="ArialMT" w:cs="ArialMT"/>
                <w:kern w:val="0"/>
                <w:sz w:val="10"/>
                <w:szCs w:val="10"/>
                <w:lang w:eastAsia="en-US"/>
              </w:rPr>
              <w:t>2</w:t>
            </w:r>
            <w:r>
              <w:rPr>
                <w:rFonts w:ascii="ArialMT" w:eastAsia="Calibri" w:hAnsi="ArialMT" w:cs="ArialMT"/>
                <w:kern w:val="0"/>
                <w:sz w:val="16"/>
                <w:szCs w:val="16"/>
                <w:lang w:eastAsia="en-US"/>
              </w:rPr>
              <w:t>). Scholten et al (1996) indicates that a layer 25 μm thick would be harmful for most birds that contact the slick.</w:t>
            </w:r>
          </w:p>
          <w:p w14:paraId="56A186F5" w14:textId="7614A4B9"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Shorebirds are likely to be exposed to oil when it directly impacts the intertidal zone due to their feeding habitats. Shorebird species foraging for invertebrates on exposed sand and mud flats at lower tides will be at potential risk of both direct impacts through contamination and indirect impacts through a reduction in available prey items (Clarke, 2010). Breeding seabirds may be directly exposed to oil via a number of potential pathways. Any direct impact of oil on terrestrial habitats has the potential to contaminate birds present at the breeding sites (Clarke, 2010). Bird eggs may be damaged if an oiled adult sits on the nest (Clarke, 2010).</w:t>
            </w:r>
          </w:p>
          <w:p w14:paraId="2B3D82ED" w14:textId="46378011" w:rsidR="003E7E61" w:rsidRPr="0040192D" w:rsidRDefault="003E7E61" w:rsidP="003E7E61">
            <w:pPr>
              <w:autoSpaceDE w:val="0"/>
              <w:autoSpaceDN w:val="0"/>
              <w:adjustRightInd w:val="0"/>
              <w:spacing w:after="0"/>
              <w:outlineLvl w:val="9"/>
              <w:rPr>
                <w:rFonts w:cs="Arial"/>
                <w:sz w:val="16"/>
                <w:szCs w:val="16"/>
                <w:lang w:eastAsia="en-US"/>
              </w:rPr>
            </w:pPr>
            <w:r>
              <w:rPr>
                <w:rFonts w:ascii="ArialMT" w:eastAsia="Calibri" w:hAnsi="ArialMT" w:cs="ArialMT"/>
                <w:kern w:val="0"/>
                <w:sz w:val="16"/>
                <w:szCs w:val="16"/>
                <w:lang w:eastAsia="en-US"/>
              </w:rPr>
              <w:t xml:space="preserve">Penguins may be especially vulnerable to oil because they spend a high portion of their time in the water and readily lose insulation and buoyancy if their feathers are oiled (Hook </w:t>
            </w:r>
            <w:r>
              <w:rPr>
                <w:rFonts w:ascii="Arial-ItalicMT" w:eastAsia="Calibri" w:hAnsi="Arial-ItalicMT" w:cs="Arial-ItalicMT"/>
                <w:i/>
                <w:iCs/>
                <w:kern w:val="0"/>
                <w:sz w:val="16"/>
                <w:szCs w:val="16"/>
                <w:lang w:eastAsia="en-US"/>
              </w:rPr>
              <w:t>et al.</w:t>
            </w:r>
            <w:r>
              <w:rPr>
                <w:rFonts w:ascii="ArialMT" w:eastAsia="Calibri" w:hAnsi="ArialMT" w:cs="ArialMT"/>
                <w:kern w:val="0"/>
                <w:sz w:val="16"/>
                <w:szCs w:val="16"/>
                <w:lang w:eastAsia="en-US"/>
              </w:rPr>
              <w:t xml:space="preserve">, 2016). The Iron Baron spill (325 tonnes of bunker fuel in Tasmania in 1995) is estimated to have resulted in the death of up to 20,000 penguins (Hook </w:t>
            </w:r>
            <w:r>
              <w:rPr>
                <w:rFonts w:ascii="Arial-ItalicMT" w:eastAsia="Calibri" w:hAnsi="Arial-ItalicMT" w:cs="Arial-ItalicMT"/>
                <w:i/>
                <w:iCs/>
                <w:kern w:val="0"/>
                <w:sz w:val="16"/>
                <w:szCs w:val="16"/>
                <w:lang w:eastAsia="en-US"/>
              </w:rPr>
              <w:t>et al.</w:t>
            </w:r>
            <w:r>
              <w:rPr>
                <w:rFonts w:ascii="ArialMT" w:eastAsia="Calibri" w:hAnsi="ArialMT" w:cs="ArialMT"/>
                <w:kern w:val="0"/>
                <w:sz w:val="16"/>
                <w:szCs w:val="16"/>
                <w:lang w:eastAsia="en-US"/>
              </w:rPr>
              <w:t>, 2016).</w:t>
            </w:r>
          </w:p>
        </w:tc>
      </w:tr>
      <w:tr w:rsidR="00B8048A" w:rsidRPr="0040192D" w14:paraId="090667C7" w14:textId="77777777" w:rsidTr="00CE77E2">
        <w:tc>
          <w:tcPr>
            <w:tcW w:w="12825" w:type="dxa"/>
            <w:gridSpan w:val="4"/>
            <w:shd w:val="clear" w:color="auto" w:fill="D9D9D9"/>
          </w:tcPr>
          <w:p w14:paraId="01D5FAE2" w14:textId="77777777" w:rsidR="00B8048A" w:rsidRPr="0040192D" w:rsidRDefault="00B8048A" w:rsidP="0040192D">
            <w:pPr>
              <w:pStyle w:val="BodyText"/>
              <w:spacing w:before="40" w:after="40"/>
              <w:ind w:left="0"/>
              <w:jc w:val="center"/>
              <w:rPr>
                <w:rFonts w:cs="Arial"/>
                <w:b/>
                <w:sz w:val="16"/>
                <w:szCs w:val="16"/>
                <w:lang w:eastAsia="en-US"/>
              </w:rPr>
            </w:pPr>
            <w:r w:rsidRPr="0040192D">
              <w:rPr>
                <w:rFonts w:cs="Arial"/>
                <w:b/>
                <w:sz w:val="16"/>
                <w:szCs w:val="16"/>
                <w:lang w:eastAsia="en-US"/>
              </w:rPr>
              <w:t>Potential impacts from this project</w:t>
            </w:r>
          </w:p>
        </w:tc>
      </w:tr>
      <w:tr w:rsidR="00B8048A" w:rsidRPr="0040192D" w14:paraId="50F25E82" w14:textId="77777777" w:rsidTr="003E7E61">
        <w:trPr>
          <w:gridAfter w:val="1"/>
          <w:wAfter w:w="18" w:type="dxa"/>
        </w:trPr>
        <w:tc>
          <w:tcPr>
            <w:tcW w:w="3451" w:type="dxa"/>
            <w:shd w:val="clear" w:color="auto" w:fill="F2F2F2"/>
          </w:tcPr>
          <w:p w14:paraId="55C7EF32" w14:textId="77777777" w:rsidR="00B8048A" w:rsidRPr="0040192D" w:rsidRDefault="00B8048A" w:rsidP="0040192D">
            <w:pPr>
              <w:pStyle w:val="BodyText"/>
              <w:spacing w:before="40" w:after="40"/>
              <w:ind w:left="0"/>
              <w:jc w:val="center"/>
              <w:rPr>
                <w:rFonts w:cs="Arial"/>
                <w:sz w:val="16"/>
                <w:szCs w:val="16"/>
                <w:lang w:eastAsia="en-US"/>
              </w:rPr>
            </w:pPr>
            <w:r w:rsidRPr="0040192D">
              <w:rPr>
                <w:rFonts w:cs="Arial"/>
                <w:sz w:val="16"/>
                <w:szCs w:val="16"/>
                <w:lang w:eastAsia="en-US"/>
              </w:rPr>
              <w:t>Surface oiling</w:t>
            </w:r>
          </w:p>
        </w:tc>
        <w:tc>
          <w:tcPr>
            <w:tcW w:w="5175" w:type="dxa"/>
            <w:shd w:val="clear" w:color="auto" w:fill="F2F2F2"/>
          </w:tcPr>
          <w:p w14:paraId="723040F2" w14:textId="77777777" w:rsidR="00B8048A" w:rsidRPr="0040192D" w:rsidRDefault="00B8048A" w:rsidP="0040192D">
            <w:pPr>
              <w:pStyle w:val="BodyText"/>
              <w:spacing w:before="40" w:after="40"/>
              <w:ind w:left="0"/>
              <w:jc w:val="center"/>
              <w:rPr>
                <w:rFonts w:cs="Arial"/>
                <w:sz w:val="16"/>
                <w:szCs w:val="16"/>
                <w:lang w:eastAsia="en-US"/>
              </w:rPr>
            </w:pPr>
            <w:r w:rsidRPr="0040192D">
              <w:rPr>
                <w:rFonts w:cs="Arial"/>
                <w:sz w:val="16"/>
                <w:szCs w:val="16"/>
                <w:lang w:eastAsia="en-US"/>
              </w:rPr>
              <w:t>Water column</w:t>
            </w:r>
          </w:p>
        </w:tc>
        <w:tc>
          <w:tcPr>
            <w:tcW w:w="4181" w:type="dxa"/>
            <w:shd w:val="clear" w:color="auto" w:fill="F2F2F2"/>
          </w:tcPr>
          <w:p w14:paraId="40387522" w14:textId="77777777" w:rsidR="00B8048A" w:rsidRPr="0040192D" w:rsidRDefault="00B8048A" w:rsidP="0040192D">
            <w:pPr>
              <w:pStyle w:val="BodyText"/>
              <w:spacing w:before="40" w:after="40"/>
              <w:ind w:left="0"/>
              <w:jc w:val="center"/>
              <w:rPr>
                <w:rFonts w:cs="Arial"/>
                <w:sz w:val="16"/>
                <w:szCs w:val="16"/>
                <w:lang w:eastAsia="en-US"/>
              </w:rPr>
            </w:pPr>
            <w:r w:rsidRPr="0040192D">
              <w:rPr>
                <w:rFonts w:cs="Arial"/>
                <w:sz w:val="16"/>
                <w:szCs w:val="16"/>
                <w:lang w:eastAsia="en-US"/>
              </w:rPr>
              <w:t>Shoreline</w:t>
            </w:r>
          </w:p>
        </w:tc>
      </w:tr>
      <w:tr w:rsidR="00AD7D22" w:rsidRPr="0040192D" w14:paraId="5A9A282B" w14:textId="77777777" w:rsidTr="003E7E61">
        <w:trPr>
          <w:gridAfter w:val="1"/>
          <w:wAfter w:w="18" w:type="dxa"/>
        </w:trPr>
        <w:tc>
          <w:tcPr>
            <w:tcW w:w="3451" w:type="dxa"/>
            <w:shd w:val="clear" w:color="auto" w:fill="auto"/>
          </w:tcPr>
          <w:p w14:paraId="3154018D"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A significant number of albatross, petrel and</w:t>
            </w:r>
          </w:p>
          <w:p w14:paraId="7ECC4B18"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shearwater bird species, together with the</w:t>
            </w:r>
          </w:p>
          <w:p w14:paraId="7E69E5DB"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Australasian gannet have BIAs within the</w:t>
            </w:r>
          </w:p>
          <w:p w14:paraId="3FA3F26D"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EMBA of the offshore and nearshore CHN</w:t>
            </w:r>
          </w:p>
          <w:p w14:paraId="0F9820C8"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release scenarios. These birds forage over an</w:t>
            </w:r>
          </w:p>
          <w:p w14:paraId="5A2E62AF"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lastRenderedPageBreak/>
              <w:t>extensive area and are distributed over a wide</w:t>
            </w:r>
          </w:p>
          <w:p w14:paraId="408CBF19"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geographic area.</w:t>
            </w:r>
          </w:p>
          <w:p w14:paraId="728BEEA8"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Modelling predicts that most surface oiling</w:t>
            </w:r>
          </w:p>
          <w:p w14:paraId="7D4F954B"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occurs at surface sheens which are unlikely to</w:t>
            </w:r>
          </w:p>
          <w:p w14:paraId="711F5E98"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affect seabirds.</w:t>
            </w:r>
          </w:p>
          <w:p w14:paraId="5B7CF344"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Seabirds rafting, resting, diving or feeding at</w:t>
            </w:r>
          </w:p>
          <w:p w14:paraId="638D4FE4"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sea have the potential to come into contact</w:t>
            </w:r>
          </w:p>
          <w:p w14:paraId="3F3ED603"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with a localised area of low surface oil</w:t>
            </w:r>
          </w:p>
          <w:p w14:paraId="68A5186A"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exposure. Contact with areas of high and</w:t>
            </w:r>
          </w:p>
          <w:p w14:paraId="20A686DB"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medium hydrocarbon exposure is highly</w:t>
            </w:r>
          </w:p>
          <w:p w14:paraId="2F904C10"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unlikely. As such, acute or chronic toxicity</w:t>
            </w:r>
          </w:p>
          <w:p w14:paraId="4DC2C6BF"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impacts (death or long-term poor health) to</w:t>
            </w:r>
          </w:p>
          <w:p w14:paraId="444F6B6C"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bird species at the individual level, let alone</w:t>
            </w:r>
          </w:p>
          <w:p w14:paraId="35D8E680"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population level, are unlikely (minor</w:t>
            </w:r>
          </w:p>
          <w:p w14:paraId="5D0F954A"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consequence).</w:t>
            </w:r>
          </w:p>
          <w:p w14:paraId="39DF1B17"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The HDD pipeline rupture modelling predicts</w:t>
            </w:r>
          </w:p>
          <w:p w14:paraId="3F1F07B7"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higher levels of surface oiling, with moderate</w:t>
            </w:r>
          </w:p>
          <w:p w14:paraId="2477C076"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oiling within 1.2 km of the release site. This</w:t>
            </w:r>
          </w:p>
          <w:p w14:paraId="211F4590"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impact is localised and predicted to last for 7</w:t>
            </w:r>
          </w:p>
          <w:p w14:paraId="65E10185" w14:textId="47BC5EDB" w:rsidR="00250493" w:rsidRPr="0040192D" w:rsidRDefault="003E7E61" w:rsidP="003E7E61">
            <w:pPr>
              <w:autoSpaceDE w:val="0"/>
              <w:autoSpaceDN w:val="0"/>
              <w:adjustRightInd w:val="0"/>
              <w:spacing w:after="0"/>
              <w:outlineLvl w:val="9"/>
              <w:rPr>
                <w:sz w:val="16"/>
                <w:szCs w:val="16"/>
                <w:lang w:val="en-GB"/>
              </w:rPr>
            </w:pPr>
            <w:r>
              <w:rPr>
                <w:rFonts w:ascii="ArialMT" w:eastAsia="Calibri" w:hAnsi="ArialMT" w:cs="ArialMT"/>
                <w:kern w:val="0"/>
                <w:sz w:val="16"/>
                <w:szCs w:val="16"/>
                <w:lang w:eastAsia="en-US"/>
              </w:rPr>
              <w:t>hrs only which</w:t>
            </w:r>
          </w:p>
        </w:tc>
        <w:tc>
          <w:tcPr>
            <w:tcW w:w="5175" w:type="dxa"/>
            <w:shd w:val="clear" w:color="auto" w:fill="auto"/>
          </w:tcPr>
          <w:p w14:paraId="5A9D8A36"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lastRenderedPageBreak/>
              <w:t>Impacts to birds from water column hydrocarbons is unlikely without</w:t>
            </w:r>
          </w:p>
          <w:p w14:paraId="68CC0EA9"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first being exposure to surface oiling. This exposure route is not</w:t>
            </w:r>
          </w:p>
          <w:p w14:paraId="775B4973"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considered as significant as direct contact with hydrocarbons on the</w:t>
            </w:r>
          </w:p>
          <w:p w14:paraId="041DBBBD"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sea surface or at the shoreline.</w:t>
            </w:r>
          </w:p>
          <w:p w14:paraId="03B7F7FD"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Penguin colonies feed in the area and may be exposed by the</w:t>
            </w:r>
          </w:p>
          <w:p w14:paraId="43B14C79"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lastRenderedPageBreak/>
              <w:t>offshore release scenarios (well blowout and PLEM rupture) to large</w:t>
            </w:r>
          </w:p>
          <w:p w14:paraId="03CF9434"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areas of low exposures of entrained hydrocarbon but given that their</w:t>
            </w:r>
          </w:p>
          <w:p w14:paraId="4D7544FD"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wide ranging foraging habitats and their nightly return to burrows at</w:t>
            </w:r>
          </w:p>
          <w:p w14:paraId="26E47D4C"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the shore, they are unlikely to remain within the entrained phase</w:t>
            </w:r>
          </w:p>
          <w:p w14:paraId="26A788DB"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plumes. This is unlikely to be enough time to cause significant oiling,</w:t>
            </w:r>
          </w:p>
          <w:p w14:paraId="0439EE89"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but preening once onshore may increase exposure to toxic elements.</w:t>
            </w:r>
          </w:p>
          <w:p w14:paraId="3D80C15B"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Penguin colonies within the HDD pipeline rupture EMBA are present</w:t>
            </w:r>
          </w:p>
          <w:p w14:paraId="0F8693C2"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at Murmane Bay/Flaxman Hill and Bay of Islands (containing low level</w:t>
            </w:r>
          </w:p>
          <w:p w14:paraId="38DF28D5"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entrained phase exposure); London Bridge (containing both low and</w:t>
            </w:r>
          </w:p>
          <w:p w14:paraId="642E456C"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moderate entrained and dissolved phase plumes) and the Twelve</w:t>
            </w:r>
          </w:p>
          <w:p w14:paraId="5E2A3C77"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Apostles (containing low level entrained phase exposure).</w:t>
            </w:r>
          </w:p>
          <w:p w14:paraId="155E8137"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As prey is caught with rapid jabs of the penguin’s beak and swallowed</w:t>
            </w:r>
          </w:p>
          <w:p w14:paraId="658FE89B"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whole, it is possible that the penguin may ingest small volumes of low</w:t>
            </w:r>
          </w:p>
          <w:p w14:paraId="5CDB630A"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and moderate levels of dissolved phase hydrocarbons, if feeding in</w:t>
            </w:r>
          </w:p>
          <w:p w14:paraId="67736394"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the localised area affected. Also prey (school fish, squid of krill)</w:t>
            </w:r>
          </w:p>
          <w:p w14:paraId="50C002A6"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affected by the spill when ingested may lead to sub-lethal impacts. It is</w:t>
            </w:r>
          </w:p>
          <w:p w14:paraId="71328AFF"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possible that individual birds at specific locations (e.g. London Bridge)</w:t>
            </w:r>
          </w:p>
          <w:p w14:paraId="3B0B39AB"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may be affected by such a near-shore spill, however given the</w:t>
            </w:r>
          </w:p>
          <w:p w14:paraId="38B037A7"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temporary nature of the spill, its localised footprint and the large</w:t>
            </w:r>
          </w:p>
          <w:p w14:paraId="5B53D609"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foraging areas of penguin, individual birds may be affected but it is not</w:t>
            </w:r>
          </w:p>
          <w:p w14:paraId="33D7BEBB" w14:textId="3A470557" w:rsidR="00A2541E" w:rsidRPr="0040192D" w:rsidRDefault="003E7E61" w:rsidP="003E7E61">
            <w:pPr>
              <w:pStyle w:val="BodyText"/>
              <w:spacing w:before="40" w:after="40"/>
              <w:ind w:left="0"/>
              <w:rPr>
                <w:rFonts w:cs="Arial"/>
                <w:sz w:val="16"/>
                <w:szCs w:val="16"/>
                <w:lang w:eastAsia="en-US"/>
              </w:rPr>
            </w:pPr>
            <w:r>
              <w:rPr>
                <w:rFonts w:ascii="ArialMT" w:eastAsia="Calibri" w:hAnsi="ArialMT" w:cs="ArialMT"/>
                <w:kern w:val="0"/>
                <w:sz w:val="16"/>
                <w:szCs w:val="16"/>
                <w:lang w:eastAsia="en-US"/>
              </w:rPr>
              <w:t>considered significant at a population level.</w:t>
            </w:r>
          </w:p>
        </w:tc>
        <w:tc>
          <w:tcPr>
            <w:tcW w:w="4181" w:type="dxa"/>
            <w:shd w:val="clear" w:color="auto" w:fill="auto"/>
          </w:tcPr>
          <w:p w14:paraId="5026E35F" w14:textId="69901F3C"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lastRenderedPageBreak/>
              <w:t>Modelling predicts a 1% probability of shoreline exposure to 100 g/m</w:t>
            </w:r>
            <w:r>
              <w:rPr>
                <w:rFonts w:ascii="ArialMT" w:eastAsia="Calibri" w:hAnsi="ArialMT" w:cs="ArialMT"/>
                <w:kern w:val="0"/>
                <w:sz w:val="10"/>
                <w:szCs w:val="10"/>
                <w:lang w:eastAsia="en-US"/>
              </w:rPr>
              <w:t xml:space="preserve">2 </w:t>
            </w:r>
            <w:r>
              <w:rPr>
                <w:rFonts w:ascii="ArialMT" w:eastAsia="Calibri" w:hAnsi="ArialMT" w:cs="ArialMT"/>
                <w:kern w:val="0"/>
                <w:sz w:val="16"/>
                <w:szCs w:val="16"/>
                <w:lang w:eastAsia="en-US"/>
              </w:rPr>
              <w:t>at isolated areas of shoreline west of Port Campbell from a 100 m</w:t>
            </w:r>
            <w:r>
              <w:rPr>
                <w:rFonts w:ascii="ArialMT" w:eastAsia="Calibri" w:hAnsi="ArialMT" w:cs="ArialMT"/>
                <w:kern w:val="0"/>
                <w:sz w:val="10"/>
                <w:szCs w:val="10"/>
                <w:lang w:eastAsia="en-US"/>
              </w:rPr>
              <w:t xml:space="preserve">3 </w:t>
            </w:r>
            <w:r>
              <w:rPr>
                <w:rFonts w:ascii="ArialMT" w:eastAsia="Calibri" w:hAnsi="ArialMT" w:cs="ArialMT"/>
                <w:kern w:val="0"/>
                <w:sz w:val="16"/>
                <w:szCs w:val="16"/>
                <w:lang w:eastAsia="en-US"/>
              </w:rPr>
              <w:t xml:space="preserve">subsea pipeline release (no shoreline contact for the well failure scenario). Note </w:t>
            </w:r>
            <w:r>
              <w:rPr>
                <w:rFonts w:ascii="ArialMT" w:eastAsia="Calibri" w:hAnsi="ArialMT" w:cs="ArialMT"/>
                <w:kern w:val="0"/>
                <w:sz w:val="16"/>
                <w:szCs w:val="16"/>
                <w:lang w:eastAsia="en-US"/>
              </w:rPr>
              <w:lastRenderedPageBreak/>
              <w:t>that this is below oiling thresholds which cause ecological impacts.</w:t>
            </w:r>
          </w:p>
          <w:p w14:paraId="7EEDA074"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The area of shoreline predicted to be exposed to</w:t>
            </w:r>
          </w:p>
          <w:p w14:paraId="7D318663"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hydrocarbon loadings &gt;100g/m</w:t>
            </w:r>
            <w:r>
              <w:rPr>
                <w:rFonts w:ascii="ArialMT" w:eastAsia="Calibri" w:hAnsi="ArialMT" w:cs="ArialMT"/>
                <w:kern w:val="0"/>
                <w:sz w:val="10"/>
                <w:szCs w:val="10"/>
                <w:lang w:eastAsia="en-US"/>
              </w:rPr>
              <w:t xml:space="preserve">2 </w:t>
            </w:r>
            <w:r>
              <w:rPr>
                <w:rFonts w:ascii="ArialMT" w:eastAsia="Calibri" w:hAnsi="ArialMT" w:cs="ArialMT"/>
                <w:kern w:val="0"/>
                <w:sz w:val="16"/>
                <w:szCs w:val="16"/>
                <w:lang w:eastAsia="en-US"/>
              </w:rPr>
              <w:t>are localised and lie</w:t>
            </w:r>
          </w:p>
          <w:p w14:paraId="6FFD74BB"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between Port Campbell and London Bridge on a mixed</w:t>
            </w:r>
          </w:p>
          <w:p w14:paraId="69741202"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sand/shore platform shoreline. Residues deposited on</w:t>
            </w:r>
          </w:p>
          <w:p w14:paraId="1AE326D6" w14:textId="06A62EDF"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these areas are rapidly remobilised due to wave and tidal action so any accumulation is likely to be short-term and temporary. For sand areas, weathered condensate resides, similar to MDO would be expected to percolate into the sub-strata of the beach, also limiting exposure to shoreline species.</w:t>
            </w:r>
          </w:p>
          <w:p w14:paraId="1755AE32"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Hooded plovers are recorded as occurring in this area.</w:t>
            </w:r>
          </w:p>
          <w:p w14:paraId="4D086E75"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Shorebirds foraging for food in intertidal areas, along the</w:t>
            </w:r>
          </w:p>
          <w:p w14:paraId="6790762A" w14:textId="33088540"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high tide mark and splash zone may encounter weathered hydrocarbons that may be brought back to nests. Hydrocarbon entering nests can reduces the survivability of hatchlings.</w:t>
            </w:r>
          </w:p>
          <w:p w14:paraId="2C122052"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Given the low levels of hydrocarbon accumulation</w:t>
            </w:r>
          </w:p>
          <w:p w14:paraId="4E6EB551"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predicted (153 g/m</w:t>
            </w:r>
            <w:r>
              <w:rPr>
                <w:rFonts w:ascii="ArialMT" w:eastAsia="Calibri" w:hAnsi="ArialMT" w:cs="ArialMT"/>
                <w:kern w:val="0"/>
                <w:sz w:val="10"/>
                <w:szCs w:val="10"/>
                <w:lang w:eastAsia="en-US"/>
              </w:rPr>
              <w:t>2</w:t>
            </w:r>
            <w:r>
              <w:rPr>
                <w:rFonts w:ascii="ArialMT" w:eastAsia="Calibri" w:hAnsi="ArialMT" w:cs="ArialMT"/>
                <w:kern w:val="0"/>
                <w:sz w:val="16"/>
                <w:szCs w:val="16"/>
                <w:lang w:eastAsia="en-US"/>
              </w:rPr>
              <w:t>), the limited area and temporary</w:t>
            </w:r>
          </w:p>
          <w:p w14:paraId="082EC1DD"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nature of exposure, it is considered that while individual</w:t>
            </w:r>
          </w:p>
          <w:p w14:paraId="04D0022C" w14:textId="77777777" w:rsidR="003E7E61" w:rsidRDefault="003E7E61" w:rsidP="003E7E61">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birds may be affected, at a population level this is not</w:t>
            </w:r>
          </w:p>
          <w:p w14:paraId="467A3D9A" w14:textId="3AEFFF04" w:rsidR="00E30B39" w:rsidRPr="0040192D" w:rsidRDefault="003E7E61" w:rsidP="003E7E61">
            <w:pPr>
              <w:spacing w:before="40" w:after="40"/>
              <w:rPr>
                <w:rFonts w:cs="Arial"/>
                <w:sz w:val="16"/>
                <w:szCs w:val="16"/>
                <w:lang w:eastAsia="en-US"/>
              </w:rPr>
            </w:pPr>
            <w:r>
              <w:rPr>
                <w:rFonts w:ascii="ArialMT" w:eastAsia="Calibri" w:hAnsi="ArialMT" w:cs="ArialMT"/>
                <w:kern w:val="0"/>
                <w:sz w:val="16"/>
                <w:szCs w:val="16"/>
                <w:lang w:eastAsia="en-US"/>
              </w:rPr>
              <w:t>significant (minor consequence).</w:t>
            </w:r>
          </w:p>
        </w:tc>
      </w:tr>
    </w:tbl>
    <w:p w14:paraId="15FAC4A4" w14:textId="3C3A5B26" w:rsidR="007069BE" w:rsidRDefault="007069BE" w:rsidP="00E1729C">
      <w:pPr>
        <w:pStyle w:val="BodyText"/>
        <w:rPr>
          <w:lang w:eastAsia="en-US"/>
        </w:rPr>
      </w:pPr>
    </w:p>
    <w:p w14:paraId="220920B6" w14:textId="1DBE9BB6" w:rsidR="00C22C20" w:rsidRPr="00C22C20" w:rsidRDefault="007069BE" w:rsidP="00B86A7D">
      <w:pPr>
        <w:pStyle w:val="Caption"/>
        <w:outlineLvl w:val="9"/>
        <w:rPr>
          <w:sz w:val="20"/>
          <w:szCs w:val="20"/>
        </w:rPr>
      </w:pPr>
      <w:bookmarkStart w:id="266" w:name="_Toc511032619"/>
      <w:r w:rsidRPr="007069BE">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28</w:t>
      </w:r>
      <w:r w:rsidR="00103328">
        <w:rPr>
          <w:sz w:val="20"/>
          <w:szCs w:val="20"/>
        </w:rPr>
        <w:fldChar w:fldCharType="end"/>
      </w:r>
      <w:r w:rsidRPr="007069BE">
        <w:rPr>
          <w:sz w:val="20"/>
          <w:szCs w:val="20"/>
        </w:rPr>
        <w:t>: Potential impacts of hydrocarbons on sandy beaches</w:t>
      </w:r>
      <w:bookmarkEnd w:id="266"/>
    </w:p>
    <w:tbl>
      <w:tblPr>
        <w:tblW w:w="0" w:type="auto"/>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13031"/>
      </w:tblGrid>
      <w:tr w:rsidR="00B8048A" w:rsidRPr="007069BE" w14:paraId="2EAEF567" w14:textId="77777777" w:rsidTr="007069BE">
        <w:tc>
          <w:tcPr>
            <w:tcW w:w="13217" w:type="dxa"/>
            <w:shd w:val="clear" w:color="auto" w:fill="A6A6A6"/>
          </w:tcPr>
          <w:p w14:paraId="2DD06492" w14:textId="1F213F19" w:rsidR="00B8048A" w:rsidRPr="007069BE" w:rsidRDefault="00B8048A" w:rsidP="007069BE">
            <w:pPr>
              <w:pStyle w:val="BodyText"/>
              <w:spacing w:before="40" w:after="40"/>
              <w:ind w:left="0"/>
              <w:jc w:val="center"/>
              <w:rPr>
                <w:rFonts w:cs="Arial"/>
                <w:b/>
                <w:sz w:val="16"/>
                <w:szCs w:val="16"/>
                <w:lang w:eastAsia="en-US"/>
              </w:rPr>
            </w:pPr>
            <w:r w:rsidRPr="007069BE">
              <w:rPr>
                <w:rFonts w:cs="Arial"/>
                <w:b/>
                <w:sz w:val="16"/>
                <w:szCs w:val="16"/>
                <w:lang w:eastAsia="en-US"/>
              </w:rPr>
              <w:t xml:space="preserve">General sensitivity to oiling </w:t>
            </w:r>
            <w:r w:rsidR="00AD7D22" w:rsidRPr="007069BE">
              <w:rPr>
                <w:rFonts w:cs="Arial"/>
                <w:b/>
                <w:sz w:val="16"/>
                <w:szCs w:val="16"/>
                <w:lang w:eastAsia="en-US"/>
              </w:rPr>
              <w:t>–</w:t>
            </w:r>
            <w:r w:rsidRPr="007069BE">
              <w:rPr>
                <w:rFonts w:cs="Arial"/>
                <w:b/>
                <w:sz w:val="16"/>
                <w:szCs w:val="16"/>
                <w:lang w:eastAsia="en-US"/>
              </w:rPr>
              <w:t xml:space="preserve"> </w:t>
            </w:r>
            <w:r w:rsidR="00AD7D22" w:rsidRPr="007069BE">
              <w:rPr>
                <w:rFonts w:cs="Arial"/>
                <w:b/>
                <w:sz w:val="16"/>
                <w:szCs w:val="16"/>
                <w:lang w:eastAsia="en-US"/>
              </w:rPr>
              <w:t>sandy beaches</w:t>
            </w:r>
          </w:p>
        </w:tc>
      </w:tr>
      <w:tr w:rsidR="00B8048A" w:rsidRPr="007069BE" w14:paraId="433DF1EE" w14:textId="77777777" w:rsidTr="007069BE">
        <w:tc>
          <w:tcPr>
            <w:tcW w:w="13217" w:type="dxa"/>
            <w:shd w:val="clear" w:color="auto" w:fill="auto"/>
          </w:tcPr>
          <w:p w14:paraId="5561A88B"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 xml:space="preserve">Sandy beaches have a ‘Low’ sensitivity rating as they are regularly cleaned by wave action have low total organic carbon and low abundance of marine life (Hook </w:t>
            </w:r>
            <w:r>
              <w:rPr>
                <w:rFonts w:ascii="Arial-ItalicMT" w:eastAsia="Calibri" w:hAnsi="Arial-ItalicMT" w:cs="Arial-ItalicMT"/>
                <w:i/>
                <w:iCs/>
                <w:kern w:val="0"/>
                <w:sz w:val="16"/>
                <w:szCs w:val="16"/>
                <w:lang w:eastAsia="en-US"/>
              </w:rPr>
              <w:t>et al</w:t>
            </w:r>
            <w:r>
              <w:rPr>
                <w:rFonts w:ascii="ArialMT" w:eastAsia="Calibri" w:hAnsi="ArialMT" w:cs="ArialMT"/>
                <w:kern w:val="0"/>
                <w:sz w:val="16"/>
                <w:szCs w:val="16"/>
                <w:lang w:eastAsia="en-US"/>
              </w:rPr>
              <w:t>., 2016).</w:t>
            </w:r>
          </w:p>
          <w:p w14:paraId="1E8BB331"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The 100 ml/m</w:t>
            </w:r>
            <w:r>
              <w:rPr>
                <w:rFonts w:ascii="ArialMT" w:eastAsia="Calibri" w:hAnsi="ArialMT" w:cs="ArialMT"/>
                <w:kern w:val="0"/>
                <w:sz w:val="10"/>
                <w:szCs w:val="10"/>
                <w:lang w:eastAsia="en-US"/>
              </w:rPr>
              <w:t xml:space="preserve">2 </w:t>
            </w:r>
            <w:r>
              <w:rPr>
                <w:rFonts w:ascii="ArialMT" w:eastAsia="Calibri" w:hAnsi="ArialMT" w:cs="ArialMT"/>
                <w:kern w:val="0"/>
                <w:sz w:val="16"/>
                <w:szCs w:val="16"/>
                <w:lang w:eastAsia="en-US"/>
              </w:rPr>
              <w:t>threshold (considered a ‘stain’ or ‘film’, and equivalent to 0.1 mm) is assumed as the lethal threshold for invertebrates on hard substrates and sediments (mud, silt,</w:t>
            </w:r>
          </w:p>
          <w:p w14:paraId="70661858"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sand, gravel) in intertidal habitats. A threshold of 100 g/m</w:t>
            </w:r>
            <w:r>
              <w:rPr>
                <w:rFonts w:ascii="ArialMT" w:eastAsia="Calibri" w:hAnsi="ArialMT" w:cs="ArialMT"/>
                <w:kern w:val="0"/>
                <w:sz w:val="10"/>
                <w:szCs w:val="10"/>
                <w:lang w:eastAsia="en-US"/>
              </w:rPr>
              <w:t xml:space="preserve">2 </w:t>
            </w:r>
            <w:r>
              <w:rPr>
                <w:rFonts w:ascii="ArialMT" w:eastAsia="Calibri" w:hAnsi="ArialMT" w:cs="ArialMT"/>
                <w:kern w:val="0"/>
                <w:sz w:val="16"/>
                <w:szCs w:val="16"/>
                <w:lang w:eastAsia="en-US"/>
              </w:rPr>
              <w:t>oil thickness would be enough to coat the animal and likely impact its survival and reproductive capacity (French-McCay,</w:t>
            </w:r>
          </w:p>
          <w:p w14:paraId="3827152F"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2009). Based on this, areas of heavy oiling would likely result in acute toxicity, and death, of many invertebrate communities, especially where oil penetrates into sediments through animal burrows (IPIECA, 1999). However, these communities would be likely to rapidly recover (recruitment from unaffected individuals and recruitment from nearby areas) as oil is</w:t>
            </w:r>
          </w:p>
          <w:p w14:paraId="4E647DF8"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removed from the environment.</w:t>
            </w:r>
          </w:p>
          <w:p w14:paraId="00418164"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Sandy beaches support a variety of worms, molluscs and crustaceans. Because the sand retains oil, such animals may be killed if oil penetrates into the sediments. For example,</w:t>
            </w:r>
          </w:p>
          <w:p w14:paraId="6C0D9B30"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 xml:space="preserve">following the </w:t>
            </w:r>
            <w:r>
              <w:rPr>
                <w:rFonts w:ascii="Arial-ItalicMT" w:eastAsia="Calibri" w:hAnsi="Arial-ItalicMT" w:cs="Arial-ItalicMT"/>
                <w:i/>
                <w:iCs/>
                <w:kern w:val="0"/>
                <w:sz w:val="16"/>
                <w:szCs w:val="16"/>
                <w:lang w:eastAsia="en-US"/>
              </w:rPr>
              <w:t xml:space="preserve">Sea Empress </w:t>
            </w:r>
            <w:r>
              <w:rPr>
                <w:rFonts w:ascii="ArialMT" w:eastAsia="Calibri" w:hAnsi="ArialMT" w:cs="ArialMT"/>
                <w:kern w:val="0"/>
                <w:sz w:val="16"/>
                <w:szCs w:val="16"/>
                <w:lang w:eastAsia="en-US"/>
              </w:rPr>
              <w:t>spill (in west Wales, 1996) many amphipods (sandhoppers), cockles and razor shells were killed. There were mass strandings on many beaches of both</w:t>
            </w:r>
          </w:p>
          <w:p w14:paraId="610773AD"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 xml:space="preserve">intertidal species (such as cockles) and shallow sub-tidal species. Similar mass strandings occurred after the </w:t>
            </w:r>
            <w:r>
              <w:rPr>
                <w:rFonts w:ascii="Arial-ItalicMT" w:eastAsia="Calibri" w:hAnsi="Arial-ItalicMT" w:cs="Arial-ItalicMT"/>
                <w:i/>
                <w:iCs/>
                <w:kern w:val="0"/>
                <w:sz w:val="16"/>
                <w:szCs w:val="16"/>
                <w:lang w:eastAsia="en-US"/>
              </w:rPr>
              <w:t xml:space="preserve">Amoco Cadiz </w:t>
            </w:r>
            <w:r>
              <w:rPr>
                <w:rFonts w:ascii="ArialMT" w:eastAsia="Calibri" w:hAnsi="ArialMT" w:cs="ArialMT"/>
                <w:kern w:val="0"/>
                <w:sz w:val="16"/>
                <w:szCs w:val="16"/>
                <w:lang w:eastAsia="en-US"/>
              </w:rPr>
              <w:t>spill (in Brittany, France, 1978) (IPIECA, 1999). Following</w:t>
            </w:r>
          </w:p>
          <w:p w14:paraId="75EDAA02"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 xml:space="preserve">the </w:t>
            </w:r>
            <w:r>
              <w:rPr>
                <w:rFonts w:ascii="Arial-ItalicMT" w:eastAsia="Calibri" w:hAnsi="Arial-ItalicMT" w:cs="Arial-ItalicMT"/>
                <w:i/>
                <w:iCs/>
                <w:kern w:val="0"/>
                <w:sz w:val="16"/>
                <w:szCs w:val="16"/>
                <w:lang w:eastAsia="en-US"/>
              </w:rPr>
              <w:t xml:space="preserve">Sea Empress </w:t>
            </w:r>
            <w:r>
              <w:rPr>
                <w:rFonts w:ascii="ArialMT" w:eastAsia="Calibri" w:hAnsi="ArialMT" w:cs="ArialMT"/>
                <w:kern w:val="0"/>
                <w:sz w:val="16"/>
                <w:szCs w:val="16"/>
                <w:lang w:eastAsia="en-US"/>
              </w:rPr>
              <w:t>spill, populations of mud snails recovered within a few months but some amphipod populations had not returned to normal after one year. Opportunists such as</w:t>
            </w:r>
          </w:p>
          <w:p w14:paraId="399FF9BA"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some species of worm may actually show a dramatic short-term increase following an oil spill (IPIECA, 1999).</w:t>
            </w:r>
          </w:p>
          <w:p w14:paraId="7150C90D" w14:textId="493C16BB" w:rsidR="00CE77E2" w:rsidRPr="007069BE" w:rsidRDefault="00366ABD" w:rsidP="00366ABD">
            <w:pPr>
              <w:spacing w:before="40" w:after="40"/>
              <w:rPr>
                <w:rFonts w:cs="Arial"/>
                <w:sz w:val="16"/>
                <w:szCs w:val="16"/>
                <w:lang w:eastAsia="en-US"/>
              </w:rPr>
            </w:pPr>
            <w:r>
              <w:rPr>
                <w:rFonts w:ascii="ArialMT" w:eastAsia="Calibri" w:hAnsi="ArialMT" w:cs="ArialMT"/>
                <w:kern w:val="0"/>
                <w:sz w:val="16"/>
                <w:szCs w:val="16"/>
                <w:lang w:eastAsia="en-US"/>
              </w:rPr>
              <w:t>Long-term depletion of sediment fauna could have an adverse effect on birds or fish that use tidal flats as feeding grounds (IPIECA, 1999).</w:t>
            </w:r>
          </w:p>
        </w:tc>
      </w:tr>
      <w:tr w:rsidR="00B8048A" w:rsidRPr="007069BE" w14:paraId="065AF794" w14:textId="77777777" w:rsidTr="007069BE">
        <w:tc>
          <w:tcPr>
            <w:tcW w:w="13217" w:type="dxa"/>
            <w:shd w:val="clear" w:color="auto" w:fill="D9D9D9"/>
          </w:tcPr>
          <w:p w14:paraId="3A771B31" w14:textId="77777777" w:rsidR="00B8048A" w:rsidRPr="007069BE" w:rsidRDefault="00B8048A" w:rsidP="007069BE">
            <w:pPr>
              <w:pStyle w:val="BodyText"/>
              <w:spacing w:before="40" w:after="40"/>
              <w:ind w:left="0"/>
              <w:jc w:val="center"/>
              <w:rPr>
                <w:rFonts w:cs="Arial"/>
                <w:b/>
                <w:sz w:val="16"/>
                <w:szCs w:val="16"/>
                <w:lang w:eastAsia="en-US"/>
              </w:rPr>
            </w:pPr>
            <w:r w:rsidRPr="007069BE">
              <w:rPr>
                <w:rFonts w:cs="Arial"/>
                <w:b/>
                <w:sz w:val="16"/>
                <w:szCs w:val="16"/>
                <w:lang w:eastAsia="en-US"/>
              </w:rPr>
              <w:t>Potential impacts from this project</w:t>
            </w:r>
          </w:p>
        </w:tc>
      </w:tr>
      <w:tr w:rsidR="00AD7D22" w:rsidRPr="007069BE" w14:paraId="125C04F1" w14:textId="77777777" w:rsidTr="007069BE">
        <w:tc>
          <w:tcPr>
            <w:tcW w:w="13217" w:type="dxa"/>
            <w:shd w:val="clear" w:color="auto" w:fill="F2F2F2"/>
          </w:tcPr>
          <w:p w14:paraId="368E7645" w14:textId="14B7ADA6" w:rsidR="00AD7D22" w:rsidRPr="007069BE" w:rsidRDefault="00AD7D22" w:rsidP="007069BE">
            <w:pPr>
              <w:pStyle w:val="BodyText"/>
              <w:spacing w:before="40" w:after="40"/>
              <w:ind w:left="0"/>
              <w:jc w:val="center"/>
              <w:rPr>
                <w:rFonts w:cs="Arial"/>
                <w:sz w:val="16"/>
                <w:szCs w:val="16"/>
                <w:lang w:eastAsia="en-US"/>
              </w:rPr>
            </w:pPr>
            <w:r w:rsidRPr="007069BE">
              <w:rPr>
                <w:rFonts w:cs="Arial"/>
                <w:sz w:val="16"/>
                <w:szCs w:val="16"/>
                <w:lang w:eastAsia="en-US"/>
              </w:rPr>
              <w:t>Shoreline</w:t>
            </w:r>
          </w:p>
        </w:tc>
      </w:tr>
      <w:tr w:rsidR="00AD7D22" w:rsidRPr="007069BE" w14:paraId="60F227AA" w14:textId="77777777" w:rsidTr="007069BE">
        <w:tc>
          <w:tcPr>
            <w:tcW w:w="13217" w:type="dxa"/>
            <w:shd w:val="clear" w:color="auto" w:fill="auto"/>
          </w:tcPr>
          <w:p w14:paraId="72C3A041" w14:textId="7D8C16AD" w:rsidR="00DD3FB5" w:rsidRPr="007069BE" w:rsidRDefault="00AD7D22" w:rsidP="007069BE">
            <w:pPr>
              <w:spacing w:before="40" w:after="40"/>
              <w:rPr>
                <w:sz w:val="16"/>
                <w:szCs w:val="16"/>
              </w:rPr>
            </w:pPr>
            <w:r w:rsidRPr="007069BE">
              <w:rPr>
                <w:sz w:val="16"/>
                <w:szCs w:val="16"/>
              </w:rPr>
              <w:lastRenderedPageBreak/>
              <w:t>The</w:t>
            </w:r>
            <w:r w:rsidR="00EB0036" w:rsidRPr="007069BE">
              <w:rPr>
                <w:sz w:val="16"/>
                <w:szCs w:val="16"/>
              </w:rPr>
              <w:t xml:space="preserve">re is a very small area </w:t>
            </w:r>
            <w:r w:rsidR="0072747D" w:rsidRPr="007069BE">
              <w:rPr>
                <w:sz w:val="16"/>
                <w:szCs w:val="16"/>
              </w:rPr>
              <w:t xml:space="preserve">between </w:t>
            </w:r>
            <w:r w:rsidR="00EB0036" w:rsidRPr="007069BE">
              <w:rPr>
                <w:sz w:val="16"/>
                <w:szCs w:val="16"/>
              </w:rPr>
              <w:t xml:space="preserve">Port Campbell </w:t>
            </w:r>
            <w:r w:rsidR="0072747D" w:rsidRPr="007069BE">
              <w:rPr>
                <w:sz w:val="16"/>
                <w:szCs w:val="16"/>
              </w:rPr>
              <w:t xml:space="preserve">and </w:t>
            </w:r>
            <w:r w:rsidR="00D23195">
              <w:rPr>
                <w:sz w:val="16"/>
                <w:szCs w:val="16"/>
              </w:rPr>
              <w:t>Shelly Beach</w:t>
            </w:r>
            <w:r w:rsidR="00D23195" w:rsidRPr="007069BE">
              <w:rPr>
                <w:sz w:val="16"/>
                <w:szCs w:val="16"/>
              </w:rPr>
              <w:t xml:space="preserve"> </w:t>
            </w:r>
            <w:r w:rsidR="00EB0036" w:rsidRPr="007069BE">
              <w:rPr>
                <w:sz w:val="16"/>
                <w:szCs w:val="16"/>
              </w:rPr>
              <w:t xml:space="preserve">where the OSTM indicates that </w:t>
            </w:r>
            <w:r w:rsidR="00F16C7E">
              <w:rPr>
                <w:sz w:val="16"/>
                <w:szCs w:val="16"/>
              </w:rPr>
              <w:t>shoreline oiling may occur above 100 g/m</w:t>
            </w:r>
            <w:r w:rsidR="00F16C7E" w:rsidRPr="00083759">
              <w:rPr>
                <w:sz w:val="16"/>
                <w:szCs w:val="16"/>
                <w:vertAlign w:val="superscript"/>
              </w:rPr>
              <w:t>2</w:t>
            </w:r>
            <w:r w:rsidR="00F16C7E">
              <w:rPr>
                <w:sz w:val="16"/>
                <w:szCs w:val="16"/>
              </w:rPr>
              <w:t xml:space="preserve"> </w:t>
            </w:r>
            <w:r w:rsidR="00D23195">
              <w:rPr>
                <w:sz w:val="16"/>
                <w:szCs w:val="16"/>
              </w:rPr>
              <w:t xml:space="preserve">may occur </w:t>
            </w:r>
            <w:r w:rsidR="00F56EAC" w:rsidRPr="007069BE">
              <w:rPr>
                <w:sz w:val="16"/>
                <w:szCs w:val="16"/>
              </w:rPr>
              <w:t>(</w:t>
            </w:r>
            <w:r w:rsidR="00F16C7E">
              <w:rPr>
                <w:sz w:val="16"/>
                <w:szCs w:val="16"/>
              </w:rPr>
              <w:t>1</w:t>
            </w:r>
            <w:r w:rsidR="00F56EAC" w:rsidRPr="007069BE">
              <w:rPr>
                <w:sz w:val="16"/>
                <w:szCs w:val="16"/>
              </w:rPr>
              <w:t>% probability of contact)</w:t>
            </w:r>
            <w:r w:rsidR="00EB0036" w:rsidRPr="007069BE">
              <w:rPr>
                <w:sz w:val="16"/>
                <w:szCs w:val="16"/>
              </w:rPr>
              <w:t>. This area is dominated by sheer rocky cliffs with very small area</w:t>
            </w:r>
            <w:r w:rsidR="005E32F3" w:rsidRPr="007069BE">
              <w:rPr>
                <w:sz w:val="16"/>
                <w:szCs w:val="16"/>
              </w:rPr>
              <w:t>s</w:t>
            </w:r>
            <w:r w:rsidR="00EB0036" w:rsidRPr="007069BE">
              <w:rPr>
                <w:sz w:val="16"/>
                <w:szCs w:val="16"/>
              </w:rPr>
              <w:t xml:space="preserve"> of sandy beach</w:t>
            </w:r>
            <w:r w:rsidR="00D23195">
              <w:rPr>
                <w:sz w:val="16"/>
                <w:szCs w:val="16"/>
              </w:rPr>
              <w:t>/rock platform</w:t>
            </w:r>
            <w:r w:rsidR="00EB0036" w:rsidRPr="007069BE">
              <w:rPr>
                <w:sz w:val="16"/>
                <w:szCs w:val="16"/>
              </w:rPr>
              <w:t xml:space="preserve">. </w:t>
            </w:r>
            <w:r w:rsidR="00713086" w:rsidRPr="007069BE">
              <w:rPr>
                <w:sz w:val="16"/>
                <w:szCs w:val="16"/>
              </w:rPr>
              <w:t xml:space="preserve">This occurs only for the </w:t>
            </w:r>
            <w:r w:rsidR="00D23195">
              <w:rPr>
                <w:sz w:val="16"/>
                <w:szCs w:val="16"/>
              </w:rPr>
              <w:t xml:space="preserve">pipeline rupture </w:t>
            </w:r>
            <w:r w:rsidR="00713086" w:rsidRPr="007069BE">
              <w:rPr>
                <w:sz w:val="16"/>
                <w:szCs w:val="16"/>
              </w:rPr>
              <w:t xml:space="preserve">scenario </w:t>
            </w:r>
            <w:r w:rsidR="00D23195">
              <w:rPr>
                <w:sz w:val="16"/>
                <w:szCs w:val="16"/>
              </w:rPr>
              <w:t>at the HDD</w:t>
            </w:r>
            <w:r w:rsidR="00713086" w:rsidRPr="007069BE">
              <w:rPr>
                <w:sz w:val="16"/>
                <w:szCs w:val="16"/>
              </w:rPr>
              <w:t xml:space="preserve">. </w:t>
            </w:r>
          </w:p>
          <w:p w14:paraId="45132535" w14:textId="024EF026" w:rsidR="00AD7D22" w:rsidRPr="007069BE" w:rsidRDefault="00F56EAC" w:rsidP="007069BE">
            <w:pPr>
              <w:spacing w:before="40" w:after="40"/>
              <w:rPr>
                <w:sz w:val="16"/>
                <w:szCs w:val="16"/>
              </w:rPr>
            </w:pPr>
            <w:r w:rsidRPr="007069BE">
              <w:rPr>
                <w:sz w:val="16"/>
                <w:szCs w:val="16"/>
              </w:rPr>
              <w:t xml:space="preserve">With the shortest time to reach the coast being 1 hour, </w:t>
            </w:r>
            <w:r w:rsidR="00713086" w:rsidRPr="007069BE">
              <w:rPr>
                <w:sz w:val="16"/>
                <w:szCs w:val="16"/>
              </w:rPr>
              <w:t xml:space="preserve">the hydrocarbons </w:t>
            </w:r>
            <w:r w:rsidRPr="007069BE">
              <w:rPr>
                <w:sz w:val="16"/>
                <w:szCs w:val="16"/>
              </w:rPr>
              <w:t>will have partially weathered</w:t>
            </w:r>
            <w:r w:rsidR="00713086" w:rsidRPr="007069BE">
              <w:rPr>
                <w:sz w:val="16"/>
                <w:szCs w:val="16"/>
              </w:rPr>
              <w:t xml:space="preserve">. Impacts to </w:t>
            </w:r>
            <w:r w:rsidR="00A3516E" w:rsidRPr="007069BE">
              <w:rPr>
                <w:sz w:val="16"/>
                <w:szCs w:val="16"/>
              </w:rPr>
              <w:t>amphipods or worms on sandy beaches from</w:t>
            </w:r>
            <w:r w:rsidR="00AD7D22" w:rsidRPr="007069BE">
              <w:rPr>
                <w:sz w:val="16"/>
                <w:szCs w:val="16"/>
              </w:rPr>
              <w:t xml:space="preserve"> smothering and oxygen depletion </w:t>
            </w:r>
            <w:r w:rsidR="00A3516E" w:rsidRPr="007069BE">
              <w:rPr>
                <w:sz w:val="16"/>
                <w:szCs w:val="16"/>
              </w:rPr>
              <w:t>are unlikely to occur in the low concentrations and volumes (</w:t>
            </w:r>
            <w:r w:rsidR="00F03796">
              <w:rPr>
                <w:sz w:val="16"/>
                <w:szCs w:val="16"/>
              </w:rPr>
              <w:t>1.25</w:t>
            </w:r>
            <w:r w:rsidR="00A3516E" w:rsidRPr="007069BE">
              <w:rPr>
                <w:sz w:val="16"/>
                <w:szCs w:val="16"/>
              </w:rPr>
              <w:t xml:space="preserve"> m</w:t>
            </w:r>
            <w:r w:rsidR="00A3516E" w:rsidRPr="007069BE">
              <w:rPr>
                <w:sz w:val="16"/>
                <w:szCs w:val="16"/>
                <w:vertAlign w:val="superscript"/>
              </w:rPr>
              <w:t>3</w:t>
            </w:r>
            <w:r w:rsidR="00A3516E" w:rsidRPr="007069BE">
              <w:rPr>
                <w:sz w:val="16"/>
                <w:szCs w:val="16"/>
              </w:rPr>
              <w:t xml:space="preserve"> maximum) predicted to strand ashore. </w:t>
            </w:r>
            <w:r w:rsidR="00F03796">
              <w:rPr>
                <w:sz w:val="16"/>
                <w:szCs w:val="16"/>
              </w:rPr>
              <w:t>Given the low viscosity of this residue it is likely to permeate into sand</w:t>
            </w:r>
            <w:r w:rsidR="00D23195">
              <w:rPr>
                <w:sz w:val="16"/>
                <w:szCs w:val="16"/>
              </w:rPr>
              <w:t xml:space="preserve"> areas in a similar way to MDO</w:t>
            </w:r>
            <w:r w:rsidR="00F03796">
              <w:rPr>
                <w:sz w:val="16"/>
                <w:szCs w:val="16"/>
              </w:rPr>
              <w:t xml:space="preserve">. </w:t>
            </w:r>
            <w:r w:rsidR="00B740FD" w:rsidRPr="007069BE">
              <w:rPr>
                <w:sz w:val="16"/>
                <w:szCs w:val="16"/>
              </w:rPr>
              <w:t>The tides</w:t>
            </w:r>
            <w:r w:rsidR="00F03796">
              <w:rPr>
                <w:sz w:val="16"/>
                <w:szCs w:val="16"/>
              </w:rPr>
              <w:t xml:space="preserve"> and constant wave washing </w:t>
            </w:r>
            <w:r w:rsidR="00B740FD" w:rsidRPr="007069BE">
              <w:rPr>
                <w:sz w:val="16"/>
                <w:szCs w:val="16"/>
              </w:rPr>
              <w:t>are expected to lead to rapid weathering of any hydrocarbons in the intertidal area</w:t>
            </w:r>
            <w:r w:rsidR="007069BE">
              <w:rPr>
                <w:sz w:val="16"/>
                <w:szCs w:val="16"/>
              </w:rPr>
              <w:t xml:space="preserve"> </w:t>
            </w:r>
            <w:r w:rsidR="00D23195">
              <w:rPr>
                <w:sz w:val="16"/>
                <w:szCs w:val="16"/>
              </w:rPr>
              <w:t xml:space="preserve">and </w:t>
            </w:r>
            <w:r w:rsidR="00D23195" w:rsidRPr="007069BE">
              <w:rPr>
                <w:sz w:val="16"/>
                <w:szCs w:val="16"/>
              </w:rPr>
              <w:t>it is unlikely that toxicity or smothering effects to exposed fauna will occur on this type of shoreline</w:t>
            </w:r>
            <w:r w:rsidR="00D23195">
              <w:rPr>
                <w:sz w:val="16"/>
                <w:szCs w:val="16"/>
              </w:rPr>
              <w:t xml:space="preserve"> </w:t>
            </w:r>
            <w:r w:rsidR="007069BE">
              <w:rPr>
                <w:sz w:val="16"/>
                <w:szCs w:val="16"/>
              </w:rPr>
              <w:t>(negligible consequence)</w:t>
            </w:r>
            <w:r w:rsidR="00B740FD" w:rsidRPr="007069BE">
              <w:rPr>
                <w:sz w:val="16"/>
                <w:szCs w:val="16"/>
              </w:rPr>
              <w:t xml:space="preserve">. </w:t>
            </w:r>
          </w:p>
          <w:p w14:paraId="6FAD285B" w14:textId="53BDB385" w:rsidR="00AD7D22" w:rsidRPr="007069BE" w:rsidRDefault="00B740FD">
            <w:pPr>
              <w:pStyle w:val="BodyText"/>
              <w:spacing w:before="40" w:after="40"/>
              <w:ind w:left="0"/>
              <w:rPr>
                <w:rFonts w:cs="Arial"/>
                <w:sz w:val="16"/>
                <w:szCs w:val="16"/>
                <w:lang w:eastAsia="en-US"/>
              </w:rPr>
            </w:pPr>
            <w:r w:rsidRPr="007069BE">
              <w:rPr>
                <w:sz w:val="16"/>
                <w:szCs w:val="16"/>
              </w:rPr>
              <w:t>I</w:t>
            </w:r>
            <w:r w:rsidR="00AD7D22" w:rsidRPr="007069BE">
              <w:rPr>
                <w:sz w:val="16"/>
                <w:szCs w:val="16"/>
              </w:rPr>
              <w:t xml:space="preserve">mpacts </w:t>
            </w:r>
            <w:r w:rsidRPr="007069BE">
              <w:rPr>
                <w:sz w:val="16"/>
                <w:szCs w:val="16"/>
              </w:rPr>
              <w:t>to tourism and other human uses of the beach are unlikely</w:t>
            </w:r>
            <w:r w:rsidR="00D23195">
              <w:rPr>
                <w:sz w:val="16"/>
                <w:szCs w:val="16"/>
              </w:rPr>
              <w:t>. Visual impact through</w:t>
            </w:r>
            <w:r w:rsidR="00B95DC0" w:rsidRPr="007069BE">
              <w:rPr>
                <w:sz w:val="16"/>
                <w:szCs w:val="16"/>
              </w:rPr>
              <w:t xml:space="preserve"> </w:t>
            </w:r>
            <w:r w:rsidR="00D23195">
              <w:rPr>
                <w:sz w:val="16"/>
                <w:szCs w:val="16"/>
              </w:rPr>
              <w:t xml:space="preserve">shoreline </w:t>
            </w:r>
            <w:r w:rsidR="00B95DC0" w:rsidRPr="007069BE">
              <w:rPr>
                <w:sz w:val="16"/>
                <w:szCs w:val="16"/>
              </w:rPr>
              <w:t>staining is unlikely to occur</w:t>
            </w:r>
            <w:r w:rsidR="007069BE">
              <w:rPr>
                <w:sz w:val="16"/>
                <w:szCs w:val="16"/>
              </w:rPr>
              <w:t xml:space="preserve"> (minor consequence based upon business reputation parameter)</w:t>
            </w:r>
            <w:r w:rsidRPr="007069BE">
              <w:rPr>
                <w:sz w:val="16"/>
                <w:szCs w:val="16"/>
              </w:rPr>
              <w:t>.</w:t>
            </w:r>
            <w:r w:rsidR="00AD7D22" w:rsidRPr="007069BE">
              <w:rPr>
                <w:sz w:val="16"/>
                <w:szCs w:val="16"/>
              </w:rPr>
              <w:t xml:space="preserve"> </w:t>
            </w:r>
          </w:p>
        </w:tc>
      </w:tr>
    </w:tbl>
    <w:p w14:paraId="5F5EEADB" w14:textId="77777777" w:rsidR="008C2ED4" w:rsidRDefault="008C2ED4" w:rsidP="00024BA3">
      <w:pPr>
        <w:pStyle w:val="Caption"/>
        <w:outlineLvl w:val="9"/>
        <w:rPr>
          <w:sz w:val="20"/>
          <w:szCs w:val="20"/>
        </w:rPr>
      </w:pPr>
    </w:p>
    <w:p w14:paraId="0F8C0B58" w14:textId="7C331FEE" w:rsidR="006A0043" w:rsidRPr="00C22C20" w:rsidRDefault="007069BE" w:rsidP="00024BA3">
      <w:pPr>
        <w:pStyle w:val="Caption"/>
        <w:outlineLvl w:val="9"/>
        <w:rPr>
          <w:sz w:val="20"/>
          <w:szCs w:val="20"/>
        </w:rPr>
      </w:pPr>
      <w:bookmarkStart w:id="267" w:name="_Toc511032620"/>
      <w:r w:rsidRPr="007069BE">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29</w:t>
      </w:r>
      <w:r w:rsidR="00103328">
        <w:rPr>
          <w:sz w:val="20"/>
          <w:szCs w:val="20"/>
        </w:rPr>
        <w:fldChar w:fldCharType="end"/>
      </w:r>
      <w:r w:rsidRPr="007069BE">
        <w:rPr>
          <w:sz w:val="20"/>
          <w:szCs w:val="20"/>
        </w:rPr>
        <w:t>: Potential impacts of hydrocarbons to rocky shores</w:t>
      </w:r>
      <w:bookmarkEnd w:id="267"/>
    </w:p>
    <w:tbl>
      <w:tblPr>
        <w:tblW w:w="0" w:type="auto"/>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13031"/>
      </w:tblGrid>
      <w:tr w:rsidR="00B8048A" w:rsidRPr="007069BE" w14:paraId="4C7583E3" w14:textId="77777777" w:rsidTr="007069BE">
        <w:tc>
          <w:tcPr>
            <w:tcW w:w="13217" w:type="dxa"/>
            <w:shd w:val="clear" w:color="auto" w:fill="A6A6A6"/>
          </w:tcPr>
          <w:p w14:paraId="08E4CC12" w14:textId="0E4CDD95" w:rsidR="00B8048A" w:rsidRPr="007069BE" w:rsidRDefault="00B8048A" w:rsidP="007069BE">
            <w:pPr>
              <w:pStyle w:val="BodyText"/>
              <w:spacing w:before="40" w:after="40"/>
              <w:ind w:left="0"/>
              <w:jc w:val="center"/>
              <w:rPr>
                <w:rFonts w:cs="Arial"/>
                <w:b/>
                <w:sz w:val="16"/>
                <w:szCs w:val="16"/>
                <w:lang w:eastAsia="en-US"/>
              </w:rPr>
            </w:pPr>
            <w:r w:rsidRPr="007069BE">
              <w:rPr>
                <w:rFonts w:cs="Arial"/>
                <w:b/>
                <w:sz w:val="16"/>
                <w:szCs w:val="16"/>
                <w:lang w:eastAsia="en-US"/>
              </w:rPr>
              <w:t xml:space="preserve">General sensitivity to oiling </w:t>
            </w:r>
            <w:r w:rsidR="00AD7D22" w:rsidRPr="007069BE">
              <w:rPr>
                <w:rFonts w:cs="Arial"/>
                <w:b/>
                <w:sz w:val="16"/>
                <w:szCs w:val="16"/>
                <w:lang w:eastAsia="en-US"/>
              </w:rPr>
              <w:t>–</w:t>
            </w:r>
            <w:r w:rsidRPr="007069BE">
              <w:rPr>
                <w:rFonts w:cs="Arial"/>
                <w:b/>
                <w:sz w:val="16"/>
                <w:szCs w:val="16"/>
                <w:lang w:eastAsia="en-US"/>
              </w:rPr>
              <w:t xml:space="preserve"> </w:t>
            </w:r>
            <w:r w:rsidR="00AD7D22" w:rsidRPr="007069BE">
              <w:rPr>
                <w:rFonts w:cs="Arial"/>
                <w:b/>
                <w:sz w:val="16"/>
                <w:szCs w:val="16"/>
                <w:lang w:eastAsia="en-US"/>
              </w:rPr>
              <w:t xml:space="preserve">rocky </w:t>
            </w:r>
            <w:r w:rsidR="00B839B6" w:rsidRPr="007069BE">
              <w:rPr>
                <w:rFonts w:cs="Arial"/>
                <w:b/>
                <w:sz w:val="16"/>
                <w:szCs w:val="16"/>
                <w:lang w:eastAsia="en-US"/>
              </w:rPr>
              <w:t>shores</w:t>
            </w:r>
          </w:p>
        </w:tc>
      </w:tr>
      <w:tr w:rsidR="00B8048A" w:rsidRPr="007069BE" w14:paraId="1BC81844" w14:textId="77777777" w:rsidTr="007069BE">
        <w:tc>
          <w:tcPr>
            <w:tcW w:w="13217" w:type="dxa"/>
            <w:shd w:val="clear" w:color="auto" w:fill="auto"/>
          </w:tcPr>
          <w:p w14:paraId="54F08405"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Rocky shores have a ‘Low’ sensitivity rating as hydrocarbons are generally quickly removed by incoming tides and waves. Cracks and crevices, rock pools, overhangs and other</w:t>
            </w:r>
          </w:p>
          <w:p w14:paraId="2A059E5E"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shaded areas provide habitat for soft bodied animals such as sea anemones, sponges and sea-squirts, and become places where oil can become concentrated as it strands ashore</w:t>
            </w:r>
          </w:p>
          <w:p w14:paraId="34993ADD"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 xml:space="preserve">(Hook </w:t>
            </w:r>
            <w:r>
              <w:rPr>
                <w:rFonts w:ascii="Arial-ItalicMT" w:eastAsia="Calibri" w:hAnsi="Arial-ItalicMT" w:cs="Arial-ItalicMT"/>
                <w:i/>
                <w:iCs/>
                <w:kern w:val="0"/>
                <w:sz w:val="16"/>
                <w:szCs w:val="16"/>
                <w:lang w:eastAsia="en-US"/>
              </w:rPr>
              <w:t>et al</w:t>
            </w:r>
            <w:r>
              <w:rPr>
                <w:rFonts w:ascii="ArialMT" w:eastAsia="Calibri" w:hAnsi="ArialMT" w:cs="ArialMT"/>
                <w:kern w:val="0"/>
                <w:sz w:val="16"/>
                <w:szCs w:val="16"/>
                <w:lang w:eastAsia="en-US"/>
              </w:rPr>
              <w:t>., 2016). Rich animal communities underneath the rocks are also the most vulnerable to oil pollution.</w:t>
            </w:r>
          </w:p>
          <w:p w14:paraId="75740B65"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The vulnerability of a rocky shoreline to oiling is dependent on its topography and composition as well as its position. A vertical rock wall on a wave-exposed coast is likely to remain</w:t>
            </w:r>
          </w:p>
          <w:p w14:paraId="7FE61D18"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unoiled if an oil slick is held back by the action of the reflected waves. At the other extreme, a gradually sloping boulder shore in a calm backwater of a sheltered inlet can trap</w:t>
            </w:r>
          </w:p>
          <w:p w14:paraId="39F72837"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enormous amounts of oil, which may penetrate deep down through the substratum. The complex patterns of water movement close to rocky coasts also tend to concentrate oil in</w:t>
            </w:r>
          </w:p>
          <w:p w14:paraId="59CEA19E"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certain areas. Some shores are well known to act as natural collection sites for litter and detached algae, and hydrocarbons are carried there in the same way. As on all types of</w:t>
            </w:r>
          </w:p>
          <w:p w14:paraId="671B09DB"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shoreline, most of the oil is concentrated along the high tide mark while the lower parts are often untouched (IPIECA, 1995).</w:t>
            </w:r>
          </w:p>
          <w:p w14:paraId="13560023"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The impact of oil on any marine organism depends on the toxicity, viscosity and amount of oil, on the sensitivity of the organism and the length of time it is in contact with the oil. Even</w:t>
            </w:r>
          </w:p>
          <w:p w14:paraId="654FEF91"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where the immediate damage to rocky shores from oil spills has been considerable, it is unusual for this to result in long-term damage and the communities have often recovered</w:t>
            </w:r>
          </w:p>
          <w:p w14:paraId="46A67800"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within 2 or 3 years (IPIECA, 1995). This is because oil is not normally retained on rocky shores in a form or quantity that causes long-term impacts and also because most rocky</w:t>
            </w:r>
          </w:p>
          <w:p w14:paraId="7B56682C"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shore species have a considerable potential for re-establishing populations. Brown seaweeds, for example, are relatively insensitive to oil due to the slimy mucilage that coats all their</w:t>
            </w:r>
          </w:p>
          <w:p w14:paraId="3CE74776"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surfaces.</w:t>
            </w:r>
          </w:p>
          <w:p w14:paraId="0FAD4DDD"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Many rocky shore animals have also been found to withstand heavy oiling, and it typically requires smothering by a viscous oil for a few tides to fatally impact barnacles and intertidal</w:t>
            </w:r>
          </w:p>
          <w:p w14:paraId="0690E284"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sea anemones. Limpets, littorinid snails and other grazing molluscs, however, are usually more susceptible, and a toxic oil may cause a large numbers of fatalities. This may be a</w:t>
            </w:r>
          </w:p>
          <w:p w14:paraId="7F4EA383"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direct effect or through the narcotic effect of the oil which causes the animals to lose their grip on the rock and become available to predators or die of desiccation (IPIECA, 1995).</w:t>
            </w:r>
          </w:p>
          <w:p w14:paraId="06E3D653" w14:textId="77777777"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As long as the shore is not contaminated by further oiling, the spores of macroalgae also settle and grow resulting in an abnormally dense cover of seaweeds. At the same time, the</w:t>
            </w:r>
          </w:p>
          <w:p w14:paraId="752EBC9B" w14:textId="198D8029" w:rsidR="00366ABD" w:rsidRDefault="00366ABD" w:rsidP="00366ABD">
            <w:pPr>
              <w:autoSpaceDE w:val="0"/>
              <w:autoSpaceDN w:val="0"/>
              <w:adjustRightInd w:val="0"/>
              <w:spacing w:after="0"/>
              <w:outlineLvl w:val="9"/>
              <w:rPr>
                <w:rFonts w:ascii="ArialMT" w:eastAsia="Calibri" w:hAnsi="ArialMT" w:cs="ArialMT"/>
                <w:kern w:val="0"/>
                <w:sz w:val="16"/>
                <w:szCs w:val="16"/>
                <w:lang w:eastAsia="en-US"/>
              </w:rPr>
            </w:pPr>
            <w:r>
              <w:rPr>
                <w:rFonts w:ascii="ArialMT" w:eastAsia="Calibri" w:hAnsi="ArialMT" w:cs="ArialMT"/>
                <w:kern w:val="0"/>
                <w:sz w:val="16"/>
                <w:szCs w:val="16"/>
                <w:lang w:eastAsia="en-US"/>
              </w:rPr>
              <w:t>juvenile limpets and snails, which settle and develop in damp and protected sub-habitats, move out onto the open rock to gradually repopulate the vacant areas. They grow quickly on the large quantities of food and gradually reduce the seaweed cover to normal levels. The whole process may take less than 2 or 3 years for the shore to look ‘normal’, although in</w:t>
            </w:r>
          </w:p>
          <w:p w14:paraId="4DCBBABF" w14:textId="1D068CCF" w:rsidR="00B8048A" w:rsidRPr="007069BE" w:rsidRDefault="00366ABD" w:rsidP="00366ABD">
            <w:pPr>
              <w:pStyle w:val="BodyText"/>
              <w:spacing w:before="40" w:after="40"/>
              <w:ind w:left="0"/>
              <w:rPr>
                <w:rFonts w:cs="Arial"/>
                <w:sz w:val="16"/>
                <w:szCs w:val="16"/>
                <w:lang w:eastAsia="en-US"/>
              </w:rPr>
            </w:pPr>
            <w:r>
              <w:rPr>
                <w:rFonts w:ascii="ArialMT" w:eastAsia="Calibri" w:hAnsi="ArialMT" w:cs="ArialMT"/>
                <w:kern w:val="0"/>
                <w:sz w:val="16"/>
                <w:szCs w:val="16"/>
                <w:lang w:eastAsia="en-US"/>
              </w:rPr>
              <w:t>some cases the balance between algae and grazers may take longer to stabilise (IPIECA, 1995).</w:t>
            </w:r>
          </w:p>
        </w:tc>
      </w:tr>
      <w:tr w:rsidR="00B8048A" w:rsidRPr="007069BE" w14:paraId="4C512863" w14:textId="77777777" w:rsidTr="007069BE">
        <w:tc>
          <w:tcPr>
            <w:tcW w:w="13217" w:type="dxa"/>
            <w:shd w:val="clear" w:color="auto" w:fill="D9D9D9"/>
          </w:tcPr>
          <w:p w14:paraId="6657AB3D" w14:textId="77777777" w:rsidR="00B8048A" w:rsidRPr="007069BE" w:rsidRDefault="00B8048A" w:rsidP="007069BE">
            <w:pPr>
              <w:pStyle w:val="BodyText"/>
              <w:spacing w:before="40" w:after="40"/>
              <w:ind w:left="0"/>
              <w:jc w:val="center"/>
              <w:rPr>
                <w:rFonts w:cs="Arial"/>
                <w:b/>
                <w:sz w:val="16"/>
                <w:szCs w:val="16"/>
                <w:lang w:eastAsia="en-US"/>
              </w:rPr>
            </w:pPr>
            <w:r w:rsidRPr="007069BE">
              <w:rPr>
                <w:rFonts w:cs="Arial"/>
                <w:b/>
                <w:sz w:val="16"/>
                <w:szCs w:val="16"/>
                <w:lang w:eastAsia="en-US"/>
              </w:rPr>
              <w:t>Potential impacts from this project</w:t>
            </w:r>
          </w:p>
        </w:tc>
      </w:tr>
      <w:tr w:rsidR="00B839B6" w:rsidRPr="007069BE" w14:paraId="20B7DBCA" w14:textId="77777777" w:rsidTr="007069BE">
        <w:tc>
          <w:tcPr>
            <w:tcW w:w="13217" w:type="dxa"/>
            <w:shd w:val="clear" w:color="auto" w:fill="F2F2F2"/>
          </w:tcPr>
          <w:p w14:paraId="0EBA6B6D" w14:textId="21C1AF3D" w:rsidR="00B839B6" w:rsidRPr="007069BE" w:rsidRDefault="00B839B6" w:rsidP="007069BE">
            <w:pPr>
              <w:pStyle w:val="BodyText"/>
              <w:spacing w:before="40" w:after="40"/>
              <w:ind w:left="0"/>
              <w:jc w:val="center"/>
              <w:rPr>
                <w:rFonts w:cs="Arial"/>
                <w:sz w:val="16"/>
                <w:szCs w:val="16"/>
                <w:lang w:eastAsia="en-US"/>
              </w:rPr>
            </w:pPr>
            <w:r w:rsidRPr="007069BE">
              <w:rPr>
                <w:rFonts w:cs="Arial"/>
                <w:sz w:val="16"/>
                <w:szCs w:val="16"/>
                <w:lang w:eastAsia="en-US"/>
              </w:rPr>
              <w:t>Shoreline</w:t>
            </w:r>
          </w:p>
        </w:tc>
      </w:tr>
      <w:tr w:rsidR="00B839B6" w:rsidRPr="007069BE" w14:paraId="48194C93" w14:textId="77777777" w:rsidTr="007069BE">
        <w:tc>
          <w:tcPr>
            <w:tcW w:w="13217" w:type="dxa"/>
            <w:shd w:val="clear" w:color="auto" w:fill="auto"/>
          </w:tcPr>
          <w:p w14:paraId="408CD622" w14:textId="77777777" w:rsidR="00D23195" w:rsidRPr="007069BE" w:rsidRDefault="00D23195" w:rsidP="00D23195">
            <w:pPr>
              <w:spacing w:before="40" w:after="40"/>
              <w:rPr>
                <w:sz w:val="16"/>
                <w:szCs w:val="16"/>
              </w:rPr>
            </w:pPr>
            <w:r w:rsidRPr="007069BE">
              <w:rPr>
                <w:sz w:val="16"/>
                <w:szCs w:val="16"/>
              </w:rPr>
              <w:t xml:space="preserve">There is a very small area between Port Campbell and </w:t>
            </w:r>
            <w:r>
              <w:rPr>
                <w:sz w:val="16"/>
                <w:szCs w:val="16"/>
              </w:rPr>
              <w:t>Shelly Beach</w:t>
            </w:r>
            <w:r w:rsidRPr="007069BE">
              <w:rPr>
                <w:sz w:val="16"/>
                <w:szCs w:val="16"/>
              </w:rPr>
              <w:t xml:space="preserve"> where the OSTM indicates that </w:t>
            </w:r>
            <w:r>
              <w:rPr>
                <w:sz w:val="16"/>
                <w:szCs w:val="16"/>
              </w:rPr>
              <w:t>shoreline oiling may occur above 100 g/m</w:t>
            </w:r>
            <w:r w:rsidRPr="00083759">
              <w:rPr>
                <w:sz w:val="16"/>
                <w:szCs w:val="16"/>
                <w:vertAlign w:val="superscript"/>
              </w:rPr>
              <w:t>2</w:t>
            </w:r>
            <w:r>
              <w:rPr>
                <w:sz w:val="16"/>
                <w:szCs w:val="16"/>
              </w:rPr>
              <w:t xml:space="preserve"> may occur </w:t>
            </w:r>
            <w:r w:rsidRPr="007069BE">
              <w:rPr>
                <w:sz w:val="16"/>
                <w:szCs w:val="16"/>
              </w:rPr>
              <w:t>(</w:t>
            </w:r>
            <w:r>
              <w:rPr>
                <w:sz w:val="16"/>
                <w:szCs w:val="16"/>
              </w:rPr>
              <w:t>1</w:t>
            </w:r>
            <w:r w:rsidRPr="007069BE">
              <w:rPr>
                <w:sz w:val="16"/>
                <w:szCs w:val="16"/>
              </w:rPr>
              <w:t>% probability of contact). This area is dominated by sheer rocky cliffs with very small areas of sandy beach</w:t>
            </w:r>
            <w:r>
              <w:rPr>
                <w:sz w:val="16"/>
                <w:szCs w:val="16"/>
              </w:rPr>
              <w:t>/rock platform</w:t>
            </w:r>
            <w:r w:rsidRPr="007069BE">
              <w:rPr>
                <w:sz w:val="16"/>
                <w:szCs w:val="16"/>
              </w:rPr>
              <w:t xml:space="preserve">. This occurs only for the </w:t>
            </w:r>
            <w:r>
              <w:rPr>
                <w:sz w:val="16"/>
                <w:szCs w:val="16"/>
              </w:rPr>
              <w:t xml:space="preserve">pipeline rupture </w:t>
            </w:r>
            <w:r w:rsidRPr="007069BE">
              <w:rPr>
                <w:sz w:val="16"/>
                <w:szCs w:val="16"/>
              </w:rPr>
              <w:t xml:space="preserve">scenario </w:t>
            </w:r>
            <w:r>
              <w:rPr>
                <w:sz w:val="16"/>
                <w:szCs w:val="16"/>
              </w:rPr>
              <w:t>at the HDD</w:t>
            </w:r>
            <w:r w:rsidRPr="007069BE">
              <w:rPr>
                <w:sz w:val="16"/>
                <w:szCs w:val="16"/>
              </w:rPr>
              <w:t xml:space="preserve">. </w:t>
            </w:r>
          </w:p>
          <w:p w14:paraId="26EC08C6" w14:textId="266C671E" w:rsidR="00B839B6" w:rsidRPr="007069BE" w:rsidRDefault="00D23195" w:rsidP="007069BE">
            <w:pPr>
              <w:spacing w:before="40" w:after="40"/>
              <w:rPr>
                <w:color w:val="FF0000"/>
                <w:sz w:val="16"/>
                <w:szCs w:val="16"/>
              </w:rPr>
            </w:pPr>
            <w:r w:rsidRPr="007069BE">
              <w:rPr>
                <w:sz w:val="16"/>
                <w:szCs w:val="16"/>
              </w:rPr>
              <w:t>With the shortest time to reach the coast being 1 hour, the hydrocarbons will have partially weathered. Impacts to amphipods or worms on sandy beaches from smothering and oxygen depletion are unlikely to occur in the low concentrations and volumes (</w:t>
            </w:r>
            <w:r>
              <w:rPr>
                <w:sz w:val="16"/>
                <w:szCs w:val="16"/>
              </w:rPr>
              <w:t>1.25</w:t>
            </w:r>
            <w:r w:rsidRPr="007069BE">
              <w:rPr>
                <w:sz w:val="16"/>
                <w:szCs w:val="16"/>
              </w:rPr>
              <w:t xml:space="preserve"> m</w:t>
            </w:r>
            <w:r w:rsidRPr="007069BE">
              <w:rPr>
                <w:sz w:val="16"/>
                <w:szCs w:val="16"/>
                <w:vertAlign w:val="superscript"/>
              </w:rPr>
              <w:t>3</w:t>
            </w:r>
            <w:r w:rsidRPr="007069BE">
              <w:rPr>
                <w:sz w:val="16"/>
                <w:szCs w:val="16"/>
              </w:rPr>
              <w:t xml:space="preserve"> maximum) predicted to strand ashore. </w:t>
            </w:r>
            <w:r>
              <w:rPr>
                <w:sz w:val="16"/>
                <w:szCs w:val="16"/>
              </w:rPr>
              <w:t xml:space="preserve">Given the low viscosity of this residue it is likely to permeate into sand areas in a similar way to MDO. </w:t>
            </w:r>
            <w:r w:rsidRPr="007069BE">
              <w:rPr>
                <w:sz w:val="16"/>
                <w:szCs w:val="16"/>
              </w:rPr>
              <w:t>The tides</w:t>
            </w:r>
            <w:r>
              <w:rPr>
                <w:sz w:val="16"/>
                <w:szCs w:val="16"/>
              </w:rPr>
              <w:t xml:space="preserve"> and constant wave washing </w:t>
            </w:r>
            <w:r w:rsidRPr="007069BE">
              <w:rPr>
                <w:sz w:val="16"/>
                <w:szCs w:val="16"/>
              </w:rPr>
              <w:t xml:space="preserve">are expected to lead to rapid weathering of any hydrocarbons in the intertidal area </w:t>
            </w:r>
            <w:r>
              <w:rPr>
                <w:sz w:val="16"/>
                <w:szCs w:val="16"/>
              </w:rPr>
              <w:t xml:space="preserve">and </w:t>
            </w:r>
            <w:r w:rsidRPr="007069BE">
              <w:rPr>
                <w:sz w:val="16"/>
                <w:szCs w:val="16"/>
              </w:rPr>
              <w:t>it is unlikely that toxicity or smothering effects to exposed fauna will occur on this type of shoreline</w:t>
            </w:r>
            <w:r>
              <w:rPr>
                <w:sz w:val="16"/>
                <w:szCs w:val="16"/>
              </w:rPr>
              <w:t xml:space="preserve"> (negligible consequence)</w:t>
            </w:r>
            <w:r w:rsidRPr="007069BE">
              <w:rPr>
                <w:sz w:val="16"/>
                <w:szCs w:val="16"/>
              </w:rPr>
              <w:t xml:space="preserve">. </w:t>
            </w:r>
          </w:p>
        </w:tc>
      </w:tr>
    </w:tbl>
    <w:p w14:paraId="30396C87" w14:textId="0F9CEBE7" w:rsidR="0044779D" w:rsidRDefault="0044779D" w:rsidP="00230BCE">
      <w:pPr>
        <w:outlineLvl w:val="9"/>
      </w:pPr>
    </w:p>
    <w:p w14:paraId="4E6FD36E" w14:textId="351668FF" w:rsidR="002A0556" w:rsidRDefault="00BC7AC8" w:rsidP="00024BA3">
      <w:pPr>
        <w:pStyle w:val="Caption"/>
        <w:outlineLvl w:val="9"/>
      </w:pPr>
      <w:bookmarkStart w:id="268" w:name="_Toc511032621"/>
      <w:r>
        <w:rPr>
          <w:sz w:val="20"/>
          <w:szCs w:val="20"/>
        </w:rPr>
        <w:t>T</w:t>
      </w:r>
      <w:r w:rsidR="007069BE" w:rsidRPr="007069BE">
        <w:rPr>
          <w:sz w:val="20"/>
          <w:szCs w:val="20"/>
        </w:rPr>
        <w:t xml:space="preserve">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30</w:t>
      </w:r>
      <w:r w:rsidR="00103328">
        <w:rPr>
          <w:sz w:val="20"/>
          <w:szCs w:val="20"/>
        </w:rPr>
        <w:fldChar w:fldCharType="end"/>
      </w:r>
      <w:r w:rsidR="007069BE" w:rsidRPr="007069BE">
        <w:rPr>
          <w:sz w:val="20"/>
          <w:szCs w:val="20"/>
        </w:rPr>
        <w:t>: Potential impacts of hydrocarbons to macro-algal communities</w:t>
      </w:r>
      <w:bookmarkEnd w:id="268"/>
    </w:p>
    <w:tbl>
      <w:tblPr>
        <w:tblW w:w="0" w:type="auto"/>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3639"/>
        <w:gridCol w:w="4610"/>
        <w:gridCol w:w="4782"/>
      </w:tblGrid>
      <w:tr w:rsidR="00B8048A" w:rsidRPr="007069BE" w14:paraId="530C7F10" w14:textId="77777777" w:rsidTr="007069BE">
        <w:tc>
          <w:tcPr>
            <w:tcW w:w="13217" w:type="dxa"/>
            <w:gridSpan w:val="3"/>
            <w:shd w:val="clear" w:color="auto" w:fill="A6A6A6"/>
          </w:tcPr>
          <w:p w14:paraId="1CBE7EA0" w14:textId="3E3AEF8C" w:rsidR="00B8048A" w:rsidRPr="007069BE" w:rsidRDefault="00B8048A" w:rsidP="007069BE">
            <w:pPr>
              <w:pStyle w:val="BodyText"/>
              <w:spacing w:before="40" w:after="40"/>
              <w:ind w:left="0"/>
              <w:jc w:val="center"/>
              <w:rPr>
                <w:rFonts w:cs="Arial"/>
                <w:b/>
                <w:sz w:val="16"/>
                <w:szCs w:val="16"/>
                <w:lang w:eastAsia="en-US"/>
              </w:rPr>
            </w:pPr>
            <w:r w:rsidRPr="007069BE">
              <w:rPr>
                <w:rFonts w:cs="Arial"/>
                <w:b/>
                <w:sz w:val="16"/>
                <w:szCs w:val="16"/>
                <w:lang w:eastAsia="en-US"/>
              </w:rPr>
              <w:t xml:space="preserve">General sensitivity to oiling </w:t>
            </w:r>
            <w:r w:rsidR="00B839B6" w:rsidRPr="007069BE">
              <w:rPr>
                <w:rFonts w:cs="Arial"/>
                <w:b/>
                <w:sz w:val="16"/>
                <w:szCs w:val="16"/>
                <w:lang w:eastAsia="en-US"/>
              </w:rPr>
              <w:t>–</w:t>
            </w:r>
            <w:r w:rsidRPr="007069BE">
              <w:rPr>
                <w:rFonts w:cs="Arial"/>
                <w:b/>
                <w:sz w:val="16"/>
                <w:szCs w:val="16"/>
                <w:lang w:eastAsia="en-US"/>
              </w:rPr>
              <w:t xml:space="preserve"> </w:t>
            </w:r>
            <w:r w:rsidR="00B839B6" w:rsidRPr="007069BE">
              <w:rPr>
                <w:rFonts w:cs="Arial"/>
                <w:b/>
                <w:sz w:val="16"/>
                <w:szCs w:val="16"/>
                <w:lang w:eastAsia="en-US"/>
              </w:rPr>
              <w:t>macroalgal communities</w:t>
            </w:r>
          </w:p>
        </w:tc>
      </w:tr>
      <w:tr w:rsidR="00B8048A" w:rsidRPr="007069BE" w14:paraId="16625CE2" w14:textId="77777777" w:rsidTr="007069BE">
        <w:tc>
          <w:tcPr>
            <w:tcW w:w="13217" w:type="dxa"/>
            <w:gridSpan w:val="3"/>
            <w:shd w:val="clear" w:color="auto" w:fill="auto"/>
          </w:tcPr>
          <w:p w14:paraId="50188ABF" w14:textId="77777777" w:rsidR="00B839B6" w:rsidRPr="007069BE" w:rsidRDefault="00B839B6" w:rsidP="007069BE">
            <w:pPr>
              <w:spacing w:before="40" w:after="40"/>
              <w:rPr>
                <w:rFonts w:cs="Arial"/>
                <w:b/>
                <w:bCs/>
                <w:sz w:val="16"/>
                <w:szCs w:val="16"/>
                <w:lang w:val="en-GB"/>
              </w:rPr>
            </w:pPr>
            <w:r w:rsidRPr="007069BE">
              <w:rPr>
                <w:sz w:val="16"/>
                <w:szCs w:val="16"/>
                <w:lang w:val="en-GB"/>
              </w:rPr>
              <w:t xml:space="preserve">Macroalgae are generally limited to growing on intertidal and subtidal rocky substrata in shallow waters to 10 m depth.  As such, they may be exposed to subsurface and entrained and dissolved hydrocarbons, however are susceptible to surface hydrocarbon exposure more so in intertidal habitats as opposed to subtidal habitats. </w:t>
            </w:r>
          </w:p>
          <w:p w14:paraId="588F99F3" w14:textId="58F2FDB3" w:rsidR="00B839B6" w:rsidRPr="007069BE" w:rsidRDefault="00B839B6" w:rsidP="007069BE">
            <w:pPr>
              <w:spacing w:before="40" w:after="40"/>
              <w:rPr>
                <w:rFonts w:cs="Arial"/>
                <w:b/>
                <w:bCs/>
                <w:sz w:val="16"/>
                <w:szCs w:val="16"/>
                <w:lang w:val="en-GB"/>
              </w:rPr>
            </w:pPr>
            <w:r w:rsidRPr="007069BE">
              <w:rPr>
                <w:sz w:val="16"/>
                <w:szCs w:val="16"/>
                <w:lang w:val="en-GB"/>
              </w:rPr>
              <w:t xml:space="preserve">Smothering, fouling and asphyxiation are some of the physical effects that have been documented from oil contamination in marine plants (Blumer, 1971; Cintron </w:t>
            </w:r>
            <w:r w:rsidRPr="007069BE">
              <w:rPr>
                <w:i/>
                <w:sz w:val="16"/>
                <w:szCs w:val="16"/>
                <w:lang w:val="en-GB"/>
              </w:rPr>
              <w:t>et al</w:t>
            </w:r>
            <w:r w:rsidRPr="007069BE">
              <w:rPr>
                <w:sz w:val="16"/>
                <w:szCs w:val="16"/>
                <w:lang w:val="en-GB"/>
              </w:rPr>
              <w:t xml:space="preserve">., 1981). In macroalgae, oil can act as a physical barrier for the diffusion of </w:t>
            </w:r>
            <w:r w:rsidR="006D1A5D" w:rsidRPr="007069BE">
              <w:rPr>
                <w:sz w:val="16"/>
                <w:szCs w:val="16"/>
                <w:lang w:val="en-GB"/>
              </w:rPr>
              <w:t xml:space="preserve">carbon dioxide </w:t>
            </w:r>
            <w:r w:rsidRPr="007069BE">
              <w:rPr>
                <w:sz w:val="16"/>
                <w:szCs w:val="16"/>
                <w:lang w:val="en-GB"/>
              </w:rPr>
              <w:t xml:space="preserve">across cell walls (O'Brian &amp; Dixon, 1976). The effect of hydrocarbons however is largely dependent on the degree of direct exposure and how much of the hydrocarbon adheres to algae, which will vary depending on the oils physical state and relative ‘stickiness’. The morphological features of macroalgae, such as the presence of a mucilage layer or the presence of fine ‘hairs’ will influence the amount of hydrocarbon that will adhere to the algae. A review of field studies conducted after spill events by Connell et al (1981) indicated a high degree of variability in the level of impact, but in all instances, the algae appeared to be able to recover rapidly from even very heavy oiling. The rapid recovery of algae was attributed to the fact that for most algae, new growth is produced from near the base of the plant while the distal parts (which would be exposed to the oil) are continually lost. Other studies have indicated that oiled kelp beds had a 90% recovery within 3-4 years of impact, however full recovery to pre-spill diversity may not occur for long periods after the spill (French-McCay, 2004).  </w:t>
            </w:r>
          </w:p>
          <w:p w14:paraId="1811F3F2" w14:textId="26E46362" w:rsidR="00B839B6" w:rsidRPr="007069BE" w:rsidRDefault="00B839B6" w:rsidP="007069BE">
            <w:pPr>
              <w:spacing w:before="40" w:after="40"/>
              <w:rPr>
                <w:rFonts w:cs="Arial"/>
                <w:b/>
                <w:bCs/>
                <w:sz w:val="16"/>
                <w:szCs w:val="16"/>
                <w:lang w:val="en-GB"/>
              </w:rPr>
            </w:pPr>
            <w:r w:rsidRPr="007069BE">
              <w:rPr>
                <w:sz w:val="16"/>
                <w:szCs w:val="16"/>
                <w:lang w:val="en-GB"/>
              </w:rPr>
              <w:t>Intertidal macroalgal beds are more prone to oil spills than subtidal beds because although the mucous coating prevents oil adherence, oil that is trapped in the upper canopy can increase the persistence of the oil, which impacts upon site-attached species. Additionally, when oil sticks to dry fronds on the shore, they can become overweight and break as a result of wave action (IPIECA, 2002).</w:t>
            </w:r>
            <w:r w:rsidR="0048528E" w:rsidRPr="007069BE">
              <w:rPr>
                <w:sz w:val="16"/>
                <w:szCs w:val="16"/>
                <w:lang w:val="en-GB"/>
              </w:rPr>
              <w:t xml:space="preserve"> Hook et al (2016) on the other hand states that kelp is typically relatively resistant to oil, though the fauna associated with it may be more sensitive. </w:t>
            </w:r>
          </w:p>
          <w:p w14:paraId="03C83747" w14:textId="6BFD87D1" w:rsidR="00B839B6" w:rsidRPr="007069BE" w:rsidRDefault="00B839B6" w:rsidP="007069BE">
            <w:pPr>
              <w:spacing w:before="40" w:after="40"/>
              <w:rPr>
                <w:rFonts w:cs="Arial"/>
                <w:b/>
                <w:bCs/>
                <w:sz w:val="16"/>
                <w:szCs w:val="16"/>
                <w:lang w:val="en-GB"/>
              </w:rPr>
            </w:pPr>
            <w:r w:rsidRPr="007069BE">
              <w:rPr>
                <w:sz w:val="16"/>
                <w:szCs w:val="16"/>
                <w:lang w:val="en-GB"/>
              </w:rPr>
              <w:t>The toxicity of macroalgae to hydrocarbons varies for the different macroalgal life stages, with water-soluble hydrocarbons more toxic to macro</w:t>
            </w:r>
            <w:r w:rsidR="00280AD9">
              <w:rPr>
                <w:sz w:val="16"/>
                <w:szCs w:val="16"/>
                <w:lang w:val="en-GB"/>
              </w:rPr>
              <w:t>-</w:t>
            </w:r>
            <w:r w:rsidRPr="007069BE">
              <w:rPr>
                <w:sz w:val="16"/>
                <w:szCs w:val="16"/>
                <w:lang w:val="en-GB"/>
              </w:rPr>
              <w:t xml:space="preserve">algae (Van Overbeek &amp; Blondeau, 1954; Kauss et al., 1973; cited in O'Brien and Dixon, 1976). Toxic effect concentrations for hydrocarbons and algae have varied greatly among species and studies, ranging </w:t>
            </w:r>
            <w:r w:rsidR="00C50BB2" w:rsidRPr="007069BE">
              <w:rPr>
                <w:sz w:val="16"/>
                <w:szCs w:val="16"/>
                <w:lang w:val="en-GB"/>
              </w:rPr>
              <w:t xml:space="preserve">from </w:t>
            </w:r>
            <w:r w:rsidRPr="007069BE">
              <w:rPr>
                <w:sz w:val="16"/>
                <w:szCs w:val="16"/>
                <w:lang w:val="en-GB"/>
              </w:rPr>
              <w:t>0.002–10,000 ppm (Lewis &amp; Pryor, 2013). The sensitivity of gametes, larva and zygote stages however have all proven more responsive to petroleum oil exposure than adult growth stages (Thursby &amp; Steele, 2003; Lewis &amp; Pryor, 2013).</w:t>
            </w:r>
          </w:p>
          <w:p w14:paraId="2845BCA2" w14:textId="32FD4049" w:rsidR="00B8048A" w:rsidRPr="007069BE" w:rsidRDefault="00B839B6" w:rsidP="007069BE">
            <w:pPr>
              <w:spacing w:before="40" w:after="40"/>
              <w:rPr>
                <w:sz w:val="16"/>
                <w:szCs w:val="16"/>
                <w:lang w:val="en-GB"/>
              </w:rPr>
            </w:pPr>
            <w:r w:rsidRPr="007069BE">
              <w:rPr>
                <w:sz w:val="16"/>
                <w:szCs w:val="16"/>
                <w:lang w:val="en-GB"/>
              </w:rPr>
              <w:t xml:space="preserve">Macrophytes, including seagrasses and macroalgae, require light to photosynthesise. So in addition to the potential impacts from direct smothering or exposure to entrained and dissolved hydrocarbons, the presence of entrained hydrocarbon within the water column can affect light qualities and the ability of macrophytes to photosynthesise. </w:t>
            </w:r>
          </w:p>
        </w:tc>
      </w:tr>
      <w:tr w:rsidR="00B8048A" w:rsidRPr="007069BE" w14:paraId="3C6049EB" w14:textId="77777777" w:rsidTr="007069BE">
        <w:tc>
          <w:tcPr>
            <w:tcW w:w="13217" w:type="dxa"/>
            <w:gridSpan w:val="3"/>
            <w:shd w:val="clear" w:color="auto" w:fill="D9D9D9"/>
          </w:tcPr>
          <w:p w14:paraId="56920F42" w14:textId="77777777" w:rsidR="00B8048A" w:rsidRPr="007069BE" w:rsidRDefault="00B8048A" w:rsidP="007069BE">
            <w:pPr>
              <w:pStyle w:val="BodyText"/>
              <w:spacing w:before="40" w:after="40"/>
              <w:ind w:left="0"/>
              <w:jc w:val="center"/>
              <w:rPr>
                <w:rFonts w:cs="Arial"/>
                <w:b/>
                <w:sz w:val="16"/>
                <w:szCs w:val="16"/>
                <w:lang w:eastAsia="en-US"/>
              </w:rPr>
            </w:pPr>
            <w:r w:rsidRPr="007069BE">
              <w:rPr>
                <w:rFonts w:cs="Arial"/>
                <w:b/>
                <w:sz w:val="16"/>
                <w:szCs w:val="16"/>
                <w:lang w:eastAsia="en-US"/>
              </w:rPr>
              <w:t>Potential impacts from this project</w:t>
            </w:r>
          </w:p>
        </w:tc>
      </w:tr>
      <w:tr w:rsidR="00B8048A" w:rsidRPr="007069BE" w14:paraId="659A14F0" w14:textId="77777777" w:rsidTr="00FA36A5">
        <w:tc>
          <w:tcPr>
            <w:tcW w:w="3686" w:type="dxa"/>
            <w:shd w:val="clear" w:color="auto" w:fill="F2F2F2"/>
          </w:tcPr>
          <w:p w14:paraId="55008846" w14:textId="77777777" w:rsidR="00B8048A" w:rsidRPr="007069BE" w:rsidRDefault="00B8048A" w:rsidP="007069BE">
            <w:pPr>
              <w:pStyle w:val="BodyText"/>
              <w:spacing w:before="40" w:after="40"/>
              <w:ind w:left="0"/>
              <w:jc w:val="center"/>
              <w:rPr>
                <w:rFonts w:cs="Arial"/>
                <w:sz w:val="16"/>
                <w:szCs w:val="16"/>
                <w:lang w:eastAsia="en-US"/>
              </w:rPr>
            </w:pPr>
            <w:r w:rsidRPr="007069BE">
              <w:rPr>
                <w:rFonts w:cs="Arial"/>
                <w:sz w:val="16"/>
                <w:szCs w:val="16"/>
                <w:lang w:eastAsia="en-US"/>
              </w:rPr>
              <w:t>Surface oiling</w:t>
            </w:r>
          </w:p>
        </w:tc>
        <w:tc>
          <w:tcPr>
            <w:tcW w:w="4678" w:type="dxa"/>
            <w:shd w:val="clear" w:color="auto" w:fill="F2F2F2"/>
          </w:tcPr>
          <w:p w14:paraId="1078BF59" w14:textId="77777777" w:rsidR="00B8048A" w:rsidRPr="007069BE" w:rsidRDefault="00B8048A" w:rsidP="007069BE">
            <w:pPr>
              <w:pStyle w:val="BodyText"/>
              <w:spacing w:before="40" w:after="40"/>
              <w:ind w:left="0"/>
              <w:jc w:val="center"/>
              <w:rPr>
                <w:rFonts w:cs="Arial"/>
                <w:sz w:val="16"/>
                <w:szCs w:val="16"/>
                <w:lang w:eastAsia="en-US"/>
              </w:rPr>
            </w:pPr>
            <w:r w:rsidRPr="007069BE">
              <w:rPr>
                <w:rFonts w:cs="Arial"/>
                <w:sz w:val="16"/>
                <w:szCs w:val="16"/>
                <w:lang w:eastAsia="en-US"/>
              </w:rPr>
              <w:t>Water column</w:t>
            </w:r>
          </w:p>
        </w:tc>
        <w:tc>
          <w:tcPr>
            <w:tcW w:w="4853" w:type="dxa"/>
            <w:shd w:val="clear" w:color="auto" w:fill="F2F2F2"/>
          </w:tcPr>
          <w:p w14:paraId="03516B9D" w14:textId="77777777" w:rsidR="00B8048A" w:rsidRPr="007069BE" w:rsidRDefault="00B8048A" w:rsidP="007069BE">
            <w:pPr>
              <w:pStyle w:val="BodyText"/>
              <w:spacing w:before="40" w:after="40"/>
              <w:ind w:left="0"/>
              <w:jc w:val="center"/>
              <w:rPr>
                <w:rFonts w:cs="Arial"/>
                <w:sz w:val="16"/>
                <w:szCs w:val="16"/>
                <w:lang w:eastAsia="en-US"/>
              </w:rPr>
            </w:pPr>
            <w:r w:rsidRPr="007069BE">
              <w:rPr>
                <w:rFonts w:cs="Arial"/>
                <w:sz w:val="16"/>
                <w:szCs w:val="16"/>
                <w:lang w:eastAsia="en-US"/>
              </w:rPr>
              <w:t>Shoreline</w:t>
            </w:r>
          </w:p>
        </w:tc>
      </w:tr>
      <w:tr w:rsidR="00495FC4" w:rsidRPr="007069BE" w14:paraId="69D9BA1E" w14:textId="77777777" w:rsidTr="00957B72">
        <w:tc>
          <w:tcPr>
            <w:tcW w:w="3686" w:type="dxa"/>
            <w:shd w:val="clear" w:color="auto" w:fill="auto"/>
          </w:tcPr>
          <w:p w14:paraId="6082C10C" w14:textId="7FE3DD74" w:rsidR="00495FC4" w:rsidRPr="007069BE" w:rsidRDefault="00495FC4" w:rsidP="007069BE">
            <w:pPr>
              <w:spacing w:before="40" w:after="40"/>
              <w:rPr>
                <w:sz w:val="16"/>
                <w:szCs w:val="16"/>
                <w:lang w:val="en-GB"/>
              </w:rPr>
            </w:pPr>
            <w:r w:rsidRPr="007069BE">
              <w:rPr>
                <w:sz w:val="16"/>
                <w:szCs w:val="16"/>
                <w:lang w:val="en-GB"/>
              </w:rPr>
              <w:t xml:space="preserve">Macroalgal communities are generally restricted close to shore (see ‘shoreline’ column to the right). </w:t>
            </w:r>
          </w:p>
          <w:p w14:paraId="0B576763" w14:textId="7DB2ECDE" w:rsidR="00495FC4" w:rsidRPr="007069BE" w:rsidRDefault="00495FC4" w:rsidP="007069BE">
            <w:pPr>
              <w:spacing w:before="40" w:after="40"/>
              <w:rPr>
                <w:sz w:val="16"/>
                <w:szCs w:val="16"/>
                <w:lang w:val="en-GB"/>
              </w:rPr>
            </w:pPr>
            <w:r w:rsidRPr="007069BE">
              <w:rPr>
                <w:sz w:val="16"/>
                <w:szCs w:val="16"/>
                <w:lang w:val="en-GB"/>
              </w:rPr>
              <w:t>Offshore</w:t>
            </w:r>
            <w:r>
              <w:rPr>
                <w:sz w:val="16"/>
                <w:szCs w:val="16"/>
                <w:lang w:val="en-GB"/>
              </w:rPr>
              <w:t xml:space="preserve"> condensate releases are not predicted to result in </w:t>
            </w:r>
            <w:r w:rsidRPr="007069BE">
              <w:rPr>
                <w:sz w:val="16"/>
                <w:szCs w:val="16"/>
                <w:lang w:val="en-GB"/>
              </w:rPr>
              <w:t xml:space="preserve">surface oiling </w:t>
            </w:r>
            <w:r>
              <w:rPr>
                <w:sz w:val="16"/>
                <w:szCs w:val="16"/>
                <w:lang w:val="en-GB"/>
              </w:rPr>
              <w:t xml:space="preserve">to </w:t>
            </w:r>
            <w:r w:rsidRPr="007069BE">
              <w:rPr>
                <w:sz w:val="16"/>
                <w:szCs w:val="16"/>
                <w:lang w:val="en-GB"/>
              </w:rPr>
              <w:t>macroalgae.</w:t>
            </w:r>
          </w:p>
          <w:p w14:paraId="319E2767" w14:textId="38554B26" w:rsidR="00495FC4" w:rsidRPr="007069BE" w:rsidRDefault="00495FC4">
            <w:pPr>
              <w:pStyle w:val="BodyText"/>
              <w:spacing w:before="40" w:after="40"/>
              <w:ind w:left="0"/>
              <w:rPr>
                <w:rFonts w:cs="Arial"/>
                <w:sz w:val="16"/>
                <w:szCs w:val="16"/>
                <w:lang w:eastAsia="en-US"/>
              </w:rPr>
            </w:pPr>
            <w:r>
              <w:rPr>
                <w:sz w:val="16"/>
                <w:szCs w:val="16"/>
                <w:lang w:val="en-GB"/>
              </w:rPr>
              <w:t xml:space="preserve">No Giant kelp forest TEC areas are present in the offshore or HDD pipeline rupture EMBAs, however if present would be </w:t>
            </w:r>
            <w:r w:rsidRPr="007069BE">
              <w:rPr>
                <w:sz w:val="16"/>
                <w:szCs w:val="16"/>
                <w:lang w:val="en-GB"/>
              </w:rPr>
              <w:t xml:space="preserve">unlikely to be impacted by surface hydrocarbons as they remain submerged under the water surface. </w:t>
            </w:r>
          </w:p>
        </w:tc>
        <w:tc>
          <w:tcPr>
            <w:tcW w:w="9531" w:type="dxa"/>
            <w:gridSpan w:val="2"/>
            <w:shd w:val="clear" w:color="auto" w:fill="auto"/>
          </w:tcPr>
          <w:p w14:paraId="48D835B5" w14:textId="7F6B1A35" w:rsidR="00495FC4" w:rsidRPr="007069BE" w:rsidRDefault="00495FC4" w:rsidP="007069BE">
            <w:pPr>
              <w:spacing w:before="40" w:after="40"/>
              <w:rPr>
                <w:sz w:val="16"/>
                <w:szCs w:val="16"/>
                <w:lang w:val="en-GB"/>
              </w:rPr>
            </w:pPr>
            <w:r w:rsidRPr="007069BE">
              <w:rPr>
                <w:sz w:val="16"/>
                <w:szCs w:val="16"/>
                <w:lang w:val="en-GB"/>
              </w:rPr>
              <w:t xml:space="preserve">Giant Kelp Forest TEC </w:t>
            </w:r>
            <w:r>
              <w:rPr>
                <w:sz w:val="16"/>
                <w:szCs w:val="16"/>
                <w:lang w:val="en-GB"/>
              </w:rPr>
              <w:t>areas have not been identifie</w:t>
            </w:r>
            <w:r w:rsidR="000E4051">
              <w:rPr>
                <w:sz w:val="16"/>
                <w:szCs w:val="16"/>
                <w:lang w:val="en-GB"/>
              </w:rPr>
              <w:t>d</w:t>
            </w:r>
            <w:r>
              <w:rPr>
                <w:sz w:val="16"/>
                <w:szCs w:val="16"/>
                <w:lang w:val="en-GB"/>
              </w:rPr>
              <w:t xml:space="preserve"> within the EMBA area affected by condensate releases. </w:t>
            </w:r>
          </w:p>
          <w:p w14:paraId="29913340" w14:textId="303A37D4" w:rsidR="00495FC4" w:rsidRDefault="00495FC4">
            <w:pPr>
              <w:spacing w:before="40" w:after="40"/>
              <w:rPr>
                <w:sz w:val="16"/>
                <w:szCs w:val="16"/>
                <w:lang w:val="en-GB"/>
              </w:rPr>
            </w:pPr>
            <w:r w:rsidRPr="007069BE">
              <w:rPr>
                <w:sz w:val="16"/>
                <w:szCs w:val="16"/>
                <w:lang w:val="en-GB"/>
              </w:rPr>
              <w:t xml:space="preserve">Impacts to </w:t>
            </w:r>
            <w:r>
              <w:rPr>
                <w:sz w:val="16"/>
                <w:szCs w:val="16"/>
                <w:lang w:val="en-GB"/>
              </w:rPr>
              <w:t xml:space="preserve">macro-algal </w:t>
            </w:r>
            <w:r w:rsidRPr="007069BE">
              <w:rPr>
                <w:sz w:val="16"/>
                <w:szCs w:val="16"/>
                <w:lang w:val="en-GB"/>
              </w:rPr>
              <w:t>communit</w:t>
            </w:r>
            <w:r>
              <w:rPr>
                <w:sz w:val="16"/>
                <w:szCs w:val="16"/>
                <w:lang w:val="en-GB"/>
              </w:rPr>
              <w:t xml:space="preserve">ies present are likely to be </w:t>
            </w:r>
            <w:r w:rsidRPr="007069BE">
              <w:rPr>
                <w:sz w:val="16"/>
                <w:szCs w:val="16"/>
                <w:lang w:val="en-GB"/>
              </w:rPr>
              <w:t>similar to th</w:t>
            </w:r>
            <w:r>
              <w:rPr>
                <w:sz w:val="16"/>
                <w:szCs w:val="16"/>
                <w:lang w:val="en-GB"/>
              </w:rPr>
              <w:t xml:space="preserve">e general sensitivity observations </w:t>
            </w:r>
            <w:r w:rsidRPr="007069BE">
              <w:rPr>
                <w:sz w:val="16"/>
                <w:szCs w:val="16"/>
                <w:lang w:val="en-GB"/>
              </w:rPr>
              <w:t>noting that the rough seas of the nearshore environment will result in rapid weathering of the gas condensate</w:t>
            </w:r>
            <w:r>
              <w:rPr>
                <w:sz w:val="16"/>
                <w:szCs w:val="16"/>
                <w:lang w:val="en-GB"/>
              </w:rPr>
              <w:t xml:space="preserve"> residues</w:t>
            </w:r>
            <w:r w:rsidRPr="007069BE">
              <w:rPr>
                <w:sz w:val="16"/>
                <w:szCs w:val="16"/>
                <w:lang w:val="en-GB"/>
              </w:rPr>
              <w:t xml:space="preserve">. </w:t>
            </w:r>
          </w:p>
          <w:p w14:paraId="4267F791" w14:textId="77777777" w:rsidR="00495FC4" w:rsidRDefault="00495FC4">
            <w:pPr>
              <w:spacing w:before="40" w:after="40"/>
              <w:rPr>
                <w:sz w:val="16"/>
                <w:szCs w:val="16"/>
                <w:lang w:val="en-GB"/>
              </w:rPr>
            </w:pPr>
            <w:r>
              <w:rPr>
                <w:sz w:val="16"/>
                <w:szCs w:val="16"/>
                <w:lang w:val="en-GB"/>
              </w:rPr>
              <w:t>A</w:t>
            </w:r>
            <w:r w:rsidRPr="007069BE">
              <w:rPr>
                <w:sz w:val="16"/>
                <w:szCs w:val="16"/>
                <w:lang w:val="en-GB"/>
              </w:rPr>
              <w:t xml:space="preserve"> small section of coastal waters west of Port Campbell is predicted to be exposed </w:t>
            </w:r>
            <w:r>
              <w:rPr>
                <w:sz w:val="16"/>
                <w:szCs w:val="16"/>
                <w:lang w:val="en-GB"/>
              </w:rPr>
              <w:t>low to high (effect level) entrained phase hydrocarbons and low-moderate dissolved phase hydrocarbons</w:t>
            </w:r>
            <w:r w:rsidRPr="007069BE">
              <w:rPr>
                <w:sz w:val="16"/>
                <w:szCs w:val="16"/>
                <w:lang w:val="en-GB"/>
              </w:rPr>
              <w:t>. The section of coastline predicted by the OSTM to be contacted contains patchy subtidal rocky reef, where it is likely that macro</w:t>
            </w:r>
            <w:r>
              <w:rPr>
                <w:sz w:val="16"/>
                <w:szCs w:val="16"/>
                <w:lang w:val="en-GB"/>
              </w:rPr>
              <w:t>-</w:t>
            </w:r>
            <w:r w:rsidRPr="007069BE">
              <w:rPr>
                <w:sz w:val="16"/>
                <w:szCs w:val="16"/>
                <w:lang w:val="en-GB"/>
              </w:rPr>
              <w:t>algal communities exist</w:t>
            </w:r>
          </w:p>
          <w:p w14:paraId="29913CEF" w14:textId="447C9C41" w:rsidR="00495FC4" w:rsidRDefault="00495FC4">
            <w:pPr>
              <w:spacing w:before="40" w:after="40"/>
              <w:rPr>
                <w:sz w:val="16"/>
                <w:szCs w:val="16"/>
                <w:lang w:val="en-GB"/>
              </w:rPr>
            </w:pPr>
            <w:r w:rsidRPr="007069BE">
              <w:rPr>
                <w:sz w:val="16"/>
                <w:szCs w:val="16"/>
                <w:lang w:val="en-GB"/>
              </w:rPr>
              <w:t>Given the pre</w:t>
            </w:r>
            <w:r>
              <w:rPr>
                <w:sz w:val="16"/>
                <w:szCs w:val="16"/>
                <w:lang w:val="en-GB"/>
              </w:rPr>
              <w:t xml:space="preserve">sence of </w:t>
            </w:r>
            <w:r w:rsidRPr="007069BE">
              <w:rPr>
                <w:sz w:val="16"/>
                <w:szCs w:val="16"/>
                <w:lang w:val="en-GB"/>
              </w:rPr>
              <w:t xml:space="preserve">subtidal rocky reefs in the region, </w:t>
            </w:r>
            <w:r>
              <w:rPr>
                <w:sz w:val="16"/>
                <w:szCs w:val="16"/>
                <w:lang w:val="en-GB"/>
              </w:rPr>
              <w:t xml:space="preserve">it is possible that within the condensate spill EMBA, these areas of higher dissolved and entrained phase may lead to localised areas of impact (expected to be sub-lethal based upon concentrations/observations listed above) for a very short period of time. </w:t>
            </w:r>
            <w:r w:rsidRPr="007069BE">
              <w:rPr>
                <w:sz w:val="16"/>
                <w:szCs w:val="16"/>
                <w:lang w:val="en-GB"/>
              </w:rPr>
              <w:t>Hydrocarbons are likely to weather rapidly in this area, with high-energy waves against the sheer cliffs breaking up hydrocarbons along the coast.</w:t>
            </w:r>
          </w:p>
          <w:p w14:paraId="109972E7" w14:textId="46DBBA9F" w:rsidR="00495FC4" w:rsidRPr="007069BE" w:rsidRDefault="00495FC4" w:rsidP="007069BE">
            <w:pPr>
              <w:spacing w:before="40" w:after="40"/>
              <w:rPr>
                <w:rFonts w:cs="Arial"/>
                <w:sz w:val="16"/>
                <w:szCs w:val="16"/>
                <w:lang w:eastAsia="en-US"/>
              </w:rPr>
            </w:pPr>
            <w:r>
              <w:rPr>
                <w:sz w:val="16"/>
                <w:szCs w:val="16"/>
                <w:lang w:val="en-GB"/>
              </w:rPr>
              <w:t xml:space="preserve">From available literature affected macroalgal areas appear to regenerate quickly and </w:t>
            </w:r>
            <w:r w:rsidRPr="007069BE">
              <w:rPr>
                <w:sz w:val="16"/>
                <w:szCs w:val="16"/>
                <w:lang w:val="en-GB"/>
              </w:rPr>
              <w:t>any localised mortality of macro</w:t>
            </w:r>
            <w:r>
              <w:rPr>
                <w:sz w:val="16"/>
                <w:szCs w:val="16"/>
                <w:lang w:val="en-GB"/>
              </w:rPr>
              <w:t>-</w:t>
            </w:r>
            <w:r w:rsidRPr="007069BE">
              <w:rPr>
                <w:sz w:val="16"/>
                <w:szCs w:val="16"/>
                <w:lang w:val="en-GB"/>
              </w:rPr>
              <w:t>algae is likely to lead to rapid recruitment from nearby seed stock</w:t>
            </w:r>
            <w:r>
              <w:rPr>
                <w:sz w:val="16"/>
                <w:szCs w:val="16"/>
                <w:lang w:val="en-GB"/>
              </w:rPr>
              <w:t xml:space="preserve"> (minor consequence)</w:t>
            </w:r>
            <w:r w:rsidRPr="007069BE">
              <w:rPr>
                <w:sz w:val="16"/>
                <w:szCs w:val="16"/>
                <w:lang w:val="en-GB"/>
              </w:rPr>
              <w:t>.</w:t>
            </w:r>
            <w:r>
              <w:rPr>
                <w:sz w:val="16"/>
                <w:szCs w:val="16"/>
                <w:lang w:val="en-GB"/>
              </w:rPr>
              <w:t xml:space="preserve"> </w:t>
            </w:r>
          </w:p>
        </w:tc>
      </w:tr>
    </w:tbl>
    <w:p w14:paraId="7989F149" w14:textId="769348E4" w:rsidR="008D494B" w:rsidRPr="00403B73" w:rsidRDefault="008D494B" w:rsidP="00230BCE">
      <w:pPr>
        <w:outlineLvl w:val="9"/>
      </w:pPr>
    </w:p>
    <w:p w14:paraId="09277AC6" w14:textId="5E25BC43" w:rsidR="00FD73BA" w:rsidRDefault="00FD73BA" w:rsidP="00FD73BA">
      <w:pPr>
        <w:pStyle w:val="Caption"/>
        <w:outlineLvl w:val="9"/>
      </w:pPr>
      <w:bookmarkStart w:id="269" w:name="_Toc511032622"/>
      <w:r>
        <w:rPr>
          <w:sz w:val="20"/>
          <w:szCs w:val="20"/>
        </w:rPr>
        <w:lastRenderedPageBreak/>
        <w:t>T</w:t>
      </w:r>
      <w:r w:rsidRPr="007069BE">
        <w:rPr>
          <w:sz w:val="20"/>
          <w:szCs w:val="20"/>
        </w:rPr>
        <w:t xml:space="preserve">able </w:t>
      </w:r>
      <w:r>
        <w:rPr>
          <w:sz w:val="20"/>
          <w:szCs w:val="20"/>
        </w:rPr>
        <w:fldChar w:fldCharType="begin"/>
      </w:r>
      <w:r>
        <w:rPr>
          <w:sz w:val="20"/>
          <w:szCs w:val="20"/>
        </w:rPr>
        <w:instrText xml:space="preserve"> STYLEREF 1 \s </w:instrText>
      </w:r>
      <w:r>
        <w:rPr>
          <w:sz w:val="20"/>
          <w:szCs w:val="20"/>
        </w:rPr>
        <w:fldChar w:fldCharType="separate"/>
      </w:r>
      <w:r w:rsidR="00CC4C35">
        <w:rPr>
          <w:noProof/>
          <w:sz w:val="20"/>
          <w:szCs w:val="20"/>
        </w:rPr>
        <w:t>5</w:t>
      </w:r>
      <w:r>
        <w:rPr>
          <w:sz w:val="20"/>
          <w:szCs w:val="20"/>
        </w:rPr>
        <w:fldChar w:fldCharType="end"/>
      </w:r>
      <w:r>
        <w:rPr>
          <w:sz w:val="20"/>
          <w:szCs w:val="20"/>
        </w:rPr>
        <w:noBreakHyphen/>
      </w:r>
      <w:r>
        <w:rPr>
          <w:sz w:val="20"/>
          <w:szCs w:val="20"/>
        </w:rPr>
        <w:fldChar w:fldCharType="begin"/>
      </w:r>
      <w:r>
        <w:rPr>
          <w:sz w:val="20"/>
          <w:szCs w:val="20"/>
        </w:rPr>
        <w:instrText xml:space="preserve"> SEQ Table \* ARABIC \s 1 </w:instrText>
      </w:r>
      <w:r>
        <w:rPr>
          <w:sz w:val="20"/>
          <w:szCs w:val="20"/>
        </w:rPr>
        <w:fldChar w:fldCharType="separate"/>
      </w:r>
      <w:r w:rsidR="00CC4C35">
        <w:rPr>
          <w:noProof/>
          <w:sz w:val="20"/>
          <w:szCs w:val="20"/>
        </w:rPr>
        <w:t>31</w:t>
      </w:r>
      <w:r>
        <w:rPr>
          <w:sz w:val="20"/>
          <w:szCs w:val="20"/>
        </w:rPr>
        <w:fldChar w:fldCharType="end"/>
      </w:r>
      <w:r w:rsidRPr="007069BE">
        <w:rPr>
          <w:sz w:val="20"/>
          <w:szCs w:val="20"/>
        </w:rPr>
        <w:t xml:space="preserve">: Potential impacts of hydrocarbons to </w:t>
      </w:r>
      <w:r>
        <w:rPr>
          <w:sz w:val="20"/>
          <w:szCs w:val="20"/>
        </w:rPr>
        <w:t>coastal saltmarsh</w:t>
      </w:r>
      <w:r w:rsidRPr="007069BE">
        <w:rPr>
          <w:sz w:val="20"/>
          <w:szCs w:val="20"/>
        </w:rPr>
        <w:t xml:space="preserve"> communities</w:t>
      </w:r>
      <w:bookmarkEnd w:id="269"/>
    </w:p>
    <w:tbl>
      <w:tblPr>
        <w:tblW w:w="0" w:type="auto"/>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13031"/>
      </w:tblGrid>
      <w:tr w:rsidR="00FD73BA" w:rsidRPr="007069BE" w14:paraId="20831F3F" w14:textId="77777777" w:rsidTr="00DE7BE0">
        <w:tc>
          <w:tcPr>
            <w:tcW w:w="13217" w:type="dxa"/>
            <w:shd w:val="clear" w:color="auto" w:fill="A6A6A6"/>
          </w:tcPr>
          <w:p w14:paraId="4A9DBDB1" w14:textId="64D1364A" w:rsidR="00FD73BA" w:rsidRPr="007069BE" w:rsidRDefault="00FD73BA">
            <w:pPr>
              <w:pStyle w:val="BodyText"/>
              <w:spacing w:before="40" w:after="40"/>
              <w:ind w:left="0"/>
              <w:jc w:val="center"/>
              <w:rPr>
                <w:rFonts w:cs="Arial"/>
                <w:b/>
                <w:sz w:val="16"/>
                <w:szCs w:val="16"/>
                <w:lang w:eastAsia="en-US"/>
              </w:rPr>
            </w:pPr>
            <w:r w:rsidRPr="007069BE">
              <w:rPr>
                <w:rFonts w:cs="Arial"/>
                <w:b/>
                <w:sz w:val="16"/>
                <w:szCs w:val="16"/>
                <w:lang w:eastAsia="en-US"/>
              </w:rPr>
              <w:t xml:space="preserve">General sensitivity to oiling – </w:t>
            </w:r>
            <w:r>
              <w:rPr>
                <w:rFonts w:cs="Arial"/>
                <w:b/>
                <w:sz w:val="16"/>
                <w:szCs w:val="16"/>
                <w:lang w:eastAsia="en-US"/>
              </w:rPr>
              <w:t xml:space="preserve">coastal saltmarsh </w:t>
            </w:r>
            <w:r w:rsidRPr="007069BE">
              <w:rPr>
                <w:rFonts w:cs="Arial"/>
                <w:b/>
                <w:sz w:val="16"/>
                <w:szCs w:val="16"/>
                <w:lang w:eastAsia="en-US"/>
              </w:rPr>
              <w:t>communities</w:t>
            </w:r>
          </w:p>
        </w:tc>
      </w:tr>
      <w:tr w:rsidR="00FD73BA" w:rsidRPr="007069BE" w14:paraId="49924DAD" w14:textId="77777777" w:rsidTr="00DE7BE0">
        <w:tc>
          <w:tcPr>
            <w:tcW w:w="13217" w:type="dxa"/>
            <w:shd w:val="clear" w:color="auto" w:fill="auto"/>
          </w:tcPr>
          <w:p w14:paraId="532939B8" w14:textId="77777777" w:rsidR="002E083D" w:rsidRPr="00FA36A5" w:rsidRDefault="007A1275" w:rsidP="007A1275">
            <w:pPr>
              <w:autoSpaceDE w:val="0"/>
              <w:autoSpaceDN w:val="0"/>
              <w:adjustRightInd w:val="0"/>
              <w:spacing w:after="0"/>
              <w:outlineLvl w:val="9"/>
              <w:rPr>
                <w:rFonts w:eastAsia="Calibri" w:cs="Arial"/>
                <w:kern w:val="0"/>
                <w:sz w:val="16"/>
                <w:szCs w:val="16"/>
                <w:lang w:eastAsia="en-US"/>
              </w:rPr>
            </w:pPr>
            <w:r w:rsidRPr="00FA36A5">
              <w:rPr>
                <w:rFonts w:eastAsia="Calibri" w:cs="Arial"/>
                <w:kern w:val="0"/>
                <w:sz w:val="16"/>
                <w:szCs w:val="16"/>
                <w:lang w:eastAsia="en-US"/>
              </w:rPr>
              <w:t>Saltmarsh is present in areas with some type of connectivity to saline tidal influences (</w:t>
            </w:r>
            <w:r w:rsidR="002E083D" w:rsidRPr="00FA36A5">
              <w:rPr>
                <w:rFonts w:eastAsia="Calibri" w:cs="Arial"/>
                <w:kern w:val="0"/>
                <w:sz w:val="16"/>
                <w:szCs w:val="16"/>
                <w:lang w:eastAsia="en-US"/>
              </w:rPr>
              <w:t xml:space="preserve">surface or groundwater) and are located in the upper inter-tidal environment. </w:t>
            </w:r>
          </w:p>
          <w:p w14:paraId="4562A885" w14:textId="1BDA4D3A" w:rsidR="008D494B" w:rsidRDefault="007A1275" w:rsidP="00FA36A5">
            <w:pPr>
              <w:autoSpaceDE w:val="0"/>
              <w:autoSpaceDN w:val="0"/>
              <w:adjustRightInd w:val="0"/>
              <w:spacing w:after="0"/>
              <w:outlineLvl w:val="9"/>
              <w:rPr>
                <w:rFonts w:eastAsia="Calibri" w:cs="Arial"/>
                <w:kern w:val="0"/>
                <w:sz w:val="16"/>
                <w:szCs w:val="16"/>
                <w:lang w:eastAsia="en-US"/>
              </w:rPr>
            </w:pPr>
            <w:r w:rsidRPr="00FA36A5">
              <w:rPr>
                <w:rFonts w:eastAsia="Calibri" w:cs="Arial"/>
                <w:kern w:val="0"/>
                <w:sz w:val="16"/>
                <w:szCs w:val="16"/>
                <w:lang w:eastAsia="en-US"/>
              </w:rPr>
              <w:t>Oil can adhere readily to saltmarsh and recovery times are variable depending upon the level of</w:t>
            </w:r>
            <w:r w:rsidR="002E083D" w:rsidRPr="00FA36A5">
              <w:rPr>
                <w:rFonts w:eastAsia="Calibri" w:cs="Arial"/>
                <w:kern w:val="0"/>
                <w:sz w:val="16"/>
                <w:szCs w:val="16"/>
                <w:lang w:eastAsia="en-US"/>
              </w:rPr>
              <w:t xml:space="preserve"> </w:t>
            </w:r>
            <w:r w:rsidRPr="00FA36A5">
              <w:rPr>
                <w:rFonts w:eastAsia="Calibri" w:cs="Arial"/>
                <w:kern w:val="0"/>
                <w:sz w:val="16"/>
                <w:szCs w:val="16"/>
                <w:lang w:eastAsia="en-US"/>
              </w:rPr>
              <w:t xml:space="preserve">impact. </w:t>
            </w:r>
            <w:r w:rsidR="008D494B">
              <w:rPr>
                <w:rFonts w:eastAsia="Calibri" w:cs="Arial"/>
                <w:kern w:val="0"/>
                <w:sz w:val="16"/>
                <w:szCs w:val="16"/>
                <w:lang w:eastAsia="en-US"/>
              </w:rPr>
              <w:t>They are typically nursery areas for fish and invertebrate species. Salt marshes typically consist of fine grain often anoxic sediments held in place by the rhizomes of the plant. Damage and dieback of the plants often causes erosion of the habitat as a whole (Hook et al, 2016). Damage to saltmarsh is usually most severe in</w:t>
            </w:r>
            <w:r w:rsidR="00AF1394">
              <w:rPr>
                <w:rFonts w:eastAsia="Calibri" w:cs="Arial"/>
                <w:kern w:val="0"/>
                <w:sz w:val="16"/>
                <w:szCs w:val="16"/>
                <w:lang w:eastAsia="en-US"/>
              </w:rPr>
              <w:t xml:space="preserve"> t</w:t>
            </w:r>
            <w:r w:rsidR="008D494B">
              <w:rPr>
                <w:rFonts w:eastAsia="Calibri" w:cs="Arial"/>
                <w:kern w:val="0"/>
                <w:sz w:val="16"/>
                <w:szCs w:val="16"/>
                <w:lang w:eastAsia="en-US"/>
              </w:rPr>
              <w:t xml:space="preserve">he areas closest </w:t>
            </w:r>
            <w:r w:rsidR="00AF1394">
              <w:rPr>
                <w:rFonts w:eastAsia="Calibri" w:cs="Arial"/>
                <w:kern w:val="0"/>
                <w:sz w:val="16"/>
                <w:szCs w:val="16"/>
                <w:lang w:eastAsia="en-US"/>
              </w:rPr>
              <w:t>t</w:t>
            </w:r>
            <w:r w:rsidR="008D494B">
              <w:rPr>
                <w:rFonts w:eastAsia="Calibri" w:cs="Arial"/>
                <w:kern w:val="0"/>
                <w:sz w:val="16"/>
                <w:szCs w:val="16"/>
                <w:lang w:eastAsia="en-US"/>
              </w:rPr>
              <w:t>o the shoreline</w:t>
            </w:r>
            <w:r w:rsidR="00AF1394">
              <w:rPr>
                <w:rFonts w:eastAsia="Calibri" w:cs="Arial"/>
                <w:kern w:val="0"/>
                <w:sz w:val="16"/>
                <w:szCs w:val="16"/>
                <w:lang w:eastAsia="en-US"/>
              </w:rPr>
              <w:t>. It was observed as a result of the Deepwater Horizon oil spill, oiling and plant stress where both highest within 14m of tidally inundated areas (Hook et al, 2016).</w:t>
            </w:r>
          </w:p>
          <w:p w14:paraId="377FA0BD" w14:textId="74E7C537" w:rsidR="00FD73BA" w:rsidRPr="00277978" w:rsidRDefault="007A1275" w:rsidP="00FA36A5">
            <w:pPr>
              <w:autoSpaceDE w:val="0"/>
              <w:autoSpaceDN w:val="0"/>
              <w:adjustRightInd w:val="0"/>
              <w:spacing w:after="0"/>
              <w:outlineLvl w:val="9"/>
              <w:rPr>
                <w:sz w:val="16"/>
                <w:szCs w:val="16"/>
                <w:lang w:val="en-GB"/>
              </w:rPr>
            </w:pPr>
            <w:r w:rsidRPr="00FA36A5">
              <w:rPr>
                <w:rFonts w:eastAsia="Calibri" w:cs="Arial"/>
                <w:kern w:val="0"/>
                <w:sz w:val="16"/>
                <w:szCs w:val="16"/>
                <w:lang w:eastAsia="en-US"/>
              </w:rPr>
              <w:t>For temperate species there is seasonal die</w:t>
            </w:r>
            <w:r w:rsidRPr="00FA36A5">
              <w:rPr>
                <w:rFonts w:ascii="Cambria Math" w:eastAsia="Calibri" w:hAnsi="Cambria Math" w:cs="Cambria Math"/>
                <w:kern w:val="0"/>
                <w:sz w:val="16"/>
                <w:szCs w:val="16"/>
                <w:lang w:eastAsia="en-US"/>
              </w:rPr>
              <w:t>‐</w:t>
            </w:r>
            <w:r w:rsidRPr="00FA36A5">
              <w:rPr>
                <w:rFonts w:eastAsia="Calibri" w:cs="Arial"/>
                <w:kern w:val="0"/>
                <w:sz w:val="16"/>
                <w:szCs w:val="16"/>
                <w:lang w:eastAsia="en-US"/>
              </w:rPr>
              <w:t>back, and during spring and summer (growing</w:t>
            </w:r>
            <w:r w:rsidR="002E083D" w:rsidRPr="00FA36A5">
              <w:rPr>
                <w:rFonts w:eastAsia="Calibri" w:cs="Arial"/>
                <w:kern w:val="0"/>
                <w:sz w:val="16"/>
                <w:szCs w:val="16"/>
                <w:lang w:eastAsia="en-US"/>
              </w:rPr>
              <w:t xml:space="preserve"> </w:t>
            </w:r>
            <w:r w:rsidRPr="00FA36A5">
              <w:rPr>
                <w:rFonts w:eastAsia="Calibri" w:cs="Arial"/>
                <w:kern w:val="0"/>
                <w:sz w:val="16"/>
                <w:szCs w:val="16"/>
                <w:lang w:eastAsia="en-US"/>
              </w:rPr>
              <w:t>season) the species are more susceptible (IPIECA, 1994). Impacts are related to oil toxicity (lighter,</w:t>
            </w:r>
            <w:r w:rsidR="002E083D" w:rsidRPr="00FA36A5">
              <w:rPr>
                <w:rFonts w:eastAsia="Calibri" w:cs="Arial"/>
                <w:kern w:val="0"/>
                <w:sz w:val="16"/>
                <w:szCs w:val="16"/>
                <w:lang w:eastAsia="en-US"/>
              </w:rPr>
              <w:t xml:space="preserve"> </w:t>
            </w:r>
            <w:r w:rsidRPr="00FA36A5">
              <w:rPr>
                <w:rFonts w:eastAsia="Calibri" w:cs="Arial"/>
                <w:kern w:val="0"/>
                <w:sz w:val="16"/>
                <w:szCs w:val="16"/>
                <w:lang w:eastAsia="en-US"/>
              </w:rPr>
              <w:t>non</w:t>
            </w:r>
            <w:r w:rsidRPr="00FA36A5">
              <w:rPr>
                <w:rFonts w:ascii="Cambria Math" w:eastAsia="Calibri" w:hAnsi="Cambria Math" w:cs="Cambria Math"/>
                <w:kern w:val="0"/>
                <w:sz w:val="16"/>
                <w:szCs w:val="16"/>
                <w:lang w:eastAsia="en-US"/>
              </w:rPr>
              <w:t>‐</w:t>
            </w:r>
            <w:r w:rsidRPr="00FA36A5">
              <w:rPr>
                <w:rFonts w:eastAsia="Calibri" w:cs="Arial"/>
                <w:kern w:val="0"/>
                <w:sz w:val="16"/>
                <w:szCs w:val="16"/>
                <w:lang w:eastAsia="en-US"/>
              </w:rPr>
              <w:t>weathered products causing more impacts such as MDO) or smothering (physical effect). Oil</w:t>
            </w:r>
            <w:r w:rsidR="002E083D" w:rsidRPr="00FA36A5">
              <w:rPr>
                <w:rFonts w:eastAsia="Calibri" w:cs="Arial"/>
                <w:kern w:val="0"/>
                <w:sz w:val="16"/>
                <w:szCs w:val="16"/>
                <w:lang w:eastAsia="en-US"/>
              </w:rPr>
              <w:t xml:space="preserve"> </w:t>
            </w:r>
            <w:r w:rsidRPr="00FA36A5">
              <w:rPr>
                <w:rFonts w:eastAsia="Calibri" w:cs="Arial"/>
                <w:kern w:val="0"/>
                <w:sz w:val="16"/>
                <w:szCs w:val="16"/>
                <w:lang w:eastAsia="en-US"/>
              </w:rPr>
              <w:t>loading also determines recovery times. For light to moderate oiling with little penetration into the</w:t>
            </w:r>
            <w:r w:rsidR="002E083D" w:rsidRPr="00FA36A5">
              <w:rPr>
                <w:rFonts w:eastAsia="Calibri" w:cs="Arial"/>
                <w:kern w:val="0"/>
                <w:sz w:val="16"/>
                <w:szCs w:val="16"/>
                <w:lang w:eastAsia="en-US"/>
              </w:rPr>
              <w:t xml:space="preserve"> </w:t>
            </w:r>
            <w:r w:rsidRPr="00FA36A5">
              <w:rPr>
                <w:rFonts w:eastAsia="Calibri" w:cs="Arial"/>
                <w:kern w:val="0"/>
                <w:sz w:val="16"/>
                <w:szCs w:val="16"/>
                <w:lang w:eastAsia="en-US"/>
              </w:rPr>
              <w:t>sediments, the plant may be killed in part, but recovery can take place from the underground</w:t>
            </w:r>
            <w:r w:rsidR="002E083D" w:rsidRPr="00FA36A5">
              <w:rPr>
                <w:rFonts w:eastAsia="Calibri" w:cs="Arial"/>
                <w:kern w:val="0"/>
                <w:sz w:val="16"/>
                <w:szCs w:val="16"/>
                <w:lang w:eastAsia="en-US"/>
              </w:rPr>
              <w:t xml:space="preserve"> </w:t>
            </w:r>
            <w:r w:rsidRPr="00FA36A5">
              <w:rPr>
                <w:rFonts w:eastAsia="Calibri" w:cs="Arial"/>
                <w:kern w:val="0"/>
                <w:sz w:val="16"/>
                <w:szCs w:val="16"/>
                <w:lang w:eastAsia="en-US"/>
              </w:rPr>
              <w:t>systems – generally good recovery in 1</w:t>
            </w:r>
            <w:r w:rsidRPr="00FA36A5">
              <w:rPr>
                <w:rFonts w:ascii="Cambria Math" w:eastAsia="Calibri" w:hAnsi="Cambria Math" w:cs="Cambria Math"/>
                <w:kern w:val="0"/>
                <w:sz w:val="16"/>
                <w:szCs w:val="16"/>
                <w:lang w:eastAsia="en-US"/>
              </w:rPr>
              <w:t>‐</w:t>
            </w:r>
            <w:r w:rsidRPr="00FA36A5">
              <w:rPr>
                <w:rFonts w:eastAsia="Calibri" w:cs="Arial"/>
                <w:kern w:val="0"/>
                <w:sz w:val="16"/>
                <w:szCs w:val="16"/>
                <w:lang w:eastAsia="en-US"/>
              </w:rPr>
              <w:t>2years. Oiling of shoots with substantial penetration into</w:t>
            </w:r>
            <w:r w:rsidR="002E083D" w:rsidRPr="00FA36A5">
              <w:rPr>
                <w:rFonts w:eastAsia="Calibri" w:cs="Arial"/>
                <w:kern w:val="0"/>
                <w:sz w:val="16"/>
                <w:szCs w:val="16"/>
                <w:lang w:eastAsia="en-US"/>
              </w:rPr>
              <w:t xml:space="preserve"> </w:t>
            </w:r>
            <w:r w:rsidRPr="00FA36A5">
              <w:rPr>
                <w:rFonts w:eastAsia="Calibri" w:cs="Arial"/>
                <w:kern w:val="0"/>
                <w:sz w:val="16"/>
                <w:szCs w:val="16"/>
                <w:lang w:eastAsia="en-US"/>
              </w:rPr>
              <w:t>the sediments with damage to underground systems may delay recovery (~7years). With thick</w:t>
            </w:r>
            <w:r w:rsidR="002E083D" w:rsidRPr="00FA36A5">
              <w:rPr>
                <w:rFonts w:eastAsia="Calibri" w:cs="Arial"/>
                <w:kern w:val="0"/>
                <w:sz w:val="16"/>
                <w:szCs w:val="16"/>
                <w:lang w:eastAsia="en-US"/>
              </w:rPr>
              <w:t xml:space="preserve"> </w:t>
            </w:r>
            <w:r w:rsidRPr="00FA36A5">
              <w:rPr>
                <w:rFonts w:eastAsia="Calibri" w:cs="Arial"/>
                <w:kern w:val="0"/>
                <w:sz w:val="16"/>
                <w:szCs w:val="16"/>
                <w:lang w:eastAsia="en-US"/>
              </w:rPr>
              <w:t>deposits of oil, vegetation is likely to be killed by smothering and the recovery period for species</w:t>
            </w:r>
            <w:r w:rsidR="002E083D" w:rsidRPr="00FA36A5">
              <w:rPr>
                <w:rFonts w:eastAsia="Calibri" w:cs="Arial"/>
                <w:kern w:val="0"/>
                <w:sz w:val="16"/>
                <w:szCs w:val="16"/>
                <w:lang w:eastAsia="en-US"/>
              </w:rPr>
              <w:t xml:space="preserve"> </w:t>
            </w:r>
            <w:r w:rsidRPr="00FA36A5">
              <w:rPr>
                <w:rFonts w:eastAsia="Calibri" w:cs="Arial"/>
                <w:kern w:val="0"/>
                <w:sz w:val="16"/>
                <w:szCs w:val="16"/>
                <w:lang w:eastAsia="en-US"/>
              </w:rPr>
              <w:t>can be significant (~20years) (IPIECA, 1994).</w:t>
            </w:r>
            <w:r w:rsidR="00FD73BA" w:rsidRPr="00277978">
              <w:rPr>
                <w:sz w:val="16"/>
                <w:szCs w:val="16"/>
                <w:lang w:val="en-GB"/>
              </w:rPr>
              <w:t xml:space="preserve"> </w:t>
            </w:r>
          </w:p>
          <w:p w14:paraId="14A99A54" w14:textId="7B22D705" w:rsidR="00130D39" w:rsidRPr="00265F1A" w:rsidRDefault="00130D39" w:rsidP="00FA36A5">
            <w:pPr>
              <w:autoSpaceDE w:val="0"/>
              <w:autoSpaceDN w:val="0"/>
              <w:adjustRightInd w:val="0"/>
              <w:spacing w:after="0"/>
              <w:outlineLvl w:val="9"/>
              <w:rPr>
                <w:rFonts w:cs="Arial"/>
                <w:sz w:val="16"/>
                <w:szCs w:val="16"/>
                <w:lang w:val="en-GB"/>
              </w:rPr>
            </w:pPr>
            <w:r w:rsidRPr="00277978">
              <w:rPr>
                <w:rFonts w:eastAsia="Calibri" w:cs="Arial"/>
                <w:kern w:val="0"/>
                <w:sz w:val="16"/>
                <w:szCs w:val="16"/>
                <w:lang w:eastAsia="en-US"/>
              </w:rPr>
              <w:t>Shoreline loadings of m</w:t>
            </w:r>
            <w:r w:rsidRPr="00FA36A5">
              <w:rPr>
                <w:rFonts w:eastAsia="Calibri" w:cs="Arial"/>
                <w:kern w:val="0"/>
                <w:sz w:val="16"/>
                <w:szCs w:val="16"/>
                <w:lang w:eastAsia="en-US"/>
              </w:rPr>
              <w:t>ore than 1,000 g/m</w:t>
            </w:r>
            <w:r w:rsidRPr="00FA36A5">
              <w:rPr>
                <w:rFonts w:eastAsia="Calibri" w:cs="Arial"/>
                <w:kern w:val="0"/>
                <w:sz w:val="16"/>
                <w:szCs w:val="16"/>
                <w:vertAlign w:val="superscript"/>
                <w:lang w:eastAsia="en-US"/>
              </w:rPr>
              <w:t>2</w:t>
            </w:r>
            <w:r w:rsidRPr="00FA36A5">
              <w:rPr>
                <w:rFonts w:eastAsia="Calibri" w:cs="Arial"/>
                <w:kern w:val="0"/>
                <w:sz w:val="16"/>
                <w:szCs w:val="16"/>
                <w:lang w:eastAsia="en-US"/>
              </w:rPr>
              <w:t xml:space="preserve"> of oil during the growing season would be required to impact marsh plants according to observations by Lin and Mendelssohn (1996). Similar thresholds have been found in studies assessing oil impacts on mangroves.</w:t>
            </w:r>
            <w:r w:rsidR="006055B2">
              <w:rPr>
                <w:rFonts w:eastAsia="Calibri" w:cs="Arial"/>
                <w:kern w:val="0"/>
                <w:sz w:val="16"/>
                <w:szCs w:val="16"/>
                <w:lang w:eastAsia="en-US"/>
              </w:rPr>
              <w:t xml:space="preserve"> </w:t>
            </w:r>
            <w:r w:rsidRPr="00FA36A5">
              <w:rPr>
                <w:rFonts w:eastAsia="Calibri" w:cs="Arial"/>
                <w:kern w:val="0"/>
                <w:sz w:val="16"/>
                <w:szCs w:val="16"/>
                <w:lang w:eastAsia="en-US"/>
              </w:rPr>
              <w:t>Thus 1,000 g/m</w:t>
            </w:r>
            <w:r w:rsidRPr="00FA36A5">
              <w:rPr>
                <w:rFonts w:eastAsia="Calibri" w:cs="Arial"/>
                <w:kern w:val="0"/>
                <w:sz w:val="16"/>
                <w:szCs w:val="16"/>
                <w:vertAlign w:val="superscript"/>
                <w:lang w:eastAsia="en-US"/>
              </w:rPr>
              <w:t>2</w:t>
            </w:r>
            <w:r w:rsidRPr="00FA36A5">
              <w:rPr>
                <w:rFonts w:eastAsia="Calibri" w:cs="Arial"/>
                <w:kern w:val="0"/>
                <w:sz w:val="16"/>
                <w:szCs w:val="16"/>
                <w:lang w:eastAsia="en-US"/>
              </w:rPr>
              <w:t xml:space="preserve"> is representative of higher level ecological impacts (i.e. ecosystem based impacts).</w:t>
            </w:r>
            <w:r>
              <w:rPr>
                <w:rFonts w:eastAsia="Calibri" w:cs="Arial"/>
                <w:kern w:val="0"/>
                <w:sz w:val="16"/>
                <w:szCs w:val="16"/>
                <w:lang w:eastAsia="en-US"/>
              </w:rPr>
              <w:t xml:space="preserve"> </w:t>
            </w:r>
          </w:p>
        </w:tc>
      </w:tr>
      <w:tr w:rsidR="00FD73BA" w:rsidRPr="007069BE" w14:paraId="715BCB7F" w14:textId="77777777" w:rsidTr="00DE7BE0">
        <w:tc>
          <w:tcPr>
            <w:tcW w:w="13217" w:type="dxa"/>
            <w:shd w:val="clear" w:color="auto" w:fill="D9D9D9"/>
          </w:tcPr>
          <w:p w14:paraId="0CBAB26E" w14:textId="77777777" w:rsidR="00FD73BA" w:rsidRPr="007069BE" w:rsidRDefault="00FD73BA" w:rsidP="00DE7BE0">
            <w:pPr>
              <w:pStyle w:val="BodyText"/>
              <w:spacing w:before="40" w:after="40"/>
              <w:ind w:left="0"/>
              <w:jc w:val="center"/>
              <w:rPr>
                <w:rFonts w:cs="Arial"/>
                <w:b/>
                <w:sz w:val="16"/>
                <w:szCs w:val="16"/>
                <w:lang w:eastAsia="en-US"/>
              </w:rPr>
            </w:pPr>
            <w:r w:rsidRPr="007069BE">
              <w:rPr>
                <w:rFonts w:cs="Arial"/>
                <w:b/>
                <w:sz w:val="16"/>
                <w:szCs w:val="16"/>
                <w:lang w:eastAsia="en-US"/>
              </w:rPr>
              <w:t>Potential impacts from this project</w:t>
            </w:r>
          </w:p>
        </w:tc>
      </w:tr>
      <w:tr w:rsidR="002E083D" w:rsidRPr="007069BE" w14:paraId="35F06881" w14:textId="77777777" w:rsidTr="00642BE0">
        <w:tc>
          <w:tcPr>
            <w:tcW w:w="13217" w:type="dxa"/>
            <w:shd w:val="clear" w:color="auto" w:fill="F2F2F2"/>
          </w:tcPr>
          <w:p w14:paraId="60B5B512" w14:textId="0E991977" w:rsidR="002E083D" w:rsidRPr="007069BE" w:rsidRDefault="002E083D" w:rsidP="00DE7BE0">
            <w:pPr>
              <w:pStyle w:val="BodyText"/>
              <w:spacing w:before="40" w:after="40"/>
              <w:ind w:left="0"/>
              <w:jc w:val="center"/>
              <w:rPr>
                <w:rFonts w:cs="Arial"/>
                <w:sz w:val="16"/>
                <w:szCs w:val="16"/>
                <w:lang w:eastAsia="en-US"/>
              </w:rPr>
            </w:pPr>
            <w:r w:rsidRPr="007069BE">
              <w:rPr>
                <w:rFonts w:cs="Arial"/>
                <w:sz w:val="16"/>
                <w:szCs w:val="16"/>
                <w:lang w:eastAsia="en-US"/>
              </w:rPr>
              <w:t>Shoreline</w:t>
            </w:r>
          </w:p>
        </w:tc>
      </w:tr>
      <w:tr w:rsidR="002E083D" w:rsidRPr="007069BE" w14:paraId="348B393E" w14:textId="77777777" w:rsidTr="00FA36A5">
        <w:tc>
          <w:tcPr>
            <w:tcW w:w="13217" w:type="dxa"/>
            <w:shd w:val="clear" w:color="auto" w:fill="auto"/>
          </w:tcPr>
          <w:p w14:paraId="75B50E74" w14:textId="481C2082" w:rsidR="002E083D" w:rsidRDefault="002E083D">
            <w:pPr>
              <w:spacing w:before="40" w:after="40"/>
              <w:rPr>
                <w:sz w:val="16"/>
                <w:szCs w:val="16"/>
                <w:lang w:val="en-GB"/>
              </w:rPr>
            </w:pPr>
            <w:r>
              <w:rPr>
                <w:sz w:val="16"/>
                <w:szCs w:val="16"/>
                <w:lang w:val="en-GB"/>
              </w:rPr>
              <w:t xml:space="preserve">Areas of saltmarsh within the CHN operational EMBA vary in their connectivity with the sea and their elevation above sea level </w:t>
            </w:r>
            <w:r w:rsidR="00495FC4">
              <w:rPr>
                <w:sz w:val="16"/>
                <w:szCs w:val="16"/>
                <w:lang w:val="en-GB"/>
              </w:rPr>
              <w:t>which affects</w:t>
            </w:r>
            <w:r>
              <w:rPr>
                <w:sz w:val="16"/>
                <w:szCs w:val="16"/>
                <w:lang w:val="en-GB"/>
              </w:rPr>
              <w:t xml:space="preserve"> their risk of being affected by a condensate spill.</w:t>
            </w:r>
          </w:p>
          <w:p w14:paraId="11078432" w14:textId="4AD94E2D" w:rsidR="009827D1" w:rsidRDefault="002E083D">
            <w:pPr>
              <w:spacing w:before="40" w:after="40"/>
              <w:rPr>
                <w:sz w:val="16"/>
                <w:szCs w:val="16"/>
                <w:lang w:val="en-GB"/>
              </w:rPr>
            </w:pPr>
            <w:r>
              <w:rPr>
                <w:sz w:val="16"/>
                <w:szCs w:val="16"/>
                <w:lang w:val="en-GB"/>
              </w:rPr>
              <w:t xml:space="preserve">The condensate </w:t>
            </w:r>
            <w:r w:rsidR="00495FC4">
              <w:rPr>
                <w:sz w:val="16"/>
                <w:szCs w:val="16"/>
                <w:lang w:val="en-GB"/>
              </w:rPr>
              <w:t xml:space="preserve">entrained phase </w:t>
            </w:r>
            <w:r>
              <w:rPr>
                <w:sz w:val="16"/>
                <w:szCs w:val="16"/>
                <w:lang w:val="en-GB"/>
              </w:rPr>
              <w:t xml:space="preserve">EMBA extends from </w:t>
            </w:r>
            <w:r w:rsidR="009827D1" w:rsidRPr="007C327E">
              <w:rPr>
                <w:sz w:val="16"/>
                <w:szCs w:val="16"/>
                <w:lang w:val="en-GB"/>
              </w:rPr>
              <w:t>Mepunga (</w:t>
            </w:r>
            <w:r w:rsidR="007C327E" w:rsidRPr="00FA36A5">
              <w:rPr>
                <w:sz w:val="16"/>
                <w:szCs w:val="16"/>
                <w:lang w:val="en-GB"/>
              </w:rPr>
              <w:t>30</w:t>
            </w:r>
            <w:r w:rsidR="009827D1" w:rsidRPr="007C327E">
              <w:rPr>
                <w:sz w:val="16"/>
                <w:szCs w:val="16"/>
                <w:lang w:val="en-GB"/>
              </w:rPr>
              <w:t xml:space="preserve"> km northwest of the HDD site) to Wattle Hill (</w:t>
            </w:r>
            <w:r w:rsidR="007C327E" w:rsidRPr="007C327E">
              <w:rPr>
                <w:sz w:val="16"/>
                <w:szCs w:val="16"/>
                <w:lang w:val="en-GB"/>
              </w:rPr>
              <w:t>30</w:t>
            </w:r>
            <w:r w:rsidR="009827D1" w:rsidRPr="007C327E">
              <w:rPr>
                <w:sz w:val="16"/>
                <w:szCs w:val="16"/>
                <w:lang w:val="en-GB"/>
              </w:rPr>
              <w:t xml:space="preserve"> km southeast of the HDD site). As per Table 5-17, this geographic area covers inlets between Curdies Inlet </w:t>
            </w:r>
            <w:r w:rsidR="00130D39">
              <w:rPr>
                <w:sz w:val="16"/>
                <w:szCs w:val="16"/>
                <w:lang w:val="en-GB"/>
              </w:rPr>
              <w:t>and</w:t>
            </w:r>
            <w:r w:rsidR="009827D1" w:rsidRPr="007C327E">
              <w:rPr>
                <w:sz w:val="16"/>
                <w:szCs w:val="16"/>
                <w:lang w:val="en-GB"/>
              </w:rPr>
              <w:t xml:space="preserve"> the Gellibrand River. Within this coastal area the only inlet identified </w:t>
            </w:r>
            <w:r w:rsidR="00495FC4">
              <w:rPr>
                <w:sz w:val="16"/>
                <w:szCs w:val="16"/>
                <w:lang w:val="en-GB"/>
              </w:rPr>
              <w:t xml:space="preserve">in literature </w:t>
            </w:r>
            <w:r w:rsidR="009827D1" w:rsidRPr="007C327E">
              <w:rPr>
                <w:sz w:val="16"/>
                <w:szCs w:val="16"/>
                <w:lang w:val="en-GB"/>
              </w:rPr>
              <w:t>as containing saltmarsh is Port Campbell Creek</w:t>
            </w:r>
            <w:r w:rsidR="00495FC4">
              <w:rPr>
                <w:sz w:val="16"/>
                <w:szCs w:val="16"/>
                <w:lang w:val="en-GB"/>
              </w:rPr>
              <w:t xml:space="preserve"> however this is not confirmed on the OSRA. From literature,</w:t>
            </w:r>
            <w:r w:rsidR="009827D1">
              <w:rPr>
                <w:sz w:val="16"/>
                <w:szCs w:val="16"/>
                <w:lang w:val="en-GB"/>
              </w:rPr>
              <w:t xml:space="preserve"> this saltmarsh is associated with an inland wetland and lies at elevations of at least 6masl. Tidal inundation during a spill event would not be expected to reach this vegetation given the tidal variation which occurs on the Otway coastline (</w:t>
            </w:r>
            <w:r w:rsidR="009827D1">
              <w:rPr>
                <w:rFonts w:ascii="Verdana" w:hAnsi="Verdana"/>
                <w:sz w:val="16"/>
                <w:szCs w:val="16"/>
                <w:lang w:val="en-GB"/>
              </w:rPr>
              <w:t>~</w:t>
            </w:r>
            <w:r w:rsidR="009827D1">
              <w:rPr>
                <w:sz w:val="16"/>
                <w:szCs w:val="16"/>
                <w:lang w:val="en-GB"/>
              </w:rPr>
              <w:t xml:space="preserve">2m (max)).  Elevations and </w:t>
            </w:r>
            <w:r w:rsidR="00381778">
              <w:rPr>
                <w:sz w:val="16"/>
                <w:szCs w:val="16"/>
                <w:lang w:val="en-GB"/>
              </w:rPr>
              <w:t xml:space="preserve">an aerial photo of the area </w:t>
            </w:r>
            <w:r w:rsidR="000E4051">
              <w:rPr>
                <w:sz w:val="16"/>
                <w:szCs w:val="16"/>
                <w:lang w:val="en-GB"/>
              </w:rPr>
              <w:t xml:space="preserve">are </w:t>
            </w:r>
            <w:r w:rsidR="00381778">
              <w:rPr>
                <w:sz w:val="16"/>
                <w:szCs w:val="16"/>
                <w:lang w:val="en-GB"/>
              </w:rPr>
              <w:t>provided below.</w:t>
            </w:r>
            <w:r w:rsidR="00130D39">
              <w:rPr>
                <w:sz w:val="16"/>
                <w:szCs w:val="16"/>
                <w:lang w:val="en-GB"/>
              </w:rPr>
              <w:t xml:space="preserve"> </w:t>
            </w:r>
            <w:r w:rsidR="00DB516E">
              <w:rPr>
                <w:sz w:val="16"/>
                <w:szCs w:val="16"/>
                <w:lang w:val="en-GB"/>
              </w:rPr>
              <w:t>Accordingly, g</w:t>
            </w:r>
            <w:r w:rsidR="00130D39">
              <w:rPr>
                <w:sz w:val="16"/>
                <w:szCs w:val="16"/>
                <w:lang w:val="en-GB"/>
              </w:rPr>
              <w:t xml:space="preserve">iven the elevation of this saltmarsh and </w:t>
            </w:r>
            <w:r w:rsidR="00DB516E">
              <w:rPr>
                <w:sz w:val="16"/>
                <w:szCs w:val="16"/>
                <w:lang w:val="en-GB"/>
              </w:rPr>
              <w:t xml:space="preserve">in periods of </w:t>
            </w:r>
            <w:r w:rsidR="00130D39">
              <w:rPr>
                <w:sz w:val="16"/>
                <w:szCs w:val="16"/>
                <w:lang w:val="en-GB"/>
              </w:rPr>
              <w:t xml:space="preserve">tidal ingress should the creek be open to the sea, </w:t>
            </w:r>
            <w:r w:rsidR="00DB516E">
              <w:rPr>
                <w:sz w:val="16"/>
                <w:szCs w:val="16"/>
                <w:lang w:val="en-GB"/>
              </w:rPr>
              <w:t xml:space="preserve">it is not expected that hydrocarbons would </w:t>
            </w:r>
            <w:r w:rsidR="00130D39">
              <w:rPr>
                <w:sz w:val="16"/>
                <w:szCs w:val="16"/>
                <w:lang w:val="en-GB"/>
              </w:rPr>
              <w:t>impact upon this saltmarsh herb</w:t>
            </w:r>
            <w:r w:rsidR="00DB516E">
              <w:rPr>
                <w:sz w:val="16"/>
                <w:szCs w:val="16"/>
                <w:lang w:val="en-GB"/>
              </w:rPr>
              <w:t>-</w:t>
            </w:r>
            <w:r w:rsidR="00130D39">
              <w:rPr>
                <w:sz w:val="16"/>
                <w:szCs w:val="16"/>
                <w:lang w:val="en-GB"/>
              </w:rPr>
              <w:t>land.</w:t>
            </w:r>
          </w:p>
          <w:p w14:paraId="4C31FB87" w14:textId="16C6BFED" w:rsidR="002E083D" w:rsidRPr="007069BE" w:rsidRDefault="00130D39" w:rsidP="00366ABD">
            <w:pPr>
              <w:spacing w:before="40" w:after="40"/>
              <w:rPr>
                <w:rFonts w:cs="Arial"/>
                <w:sz w:val="16"/>
                <w:szCs w:val="16"/>
                <w:lang w:eastAsia="en-US"/>
              </w:rPr>
            </w:pPr>
            <w:r>
              <w:rPr>
                <w:sz w:val="16"/>
                <w:szCs w:val="16"/>
                <w:lang w:val="en-GB"/>
              </w:rPr>
              <w:t xml:space="preserve">Maximum shoreline loadings predicted for a pipeline rupture at the HDD </w:t>
            </w:r>
            <w:r w:rsidR="00782162">
              <w:rPr>
                <w:sz w:val="16"/>
                <w:szCs w:val="16"/>
                <w:lang w:val="en-GB"/>
              </w:rPr>
              <w:t>are</w:t>
            </w:r>
            <w:r>
              <w:rPr>
                <w:sz w:val="16"/>
                <w:szCs w:val="16"/>
                <w:lang w:val="en-GB"/>
              </w:rPr>
              <w:t xml:space="preserve"> 153.6 g/m</w:t>
            </w:r>
            <w:r w:rsidRPr="00FA36A5">
              <w:rPr>
                <w:sz w:val="16"/>
                <w:szCs w:val="16"/>
                <w:vertAlign w:val="superscript"/>
                <w:lang w:val="en-GB"/>
              </w:rPr>
              <w:t>2</w:t>
            </w:r>
            <w:r>
              <w:rPr>
                <w:sz w:val="16"/>
                <w:szCs w:val="16"/>
                <w:lang w:val="en-GB"/>
              </w:rPr>
              <w:t xml:space="preserve"> </w:t>
            </w:r>
            <w:r w:rsidR="00366ABD">
              <w:rPr>
                <w:sz w:val="16"/>
                <w:szCs w:val="16"/>
                <w:lang w:val="en-GB"/>
              </w:rPr>
              <w:t>(below impact threshold).</w:t>
            </w:r>
          </w:p>
        </w:tc>
      </w:tr>
    </w:tbl>
    <w:p w14:paraId="7BC84198" w14:textId="7E2724F6" w:rsidR="007451AA" w:rsidRDefault="007451AA" w:rsidP="009E11CF">
      <w:pPr>
        <w:pStyle w:val="BodyText"/>
      </w:pPr>
    </w:p>
    <w:p w14:paraId="19284B0D" w14:textId="77777777" w:rsidR="00A9166C" w:rsidRDefault="00A9166C" w:rsidP="00E439A6">
      <w:r>
        <w:br w:type="page"/>
      </w:r>
    </w:p>
    <w:p w14:paraId="75DF50FE" w14:textId="12331A2C" w:rsidR="00DB516E" w:rsidRDefault="00DB516E" w:rsidP="00DB516E">
      <w:pPr>
        <w:pStyle w:val="Caption"/>
        <w:outlineLvl w:val="9"/>
      </w:pPr>
      <w:bookmarkStart w:id="270" w:name="_Toc511032623"/>
      <w:r w:rsidRPr="009E11CF">
        <w:rPr>
          <w:sz w:val="20"/>
          <w:szCs w:val="20"/>
        </w:rPr>
        <w:lastRenderedPageBreak/>
        <w:t xml:space="preserve">Table </w:t>
      </w:r>
      <w:r>
        <w:rPr>
          <w:sz w:val="20"/>
          <w:szCs w:val="20"/>
        </w:rPr>
        <w:fldChar w:fldCharType="begin"/>
      </w:r>
      <w:r>
        <w:rPr>
          <w:sz w:val="20"/>
          <w:szCs w:val="20"/>
        </w:rPr>
        <w:instrText xml:space="preserve"> STYLEREF 1 \s </w:instrText>
      </w:r>
      <w:r>
        <w:rPr>
          <w:sz w:val="20"/>
          <w:szCs w:val="20"/>
        </w:rPr>
        <w:fldChar w:fldCharType="separate"/>
      </w:r>
      <w:r w:rsidR="00CC4C35">
        <w:rPr>
          <w:noProof/>
          <w:sz w:val="20"/>
          <w:szCs w:val="20"/>
        </w:rPr>
        <w:t>5</w:t>
      </w:r>
      <w:r>
        <w:rPr>
          <w:sz w:val="20"/>
          <w:szCs w:val="20"/>
        </w:rPr>
        <w:fldChar w:fldCharType="end"/>
      </w:r>
      <w:r>
        <w:rPr>
          <w:sz w:val="20"/>
          <w:szCs w:val="20"/>
        </w:rPr>
        <w:noBreakHyphen/>
      </w:r>
      <w:r>
        <w:rPr>
          <w:sz w:val="20"/>
          <w:szCs w:val="20"/>
        </w:rPr>
        <w:fldChar w:fldCharType="begin"/>
      </w:r>
      <w:r>
        <w:rPr>
          <w:sz w:val="20"/>
          <w:szCs w:val="20"/>
        </w:rPr>
        <w:instrText xml:space="preserve"> SEQ Table \* ARABIC \s 1 </w:instrText>
      </w:r>
      <w:r>
        <w:rPr>
          <w:sz w:val="20"/>
          <w:szCs w:val="20"/>
        </w:rPr>
        <w:fldChar w:fldCharType="separate"/>
      </w:r>
      <w:r w:rsidR="00CC4C35">
        <w:rPr>
          <w:noProof/>
          <w:sz w:val="20"/>
          <w:szCs w:val="20"/>
        </w:rPr>
        <w:t>32</w:t>
      </w:r>
      <w:r>
        <w:rPr>
          <w:sz w:val="20"/>
          <w:szCs w:val="20"/>
        </w:rPr>
        <w:fldChar w:fldCharType="end"/>
      </w:r>
      <w:r w:rsidRPr="009E11CF">
        <w:rPr>
          <w:sz w:val="20"/>
          <w:szCs w:val="20"/>
        </w:rPr>
        <w:t>: Potential impacts of hydrocarbons to commercial fishing</w:t>
      </w:r>
      <w:bookmarkEnd w:id="270"/>
    </w:p>
    <w:tbl>
      <w:tblPr>
        <w:tblW w:w="0" w:type="auto"/>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3638"/>
        <w:gridCol w:w="6836"/>
        <w:gridCol w:w="2557"/>
      </w:tblGrid>
      <w:tr w:rsidR="00DB516E" w:rsidRPr="009E11CF" w14:paraId="2A9D03A4" w14:textId="77777777" w:rsidTr="00957B72">
        <w:trPr>
          <w:cantSplit/>
        </w:trPr>
        <w:tc>
          <w:tcPr>
            <w:tcW w:w="13217" w:type="dxa"/>
            <w:gridSpan w:val="3"/>
            <w:shd w:val="clear" w:color="auto" w:fill="A6A6A6"/>
          </w:tcPr>
          <w:p w14:paraId="13331AEF" w14:textId="77777777" w:rsidR="00DB516E" w:rsidRPr="009E11CF" w:rsidRDefault="00DB516E" w:rsidP="00957B72">
            <w:pPr>
              <w:pStyle w:val="BodyText"/>
              <w:spacing w:before="40" w:after="40"/>
              <w:ind w:left="0"/>
              <w:jc w:val="center"/>
              <w:rPr>
                <w:rFonts w:cs="Arial"/>
                <w:b/>
                <w:sz w:val="16"/>
                <w:szCs w:val="16"/>
                <w:lang w:eastAsia="en-US"/>
              </w:rPr>
            </w:pPr>
            <w:r w:rsidRPr="009E11CF">
              <w:rPr>
                <w:rFonts w:cs="Arial"/>
                <w:b/>
                <w:sz w:val="16"/>
                <w:szCs w:val="16"/>
                <w:lang w:eastAsia="en-US"/>
              </w:rPr>
              <w:t>General sensitivity to oiling – commercial fishing</w:t>
            </w:r>
          </w:p>
        </w:tc>
      </w:tr>
      <w:tr w:rsidR="00DB516E" w:rsidRPr="009E11CF" w14:paraId="11E37CF9" w14:textId="77777777" w:rsidTr="00957B72">
        <w:trPr>
          <w:cantSplit/>
        </w:trPr>
        <w:tc>
          <w:tcPr>
            <w:tcW w:w="13217" w:type="dxa"/>
            <w:gridSpan w:val="3"/>
            <w:shd w:val="clear" w:color="auto" w:fill="auto"/>
          </w:tcPr>
          <w:p w14:paraId="1E5168DF" w14:textId="77777777" w:rsidR="00DB516E" w:rsidRPr="009E11CF" w:rsidRDefault="00DB516E" w:rsidP="00957B72">
            <w:pPr>
              <w:spacing w:before="40" w:after="40"/>
              <w:rPr>
                <w:sz w:val="16"/>
                <w:szCs w:val="16"/>
                <w:lang w:val="en-GB"/>
              </w:rPr>
            </w:pPr>
            <w:r w:rsidRPr="009E11CF">
              <w:rPr>
                <w:sz w:val="16"/>
                <w:szCs w:val="16"/>
                <w:lang w:val="en-GB"/>
              </w:rPr>
              <w:t>Commercial fishing has the potential to be impacted through exclusion zones associated with the spill, the spill response and subsequent reduction in fishing effort. Exclusion zones may impede access to commercial fishing areas, for a short period of time, and nets and lines may become oiled. The impacts to commercial fishing from a public perception perspective however, may be much more significant and longer term than the spill itself.</w:t>
            </w:r>
          </w:p>
          <w:p w14:paraId="55881E3E" w14:textId="233C58E1" w:rsidR="00DB516E" w:rsidRPr="009E11CF" w:rsidRDefault="00DB516E" w:rsidP="00957B72">
            <w:pPr>
              <w:spacing w:before="40" w:after="40"/>
              <w:rPr>
                <w:sz w:val="16"/>
                <w:szCs w:val="16"/>
                <w:lang w:val="en-GB"/>
              </w:rPr>
            </w:pPr>
            <w:r w:rsidRPr="009E11CF">
              <w:rPr>
                <w:sz w:val="16"/>
                <w:szCs w:val="16"/>
                <w:lang w:val="en-GB"/>
              </w:rPr>
              <w:t xml:space="preserve">Fishing areas may be closed for fishing for shorter or longer periods because of the risks of the catch being tainted by oil. Concentrations of petroleum contaminants in fish and crustacean </w:t>
            </w:r>
            <w:r>
              <w:rPr>
                <w:sz w:val="16"/>
                <w:szCs w:val="16"/>
                <w:lang w:val="en-GB"/>
              </w:rPr>
              <w:t xml:space="preserve">(i.e. lobster) </w:t>
            </w:r>
            <w:r w:rsidRPr="009E11CF">
              <w:rPr>
                <w:sz w:val="16"/>
                <w:szCs w:val="16"/>
                <w:lang w:val="en-GB"/>
              </w:rPr>
              <w:t>and mollusc tissues</w:t>
            </w:r>
            <w:r>
              <w:rPr>
                <w:sz w:val="16"/>
                <w:szCs w:val="16"/>
                <w:lang w:val="en-GB"/>
              </w:rPr>
              <w:t xml:space="preserve"> (e.g. abalone) </w:t>
            </w:r>
            <w:r w:rsidRPr="009E11CF">
              <w:rPr>
                <w:sz w:val="16"/>
                <w:szCs w:val="16"/>
                <w:lang w:val="en-GB"/>
              </w:rPr>
              <w:t xml:space="preserve">could pose a significant potential for adverse human health effects, and until these products from nearshore fisheries have been cleared by the health authorities, they could be restricted for sale and human consumption. Indirectly, the fisheries sector will suffer a heavy loss if consumers are either stopped from using or unwilling to buy fish and shellfish from the region affected by the spill. </w:t>
            </w:r>
            <w:r w:rsidR="00366ABD">
              <w:rPr>
                <w:sz w:val="16"/>
                <w:szCs w:val="16"/>
                <w:lang w:val="en-GB"/>
              </w:rPr>
              <w:t xml:space="preserve"> </w:t>
            </w:r>
            <w:r w:rsidRPr="009E11CF">
              <w:rPr>
                <w:sz w:val="16"/>
                <w:szCs w:val="16"/>
                <w:lang w:val="en-GB"/>
              </w:rPr>
              <w:t xml:space="preserve">Impacts to fish stocks have the potential for reduction in profits for commercial fisheries, and exclusion zones exclude fishing effort.  Davis et al (2002) report detectable tainting of fish flesh after a 24-hour exposure at crude concentrations of 0.1 ppm, marine fuel oil concentrations of 0.33 ppm and diesel concentrations of 0.25 ppm. </w:t>
            </w:r>
          </w:p>
          <w:p w14:paraId="61FD0BA2" w14:textId="77777777" w:rsidR="00DB516E" w:rsidRPr="009E11CF" w:rsidRDefault="00DB516E" w:rsidP="00957B72">
            <w:pPr>
              <w:spacing w:before="40" w:after="40"/>
              <w:rPr>
                <w:sz w:val="16"/>
                <w:szCs w:val="16"/>
                <w:lang w:val="en-GB"/>
              </w:rPr>
            </w:pPr>
            <w:r w:rsidRPr="009E11CF">
              <w:rPr>
                <w:sz w:val="16"/>
                <w:szCs w:val="16"/>
                <w:lang w:val="en-GB"/>
              </w:rPr>
              <w:t xml:space="preserve">The Montara spill (as the most recent [2009] example of a large hydrocarbon spill in Australian waters) occurred over an area fished by the Northern Demersal Scalefish Managed Fishery (with 11 licences held by 7 operators), with goldband snapper, red emperor, saddletail snapper and yellow spotted rockcod being the key species fished (PTTEP, 2013). As a precautionary measure, the WA DoF advised the commercial fishing fleet to avoid fishing in oil-affected waters. Testing of fish caught in areas of visible oil slick (November 2009) found that there were no detectable petroleum hydrocarbons in fish muscle samples, suggesting fish were safe for human consumption. In the short-term, fish had metabolised petroleum hydrocarbons. Limited ill effects were detected in a small number of individual fish only (PTTEP, 2013). No consistent effects of exposure on fish health could be detected within two weeks following the end of the well release. Follow up sampling in areas affected by the spill during 2010 and 2011 (PTTEP, 2013) found negligible ongoing environmental impacts from the spill. </w:t>
            </w:r>
          </w:p>
          <w:p w14:paraId="0EEF6ADE" w14:textId="77777777" w:rsidR="00DB516E" w:rsidRPr="009E11CF" w:rsidRDefault="00DB516E" w:rsidP="00957B72">
            <w:pPr>
              <w:pStyle w:val="BodyText"/>
              <w:spacing w:before="40" w:after="40"/>
              <w:ind w:left="0"/>
              <w:rPr>
                <w:rFonts w:cs="Arial"/>
                <w:sz w:val="16"/>
                <w:szCs w:val="16"/>
                <w:lang w:eastAsia="en-US"/>
              </w:rPr>
            </w:pPr>
            <w:r w:rsidRPr="009E11CF">
              <w:rPr>
                <w:sz w:val="16"/>
                <w:szCs w:val="16"/>
                <w:lang w:val="en-GB"/>
              </w:rPr>
              <w:t>In the event of a spill, a temporary fisheries closure may be put in place by Fisheries Victoria (or voluntarily by the fishers themselves). Oil may foul the hulls of fishing vessels and associated equipment, such as gill nets. A temporary (short- or long-term) fisheries closure, combined with oil tainting of target species (actual or perceived), would lead to financial losses to fisheries and economic losses for individual licence holders. Fisheries closures and the flow on losses from the lack of income derived from these fisheries are likely to have short-term but widespread socio-economic consequences, such as reduced employment (in fisheries service industries, such as tackle and bait supplies, fuel, marine mechanical services, accommodation and so forth).</w:t>
            </w:r>
            <w:r w:rsidRPr="009E11CF">
              <w:rPr>
                <w:rFonts w:cs="Arial"/>
                <w:sz w:val="16"/>
                <w:szCs w:val="16"/>
              </w:rPr>
              <w:t xml:space="preserve"> </w:t>
            </w:r>
          </w:p>
        </w:tc>
      </w:tr>
      <w:tr w:rsidR="00DB516E" w:rsidRPr="009E11CF" w14:paraId="6EECC7D7" w14:textId="77777777" w:rsidTr="00957B72">
        <w:trPr>
          <w:cantSplit/>
        </w:trPr>
        <w:tc>
          <w:tcPr>
            <w:tcW w:w="13217" w:type="dxa"/>
            <w:gridSpan w:val="3"/>
            <w:shd w:val="clear" w:color="auto" w:fill="D9D9D9"/>
          </w:tcPr>
          <w:p w14:paraId="5F3E2A62" w14:textId="77777777" w:rsidR="00DB516E" w:rsidRPr="009E11CF" w:rsidRDefault="00DB516E" w:rsidP="00957B72">
            <w:pPr>
              <w:pStyle w:val="BodyText"/>
              <w:spacing w:before="40" w:after="40"/>
              <w:ind w:left="0"/>
              <w:jc w:val="center"/>
              <w:rPr>
                <w:rFonts w:cs="Arial"/>
                <w:b/>
                <w:sz w:val="16"/>
                <w:szCs w:val="16"/>
                <w:lang w:eastAsia="en-US"/>
              </w:rPr>
            </w:pPr>
            <w:r w:rsidRPr="009E11CF">
              <w:rPr>
                <w:rFonts w:cs="Arial"/>
                <w:b/>
                <w:sz w:val="16"/>
                <w:szCs w:val="16"/>
                <w:lang w:eastAsia="en-US"/>
              </w:rPr>
              <w:t>Potential impacts from this project</w:t>
            </w:r>
          </w:p>
        </w:tc>
      </w:tr>
      <w:tr w:rsidR="00DB516E" w:rsidRPr="009E11CF" w14:paraId="75F87B3D" w14:textId="77777777" w:rsidTr="00957B72">
        <w:trPr>
          <w:cantSplit/>
        </w:trPr>
        <w:tc>
          <w:tcPr>
            <w:tcW w:w="3686" w:type="dxa"/>
            <w:shd w:val="clear" w:color="auto" w:fill="F2F2F2"/>
          </w:tcPr>
          <w:p w14:paraId="0CBB85EF" w14:textId="77777777" w:rsidR="00DB516E" w:rsidRPr="009E11CF" w:rsidRDefault="00DB516E" w:rsidP="00957B72">
            <w:pPr>
              <w:pStyle w:val="BodyText"/>
              <w:spacing w:before="40" w:after="40"/>
              <w:ind w:left="0"/>
              <w:jc w:val="center"/>
              <w:rPr>
                <w:rFonts w:cs="Arial"/>
                <w:sz w:val="16"/>
                <w:szCs w:val="16"/>
                <w:lang w:eastAsia="en-US"/>
              </w:rPr>
            </w:pPr>
            <w:r w:rsidRPr="009E11CF">
              <w:rPr>
                <w:rFonts w:cs="Arial"/>
                <w:sz w:val="16"/>
                <w:szCs w:val="16"/>
                <w:lang w:eastAsia="en-US"/>
              </w:rPr>
              <w:t>Surface oiling</w:t>
            </w:r>
          </w:p>
        </w:tc>
        <w:tc>
          <w:tcPr>
            <w:tcW w:w="6946" w:type="dxa"/>
            <w:shd w:val="clear" w:color="auto" w:fill="F2F2F2"/>
          </w:tcPr>
          <w:p w14:paraId="110DDAD9" w14:textId="77777777" w:rsidR="00DB516E" w:rsidRPr="009E11CF" w:rsidRDefault="00DB516E" w:rsidP="00957B72">
            <w:pPr>
              <w:pStyle w:val="BodyText"/>
              <w:spacing w:before="40" w:after="40"/>
              <w:ind w:left="0"/>
              <w:jc w:val="center"/>
              <w:rPr>
                <w:rFonts w:cs="Arial"/>
                <w:sz w:val="16"/>
                <w:szCs w:val="16"/>
                <w:lang w:eastAsia="en-US"/>
              </w:rPr>
            </w:pPr>
            <w:r w:rsidRPr="009E11CF">
              <w:rPr>
                <w:rFonts w:cs="Arial"/>
                <w:sz w:val="16"/>
                <w:szCs w:val="16"/>
                <w:lang w:eastAsia="en-US"/>
              </w:rPr>
              <w:t>Water column</w:t>
            </w:r>
          </w:p>
        </w:tc>
        <w:tc>
          <w:tcPr>
            <w:tcW w:w="2585" w:type="dxa"/>
            <w:shd w:val="clear" w:color="auto" w:fill="F2F2F2"/>
          </w:tcPr>
          <w:p w14:paraId="5B917313" w14:textId="77777777" w:rsidR="00DB516E" w:rsidRPr="009E11CF" w:rsidRDefault="00DB516E" w:rsidP="00957B72">
            <w:pPr>
              <w:pStyle w:val="BodyText"/>
              <w:spacing w:before="40" w:after="40"/>
              <w:ind w:left="0"/>
              <w:jc w:val="center"/>
              <w:rPr>
                <w:rFonts w:cs="Arial"/>
                <w:sz w:val="16"/>
                <w:szCs w:val="16"/>
                <w:lang w:eastAsia="en-US"/>
              </w:rPr>
            </w:pPr>
            <w:r w:rsidRPr="009E11CF">
              <w:rPr>
                <w:rFonts w:cs="Arial"/>
                <w:sz w:val="16"/>
                <w:szCs w:val="16"/>
                <w:lang w:eastAsia="en-US"/>
              </w:rPr>
              <w:t>Shoreline</w:t>
            </w:r>
          </w:p>
        </w:tc>
      </w:tr>
      <w:tr w:rsidR="00DB516E" w:rsidRPr="009E11CF" w14:paraId="025798E1" w14:textId="77777777" w:rsidTr="00957B72">
        <w:trPr>
          <w:cantSplit/>
        </w:trPr>
        <w:tc>
          <w:tcPr>
            <w:tcW w:w="3686" w:type="dxa"/>
            <w:shd w:val="clear" w:color="auto" w:fill="auto"/>
          </w:tcPr>
          <w:p w14:paraId="589CBD1C" w14:textId="77777777" w:rsidR="00DB516E" w:rsidRPr="009E11CF" w:rsidRDefault="00DB516E" w:rsidP="00957B72">
            <w:pPr>
              <w:spacing w:before="40" w:after="40"/>
              <w:rPr>
                <w:sz w:val="16"/>
                <w:szCs w:val="16"/>
                <w:u w:val="single"/>
                <w:lang w:val="en-GB"/>
              </w:rPr>
            </w:pPr>
            <w:r w:rsidRPr="009E11CF">
              <w:rPr>
                <w:sz w:val="16"/>
                <w:szCs w:val="16"/>
                <w:u w:val="single"/>
                <w:lang w:val="en-GB"/>
              </w:rPr>
              <w:t>Finfish (snapper, wrasse)</w:t>
            </w:r>
          </w:p>
          <w:p w14:paraId="100FAEDF" w14:textId="77777777" w:rsidR="00DB516E" w:rsidRPr="009E11CF" w:rsidRDefault="00DB516E" w:rsidP="00957B72">
            <w:pPr>
              <w:spacing w:before="40" w:after="40"/>
              <w:rPr>
                <w:rFonts w:cs="Arial"/>
                <w:sz w:val="16"/>
                <w:szCs w:val="16"/>
                <w:lang w:eastAsia="en-US"/>
              </w:rPr>
            </w:pPr>
            <w:r w:rsidRPr="009E11CF">
              <w:rPr>
                <w:sz w:val="16"/>
                <w:szCs w:val="16"/>
                <w:lang w:val="en-GB"/>
              </w:rPr>
              <w:t>Not applicable.</w:t>
            </w:r>
          </w:p>
          <w:p w14:paraId="44B4505E" w14:textId="77777777" w:rsidR="00DB516E" w:rsidRPr="009E11CF" w:rsidRDefault="00DB516E" w:rsidP="00957B72">
            <w:pPr>
              <w:pStyle w:val="BodyText"/>
              <w:spacing w:before="40" w:after="40"/>
              <w:ind w:left="0"/>
              <w:rPr>
                <w:rFonts w:cs="Arial"/>
                <w:sz w:val="16"/>
                <w:szCs w:val="16"/>
                <w:lang w:eastAsia="en-US"/>
              </w:rPr>
            </w:pPr>
          </w:p>
        </w:tc>
        <w:tc>
          <w:tcPr>
            <w:tcW w:w="6946" w:type="dxa"/>
            <w:shd w:val="clear" w:color="auto" w:fill="auto"/>
          </w:tcPr>
          <w:p w14:paraId="547BF832" w14:textId="77777777" w:rsidR="00DB516E" w:rsidRPr="009E11CF" w:rsidRDefault="00DB516E" w:rsidP="00957B72">
            <w:pPr>
              <w:spacing w:before="40" w:after="40"/>
              <w:rPr>
                <w:sz w:val="16"/>
                <w:szCs w:val="16"/>
                <w:lang w:val="en-GB"/>
              </w:rPr>
            </w:pPr>
            <w:r w:rsidRPr="009E11CF">
              <w:rPr>
                <w:sz w:val="16"/>
                <w:szCs w:val="16"/>
                <w:lang w:val="en-GB"/>
              </w:rPr>
              <w:t xml:space="preserve">As per the description above. </w:t>
            </w:r>
          </w:p>
          <w:p w14:paraId="32ED6C08" w14:textId="065C863B" w:rsidR="00DB516E" w:rsidRPr="009E11CF" w:rsidRDefault="00DB516E">
            <w:pPr>
              <w:pStyle w:val="BodyText"/>
              <w:spacing w:before="40" w:after="40"/>
              <w:ind w:left="0"/>
              <w:rPr>
                <w:sz w:val="16"/>
                <w:szCs w:val="16"/>
                <w:lang w:val="en-GB"/>
              </w:rPr>
            </w:pPr>
            <w:r w:rsidRPr="009E11CF">
              <w:rPr>
                <w:sz w:val="16"/>
                <w:szCs w:val="16"/>
                <w:lang w:val="en-GB"/>
              </w:rPr>
              <w:t xml:space="preserve">Direct impact on this fishery is not considered to be significant due to the large spatial extent of the fishery itself and the localised zone of low exposure </w:t>
            </w:r>
            <w:r>
              <w:rPr>
                <w:sz w:val="16"/>
                <w:szCs w:val="16"/>
                <w:lang w:val="en-GB"/>
              </w:rPr>
              <w:t>entrained hydrocarbons from offshore condensate spills and the limited area of hydrocarbon exposure from a pipeline rupture at the HDD site. As per pelagic fish section, while not expected tainting from hydrocarbon residues may be possible (minor consequence).</w:t>
            </w:r>
          </w:p>
        </w:tc>
        <w:tc>
          <w:tcPr>
            <w:tcW w:w="2585" w:type="dxa"/>
            <w:shd w:val="clear" w:color="auto" w:fill="auto"/>
          </w:tcPr>
          <w:p w14:paraId="59564EE3" w14:textId="77777777" w:rsidR="00DB516E" w:rsidRPr="009E11CF" w:rsidRDefault="00DB516E" w:rsidP="00957B72">
            <w:pPr>
              <w:spacing w:before="40" w:after="40"/>
              <w:rPr>
                <w:sz w:val="16"/>
                <w:szCs w:val="16"/>
                <w:lang w:val="en-GB"/>
              </w:rPr>
            </w:pPr>
            <w:r w:rsidRPr="009E11CF">
              <w:rPr>
                <w:sz w:val="16"/>
                <w:szCs w:val="16"/>
                <w:lang w:val="en-GB"/>
              </w:rPr>
              <w:t>Vessels used in this fishery are not likely to use local ports.</w:t>
            </w:r>
          </w:p>
          <w:p w14:paraId="5F1D4E74" w14:textId="77777777" w:rsidR="00DB516E" w:rsidRPr="009E11CF" w:rsidRDefault="00DB516E" w:rsidP="00957B72">
            <w:pPr>
              <w:pStyle w:val="BodyText"/>
              <w:spacing w:before="40" w:after="40"/>
              <w:ind w:left="0"/>
              <w:rPr>
                <w:sz w:val="16"/>
                <w:szCs w:val="16"/>
                <w:lang w:val="en-GB"/>
              </w:rPr>
            </w:pPr>
          </w:p>
        </w:tc>
      </w:tr>
      <w:tr w:rsidR="00DB516E" w:rsidRPr="009E11CF" w14:paraId="2D8D85C7" w14:textId="77777777" w:rsidTr="00957B72">
        <w:trPr>
          <w:cantSplit/>
        </w:trPr>
        <w:tc>
          <w:tcPr>
            <w:tcW w:w="3686" w:type="dxa"/>
            <w:shd w:val="clear" w:color="auto" w:fill="auto"/>
          </w:tcPr>
          <w:p w14:paraId="4885BD3D" w14:textId="77777777" w:rsidR="00DB516E" w:rsidRDefault="00DB516E" w:rsidP="00957B72">
            <w:pPr>
              <w:spacing w:before="40" w:after="40"/>
              <w:rPr>
                <w:sz w:val="16"/>
                <w:szCs w:val="16"/>
                <w:u w:val="single"/>
                <w:lang w:val="en-GB"/>
              </w:rPr>
            </w:pPr>
            <w:r>
              <w:rPr>
                <w:sz w:val="16"/>
                <w:szCs w:val="16"/>
                <w:u w:val="single"/>
                <w:lang w:val="en-GB"/>
              </w:rPr>
              <w:t>Abalone</w:t>
            </w:r>
          </w:p>
          <w:p w14:paraId="38534CF8" w14:textId="4DB9B935" w:rsidR="00DB516E" w:rsidRPr="00FA36A5" w:rsidRDefault="00DB516E" w:rsidP="00957B72">
            <w:pPr>
              <w:spacing w:before="40" w:after="40"/>
              <w:rPr>
                <w:sz w:val="16"/>
                <w:szCs w:val="16"/>
                <w:lang w:val="en-GB"/>
              </w:rPr>
            </w:pPr>
            <w:r>
              <w:rPr>
                <w:sz w:val="16"/>
                <w:szCs w:val="16"/>
                <w:lang w:val="en-GB"/>
              </w:rPr>
              <w:t>Not applicable</w:t>
            </w:r>
          </w:p>
        </w:tc>
        <w:tc>
          <w:tcPr>
            <w:tcW w:w="6946" w:type="dxa"/>
            <w:shd w:val="clear" w:color="auto" w:fill="auto"/>
          </w:tcPr>
          <w:p w14:paraId="6EBCA759" w14:textId="1E7A4C98" w:rsidR="00DB516E" w:rsidRPr="009E11CF" w:rsidRDefault="00DB516E">
            <w:pPr>
              <w:spacing w:before="40" w:after="40"/>
              <w:rPr>
                <w:sz w:val="16"/>
                <w:szCs w:val="16"/>
                <w:lang w:val="en-GB"/>
              </w:rPr>
            </w:pPr>
            <w:r>
              <w:rPr>
                <w:sz w:val="16"/>
                <w:szCs w:val="16"/>
                <w:lang w:val="en-GB"/>
              </w:rPr>
              <w:t>The condensate EMBA intersects an abalone habitat at Warrnambool Reef located 30 km to the NW of the HDD site. Effects at this location are limited to low-level entrained hydrocarbons. This exposure is not expected to cause any lethal or sub-lethal impacts given it is an effects-level concentration (negligible consequence).</w:t>
            </w:r>
          </w:p>
        </w:tc>
        <w:tc>
          <w:tcPr>
            <w:tcW w:w="2585" w:type="dxa"/>
            <w:shd w:val="clear" w:color="auto" w:fill="auto"/>
          </w:tcPr>
          <w:p w14:paraId="566CF8B1" w14:textId="54D9144C" w:rsidR="00DB516E" w:rsidRPr="009E11CF" w:rsidRDefault="00DB516E" w:rsidP="00957B72">
            <w:pPr>
              <w:spacing w:before="40" w:after="40"/>
              <w:rPr>
                <w:sz w:val="16"/>
                <w:szCs w:val="16"/>
                <w:lang w:val="en-GB"/>
              </w:rPr>
            </w:pPr>
            <w:r>
              <w:rPr>
                <w:sz w:val="16"/>
                <w:szCs w:val="16"/>
                <w:lang w:val="en-GB"/>
              </w:rPr>
              <w:t>No impacts predicted.</w:t>
            </w:r>
          </w:p>
        </w:tc>
      </w:tr>
      <w:tr w:rsidR="00DB516E" w:rsidRPr="009E11CF" w14:paraId="71D796D8" w14:textId="77777777" w:rsidTr="00957B72">
        <w:trPr>
          <w:cantSplit/>
        </w:trPr>
        <w:tc>
          <w:tcPr>
            <w:tcW w:w="3686" w:type="dxa"/>
            <w:shd w:val="clear" w:color="auto" w:fill="auto"/>
          </w:tcPr>
          <w:p w14:paraId="75908FF4" w14:textId="77777777" w:rsidR="00DB516E" w:rsidRPr="009E11CF" w:rsidRDefault="00DB516E" w:rsidP="00957B72">
            <w:pPr>
              <w:spacing w:before="40" w:after="40"/>
              <w:rPr>
                <w:sz w:val="16"/>
                <w:szCs w:val="16"/>
                <w:u w:val="single"/>
                <w:lang w:val="en-GB"/>
              </w:rPr>
            </w:pPr>
            <w:r w:rsidRPr="009E11CF">
              <w:rPr>
                <w:sz w:val="16"/>
                <w:szCs w:val="16"/>
                <w:u w:val="single"/>
                <w:lang w:val="en-GB"/>
              </w:rPr>
              <w:lastRenderedPageBreak/>
              <w:t>Rock lobster</w:t>
            </w:r>
          </w:p>
          <w:p w14:paraId="45EF87E4" w14:textId="77777777" w:rsidR="00DB516E" w:rsidRPr="009E11CF" w:rsidRDefault="00DB516E" w:rsidP="00957B72">
            <w:pPr>
              <w:spacing w:before="40" w:after="40"/>
              <w:rPr>
                <w:sz w:val="16"/>
                <w:szCs w:val="16"/>
                <w:lang w:val="en-GB"/>
              </w:rPr>
            </w:pPr>
            <w:r w:rsidRPr="009E11CF">
              <w:rPr>
                <w:sz w:val="16"/>
                <w:szCs w:val="16"/>
                <w:lang w:val="en-GB"/>
              </w:rPr>
              <w:t xml:space="preserve">There is potential for lobster pot buoys to accumulate hydrocarbons if they are set at the time of a spill. The oiled surfaces may themselves be a source of secondary contamination until they are cleaned. </w:t>
            </w:r>
          </w:p>
        </w:tc>
        <w:tc>
          <w:tcPr>
            <w:tcW w:w="6946" w:type="dxa"/>
            <w:shd w:val="clear" w:color="auto" w:fill="auto"/>
          </w:tcPr>
          <w:p w14:paraId="113D172A" w14:textId="77777777" w:rsidR="00DB516E" w:rsidRPr="009E11CF" w:rsidRDefault="00DB516E" w:rsidP="00957B72">
            <w:pPr>
              <w:spacing w:before="40" w:after="40"/>
              <w:rPr>
                <w:sz w:val="16"/>
                <w:szCs w:val="16"/>
                <w:lang w:val="en-GB"/>
              </w:rPr>
            </w:pPr>
            <w:r w:rsidRPr="009E11CF">
              <w:rPr>
                <w:sz w:val="16"/>
                <w:szCs w:val="16"/>
                <w:lang w:val="en-GB"/>
              </w:rPr>
              <w:t xml:space="preserve">As per the description above. </w:t>
            </w:r>
          </w:p>
          <w:p w14:paraId="76BD8B41" w14:textId="4B68B43F" w:rsidR="00DB516E" w:rsidRDefault="00DB516E">
            <w:pPr>
              <w:spacing w:before="40" w:after="40"/>
              <w:rPr>
                <w:sz w:val="16"/>
                <w:szCs w:val="16"/>
                <w:lang w:val="en-GB"/>
              </w:rPr>
            </w:pPr>
            <w:r w:rsidRPr="009E11CF">
              <w:rPr>
                <w:sz w:val="16"/>
                <w:szCs w:val="16"/>
                <w:lang w:val="en-GB"/>
              </w:rPr>
              <w:t xml:space="preserve">Nearshore areas fished for rock lobster are predicted by the OSTM to have low to high exposure to entrained condensate. A short-term exclusion of fishing in this area is unlikely to have a significant impact on this fishery given the abundance of similar habitat along the </w:t>
            </w:r>
            <w:r>
              <w:rPr>
                <w:sz w:val="16"/>
                <w:szCs w:val="16"/>
                <w:lang w:val="en-GB"/>
              </w:rPr>
              <w:t>Otway coastline</w:t>
            </w:r>
            <w:r w:rsidRPr="009E11CF">
              <w:rPr>
                <w:sz w:val="16"/>
                <w:szCs w:val="16"/>
                <w:lang w:val="en-GB"/>
              </w:rPr>
              <w:t xml:space="preserve"> outside the </w:t>
            </w:r>
            <w:r>
              <w:rPr>
                <w:sz w:val="16"/>
                <w:szCs w:val="16"/>
                <w:lang w:val="en-GB"/>
              </w:rPr>
              <w:t xml:space="preserve">condensate spill </w:t>
            </w:r>
            <w:r w:rsidRPr="009E11CF">
              <w:rPr>
                <w:sz w:val="16"/>
                <w:szCs w:val="16"/>
                <w:lang w:val="en-GB"/>
              </w:rPr>
              <w:t xml:space="preserve">EMBA. </w:t>
            </w:r>
          </w:p>
          <w:p w14:paraId="6FAE57DC" w14:textId="64A1573D" w:rsidR="00DB516E" w:rsidRPr="009E11CF" w:rsidRDefault="00DB516E">
            <w:pPr>
              <w:spacing w:before="40" w:after="40"/>
              <w:rPr>
                <w:sz w:val="16"/>
                <w:szCs w:val="16"/>
                <w:lang w:val="en-GB"/>
              </w:rPr>
            </w:pPr>
            <w:r w:rsidRPr="009E11CF">
              <w:rPr>
                <w:sz w:val="16"/>
                <w:szCs w:val="16"/>
                <w:lang w:val="en-GB"/>
              </w:rPr>
              <w:t xml:space="preserve">While impacts to the fishery as a whole are unlikely, impacts to individual fishers working the affected may be significant if actively fishing at the time of a spill. </w:t>
            </w:r>
            <w:r>
              <w:rPr>
                <w:sz w:val="16"/>
                <w:szCs w:val="16"/>
                <w:lang w:val="en-GB"/>
              </w:rPr>
              <w:t>Localised tainting may be an issued with commercial fisheries in this area (minor consequence). This impact would be temporary and recoverable (</w:t>
            </w:r>
            <w:r>
              <w:rPr>
                <w:rFonts w:ascii="Verdana" w:hAnsi="Verdana"/>
                <w:sz w:val="16"/>
                <w:szCs w:val="16"/>
                <w:lang w:val="en-GB"/>
              </w:rPr>
              <w:t>~</w:t>
            </w:r>
            <w:r>
              <w:rPr>
                <w:sz w:val="16"/>
                <w:szCs w:val="16"/>
                <w:lang w:val="en-GB"/>
              </w:rPr>
              <w:t>months).</w:t>
            </w:r>
          </w:p>
        </w:tc>
        <w:tc>
          <w:tcPr>
            <w:tcW w:w="2585" w:type="dxa"/>
            <w:shd w:val="clear" w:color="auto" w:fill="auto"/>
          </w:tcPr>
          <w:p w14:paraId="0E6D7635" w14:textId="77777777" w:rsidR="00DB516E" w:rsidRPr="009E11CF" w:rsidRDefault="00DB516E" w:rsidP="00957B72">
            <w:pPr>
              <w:spacing w:before="40" w:after="40"/>
              <w:rPr>
                <w:sz w:val="16"/>
                <w:szCs w:val="16"/>
                <w:lang w:val="en-GB"/>
              </w:rPr>
            </w:pPr>
            <w:r w:rsidRPr="009E11CF">
              <w:rPr>
                <w:sz w:val="16"/>
                <w:szCs w:val="16"/>
                <w:lang w:val="en-GB"/>
              </w:rPr>
              <w:t xml:space="preserve">Vessels used in this fishery use local ports. However, hydrocarbon coating of vessel hulls and jetty or port infrastructure is highly unlikely. </w:t>
            </w:r>
          </w:p>
          <w:p w14:paraId="185C764B" w14:textId="77777777" w:rsidR="00DB516E" w:rsidRPr="009E11CF" w:rsidRDefault="00DB516E" w:rsidP="00957B72">
            <w:pPr>
              <w:spacing w:before="40" w:after="40"/>
              <w:rPr>
                <w:sz w:val="16"/>
                <w:szCs w:val="16"/>
                <w:lang w:val="en-GB"/>
              </w:rPr>
            </w:pPr>
          </w:p>
          <w:p w14:paraId="2E32E713" w14:textId="77777777" w:rsidR="00DB516E" w:rsidRPr="009E11CF" w:rsidRDefault="00DB516E" w:rsidP="00957B72">
            <w:pPr>
              <w:spacing w:before="40" w:after="40"/>
              <w:rPr>
                <w:sz w:val="16"/>
                <w:szCs w:val="16"/>
                <w:lang w:val="en-GB"/>
              </w:rPr>
            </w:pPr>
          </w:p>
        </w:tc>
      </w:tr>
    </w:tbl>
    <w:p w14:paraId="3EC1FC6F" w14:textId="77777777" w:rsidR="009E11CF" w:rsidRDefault="009E11CF" w:rsidP="009E11CF">
      <w:pPr>
        <w:pStyle w:val="BodyText"/>
      </w:pPr>
    </w:p>
    <w:p w14:paraId="1F55A9F9" w14:textId="4CB262E9" w:rsidR="0099476C" w:rsidRDefault="009E11CF" w:rsidP="00024BA3">
      <w:pPr>
        <w:pStyle w:val="Caption"/>
        <w:outlineLvl w:val="9"/>
      </w:pPr>
      <w:bookmarkStart w:id="271" w:name="_Ref473454251"/>
      <w:bookmarkStart w:id="272" w:name="_Toc511032624"/>
      <w:r w:rsidRPr="009E11CF">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33</w:t>
      </w:r>
      <w:r w:rsidR="00103328">
        <w:rPr>
          <w:sz w:val="20"/>
          <w:szCs w:val="20"/>
        </w:rPr>
        <w:fldChar w:fldCharType="end"/>
      </w:r>
      <w:bookmarkEnd w:id="271"/>
      <w:r w:rsidRPr="009E11CF">
        <w:rPr>
          <w:sz w:val="20"/>
          <w:szCs w:val="20"/>
        </w:rPr>
        <w:t xml:space="preserve">: Potential impacts of hydrocarbons to </w:t>
      </w:r>
      <w:r w:rsidR="00DB516E">
        <w:rPr>
          <w:sz w:val="20"/>
          <w:szCs w:val="20"/>
        </w:rPr>
        <w:t>tourism</w:t>
      </w:r>
      <w:bookmarkEnd w:id="272"/>
    </w:p>
    <w:tbl>
      <w:tblPr>
        <w:tblW w:w="0" w:type="auto"/>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13031"/>
      </w:tblGrid>
      <w:tr w:rsidR="00DD366E" w:rsidRPr="009E11CF" w14:paraId="6F6BC0DC" w14:textId="77777777" w:rsidTr="00366ABD">
        <w:trPr>
          <w:cantSplit/>
        </w:trPr>
        <w:tc>
          <w:tcPr>
            <w:tcW w:w="13031" w:type="dxa"/>
            <w:shd w:val="clear" w:color="auto" w:fill="A6A6A6"/>
          </w:tcPr>
          <w:p w14:paraId="54A8EBD2" w14:textId="5FB3378A" w:rsidR="00DD366E" w:rsidRPr="009E11CF" w:rsidRDefault="00DD366E">
            <w:pPr>
              <w:pStyle w:val="BodyText"/>
              <w:spacing w:before="40" w:after="40"/>
              <w:ind w:left="0"/>
              <w:jc w:val="center"/>
              <w:rPr>
                <w:rFonts w:cs="Arial"/>
                <w:b/>
                <w:sz w:val="16"/>
                <w:szCs w:val="16"/>
                <w:lang w:eastAsia="en-US"/>
              </w:rPr>
            </w:pPr>
            <w:r w:rsidRPr="009E11CF">
              <w:rPr>
                <w:rFonts w:cs="Arial"/>
                <w:b/>
                <w:sz w:val="16"/>
                <w:szCs w:val="16"/>
                <w:lang w:eastAsia="en-US"/>
              </w:rPr>
              <w:t xml:space="preserve">General sensitivity to oiling – </w:t>
            </w:r>
            <w:r w:rsidR="00957B72">
              <w:rPr>
                <w:rFonts w:cs="Arial"/>
                <w:b/>
                <w:sz w:val="16"/>
                <w:szCs w:val="16"/>
                <w:lang w:eastAsia="en-US"/>
              </w:rPr>
              <w:t>tourism</w:t>
            </w:r>
          </w:p>
        </w:tc>
      </w:tr>
      <w:tr w:rsidR="00DD366E" w:rsidRPr="009E11CF" w14:paraId="2814DD21" w14:textId="77777777" w:rsidTr="00366ABD">
        <w:trPr>
          <w:cantSplit/>
        </w:trPr>
        <w:tc>
          <w:tcPr>
            <w:tcW w:w="13031" w:type="dxa"/>
            <w:shd w:val="clear" w:color="auto" w:fill="auto"/>
          </w:tcPr>
          <w:p w14:paraId="14E21786" w14:textId="77777777" w:rsidR="009D1885" w:rsidRDefault="00957B72" w:rsidP="009E11CF">
            <w:pPr>
              <w:spacing w:before="40" w:after="40"/>
              <w:rPr>
                <w:sz w:val="16"/>
                <w:szCs w:val="16"/>
                <w:lang w:val="en-GB"/>
              </w:rPr>
            </w:pPr>
            <w:r>
              <w:rPr>
                <w:sz w:val="16"/>
                <w:szCs w:val="16"/>
                <w:lang w:val="en-GB"/>
              </w:rPr>
              <w:t xml:space="preserve">During an oil spill event, not only are tourist destinations affected directly in areas where the spill has impacted upon the coastline, but it also faces significant reputational impacts, particularly in those areas which are considered to be ‘unspoilt’ by development. Public perception strongly influences people’s decisions whether to visit a destination. </w:t>
            </w:r>
          </w:p>
          <w:p w14:paraId="71717CD2" w14:textId="25C33AB0" w:rsidR="00957B72" w:rsidRDefault="00957B72" w:rsidP="009E11CF">
            <w:pPr>
              <w:spacing w:before="40" w:after="40"/>
              <w:rPr>
                <w:sz w:val="16"/>
                <w:szCs w:val="16"/>
                <w:lang w:val="en-GB"/>
              </w:rPr>
            </w:pPr>
            <w:r>
              <w:rPr>
                <w:sz w:val="16"/>
                <w:szCs w:val="16"/>
                <w:lang w:val="en-GB"/>
              </w:rPr>
              <w:t xml:space="preserve">For the Deep-water Horizon spill, </w:t>
            </w:r>
            <w:r w:rsidR="009030FF">
              <w:rPr>
                <w:sz w:val="16"/>
                <w:szCs w:val="16"/>
                <w:lang w:val="en-GB"/>
              </w:rPr>
              <w:t xml:space="preserve">which was </w:t>
            </w:r>
            <w:r w:rsidR="009D1885">
              <w:rPr>
                <w:sz w:val="16"/>
                <w:szCs w:val="16"/>
                <w:lang w:val="en-GB"/>
              </w:rPr>
              <w:t xml:space="preserve">a significantly larger </w:t>
            </w:r>
            <w:r w:rsidR="009D1885" w:rsidRPr="00FA36A5">
              <w:rPr>
                <w:sz w:val="16"/>
                <w:szCs w:val="16"/>
                <w:u w:val="single"/>
                <w:lang w:val="en-GB"/>
              </w:rPr>
              <w:t>oil</w:t>
            </w:r>
            <w:r w:rsidR="009D1885">
              <w:rPr>
                <w:sz w:val="16"/>
                <w:szCs w:val="16"/>
                <w:lang w:val="en-GB"/>
              </w:rPr>
              <w:t xml:space="preserve"> spill with significantly higher spill impacts </w:t>
            </w:r>
            <w:r w:rsidR="009030FF">
              <w:rPr>
                <w:sz w:val="16"/>
                <w:szCs w:val="16"/>
                <w:lang w:val="en-GB"/>
              </w:rPr>
              <w:t xml:space="preserve">when compared with a gas condensate release from </w:t>
            </w:r>
            <w:r w:rsidR="009D1885">
              <w:rPr>
                <w:sz w:val="16"/>
                <w:szCs w:val="16"/>
                <w:lang w:val="en-GB"/>
              </w:rPr>
              <w:t xml:space="preserve">the CHN assets, </w:t>
            </w:r>
            <w:r>
              <w:rPr>
                <w:sz w:val="16"/>
                <w:szCs w:val="16"/>
                <w:lang w:val="en-GB"/>
              </w:rPr>
              <w:t>a study commissioned by the Louisiana Office of Tourism two months after the</w:t>
            </w:r>
            <w:r w:rsidR="009030FF">
              <w:rPr>
                <w:sz w:val="16"/>
                <w:szCs w:val="16"/>
                <w:lang w:val="en-GB"/>
              </w:rPr>
              <w:t xml:space="preserve"> Deepwater Horizon spill </w:t>
            </w:r>
            <w:r>
              <w:rPr>
                <w:sz w:val="16"/>
                <w:szCs w:val="16"/>
                <w:lang w:val="en-GB"/>
              </w:rPr>
              <w:t xml:space="preserve">incident </w:t>
            </w:r>
            <w:r w:rsidR="009D1885">
              <w:rPr>
                <w:sz w:val="16"/>
                <w:szCs w:val="16"/>
                <w:lang w:val="en-GB"/>
              </w:rPr>
              <w:t>found</w:t>
            </w:r>
            <w:r>
              <w:rPr>
                <w:sz w:val="16"/>
                <w:szCs w:val="16"/>
                <w:lang w:val="en-GB"/>
              </w:rPr>
              <w:t xml:space="preserve"> (CRED, 2017):</w:t>
            </w:r>
          </w:p>
          <w:p w14:paraId="52121906" w14:textId="692A6741" w:rsidR="00957B72" w:rsidRPr="00957B72" w:rsidRDefault="00957B72" w:rsidP="0036080A">
            <w:pPr>
              <w:pStyle w:val="ListParagraph"/>
              <w:numPr>
                <w:ilvl w:val="0"/>
                <w:numId w:val="41"/>
              </w:numPr>
              <w:spacing w:before="40" w:after="40"/>
              <w:rPr>
                <w:sz w:val="16"/>
                <w:szCs w:val="16"/>
                <w:lang w:val="en-GB"/>
              </w:rPr>
            </w:pPr>
            <w:r w:rsidRPr="00957B72">
              <w:rPr>
                <w:sz w:val="16"/>
                <w:szCs w:val="16"/>
                <w:lang w:val="en-GB"/>
              </w:rPr>
              <w:t>The spill had a negative impact on people’s intentions to visit Louisiana</w:t>
            </w:r>
            <w:r w:rsidR="009D1885">
              <w:rPr>
                <w:sz w:val="16"/>
                <w:szCs w:val="16"/>
                <w:lang w:val="en-GB"/>
              </w:rPr>
              <w:t>.</w:t>
            </w:r>
            <w:r w:rsidRPr="00957B72">
              <w:rPr>
                <w:sz w:val="16"/>
                <w:szCs w:val="16"/>
                <w:lang w:val="en-GB"/>
              </w:rPr>
              <w:t xml:space="preserve"> </w:t>
            </w:r>
            <w:r w:rsidR="009D1885">
              <w:rPr>
                <w:sz w:val="16"/>
                <w:szCs w:val="16"/>
                <w:lang w:val="en-GB"/>
              </w:rPr>
              <w:t>P</w:t>
            </w:r>
            <w:r w:rsidRPr="00957B72">
              <w:rPr>
                <w:sz w:val="16"/>
                <w:szCs w:val="16"/>
                <w:lang w:val="en-GB"/>
              </w:rPr>
              <w:t>eople who had previously intended to visit the state had postponed or cancelled their trips;</w:t>
            </w:r>
          </w:p>
          <w:p w14:paraId="73CD81E0" w14:textId="6FFED261" w:rsidR="00957B72" w:rsidRPr="00FA36A5" w:rsidRDefault="00957B72" w:rsidP="0036080A">
            <w:pPr>
              <w:pStyle w:val="ListParagraph"/>
              <w:numPr>
                <w:ilvl w:val="0"/>
                <w:numId w:val="41"/>
              </w:numPr>
              <w:spacing w:before="40" w:after="40"/>
              <w:rPr>
                <w:sz w:val="16"/>
                <w:szCs w:val="16"/>
                <w:lang w:val="en-GB"/>
              </w:rPr>
            </w:pPr>
            <w:r w:rsidRPr="00FA36A5">
              <w:rPr>
                <w:color w:val="333333"/>
                <w:sz w:val="16"/>
                <w:szCs w:val="16"/>
              </w:rPr>
              <w:t>Perception overshadowed actual impacts: a quarter of people thought that leisure activities (swamp tours, boating and hiking) were closed because of the spill when in fact this was not the case;</w:t>
            </w:r>
          </w:p>
          <w:p w14:paraId="1DD9C9B4" w14:textId="0BA78D8B" w:rsidR="00957B72" w:rsidRPr="00FA36A5" w:rsidRDefault="00957B72" w:rsidP="0036080A">
            <w:pPr>
              <w:pStyle w:val="ListParagraph"/>
              <w:numPr>
                <w:ilvl w:val="0"/>
                <w:numId w:val="41"/>
              </w:numPr>
              <w:spacing w:before="40" w:after="40"/>
              <w:rPr>
                <w:sz w:val="16"/>
                <w:szCs w:val="16"/>
                <w:lang w:val="en-GB"/>
              </w:rPr>
            </w:pPr>
            <w:r w:rsidRPr="00FA36A5">
              <w:rPr>
                <w:color w:val="333333"/>
                <w:sz w:val="16"/>
                <w:szCs w:val="16"/>
              </w:rPr>
              <w:t>The seafood industry was particularly impacted by perceptions: for example, over half of people surveyed thought that Louisiana oysters were unsafe to eat although evidence demonstrated otherwise</w:t>
            </w:r>
            <w:r w:rsidR="009D1885">
              <w:rPr>
                <w:color w:val="333333"/>
                <w:sz w:val="16"/>
                <w:szCs w:val="16"/>
              </w:rPr>
              <w:t>.</w:t>
            </w:r>
          </w:p>
          <w:p w14:paraId="647643D3" w14:textId="6C30C7AB" w:rsidR="00DD366E" w:rsidRPr="009E11CF" w:rsidRDefault="00957B72" w:rsidP="00FA36A5">
            <w:pPr>
              <w:rPr>
                <w:rFonts w:cs="Arial"/>
                <w:sz w:val="16"/>
                <w:szCs w:val="16"/>
                <w:lang w:eastAsia="en-US"/>
              </w:rPr>
            </w:pPr>
            <w:r>
              <w:rPr>
                <w:sz w:val="16"/>
                <w:szCs w:val="16"/>
                <w:lang w:val="en-GB"/>
              </w:rPr>
              <w:t>This resulted in significant impacts on the hospitality sector and small businesses.</w:t>
            </w:r>
          </w:p>
        </w:tc>
      </w:tr>
      <w:tr w:rsidR="00DD366E" w:rsidRPr="009E11CF" w14:paraId="566CC4E7" w14:textId="77777777" w:rsidTr="00366ABD">
        <w:trPr>
          <w:cantSplit/>
        </w:trPr>
        <w:tc>
          <w:tcPr>
            <w:tcW w:w="13031" w:type="dxa"/>
            <w:shd w:val="clear" w:color="auto" w:fill="D9D9D9"/>
          </w:tcPr>
          <w:p w14:paraId="43740EE8" w14:textId="77777777" w:rsidR="00DD366E" w:rsidRPr="009E11CF" w:rsidRDefault="00DD366E" w:rsidP="009E11CF">
            <w:pPr>
              <w:pStyle w:val="BodyText"/>
              <w:spacing w:before="40" w:after="40"/>
              <w:ind w:left="0"/>
              <w:jc w:val="center"/>
              <w:rPr>
                <w:rFonts w:cs="Arial"/>
                <w:b/>
                <w:sz w:val="16"/>
                <w:szCs w:val="16"/>
                <w:lang w:eastAsia="en-US"/>
              </w:rPr>
            </w:pPr>
            <w:r w:rsidRPr="009E11CF">
              <w:rPr>
                <w:rFonts w:cs="Arial"/>
                <w:b/>
                <w:sz w:val="16"/>
                <w:szCs w:val="16"/>
                <w:lang w:eastAsia="en-US"/>
              </w:rPr>
              <w:t>Potential impacts from this project</w:t>
            </w:r>
          </w:p>
        </w:tc>
      </w:tr>
      <w:tr w:rsidR="00796D73" w:rsidRPr="009E11CF" w14:paraId="1CBA5FE7" w14:textId="77777777" w:rsidTr="00366ABD">
        <w:trPr>
          <w:cantSplit/>
        </w:trPr>
        <w:tc>
          <w:tcPr>
            <w:tcW w:w="13031" w:type="dxa"/>
            <w:shd w:val="clear" w:color="auto" w:fill="auto"/>
          </w:tcPr>
          <w:p w14:paraId="0723046C" w14:textId="19837E8E" w:rsidR="00F04F7C" w:rsidRDefault="00F04F7C" w:rsidP="00FA36A5">
            <w:pPr>
              <w:rPr>
                <w:sz w:val="16"/>
                <w:szCs w:val="16"/>
                <w:lang w:val="en-GB"/>
              </w:rPr>
            </w:pPr>
            <w:r>
              <w:rPr>
                <w:sz w:val="16"/>
                <w:szCs w:val="16"/>
                <w:lang w:val="en-GB"/>
              </w:rPr>
              <w:t xml:space="preserve">In the event of a significant spill event from the CHN assets, it is possible that some impacts tourism perception may reduce numbers visiting the Shipwreck coastline. However, impacts associated with a spill event which is visible to the public would be limited in scale, very localised in impact and temporary in nature. The material released does not have a significant surface presence (i.e. low sheens except for a HDD pipeline rupture which is temporary and localised). In addition, visitation to the Twelve Apostles is for its aesthetics and scenery, two aspects which are not expected to be significantly affected by a limited release condensate spill. The impact to visitation is expected to be small on this basis. </w:t>
            </w:r>
          </w:p>
          <w:p w14:paraId="668879ED" w14:textId="320820D1" w:rsidR="00796D73" w:rsidRPr="009E11CF" w:rsidRDefault="00F04F7C" w:rsidP="00FA36A5">
            <w:pPr>
              <w:rPr>
                <w:sz w:val="16"/>
                <w:szCs w:val="16"/>
                <w:lang w:val="en-GB"/>
              </w:rPr>
            </w:pPr>
            <w:r>
              <w:rPr>
                <w:sz w:val="16"/>
                <w:szCs w:val="16"/>
                <w:lang w:val="en-GB"/>
              </w:rPr>
              <w:t>In the event of a spill, it is expected that state media exposure is possible. On a business reputation basis, this impact is assessed as a moderate consequence.</w:t>
            </w:r>
          </w:p>
        </w:tc>
      </w:tr>
    </w:tbl>
    <w:p w14:paraId="58596221" w14:textId="4E894243" w:rsidR="00BC70F0" w:rsidRDefault="00BC70F0" w:rsidP="00E1729C">
      <w:pPr>
        <w:pStyle w:val="BodyText"/>
        <w:rPr>
          <w:lang w:eastAsia="en-US"/>
        </w:rPr>
        <w:sectPr w:rsidR="00BC70F0" w:rsidSect="00E439A6">
          <w:pgSz w:w="16840" w:h="11900" w:orient="landscape" w:code="9"/>
          <w:pgMar w:top="2064" w:right="1440" w:bottom="1440" w:left="2268" w:header="680" w:footer="284" w:gutter="0"/>
          <w:cols w:space="720"/>
          <w:docGrid w:linePitch="299"/>
        </w:sectPr>
      </w:pPr>
    </w:p>
    <w:p w14:paraId="6C11FFF1" w14:textId="2E9730BC" w:rsidR="00CA78A5" w:rsidRDefault="00CA78A5" w:rsidP="001371AD">
      <w:pPr>
        <w:pStyle w:val="Heading3"/>
      </w:pPr>
      <w:r>
        <w:lastRenderedPageBreak/>
        <w:t>Likelihood of LOC</w:t>
      </w:r>
    </w:p>
    <w:p w14:paraId="28A3FC77" w14:textId="77777777" w:rsidR="00887A82" w:rsidRDefault="00CA78A5" w:rsidP="00887A82">
      <w:pPr>
        <w:pStyle w:val="BodyText"/>
        <w:ind w:left="720"/>
        <w:rPr>
          <w:rStyle w:val="Emphasis"/>
          <w:i w:val="0"/>
        </w:rPr>
      </w:pPr>
      <w:r w:rsidRPr="00CA78A5">
        <w:rPr>
          <w:rStyle w:val="Emphasis"/>
          <w:i w:val="0"/>
        </w:rPr>
        <w:t xml:space="preserve">The integrity of submarine pipeline system </w:t>
      </w:r>
      <w:r>
        <w:rPr>
          <w:rStyle w:val="Emphasis"/>
          <w:i w:val="0"/>
        </w:rPr>
        <w:t>is</w:t>
      </w:r>
      <w:r w:rsidRPr="00CA78A5">
        <w:rPr>
          <w:rStyle w:val="Emphasis"/>
          <w:i w:val="0"/>
        </w:rPr>
        <w:t xml:space="preserve"> be ensured through all phases of life, from initial concept through to final decommissioning. There are two primary processes to achieving this:</w:t>
      </w:r>
    </w:p>
    <w:p w14:paraId="17E2C668" w14:textId="77777777" w:rsidR="00887A82" w:rsidRDefault="00887A82" w:rsidP="0036080A">
      <w:pPr>
        <w:pStyle w:val="BodyText"/>
        <w:numPr>
          <w:ilvl w:val="0"/>
          <w:numId w:val="39"/>
        </w:numPr>
        <w:ind w:left="1418"/>
        <w:rPr>
          <w:rStyle w:val="Emphasis"/>
          <w:i w:val="0"/>
        </w:rPr>
      </w:pPr>
      <w:r>
        <w:rPr>
          <w:rStyle w:val="Emphasis"/>
          <w:i w:val="0"/>
        </w:rPr>
        <w:t>E</w:t>
      </w:r>
      <w:r w:rsidR="00CA78A5" w:rsidRPr="00CA78A5">
        <w:rPr>
          <w:rStyle w:val="Emphasis"/>
          <w:i w:val="0"/>
        </w:rPr>
        <w:t>stablish integrity in the concept development, design and construction phases; and</w:t>
      </w:r>
    </w:p>
    <w:p w14:paraId="33E2DC2D" w14:textId="5D14A98A" w:rsidR="00CA78A5" w:rsidRPr="00CA78A5" w:rsidRDefault="00887A82" w:rsidP="0036080A">
      <w:pPr>
        <w:pStyle w:val="BodyText"/>
        <w:numPr>
          <w:ilvl w:val="0"/>
          <w:numId w:val="39"/>
        </w:numPr>
        <w:ind w:left="1418"/>
        <w:rPr>
          <w:rStyle w:val="Emphasis"/>
          <w:i w:val="0"/>
        </w:rPr>
      </w:pPr>
      <w:r>
        <w:rPr>
          <w:rStyle w:val="Emphasis"/>
          <w:i w:val="0"/>
        </w:rPr>
        <w:t>M</w:t>
      </w:r>
      <w:r w:rsidR="00CA78A5" w:rsidRPr="00CA78A5">
        <w:rPr>
          <w:rStyle w:val="Emphasis"/>
          <w:i w:val="0"/>
        </w:rPr>
        <w:t>aintain integrity in the operations phase.</w:t>
      </w:r>
    </w:p>
    <w:p w14:paraId="371099D3" w14:textId="77777777" w:rsidR="00CA78A5" w:rsidRPr="00D93543" w:rsidRDefault="00CA78A5" w:rsidP="00887A82">
      <w:pPr>
        <w:pStyle w:val="BodyText"/>
        <w:ind w:left="720"/>
        <w:rPr>
          <w:rStyle w:val="Emphasis"/>
          <w:i w:val="0"/>
        </w:rPr>
      </w:pPr>
      <w:r w:rsidRPr="00CA78A5">
        <w:rPr>
          <w:rStyle w:val="Emphasis"/>
          <w:i w:val="0"/>
        </w:rPr>
        <w:t>During concept development, design and construction, integrity is established by: anticipating normal and abnormal loads to the pipeline system and proving, by calculation, the system can</w:t>
      </w:r>
      <w:r w:rsidRPr="00D93543">
        <w:rPr>
          <w:rStyle w:val="Emphasis"/>
          <w:i w:val="0"/>
        </w:rPr>
        <w:t xml:space="preserve"> withstand these loads with factors of safety i.e. redundancy; verifying that the concept development and design are adequate through third party validation programs; ensuring that the materials specified by the design are delivered with the required quality e.g. pipe materials are as strong as the values used in the design calculations; ensuring that construction techniques, particularly welding, are executed with sufficient quality to maintain the design requirements for the pipeline once installed; carrying out a system pressure test to a pressure over, and above, the maximum allowable pressure of the pipeline to prove the pipeline is capable of its design intent.</w:t>
      </w:r>
    </w:p>
    <w:p w14:paraId="397BBC48" w14:textId="77777777" w:rsidR="00CA78A5" w:rsidRPr="00D93543" w:rsidRDefault="00CA78A5" w:rsidP="00887A82">
      <w:pPr>
        <w:pStyle w:val="BodyText"/>
        <w:ind w:left="720"/>
        <w:rPr>
          <w:rStyle w:val="Emphasis"/>
          <w:i w:val="0"/>
        </w:rPr>
      </w:pPr>
      <w:r w:rsidRPr="00D93543">
        <w:rPr>
          <w:rStyle w:val="Emphasis"/>
          <w:i w:val="0"/>
        </w:rPr>
        <w:t>During operation of the pipeline, monitoring and inspection are routinely carried out to ensure the quality of the design is maintained to ensure it remains able to withstand the normal and accidental loads anticipated. Where the design is found to be deteriorating, then corrective action is taken to maintain the design resistance to the normal and abnormal loads.</w:t>
      </w:r>
    </w:p>
    <w:p w14:paraId="634A25C0" w14:textId="5DC5E462" w:rsidR="00CA78A5" w:rsidRPr="00D93543" w:rsidRDefault="00CA78A5" w:rsidP="00887A82">
      <w:pPr>
        <w:pStyle w:val="BodyText"/>
        <w:ind w:left="720"/>
        <w:rPr>
          <w:lang w:eastAsia="en-US"/>
        </w:rPr>
      </w:pPr>
      <w:r w:rsidRPr="00D93543">
        <w:rPr>
          <w:rStyle w:val="Emphasis"/>
          <w:i w:val="0"/>
        </w:rPr>
        <w:t xml:space="preserve">Given this philosophy to integrity and the maturity of offshore pipeline engineering and integrity management, any deterioration of the pipeline will likely to be slow and gradual and most likely detected during routine monitoring and / or inspection. Severe and / or rapid deterioration of the pipeline would indicate that the concept development, design, construction, operation and maintenance have been inadequate, which is unlikely, or alternatively external influences have changed in an extreme manner that was never anticipated, which is again unlikely. It is therefore considered reasonable that </w:t>
      </w:r>
      <w:r>
        <w:rPr>
          <w:rStyle w:val="Emphasis"/>
          <w:i w:val="0"/>
        </w:rPr>
        <w:t xml:space="preserve">LOC </w:t>
      </w:r>
      <w:r w:rsidRPr="00D93543">
        <w:rPr>
          <w:rStyle w:val="Emphasis"/>
          <w:i w:val="0"/>
        </w:rPr>
        <w:t>incidents are more likely to be relatively low volume leaks than high volume ruptures.</w:t>
      </w:r>
      <w:r>
        <w:rPr>
          <w:rStyle w:val="Emphasis"/>
          <w:i w:val="0"/>
        </w:rPr>
        <w:t xml:space="preserve"> However, given the implementation of the CHN </w:t>
      </w:r>
      <w:r w:rsidR="00CF47B0">
        <w:rPr>
          <w:rStyle w:val="Emphasis"/>
          <w:i w:val="0"/>
        </w:rPr>
        <w:t>IMP</w:t>
      </w:r>
      <w:r>
        <w:rPr>
          <w:rStyle w:val="Emphasis"/>
          <w:i w:val="0"/>
        </w:rPr>
        <w:t>, LOC incidents are considered remote.</w:t>
      </w:r>
    </w:p>
    <w:p w14:paraId="06496CBE" w14:textId="7B91E6BA" w:rsidR="00E1729C" w:rsidRDefault="009E11CF" w:rsidP="001371AD">
      <w:pPr>
        <w:pStyle w:val="Heading3"/>
      </w:pPr>
      <w:r>
        <w:t>Risk</w:t>
      </w:r>
      <w:r w:rsidR="00E1729C">
        <w:t xml:space="preserve"> Assessment</w:t>
      </w:r>
    </w:p>
    <w:p w14:paraId="49DD735D" w14:textId="7509C6CA" w:rsidR="00E1729C" w:rsidRPr="009E11CF" w:rsidRDefault="009E11CF" w:rsidP="00887A82">
      <w:pPr>
        <w:pStyle w:val="BodyText"/>
        <w:ind w:left="720"/>
        <w:rPr>
          <w:lang w:eastAsia="en-US"/>
        </w:rPr>
      </w:pPr>
      <w:r w:rsidRPr="009E11CF">
        <w:rPr>
          <w:color w:val="FF0000"/>
          <w:lang w:eastAsia="en-US"/>
        </w:rPr>
        <w:fldChar w:fldCharType="begin"/>
      </w:r>
      <w:r w:rsidRPr="009E11CF">
        <w:rPr>
          <w:color w:val="FF0000"/>
          <w:lang w:eastAsia="en-US"/>
        </w:rPr>
        <w:instrText xml:space="preserve"> REF _Ref473451785 \h </w:instrText>
      </w:r>
      <w:r>
        <w:rPr>
          <w:color w:val="FF0000"/>
          <w:lang w:eastAsia="en-US"/>
        </w:rPr>
        <w:instrText xml:space="preserve"> \* MERGEFORMAT </w:instrText>
      </w:r>
      <w:r w:rsidRPr="009E11CF">
        <w:rPr>
          <w:color w:val="FF0000"/>
          <w:lang w:eastAsia="en-US"/>
        </w:rPr>
      </w:r>
      <w:r w:rsidRPr="009E11CF">
        <w:rPr>
          <w:color w:val="FF0000"/>
          <w:lang w:eastAsia="en-US"/>
        </w:rPr>
        <w:fldChar w:fldCharType="separate"/>
      </w:r>
      <w:r w:rsidR="00CC4C35" w:rsidRPr="00CC4C35">
        <w:t xml:space="preserve">Table </w:t>
      </w:r>
      <w:r w:rsidR="00CC4C35" w:rsidRPr="00CC4C35">
        <w:rPr>
          <w:noProof/>
        </w:rPr>
        <w:t>5</w:t>
      </w:r>
      <w:r w:rsidR="00CC4C35" w:rsidRPr="00CC4C35">
        <w:rPr>
          <w:noProof/>
        </w:rPr>
        <w:noBreakHyphen/>
        <w:t>34</w:t>
      </w:r>
      <w:r w:rsidRPr="009E11CF">
        <w:rPr>
          <w:color w:val="FF0000"/>
          <w:lang w:eastAsia="en-US"/>
        </w:rPr>
        <w:fldChar w:fldCharType="end"/>
      </w:r>
      <w:r w:rsidRPr="009E11CF">
        <w:rPr>
          <w:color w:val="FF0000"/>
          <w:lang w:eastAsia="en-US"/>
        </w:rPr>
        <w:t xml:space="preserve"> </w:t>
      </w:r>
      <w:r w:rsidR="00E1729C" w:rsidRPr="009E11CF">
        <w:rPr>
          <w:lang w:eastAsia="en-US"/>
        </w:rPr>
        <w:t xml:space="preserve">presents the risk assessment for </w:t>
      </w:r>
      <w:r w:rsidR="00D63FF2" w:rsidRPr="009E11CF">
        <w:rPr>
          <w:lang w:eastAsia="en-US"/>
        </w:rPr>
        <w:t xml:space="preserve">a condensate </w:t>
      </w:r>
      <w:r w:rsidR="00887A82">
        <w:rPr>
          <w:lang w:eastAsia="en-US"/>
        </w:rPr>
        <w:t>LOC</w:t>
      </w:r>
      <w:r w:rsidR="00E1729C" w:rsidRPr="009E11CF">
        <w:rPr>
          <w:lang w:eastAsia="en-US"/>
        </w:rPr>
        <w:t>.</w:t>
      </w:r>
    </w:p>
    <w:p w14:paraId="449D7857" w14:textId="045B2105" w:rsidR="00D63FF2" w:rsidRPr="00ED5388" w:rsidRDefault="009E11CF" w:rsidP="00024BA3">
      <w:pPr>
        <w:pStyle w:val="Caption"/>
        <w:outlineLvl w:val="9"/>
        <w:rPr>
          <w:sz w:val="20"/>
          <w:szCs w:val="20"/>
        </w:rPr>
      </w:pPr>
      <w:bookmarkStart w:id="273" w:name="_Ref473451785"/>
      <w:bookmarkStart w:id="274" w:name="_Toc511032625"/>
      <w:r w:rsidRPr="009E11CF">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34</w:t>
      </w:r>
      <w:r w:rsidR="00103328">
        <w:rPr>
          <w:sz w:val="20"/>
          <w:szCs w:val="20"/>
        </w:rPr>
        <w:fldChar w:fldCharType="end"/>
      </w:r>
      <w:bookmarkEnd w:id="273"/>
      <w:r w:rsidRPr="009E11CF">
        <w:rPr>
          <w:sz w:val="20"/>
          <w:szCs w:val="20"/>
        </w:rPr>
        <w:t xml:space="preserve">: ERA for condensate </w:t>
      </w:r>
      <w:r w:rsidR="00CA78A5">
        <w:rPr>
          <w:sz w:val="20"/>
          <w:szCs w:val="20"/>
        </w:rPr>
        <w:t>LOC</w:t>
      </w:r>
      <w:bookmarkEnd w:id="274"/>
    </w:p>
    <w:tbl>
      <w:tblPr>
        <w:tblW w:w="9072"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694"/>
        <w:gridCol w:w="6378"/>
      </w:tblGrid>
      <w:tr w:rsidR="00011B06" w:rsidRPr="009E11CF" w14:paraId="6701C0FF" w14:textId="77777777" w:rsidTr="00E439A6">
        <w:trPr>
          <w:cantSplit/>
        </w:trPr>
        <w:tc>
          <w:tcPr>
            <w:tcW w:w="2694" w:type="dxa"/>
            <w:shd w:val="clear" w:color="auto" w:fill="BFBFBF" w:themeFill="background1" w:themeFillShade="BF"/>
          </w:tcPr>
          <w:p w14:paraId="4BF1E516" w14:textId="4955F424" w:rsidR="00011B06" w:rsidRPr="009E11CF" w:rsidRDefault="00011B06" w:rsidP="00E439A6">
            <w:pPr>
              <w:pStyle w:val="Tabletext"/>
              <w:spacing w:line="240" w:lineRule="auto"/>
              <w:rPr>
                <w:rFonts w:ascii="Arial" w:hAnsi="Arial" w:cs="Arial"/>
                <w:b/>
                <w:sz w:val="16"/>
                <w:szCs w:val="16"/>
              </w:rPr>
            </w:pPr>
            <w:r>
              <w:rPr>
                <w:rFonts w:ascii="Arial" w:hAnsi="Arial" w:cs="Arial"/>
                <w:b/>
                <w:sz w:val="16"/>
                <w:szCs w:val="16"/>
              </w:rPr>
              <w:t>Aspect:</w:t>
            </w:r>
          </w:p>
        </w:tc>
        <w:tc>
          <w:tcPr>
            <w:tcW w:w="6378" w:type="dxa"/>
          </w:tcPr>
          <w:p w14:paraId="19EE5363" w14:textId="3D12329E" w:rsidR="00011B06" w:rsidRPr="009E11CF" w:rsidRDefault="00011B06" w:rsidP="00E439A6">
            <w:pPr>
              <w:pStyle w:val="Tabletext"/>
              <w:spacing w:line="240" w:lineRule="auto"/>
              <w:jc w:val="left"/>
              <w:rPr>
                <w:rFonts w:ascii="Arial" w:hAnsi="Arial" w:cs="Arial"/>
                <w:sz w:val="16"/>
                <w:szCs w:val="16"/>
              </w:rPr>
            </w:pPr>
            <w:r>
              <w:rPr>
                <w:rFonts w:ascii="Arial" w:hAnsi="Arial" w:cs="Arial"/>
                <w:sz w:val="16"/>
                <w:szCs w:val="16"/>
              </w:rPr>
              <w:t>Condensate Loss of Containment</w:t>
            </w:r>
          </w:p>
        </w:tc>
      </w:tr>
      <w:tr w:rsidR="00D63FF2" w:rsidRPr="009E11CF" w14:paraId="2E2C50CD" w14:textId="77777777" w:rsidTr="00E439A6">
        <w:trPr>
          <w:cantSplit/>
        </w:trPr>
        <w:tc>
          <w:tcPr>
            <w:tcW w:w="2694" w:type="dxa"/>
            <w:shd w:val="clear" w:color="auto" w:fill="BFBFBF" w:themeFill="background1" w:themeFillShade="BF"/>
          </w:tcPr>
          <w:p w14:paraId="681E70E1" w14:textId="77777777" w:rsidR="00D63FF2" w:rsidRPr="009E11CF" w:rsidRDefault="00D63FF2" w:rsidP="00E439A6">
            <w:pPr>
              <w:pStyle w:val="Tabletext"/>
              <w:spacing w:line="240" w:lineRule="auto"/>
              <w:rPr>
                <w:rFonts w:ascii="Arial" w:hAnsi="Arial" w:cs="Arial"/>
                <w:b/>
                <w:sz w:val="16"/>
                <w:szCs w:val="16"/>
              </w:rPr>
            </w:pPr>
            <w:r w:rsidRPr="009E11CF">
              <w:rPr>
                <w:rFonts w:ascii="Arial" w:hAnsi="Arial" w:cs="Arial"/>
                <w:b/>
                <w:sz w:val="16"/>
                <w:szCs w:val="16"/>
              </w:rPr>
              <w:t xml:space="preserve">Impact summary </w:t>
            </w:r>
          </w:p>
        </w:tc>
        <w:tc>
          <w:tcPr>
            <w:tcW w:w="6378" w:type="dxa"/>
          </w:tcPr>
          <w:p w14:paraId="72DD4851" w14:textId="77777777" w:rsidR="00D63FF2" w:rsidRPr="009E11CF" w:rsidRDefault="00D63FF2" w:rsidP="00E439A6">
            <w:pPr>
              <w:pStyle w:val="Tabletext"/>
              <w:spacing w:line="240" w:lineRule="auto"/>
              <w:jc w:val="left"/>
              <w:rPr>
                <w:rFonts w:ascii="Arial" w:hAnsi="Arial" w:cs="Arial"/>
                <w:sz w:val="16"/>
                <w:szCs w:val="16"/>
              </w:rPr>
            </w:pPr>
            <w:r w:rsidRPr="009E11CF">
              <w:rPr>
                <w:rFonts w:ascii="Arial" w:hAnsi="Arial" w:cs="Arial"/>
                <w:sz w:val="16"/>
                <w:szCs w:val="16"/>
              </w:rPr>
              <w:t>Marine pollution, potentially leading to injury or death of marine fauna or seabirds through ingestion or absorption.</w:t>
            </w:r>
          </w:p>
        </w:tc>
      </w:tr>
      <w:tr w:rsidR="00D63FF2" w:rsidRPr="009E11CF" w14:paraId="1D651BE3" w14:textId="77777777" w:rsidTr="00E439A6">
        <w:trPr>
          <w:cantSplit/>
        </w:trPr>
        <w:tc>
          <w:tcPr>
            <w:tcW w:w="2694" w:type="dxa"/>
            <w:shd w:val="clear" w:color="auto" w:fill="BFBFBF" w:themeFill="background1" w:themeFillShade="BF"/>
          </w:tcPr>
          <w:p w14:paraId="7524883C" w14:textId="77777777" w:rsidR="00D63FF2" w:rsidRPr="009E11CF" w:rsidRDefault="00D63FF2" w:rsidP="00E439A6">
            <w:pPr>
              <w:pStyle w:val="Tabletext"/>
              <w:spacing w:line="240" w:lineRule="auto"/>
              <w:jc w:val="left"/>
              <w:rPr>
                <w:rFonts w:ascii="Arial" w:hAnsi="Arial" w:cs="Arial"/>
                <w:b/>
                <w:sz w:val="16"/>
                <w:szCs w:val="16"/>
              </w:rPr>
            </w:pPr>
            <w:r w:rsidRPr="009E11CF">
              <w:rPr>
                <w:rFonts w:ascii="Arial" w:hAnsi="Arial" w:cs="Arial"/>
                <w:b/>
                <w:sz w:val="16"/>
                <w:szCs w:val="16"/>
              </w:rPr>
              <w:t xml:space="preserve">Extent of impact </w:t>
            </w:r>
          </w:p>
        </w:tc>
        <w:tc>
          <w:tcPr>
            <w:tcW w:w="6378" w:type="dxa"/>
          </w:tcPr>
          <w:p w14:paraId="158B55BE" w14:textId="77777777" w:rsidR="00D63FF2" w:rsidRPr="009E11CF" w:rsidRDefault="00D63FF2" w:rsidP="00E439A6">
            <w:pPr>
              <w:pStyle w:val="Tabletext"/>
              <w:spacing w:line="240" w:lineRule="auto"/>
              <w:jc w:val="left"/>
              <w:rPr>
                <w:rFonts w:ascii="Arial" w:hAnsi="Arial" w:cs="Arial"/>
                <w:sz w:val="16"/>
                <w:szCs w:val="16"/>
              </w:rPr>
            </w:pPr>
            <w:r w:rsidRPr="009E11CF">
              <w:rPr>
                <w:rFonts w:ascii="Arial" w:hAnsi="Arial" w:cs="Arial"/>
                <w:sz w:val="16"/>
                <w:szCs w:val="16"/>
              </w:rPr>
              <w:t xml:space="preserve">Localised (about 10 m vertically and 100 m horizontally from discharge point). </w:t>
            </w:r>
          </w:p>
        </w:tc>
      </w:tr>
      <w:tr w:rsidR="00D63FF2" w:rsidRPr="009E11CF" w14:paraId="756EA607" w14:textId="77777777" w:rsidTr="00E439A6">
        <w:trPr>
          <w:cantSplit/>
        </w:trPr>
        <w:tc>
          <w:tcPr>
            <w:tcW w:w="2694" w:type="dxa"/>
            <w:shd w:val="clear" w:color="auto" w:fill="BFBFBF" w:themeFill="background1" w:themeFillShade="BF"/>
          </w:tcPr>
          <w:p w14:paraId="4AEBA057" w14:textId="77777777" w:rsidR="00D63FF2" w:rsidRPr="009E11CF" w:rsidRDefault="00D63FF2" w:rsidP="00E439A6">
            <w:pPr>
              <w:pStyle w:val="Tabletext"/>
              <w:spacing w:line="240" w:lineRule="auto"/>
              <w:jc w:val="left"/>
              <w:rPr>
                <w:rFonts w:ascii="Arial" w:hAnsi="Arial" w:cs="Arial"/>
                <w:b/>
                <w:sz w:val="16"/>
                <w:szCs w:val="16"/>
              </w:rPr>
            </w:pPr>
            <w:r w:rsidRPr="009E11CF">
              <w:rPr>
                <w:rFonts w:ascii="Arial" w:hAnsi="Arial" w:cs="Arial"/>
                <w:b/>
                <w:sz w:val="16"/>
                <w:szCs w:val="16"/>
              </w:rPr>
              <w:t xml:space="preserve">Duration of impact </w:t>
            </w:r>
          </w:p>
        </w:tc>
        <w:tc>
          <w:tcPr>
            <w:tcW w:w="6378" w:type="dxa"/>
          </w:tcPr>
          <w:p w14:paraId="4C731161" w14:textId="77777777" w:rsidR="00D63FF2" w:rsidRPr="009E11CF" w:rsidRDefault="00D63FF2" w:rsidP="00E439A6">
            <w:pPr>
              <w:pStyle w:val="Tabletext"/>
              <w:spacing w:line="240" w:lineRule="auto"/>
              <w:jc w:val="left"/>
              <w:rPr>
                <w:rFonts w:ascii="Arial" w:hAnsi="Arial" w:cs="Arial"/>
                <w:sz w:val="16"/>
                <w:szCs w:val="16"/>
              </w:rPr>
            </w:pPr>
            <w:r w:rsidRPr="009E11CF">
              <w:rPr>
                <w:rFonts w:ascii="Arial" w:hAnsi="Arial" w:cs="Arial"/>
                <w:sz w:val="16"/>
                <w:szCs w:val="16"/>
              </w:rPr>
              <w:t>Temporary (rapid dispersion and dilution – minutes to hours).</w:t>
            </w:r>
          </w:p>
        </w:tc>
      </w:tr>
      <w:tr w:rsidR="008419D4" w:rsidRPr="009E11CF" w14:paraId="78BC5745" w14:textId="77777777" w:rsidTr="00E439A6">
        <w:trPr>
          <w:cantSplit/>
        </w:trPr>
        <w:tc>
          <w:tcPr>
            <w:tcW w:w="2694" w:type="dxa"/>
            <w:shd w:val="clear" w:color="auto" w:fill="BFBFBF" w:themeFill="background1" w:themeFillShade="BF"/>
          </w:tcPr>
          <w:p w14:paraId="30E45B0C" w14:textId="77777777" w:rsidR="008419D4" w:rsidRPr="009E11CF" w:rsidRDefault="008419D4" w:rsidP="00E439A6">
            <w:pPr>
              <w:pStyle w:val="Tabletext"/>
              <w:spacing w:line="240" w:lineRule="auto"/>
              <w:jc w:val="left"/>
              <w:rPr>
                <w:rFonts w:ascii="Arial" w:hAnsi="Arial" w:cs="Arial"/>
                <w:b/>
                <w:sz w:val="16"/>
                <w:szCs w:val="16"/>
              </w:rPr>
            </w:pPr>
            <w:r w:rsidRPr="009E11CF">
              <w:rPr>
                <w:rFonts w:ascii="Arial" w:hAnsi="Arial" w:cs="Arial"/>
                <w:b/>
                <w:sz w:val="16"/>
                <w:szCs w:val="16"/>
              </w:rPr>
              <w:t>Level of certainty of impact</w:t>
            </w:r>
          </w:p>
        </w:tc>
        <w:tc>
          <w:tcPr>
            <w:tcW w:w="6378" w:type="dxa"/>
          </w:tcPr>
          <w:p w14:paraId="5A177B85" w14:textId="77777777" w:rsidR="00F03796" w:rsidRDefault="008419D4" w:rsidP="00E439A6">
            <w:pPr>
              <w:pStyle w:val="Tabletext"/>
              <w:spacing w:line="240" w:lineRule="auto"/>
              <w:jc w:val="left"/>
              <w:rPr>
                <w:rFonts w:ascii="Arial" w:hAnsi="Arial" w:cs="Arial"/>
                <w:sz w:val="16"/>
                <w:szCs w:val="16"/>
              </w:rPr>
            </w:pPr>
            <w:r w:rsidRPr="0025202E">
              <w:rPr>
                <w:rFonts w:ascii="Arial" w:hAnsi="Arial" w:cs="Arial"/>
                <w:sz w:val="16"/>
                <w:szCs w:val="16"/>
              </w:rPr>
              <w:t xml:space="preserve">HIGH. </w:t>
            </w:r>
          </w:p>
          <w:p w14:paraId="2A2F339C" w14:textId="176FAD3E" w:rsidR="00F03796" w:rsidRDefault="00F03796" w:rsidP="00E439A6">
            <w:pPr>
              <w:pStyle w:val="Tabletext"/>
              <w:spacing w:line="240" w:lineRule="auto"/>
              <w:jc w:val="left"/>
              <w:rPr>
                <w:rFonts w:ascii="Arial" w:hAnsi="Arial" w:cs="Arial"/>
                <w:sz w:val="16"/>
                <w:szCs w:val="16"/>
              </w:rPr>
            </w:pPr>
            <w:r>
              <w:rPr>
                <w:rFonts w:ascii="Arial" w:hAnsi="Arial" w:cs="Arial"/>
                <w:sz w:val="16"/>
                <w:szCs w:val="16"/>
              </w:rPr>
              <w:t>All parameters provided for spill modelling have been conservatively estimated to provide the largest credible spill footprint. Conservative thresholds have also been utilised to define this footprint.</w:t>
            </w:r>
          </w:p>
          <w:p w14:paraId="3255DEDE" w14:textId="65B91903" w:rsidR="00F03796" w:rsidRDefault="00F03796" w:rsidP="00E439A6">
            <w:pPr>
              <w:pStyle w:val="Tabletext"/>
              <w:spacing w:line="240" w:lineRule="auto"/>
              <w:jc w:val="left"/>
              <w:rPr>
                <w:rFonts w:ascii="Arial" w:hAnsi="Arial" w:cs="Arial"/>
                <w:sz w:val="16"/>
                <w:szCs w:val="16"/>
              </w:rPr>
            </w:pPr>
            <w:r>
              <w:rPr>
                <w:rFonts w:ascii="Arial" w:hAnsi="Arial" w:cs="Arial"/>
                <w:sz w:val="16"/>
                <w:szCs w:val="16"/>
              </w:rPr>
              <w:t xml:space="preserve">Modelling </w:t>
            </w:r>
            <w:r w:rsidR="003C0052">
              <w:rPr>
                <w:rFonts w:ascii="Arial" w:hAnsi="Arial" w:cs="Arial"/>
                <w:sz w:val="16"/>
                <w:szCs w:val="16"/>
              </w:rPr>
              <w:t>parameters are also conservative on the following basis:</w:t>
            </w:r>
          </w:p>
          <w:p w14:paraId="090163E1" w14:textId="09DB591D" w:rsidR="003C0052" w:rsidRDefault="003C0052" w:rsidP="00E439A6">
            <w:pPr>
              <w:pStyle w:val="Tabletext"/>
              <w:numPr>
                <w:ilvl w:val="0"/>
                <w:numId w:val="27"/>
              </w:numPr>
              <w:spacing w:line="240" w:lineRule="auto"/>
              <w:jc w:val="left"/>
              <w:rPr>
                <w:rFonts w:ascii="Arial" w:hAnsi="Arial" w:cs="Arial"/>
                <w:sz w:val="16"/>
                <w:szCs w:val="16"/>
              </w:rPr>
            </w:pPr>
            <w:r>
              <w:rPr>
                <w:rFonts w:ascii="Arial" w:hAnsi="Arial" w:cs="Arial"/>
                <w:sz w:val="16"/>
                <w:szCs w:val="16"/>
              </w:rPr>
              <w:t>Models used are best practice and industry standard conforming to quality standards  (ASTM Standard F267-07);</w:t>
            </w:r>
          </w:p>
          <w:p w14:paraId="011867E5" w14:textId="77777777" w:rsidR="003C0052" w:rsidRDefault="003C0052" w:rsidP="00E439A6">
            <w:pPr>
              <w:pStyle w:val="Tabletext"/>
              <w:numPr>
                <w:ilvl w:val="0"/>
                <w:numId w:val="27"/>
              </w:numPr>
              <w:spacing w:line="240" w:lineRule="auto"/>
              <w:jc w:val="left"/>
              <w:rPr>
                <w:rFonts w:ascii="Arial" w:hAnsi="Arial" w:cs="Arial"/>
                <w:sz w:val="16"/>
                <w:szCs w:val="16"/>
              </w:rPr>
            </w:pPr>
            <w:r>
              <w:rPr>
                <w:rFonts w:ascii="Arial" w:hAnsi="Arial" w:cs="Arial"/>
                <w:sz w:val="16"/>
                <w:szCs w:val="16"/>
              </w:rPr>
              <w:t>Modelled tides and currents have been validated against actual tides and currents;</w:t>
            </w:r>
          </w:p>
          <w:p w14:paraId="3A630747" w14:textId="738C6F19" w:rsidR="003C0052" w:rsidRDefault="003C0052" w:rsidP="00E439A6">
            <w:pPr>
              <w:pStyle w:val="Tabletext"/>
              <w:numPr>
                <w:ilvl w:val="0"/>
                <w:numId w:val="27"/>
              </w:numPr>
              <w:spacing w:line="240" w:lineRule="auto"/>
              <w:jc w:val="left"/>
              <w:rPr>
                <w:rFonts w:ascii="Arial" w:hAnsi="Arial" w:cs="Arial"/>
                <w:sz w:val="16"/>
                <w:szCs w:val="16"/>
              </w:rPr>
            </w:pPr>
            <w:r>
              <w:rPr>
                <w:rFonts w:ascii="Arial" w:hAnsi="Arial" w:cs="Arial"/>
                <w:sz w:val="16"/>
                <w:szCs w:val="16"/>
              </w:rPr>
              <w:t>Weathering characteristics of condensate have been based upon scientific studies and the degree of confidence is high;</w:t>
            </w:r>
          </w:p>
          <w:p w14:paraId="4385A29E" w14:textId="5CAA3827" w:rsidR="008419D4" w:rsidRPr="009E11CF" w:rsidRDefault="003C0052" w:rsidP="00E439A6">
            <w:pPr>
              <w:pStyle w:val="Tabletext"/>
              <w:numPr>
                <w:ilvl w:val="0"/>
                <w:numId w:val="27"/>
              </w:numPr>
              <w:spacing w:line="240" w:lineRule="auto"/>
              <w:jc w:val="left"/>
              <w:rPr>
                <w:rFonts w:ascii="Arial" w:hAnsi="Arial" w:cs="Arial"/>
                <w:sz w:val="16"/>
                <w:szCs w:val="16"/>
              </w:rPr>
            </w:pPr>
            <w:r>
              <w:rPr>
                <w:rFonts w:ascii="Arial" w:hAnsi="Arial" w:cs="Arial"/>
                <w:sz w:val="16"/>
                <w:szCs w:val="16"/>
              </w:rPr>
              <w:t>Sample size has been studied by RPS-APASA and shown that variation can occur between 50 and 100 simulation runs however the variation between 100 and 200 simulation</w:t>
            </w:r>
            <w:r w:rsidR="00887A82">
              <w:rPr>
                <w:rFonts w:ascii="Arial" w:hAnsi="Arial" w:cs="Arial"/>
                <w:sz w:val="16"/>
                <w:szCs w:val="16"/>
              </w:rPr>
              <w:t>s</w:t>
            </w:r>
            <w:r>
              <w:rPr>
                <w:rFonts w:ascii="Arial" w:hAnsi="Arial" w:cs="Arial"/>
                <w:sz w:val="16"/>
                <w:szCs w:val="16"/>
              </w:rPr>
              <w:t xml:space="preserve"> results in minimal variation.</w:t>
            </w:r>
          </w:p>
        </w:tc>
      </w:tr>
      <w:tr w:rsidR="008419D4" w:rsidRPr="009E11CF" w14:paraId="2876FEC5" w14:textId="77777777" w:rsidTr="00E439A6">
        <w:trPr>
          <w:cantSplit/>
        </w:trPr>
        <w:tc>
          <w:tcPr>
            <w:tcW w:w="2694" w:type="dxa"/>
            <w:shd w:val="clear" w:color="auto" w:fill="BFBFBF" w:themeFill="background1" w:themeFillShade="BF"/>
          </w:tcPr>
          <w:p w14:paraId="6C6CE408" w14:textId="041AF322" w:rsidR="008419D4" w:rsidRPr="009E11CF" w:rsidRDefault="008419D4">
            <w:pPr>
              <w:pStyle w:val="Tabletext"/>
              <w:spacing w:line="240" w:lineRule="auto"/>
              <w:jc w:val="left"/>
              <w:rPr>
                <w:rFonts w:ascii="Arial" w:hAnsi="Arial" w:cs="Arial"/>
                <w:b/>
                <w:sz w:val="16"/>
                <w:szCs w:val="16"/>
              </w:rPr>
            </w:pPr>
            <w:r w:rsidRPr="009E11CF">
              <w:rPr>
                <w:rFonts w:ascii="Arial" w:hAnsi="Arial" w:cs="Arial"/>
                <w:b/>
                <w:sz w:val="16"/>
                <w:szCs w:val="16"/>
              </w:rPr>
              <w:lastRenderedPageBreak/>
              <w:t>Impact decision framework context</w:t>
            </w:r>
          </w:p>
        </w:tc>
        <w:tc>
          <w:tcPr>
            <w:tcW w:w="6378" w:type="dxa"/>
          </w:tcPr>
          <w:p w14:paraId="2874EB63" w14:textId="57F133C7" w:rsidR="008419D4" w:rsidRPr="009E11CF" w:rsidRDefault="008419D4" w:rsidP="00E439A6">
            <w:pPr>
              <w:pStyle w:val="Tabletext"/>
              <w:spacing w:line="240" w:lineRule="auto"/>
              <w:jc w:val="left"/>
              <w:rPr>
                <w:rFonts w:ascii="Arial" w:hAnsi="Arial" w:cs="Arial"/>
                <w:sz w:val="16"/>
                <w:szCs w:val="16"/>
              </w:rPr>
            </w:pPr>
            <w:r w:rsidRPr="0025202E">
              <w:rPr>
                <w:rFonts w:ascii="Arial" w:hAnsi="Arial" w:cs="Arial"/>
                <w:sz w:val="16"/>
                <w:szCs w:val="16"/>
              </w:rPr>
              <w:t xml:space="preserve">B. The activity is a standard operation and well understood, it is not new to the area and good practice is well defined. </w:t>
            </w:r>
            <w:r w:rsidR="00011B06" w:rsidRPr="004705DB">
              <w:rPr>
                <w:rFonts w:ascii="Arial" w:hAnsi="Arial" w:cs="Arial"/>
                <w:i/>
                <w:sz w:val="16"/>
                <w:szCs w:val="16"/>
              </w:rPr>
              <w:t>ALARP demonstrated through use of p</w:t>
            </w:r>
            <w:r w:rsidRPr="004705DB">
              <w:rPr>
                <w:rFonts w:ascii="Arial" w:hAnsi="Arial" w:cs="Arial"/>
                <w:i/>
                <w:sz w:val="16"/>
                <w:szCs w:val="16"/>
              </w:rPr>
              <w:t>robabilistic modelling has been performed to assess potential impacts</w:t>
            </w:r>
            <w:r w:rsidRPr="0025202E">
              <w:rPr>
                <w:rFonts w:ascii="Arial" w:hAnsi="Arial" w:cs="Arial"/>
                <w:sz w:val="16"/>
                <w:szCs w:val="16"/>
              </w:rPr>
              <w:t>.</w:t>
            </w:r>
          </w:p>
        </w:tc>
      </w:tr>
    </w:tbl>
    <w:p w14:paraId="3618875C" w14:textId="754C6493" w:rsidR="00887A82" w:rsidRDefault="00887A82" w:rsidP="00887A82">
      <w:pPr>
        <w:pStyle w:val="BodyText"/>
      </w:pPr>
      <w:bookmarkStart w:id="275" w:name="_Toc345581947"/>
      <w:bookmarkStart w:id="276" w:name="_Ref474766415"/>
      <w:bookmarkStart w:id="277" w:name="_Ref474769129"/>
    </w:p>
    <w:p w14:paraId="2EBED15D" w14:textId="77777777" w:rsidR="00366ABD" w:rsidRDefault="00366ABD" w:rsidP="00E439A6">
      <w:pPr>
        <w:autoSpaceDE w:val="0"/>
        <w:autoSpaceDN w:val="0"/>
        <w:adjustRightInd w:val="0"/>
        <w:outlineLvl w:val="9"/>
        <w:rPr>
          <w:rFonts w:ascii="ArialMT" w:eastAsia="Calibri" w:hAnsi="ArialMT" w:cs="ArialMT"/>
          <w:kern w:val="0"/>
          <w:sz w:val="20"/>
          <w:szCs w:val="20"/>
          <w:lang w:eastAsia="en-US"/>
        </w:rPr>
      </w:pPr>
      <w:r>
        <w:rPr>
          <w:rFonts w:ascii="ArialMT" w:eastAsia="Calibri" w:hAnsi="ArialMT" w:cs="ArialMT"/>
          <w:kern w:val="0"/>
          <w:sz w:val="20"/>
          <w:szCs w:val="20"/>
          <w:lang w:eastAsia="en-US"/>
        </w:rPr>
        <w:t>Control measures to be implemented to control this hazard and prevent spills to the marine</w:t>
      </w:r>
    </w:p>
    <w:p w14:paraId="6972A53D" w14:textId="77777777" w:rsidR="00366ABD" w:rsidRDefault="00366ABD" w:rsidP="00E439A6">
      <w:pPr>
        <w:autoSpaceDE w:val="0"/>
        <w:autoSpaceDN w:val="0"/>
        <w:adjustRightInd w:val="0"/>
        <w:outlineLvl w:val="9"/>
        <w:rPr>
          <w:rFonts w:ascii="ArialMT" w:eastAsia="Calibri" w:hAnsi="ArialMT" w:cs="ArialMT"/>
          <w:kern w:val="0"/>
          <w:sz w:val="20"/>
          <w:szCs w:val="20"/>
          <w:lang w:eastAsia="en-US"/>
        </w:rPr>
      </w:pPr>
      <w:r>
        <w:rPr>
          <w:rFonts w:ascii="ArialMT" w:eastAsia="Calibri" w:hAnsi="ArialMT" w:cs="ArialMT"/>
          <w:kern w:val="0"/>
          <w:sz w:val="20"/>
          <w:szCs w:val="20"/>
          <w:lang w:eastAsia="en-US"/>
        </w:rPr>
        <w:t>environment include:</w:t>
      </w:r>
    </w:p>
    <w:p w14:paraId="434A19DD" w14:textId="428F22A7" w:rsidR="00366ABD" w:rsidRPr="00366ABD" w:rsidRDefault="00366ABD" w:rsidP="00E439A6">
      <w:pPr>
        <w:pStyle w:val="ListParagraph"/>
        <w:numPr>
          <w:ilvl w:val="0"/>
          <w:numId w:val="43"/>
        </w:numPr>
        <w:autoSpaceDE w:val="0"/>
        <w:autoSpaceDN w:val="0"/>
        <w:adjustRightInd w:val="0"/>
        <w:contextualSpacing w:val="0"/>
        <w:outlineLvl w:val="9"/>
        <w:rPr>
          <w:rFonts w:ascii="ArialMT" w:eastAsia="Calibri" w:hAnsi="ArialMT" w:cs="ArialMT"/>
          <w:kern w:val="0"/>
          <w:sz w:val="20"/>
          <w:szCs w:val="20"/>
          <w:lang w:eastAsia="en-US"/>
        </w:rPr>
      </w:pPr>
      <w:r w:rsidRPr="00366ABD">
        <w:rPr>
          <w:rFonts w:ascii="Arial-ItalicMT" w:eastAsia="Calibri" w:hAnsi="Arial-ItalicMT" w:cs="Arial-ItalicMT"/>
          <w:i/>
          <w:iCs/>
          <w:kern w:val="0"/>
          <w:sz w:val="20"/>
          <w:szCs w:val="20"/>
          <w:lang w:eastAsia="en-US"/>
        </w:rPr>
        <w:t xml:space="preserve">Navigational Requirements: </w:t>
      </w:r>
      <w:r w:rsidRPr="00366ABD">
        <w:rPr>
          <w:rFonts w:ascii="ArialMT" w:eastAsia="Calibri" w:hAnsi="ArialMT" w:cs="ArialMT"/>
          <w:kern w:val="0"/>
          <w:sz w:val="20"/>
          <w:szCs w:val="20"/>
          <w:lang w:eastAsia="en-US"/>
        </w:rPr>
        <w:t>CHN wellheads and pipeline are marked on navigation charts.</w:t>
      </w:r>
    </w:p>
    <w:p w14:paraId="0CCF1DC3" w14:textId="15240D80" w:rsidR="00366ABD" w:rsidRPr="00366ABD" w:rsidRDefault="00366ABD" w:rsidP="00E439A6">
      <w:pPr>
        <w:pStyle w:val="ListParagraph"/>
        <w:numPr>
          <w:ilvl w:val="0"/>
          <w:numId w:val="43"/>
        </w:numPr>
        <w:autoSpaceDE w:val="0"/>
        <w:autoSpaceDN w:val="0"/>
        <w:adjustRightInd w:val="0"/>
        <w:contextualSpacing w:val="0"/>
        <w:outlineLvl w:val="9"/>
        <w:rPr>
          <w:rFonts w:ascii="ArialMT" w:eastAsia="Calibri" w:hAnsi="ArialMT" w:cs="ArialMT"/>
          <w:kern w:val="0"/>
          <w:sz w:val="20"/>
          <w:szCs w:val="20"/>
          <w:lang w:eastAsia="en-US"/>
        </w:rPr>
      </w:pPr>
      <w:r w:rsidRPr="00366ABD">
        <w:rPr>
          <w:rFonts w:ascii="Arial-ItalicMT" w:eastAsia="Calibri" w:hAnsi="Arial-ItalicMT" w:cs="Arial-ItalicMT"/>
          <w:i/>
          <w:iCs/>
          <w:kern w:val="0"/>
          <w:sz w:val="20"/>
          <w:szCs w:val="20"/>
          <w:lang w:eastAsia="en-US"/>
        </w:rPr>
        <w:t xml:space="preserve">Integrity and Maintenance of Assets: </w:t>
      </w:r>
      <w:r w:rsidRPr="00366ABD">
        <w:rPr>
          <w:rFonts w:ascii="ArialMT" w:eastAsia="Calibri" w:hAnsi="ArialMT" w:cs="ArialMT"/>
          <w:kern w:val="0"/>
          <w:sz w:val="20"/>
          <w:szCs w:val="20"/>
          <w:lang w:eastAsia="en-US"/>
        </w:rPr>
        <w:t>Pipeline and well operations/maintenance are</w:t>
      </w:r>
    </w:p>
    <w:p w14:paraId="00B57997" w14:textId="77777777" w:rsidR="00366ABD" w:rsidRPr="00366ABD" w:rsidRDefault="00366ABD" w:rsidP="00E439A6">
      <w:pPr>
        <w:pStyle w:val="ListParagraph"/>
        <w:autoSpaceDE w:val="0"/>
        <w:autoSpaceDN w:val="0"/>
        <w:adjustRightInd w:val="0"/>
        <w:contextualSpacing w:val="0"/>
        <w:outlineLvl w:val="9"/>
        <w:rPr>
          <w:rFonts w:ascii="ArialMT" w:eastAsia="Calibri" w:hAnsi="ArialMT" w:cs="ArialMT"/>
          <w:kern w:val="0"/>
          <w:sz w:val="20"/>
          <w:szCs w:val="20"/>
          <w:lang w:eastAsia="en-US"/>
        </w:rPr>
      </w:pPr>
      <w:r w:rsidRPr="00366ABD">
        <w:rPr>
          <w:rFonts w:ascii="ArialMT" w:eastAsia="Calibri" w:hAnsi="ArialMT" w:cs="ArialMT"/>
          <w:kern w:val="0"/>
          <w:sz w:val="20"/>
          <w:szCs w:val="20"/>
          <w:lang w:eastAsia="en-US"/>
        </w:rPr>
        <w:t>undertaken in accordance with operating guidelines and integrity management plans.</w:t>
      </w:r>
    </w:p>
    <w:p w14:paraId="5720B534" w14:textId="7DC57005" w:rsidR="00366ABD" w:rsidRPr="00366ABD" w:rsidRDefault="00366ABD" w:rsidP="00E439A6">
      <w:pPr>
        <w:pStyle w:val="ListParagraph"/>
        <w:numPr>
          <w:ilvl w:val="0"/>
          <w:numId w:val="43"/>
        </w:numPr>
        <w:autoSpaceDE w:val="0"/>
        <w:autoSpaceDN w:val="0"/>
        <w:adjustRightInd w:val="0"/>
        <w:contextualSpacing w:val="0"/>
        <w:outlineLvl w:val="9"/>
        <w:rPr>
          <w:rFonts w:ascii="ArialMT" w:eastAsia="Calibri" w:hAnsi="ArialMT" w:cs="ArialMT"/>
          <w:kern w:val="0"/>
          <w:sz w:val="20"/>
          <w:szCs w:val="20"/>
          <w:lang w:eastAsia="en-US"/>
        </w:rPr>
      </w:pPr>
      <w:r w:rsidRPr="00366ABD">
        <w:rPr>
          <w:rFonts w:ascii="Arial-ItalicMT" w:eastAsia="Calibri" w:hAnsi="Arial-ItalicMT" w:cs="Arial-ItalicMT"/>
          <w:i/>
          <w:iCs/>
          <w:kern w:val="0"/>
          <w:sz w:val="20"/>
          <w:szCs w:val="20"/>
          <w:lang w:eastAsia="en-US"/>
        </w:rPr>
        <w:t xml:space="preserve">Field activity controls: </w:t>
      </w:r>
      <w:r w:rsidRPr="00366ABD">
        <w:rPr>
          <w:rFonts w:ascii="ArialMT" w:eastAsia="Calibri" w:hAnsi="ArialMT" w:cs="ArialMT"/>
          <w:kern w:val="0"/>
          <w:sz w:val="20"/>
          <w:szCs w:val="20"/>
          <w:lang w:eastAsia="en-US"/>
        </w:rPr>
        <w:t>Offshore activities are undertaken in accordance with a</w:t>
      </w:r>
    </w:p>
    <w:p w14:paraId="1CD46D13" w14:textId="77777777" w:rsidR="00366ABD" w:rsidRPr="00366ABD" w:rsidRDefault="00366ABD" w:rsidP="00E439A6">
      <w:pPr>
        <w:pStyle w:val="ListParagraph"/>
        <w:autoSpaceDE w:val="0"/>
        <w:autoSpaceDN w:val="0"/>
        <w:adjustRightInd w:val="0"/>
        <w:contextualSpacing w:val="0"/>
        <w:outlineLvl w:val="9"/>
        <w:rPr>
          <w:rFonts w:ascii="ArialMT" w:eastAsia="Calibri" w:hAnsi="ArialMT" w:cs="ArialMT"/>
          <w:kern w:val="0"/>
          <w:sz w:val="20"/>
          <w:szCs w:val="20"/>
          <w:lang w:eastAsia="en-US"/>
        </w:rPr>
      </w:pPr>
      <w:r w:rsidRPr="00366ABD">
        <w:rPr>
          <w:rFonts w:ascii="ArialMT" w:eastAsia="Calibri" w:hAnsi="ArialMT" w:cs="ArialMT"/>
          <w:kern w:val="0"/>
          <w:sz w:val="20"/>
          <w:szCs w:val="20"/>
          <w:lang w:eastAsia="en-US"/>
        </w:rPr>
        <w:t>campaign-specific risk assessment, approved work procedures and a PTW which</w:t>
      </w:r>
    </w:p>
    <w:p w14:paraId="1C693BEF" w14:textId="77777777" w:rsidR="00366ABD" w:rsidRPr="00366ABD" w:rsidRDefault="00366ABD" w:rsidP="00E439A6">
      <w:pPr>
        <w:pStyle w:val="ListParagraph"/>
        <w:autoSpaceDE w:val="0"/>
        <w:autoSpaceDN w:val="0"/>
        <w:adjustRightInd w:val="0"/>
        <w:contextualSpacing w:val="0"/>
        <w:outlineLvl w:val="9"/>
        <w:rPr>
          <w:rFonts w:ascii="ArialMT" w:eastAsia="Calibri" w:hAnsi="ArialMT" w:cs="ArialMT"/>
          <w:kern w:val="0"/>
          <w:sz w:val="20"/>
          <w:szCs w:val="20"/>
          <w:lang w:eastAsia="en-US"/>
        </w:rPr>
      </w:pPr>
      <w:r w:rsidRPr="00366ABD">
        <w:rPr>
          <w:rFonts w:ascii="ArialMT" w:eastAsia="Calibri" w:hAnsi="ArialMT" w:cs="ArialMT"/>
          <w:kern w:val="0"/>
          <w:sz w:val="20"/>
          <w:szCs w:val="20"/>
          <w:lang w:eastAsia="en-US"/>
        </w:rPr>
        <w:t>incorporates relevant environmental controls.</w:t>
      </w:r>
    </w:p>
    <w:p w14:paraId="0EBB5E28" w14:textId="4CF0EE33" w:rsidR="00366ABD" w:rsidRDefault="00366ABD" w:rsidP="00E439A6">
      <w:pPr>
        <w:pStyle w:val="ListParagraph"/>
        <w:numPr>
          <w:ilvl w:val="0"/>
          <w:numId w:val="43"/>
        </w:numPr>
        <w:autoSpaceDE w:val="0"/>
        <w:autoSpaceDN w:val="0"/>
        <w:adjustRightInd w:val="0"/>
        <w:contextualSpacing w:val="0"/>
        <w:outlineLvl w:val="9"/>
        <w:rPr>
          <w:rFonts w:ascii="Arial-ItalicMT" w:eastAsia="Calibri" w:hAnsi="Arial-ItalicMT" w:cs="Arial-ItalicMT"/>
          <w:i/>
          <w:iCs/>
          <w:kern w:val="0"/>
          <w:szCs w:val="20"/>
          <w:lang w:eastAsia="en-US"/>
        </w:rPr>
      </w:pPr>
      <w:r>
        <w:rPr>
          <w:rFonts w:ascii="Arial-ItalicMT" w:eastAsia="Calibri" w:hAnsi="Arial-ItalicMT" w:cs="Arial-ItalicMT"/>
          <w:i/>
          <w:iCs/>
          <w:kern w:val="0"/>
          <w:sz w:val="20"/>
          <w:szCs w:val="20"/>
          <w:lang w:eastAsia="en-US"/>
        </w:rPr>
        <w:t>Spill Source Control (pipeline):</w:t>
      </w:r>
    </w:p>
    <w:p w14:paraId="7E42ECB4" w14:textId="3FFE60B0" w:rsidR="00366ABD" w:rsidRPr="002E0AA9" w:rsidRDefault="00366ABD" w:rsidP="00E439A6">
      <w:pPr>
        <w:pStyle w:val="ListParagraph"/>
        <w:numPr>
          <w:ilvl w:val="1"/>
          <w:numId w:val="43"/>
        </w:numPr>
        <w:autoSpaceDE w:val="0"/>
        <w:autoSpaceDN w:val="0"/>
        <w:adjustRightInd w:val="0"/>
        <w:contextualSpacing w:val="0"/>
        <w:outlineLvl w:val="9"/>
        <w:rPr>
          <w:rFonts w:ascii="Arial-ItalicMT" w:eastAsia="Calibri" w:hAnsi="Arial-ItalicMT" w:cs="Arial-ItalicMT"/>
          <w:iCs/>
          <w:kern w:val="0"/>
          <w:sz w:val="20"/>
          <w:szCs w:val="20"/>
          <w:lang w:eastAsia="en-US"/>
        </w:rPr>
      </w:pPr>
      <w:r w:rsidRPr="002E0AA9">
        <w:rPr>
          <w:rFonts w:ascii="Arial-ItalicMT" w:eastAsia="Calibri" w:hAnsi="Arial-ItalicMT" w:cs="Arial-ItalicMT"/>
          <w:iCs/>
          <w:kern w:val="0"/>
          <w:sz w:val="20"/>
          <w:szCs w:val="20"/>
          <w:lang w:eastAsia="en-US"/>
        </w:rPr>
        <w:t>Overpressure alarms are responded to immediately in accordance with</w:t>
      </w:r>
      <w:r w:rsidR="002E0AA9" w:rsidRPr="002E0AA9">
        <w:rPr>
          <w:rFonts w:ascii="Arial-ItalicMT" w:eastAsia="Calibri" w:hAnsi="Arial-ItalicMT" w:cs="Arial-ItalicMT"/>
          <w:iCs/>
          <w:kern w:val="0"/>
          <w:sz w:val="20"/>
          <w:szCs w:val="20"/>
          <w:lang w:eastAsia="en-US"/>
        </w:rPr>
        <w:t xml:space="preserve"> </w:t>
      </w:r>
      <w:r w:rsidRPr="002E0AA9">
        <w:rPr>
          <w:rFonts w:ascii="Arial-ItalicMT" w:eastAsia="Calibri" w:hAnsi="Arial-ItalicMT" w:cs="Arial-ItalicMT"/>
          <w:iCs/>
          <w:kern w:val="0"/>
          <w:sz w:val="20"/>
          <w:szCs w:val="20"/>
          <w:lang w:eastAsia="en-US"/>
        </w:rPr>
        <w:t>approved operating procedures.</w:t>
      </w:r>
    </w:p>
    <w:p w14:paraId="0640FBBA" w14:textId="2DB6E5FC" w:rsidR="00366ABD" w:rsidRPr="002E0AA9" w:rsidRDefault="00366ABD" w:rsidP="00E439A6">
      <w:pPr>
        <w:pStyle w:val="ListParagraph"/>
        <w:numPr>
          <w:ilvl w:val="1"/>
          <w:numId w:val="43"/>
        </w:numPr>
        <w:autoSpaceDE w:val="0"/>
        <w:autoSpaceDN w:val="0"/>
        <w:adjustRightInd w:val="0"/>
        <w:contextualSpacing w:val="0"/>
        <w:outlineLvl w:val="9"/>
        <w:rPr>
          <w:rFonts w:ascii="Arial-ItalicMT" w:eastAsia="Calibri" w:hAnsi="Arial-ItalicMT" w:cs="Arial-ItalicMT"/>
          <w:iCs/>
          <w:kern w:val="0"/>
          <w:sz w:val="20"/>
          <w:szCs w:val="20"/>
          <w:lang w:eastAsia="en-US"/>
        </w:rPr>
      </w:pPr>
      <w:r w:rsidRPr="002E0AA9">
        <w:rPr>
          <w:rFonts w:ascii="Arial-ItalicMT" w:eastAsia="Calibri" w:hAnsi="Arial-ItalicMT" w:cs="Arial-ItalicMT"/>
          <w:iCs/>
          <w:kern w:val="0"/>
          <w:sz w:val="20"/>
          <w:szCs w:val="20"/>
          <w:lang w:eastAsia="en-US"/>
        </w:rPr>
        <w:t>Low-pressure trips are responded to immediately in accordance with the</w:t>
      </w:r>
      <w:r w:rsidR="002E0AA9" w:rsidRPr="002E0AA9">
        <w:rPr>
          <w:rFonts w:ascii="Arial-ItalicMT" w:eastAsia="Calibri" w:hAnsi="Arial-ItalicMT" w:cs="Arial-ItalicMT"/>
          <w:iCs/>
          <w:kern w:val="0"/>
          <w:sz w:val="20"/>
          <w:szCs w:val="20"/>
          <w:lang w:eastAsia="en-US"/>
        </w:rPr>
        <w:t xml:space="preserve"> </w:t>
      </w:r>
      <w:r w:rsidRPr="002E0AA9">
        <w:rPr>
          <w:rFonts w:ascii="Arial-ItalicMT" w:eastAsia="Calibri" w:hAnsi="Arial-ItalicMT" w:cs="Arial-ItalicMT"/>
          <w:iCs/>
          <w:kern w:val="0"/>
          <w:sz w:val="20"/>
          <w:szCs w:val="20"/>
          <w:lang w:eastAsia="en-US"/>
        </w:rPr>
        <w:t>Casino Master Control System (MCS) and Alarm Management Procedure.</w:t>
      </w:r>
    </w:p>
    <w:p w14:paraId="0605B862" w14:textId="6FDA8C1D" w:rsidR="00366ABD" w:rsidRPr="002E0AA9" w:rsidRDefault="00366ABD" w:rsidP="00E439A6">
      <w:pPr>
        <w:pStyle w:val="ListParagraph"/>
        <w:numPr>
          <w:ilvl w:val="1"/>
          <w:numId w:val="43"/>
        </w:numPr>
        <w:autoSpaceDE w:val="0"/>
        <w:autoSpaceDN w:val="0"/>
        <w:adjustRightInd w:val="0"/>
        <w:contextualSpacing w:val="0"/>
        <w:outlineLvl w:val="9"/>
        <w:rPr>
          <w:rFonts w:ascii="Arial-ItalicMT" w:eastAsia="Calibri" w:hAnsi="Arial-ItalicMT" w:cs="Arial-ItalicMT"/>
          <w:iCs/>
          <w:kern w:val="0"/>
          <w:sz w:val="20"/>
          <w:szCs w:val="20"/>
          <w:lang w:eastAsia="en-US"/>
        </w:rPr>
      </w:pPr>
      <w:r w:rsidRPr="002E0AA9">
        <w:rPr>
          <w:rFonts w:ascii="Arial-ItalicMT" w:eastAsia="Calibri" w:hAnsi="Arial-ItalicMT" w:cs="Arial-ItalicMT"/>
          <w:iCs/>
          <w:kern w:val="0"/>
          <w:sz w:val="20"/>
          <w:szCs w:val="20"/>
          <w:lang w:eastAsia="en-US"/>
        </w:rPr>
        <w:t>The pipeline low-pressure trip is routinely tested.</w:t>
      </w:r>
    </w:p>
    <w:p w14:paraId="247F48B7" w14:textId="0D68E596" w:rsidR="00366ABD" w:rsidRDefault="00366ABD" w:rsidP="00E439A6">
      <w:pPr>
        <w:pStyle w:val="ListParagraph"/>
        <w:numPr>
          <w:ilvl w:val="0"/>
          <w:numId w:val="43"/>
        </w:numPr>
        <w:autoSpaceDE w:val="0"/>
        <w:autoSpaceDN w:val="0"/>
        <w:adjustRightInd w:val="0"/>
        <w:contextualSpacing w:val="0"/>
        <w:outlineLvl w:val="9"/>
        <w:rPr>
          <w:rFonts w:ascii="Arial-ItalicMT" w:eastAsia="Calibri" w:hAnsi="Arial-ItalicMT" w:cs="Arial-ItalicMT"/>
          <w:i/>
          <w:iCs/>
          <w:kern w:val="0"/>
          <w:sz w:val="20"/>
          <w:szCs w:val="20"/>
          <w:lang w:eastAsia="en-US"/>
        </w:rPr>
      </w:pPr>
      <w:r>
        <w:rPr>
          <w:rFonts w:ascii="Arial-ItalicMT" w:eastAsia="Calibri" w:hAnsi="Arial-ItalicMT" w:cs="Arial-ItalicMT"/>
          <w:i/>
          <w:iCs/>
          <w:kern w:val="0"/>
          <w:sz w:val="20"/>
          <w:szCs w:val="20"/>
          <w:lang w:eastAsia="en-US"/>
        </w:rPr>
        <w:t>Spill Response Preparedness:</w:t>
      </w:r>
    </w:p>
    <w:p w14:paraId="42156866" w14:textId="23AF5E39" w:rsidR="00366ABD" w:rsidRPr="002E0AA9" w:rsidRDefault="00366ABD" w:rsidP="00E439A6">
      <w:pPr>
        <w:pStyle w:val="ListParagraph"/>
        <w:numPr>
          <w:ilvl w:val="1"/>
          <w:numId w:val="43"/>
        </w:numPr>
        <w:autoSpaceDE w:val="0"/>
        <w:autoSpaceDN w:val="0"/>
        <w:adjustRightInd w:val="0"/>
        <w:contextualSpacing w:val="0"/>
        <w:outlineLvl w:val="9"/>
        <w:rPr>
          <w:rFonts w:ascii="Arial-ItalicMT" w:eastAsia="Calibri" w:hAnsi="Arial-ItalicMT" w:cs="Arial-ItalicMT"/>
          <w:iCs/>
          <w:kern w:val="0"/>
          <w:sz w:val="20"/>
          <w:szCs w:val="20"/>
          <w:lang w:eastAsia="en-US"/>
        </w:rPr>
      </w:pPr>
      <w:r w:rsidRPr="002E0AA9">
        <w:rPr>
          <w:rFonts w:ascii="Arial-ItalicMT" w:eastAsia="Calibri" w:hAnsi="Arial-ItalicMT" w:cs="Arial-ItalicMT"/>
          <w:iCs/>
          <w:kern w:val="0"/>
          <w:sz w:val="20"/>
          <w:szCs w:val="20"/>
          <w:lang w:eastAsia="en-US"/>
        </w:rPr>
        <w:t>The Iona Gas Plant Emergency Response Team (ERT) is trained to respond to</w:t>
      </w:r>
    </w:p>
    <w:p w14:paraId="4A52FBAD" w14:textId="77777777" w:rsidR="00366ABD" w:rsidRPr="002E0AA9" w:rsidRDefault="00366ABD" w:rsidP="00E439A6">
      <w:pPr>
        <w:pStyle w:val="ListParagraph"/>
        <w:autoSpaceDE w:val="0"/>
        <w:autoSpaceDN w:val="0"/>
        <w:adjustRightInd w:val="0"/>
        <w:ind w:left="1440"/>
        <w:contextualSpacing w:val="0"/>
        <w:outlineLvl w:val="9"/>
        <w:rPr>
          <w:rFonts w:ascii="Arial-ItalicMT" w:eastAsia="Calibri" w:hAnsi="Arial-ItalicMT" w:cs="Arial-ItalicMT"/>
          <w:iCs/>
          <w:kern w:val="0"/>
          <w:sz w:val="20"/>
          <w:szCs w:val="20"/>
          <w:lang w:eastAsia="en-US"/>
        </w:rPr>
      </w:pPr>
      <w:r w:rsidRPr="002E0AA9">
        <w:rPr>
          <w:rFonts w:ascii="Arial-ItalicMT" w:eastAsia="Calibri" w:hAnsi="Arial-ItalicMT" w:cs="Arial-ItalicMT"/>
          <w:iCs/>
          <w:kern w:val="0"/>
          <w:sz w:val="20"/>
          <w:szCs w:val="20"/>
          <w:lang w:eastAsia="en-US"/>
        </w:rPr>
        <w:t>process alarms and to notify Cooper of any spill events.</w:t>
      </w:r>
    </w:p>
    <w:p w14:paraId="6C8E07E4" w14:textId="20528764" w:rsidR="00366ABD" w:rsidRPr="002E0AA9" w:rsidRDefault="00366ABD" w:rsidP="00E439A6">
      <w:pPr>
        <w:pStyle w:val="ListParagraph"/>
        <w:numPr>
          <w:ilvl w:val="1"/>
          <w:numId w:val="43"/>
        </w:numPr>
        <w:autoSpaceDE w:val="0"/>
        <w:autoSpaceDN w:val="0"/>
        <w:adjustRightInd w:val="0"/>
        <w:contextualSpacing w:val="0"/>
        <w:outlineLvl w:val="9"/>
        <w:rPr>
          <w:rFonts w:ascii="Arial-ItalicMT" w:eastAsia="Calibri" w:hAnsi="Arial-ItalicMT" w:cs="Arial-ItalicMT"/>
          <w:iCs/>
          <w:kern w:val="0"/>
          <w:sz w:val="20"/>
          <w:szCs w:val="20"/>
          <w:lang w:eastAsia="en-US"/>
        </w:rPr>
      </w:pPr>
      <w:r w:rsidRPr="002E0AA9">
        <w:rPr>
          <w:rFonts w:ascii="Arial-ItalicMT" w:eastAsia="Calibri" w:hAnsi="Arial-ItalicMT" w:cs="Arial-ItalicMT"/>
          <w:iCs/>
          <w:kern w:val="0"/>
          <w:sz w:val="20"/>
          <w:szCs w:val="20"/>
          <w:lang w:eastAsia="en-US"/>
        </w:rPr>
        <w:t>Routine drills test oil spill response arrangements.</w:t>
      </w:r>
    </w:p>
    <w:p w14:paraId="4AD3E791" w14:textId="5861DC7E" w:rsidR="00366ABD" w:rsidRPr="002E0AA9" w:rsidRDefault="00366ABD" w:rsidP="00E439A6">
      <w:pPr>
        <w:pStyle w:val="ListParagraph"/>
        <w:numPr>
          <w:ilvl w:val="1"/>
          <w:numId w:val="43"/>
        </w:numPr>
        <w:autoSpaceDE w:val="0"/>
        <w:autoSpaceDN w:val="0"/>
        <w:adjustRightInd w:val="0"/>
        <w:contextualSpacing w:val="0"/>
        <w:outlineLvl w:val="9"/>
        <w:rPr>
          <w:rFonts w:ascii="Arial-ItalicMT" w:eastAsia="Calibri" w:hAnsi="Arial-ItalicMT" w:cs="Arial-ItalicMT"/>
          <w:iCs/>
          <w:kern w:val="0"/>
          <w:sz w:val="20"/>
          <w:szCs w:val="20"/>
          <w:lang w:eastAsia="en-US"/>
        </w:rPr>
      </w:pPr>
      <w:r w:rsidRPr="002E0AA9">
        <w:rPr>
          <w:rFonts w:ascii="Arial-ItalicMT" w:eastAsia="Calibri" w:hAnsi="Arial-ItalicMT" w:cs="Arial-ItalicMT"/>
          <w:iCs/>
          <w:kern w:val="0"/>
          <w:sz w:val="20"/>
          <w:szCs w:val="20"/>
          <w:lang w:eastAsia="en-US"/>
        </w:rPr>
        <w:t>Approved emergency and oil spill response documentation is readily available</w:t>
      </w:r>
      <w:r w:rsidR="002E0AA9" w:rsidRPr="002E0AA9">
        <w:rPr>
          <w:rFonts w:ascii="Arial-ItalicMT" w:eastAsia="Calibri" w:hAnsi="Arial-ItalicMT" w:cs="Arial-ItalicMT"/>
          <w:iCs/>
          <w:kern w:val="0"/>
          <w:sz w:val="20"/>
          <w:szCs w:val="20"/>
          <w:lang w:eastAsia="en-US"/>
        </w:rPr>
        <w:t xml:space="preserve"> </w:t>
      </w:r>
      <w:r w:rsidRPr="002E0AA9">
        <w:rPr>
          <w:rFonts w:ascii="Arial-ItalicMT" w:eastAsia="Calibri" w:hAnsi="Arial-ItalicMT" w:cs="Arial-ItalicMT"/>
          <w:iCs/>
          <w:kern w:val="0"/>
          <w:sz w:val="20"/>
          <w:szCs w:val="20"/>
          <w:lang w:eastAsia="en-US"/>
        </w:rPr>
        <w:t>to Cooper Energy personnel.</w:t>
      </w:r>
    </w:p>
    <w:p w14:paraId="3E67892E" w14:textId="1AE75C1F" w:rsidR="00366ABD" w:rsidRPr="002E0AA9" w:rsidRDefault="00366ABD" w:rsidP="00E439A6">
      <w:pPr>
        <w:pStyle w:val="ListParagraph"/>
        <w:numPr>
          <w:ilvl w:val="0"/>
          <w:numId w:val="43"/>
        </w:numPr>
        <w:autoSpaceDE w:val="0"/>
        <w:autoSpaceDN w:val="0"/>
        <w:adjustRightInd w:val="0"/>
        <w:contextualSpacing w:val="0"/>
        <w:outlineLvl w:val="9"/>
        <w:rPr>
          <w:rFonts w:ascii="Arial-ItalicMT" w:eastAsia="Calibri" w:hAnsi="Arial-ItalicMT" w:cs="Arial-ItalicMT"/>
          <w:iCs/>
          <w:kern w:val="0"/>
          <w:sz w:val="20"/>
          <w:szCs w:val="20"/>
          <w:lang w:eastAsia="en-US"/>
        </w:rPr>
      </w:pPr>
      <w:r>
        <w:rPr>
          <w:rFonts w:ascii="Arial-ItalicMT" w:eastAsia="Calibri" w:hAnsi="Arial-ItalicMT" w:cs="Arial-ItalicMT"/>
          <w:i/>
          <w:iCs/>
          <w:kern w:val="0"/>
          <w:sz w:val="20"/>
          <w:szCs w:val="20"/>
          <w:lang w:eastAsia="en-US"/>
        </w:rPr>
        <w:t xml:space="preserve">Spill Response (Implementation): </w:t>
      </w:r>
      <w:r w:rsidRPr="002E0AA9">
        <w:rPr>
          <w:rFonts w:ascii="Arial-ItalicMT" w:eastAsia="Calibri" w:hAnsi="Arial-ItalicMT" w:cs="Arial-ItalicMT"/>
          <w:iCs/>
          <w:kern w:val="0"/>
          <w:sz w:val="20"/>
          <w:szCs w:val="20"/>
          <w:lang w:eastAsia="en-US"/>
        </w:rPr>
        <w:t>In the event of a spill:</w:t>
      </w:r>
    </w:p>
    <w:p w14:paraId="25068BF2" w14:textId="51F53455" w:rsidR="00366ABD" w:rsidRPr="002E0AA9" w:rsidRDefault="00366ABD" w:rsidP="00E439A6">
      <w:pPr>
        <w:pStyle w:val="ListParagraph"/>
        <w:numPr>
          <w:ilvl w:val="1"/>
          <w:numId w:val="43"/>
        </w:numPr>
        <w:autoSpaceDE w:val="0"/>
        <w:autoSpaceDN w:val="0"/>
        <w:adjustRightInd w:val="0"/>
        <w:contextualSpacing w:val="0"/>
        <w:outlineLvl w:val="9"/>
        <w:rPr>
          <w:rFonts w:ascii="Arial-ItalicMT" w:eastAsia="Calibri" w:hAnsi="Arial-ItalicMT" w:cs="Arial-ItalicMT"/>
          <w:iCs/>
          <w:kern w:val="0"/>
          <w:sz w:val="20"/>
          <w:szCs w:val="20"/>
          <w:lang w:eastAsia="en-US"/>
        </w:rPr>
      </w:pPr>
      <w:r w:rsidRPr="002E0AA9">
        <w:rPr>
          <w:rFonts w:ascii="Arial-ItalicMT" w:eastAsia="Calibri" w:hAnsi="Arial-ItalicMT" w:cs="Arial-ItalicMT"/>
          <w:iCs/>
          <w:kern w:val="0"/>
          <w:sz w:val="20"/>
          <w:szCs w:val="20"/>
          <w:lang w:eastAsia="en-US"/>
        </w:rPr>
        <w:t>The approved Emergency Response Plans (including the Cooper OPEP) are</w:t>
      </w:r>
    </w:p>
    <w:p w14:paraId="07337B6A" w14:textId="77777777" w:rsidR="00366ABD" w:rsidRPr="002E0AA9" w:rsidRDefault="00366ABD" w:rsidP="00E439A6">
      <w:pPr>
        <w:pStyle w:val="ListParagraph"/>
        <w:autoSpaceDE w:val="0"/>
        <w:autoSpaceDN w:val="0"/>
        <w:adjustRightInd w:val="0"/>
        <w:ind w:left="1440"/>
        <w:contextualSpacing w:val="0"/>
        <w:outlineLvl w:val="9"/>
        <w:rPr>
          <w:rFonts w:ascii="Arial-ItalicMT" w:eastAsia="Calibri" w:hAnsi="Arial-ItalicMT" w:cs="Arial-ItalicMT"/>
          <w:iCs/>
          <w:kern w:val="0"/>
          <w:sz w:val="20"/>
          <w:szCs w:val="20"/>
          <w:lang w:eastAsia="en-US"/>
        </w:rPr>
      </w:pPr>
      <w:r w:rsidRPr="002E0AA9">
        <w:rPr>
          <w:rFonts w:ascii="Arial-ItalicMT" w:eastAsia="Calibri" w:hAnsi="Arial-ItalicMT" w:cs="Arial-ItalicMT"/>
          <w:iCs/>
          <w:kern w:val="0"/>
          <w:sz w:val="20"/>
          <w:szCs w:val="20"/>
          <w:lang w:eastAsia="en-US"/>
        </w:rPr>
        <w:t>implemented</w:t>
      </w:r>
    </w:p>
    <w:p w14:paraId="20AE0C11" w14:textId="2EE9CE4A" w:rsidR="00366ABD" w:rsidRPr="002E0AA9" w:rsidRDefault="00366ABD" w:rsidP="00E439A6">
      <w:pPr>
        <w:pStyle w:val="ListParagraph"/>
        <w:numPr>
          <w:ilvl w:val="1"/>
          <w:numId w:val="43"/>
        </w:numPr>
        <w:autoSpaceDE w:val="0"/>
        <w:autoSpaceDN w:val="0"/>
        <w:adjustRightInd w:val="0"/>
        <w:contextualSpacing w:val="0"/>
        <w:outlineLvl w:val="9"/>
        <w:rPr>
          <w:rFonts w:ascii="Arial-ItalicMT" w:eastAsia="Calibri" w:hAnsi="Arial-ItalicMT" w:cs="Arial-ItalicMT"/>
          <w:iCs/>
          <w:kern w:val="0"/>
          <w:sz w:val="20"/>
          <w:szCs w:val="20"/>
          <w:lang w:eastAsia="en-US"/>
        </w:rPr>
      </w:pPr>
      <w:r w:rsidRPr="002E0AA9">
        <w:rPr>
          <w:rFonts w:ascii="Arial-ItalicMT" w:eastAsia="Calibri" w:hAnsi="Arial-ItalicMT" w:cs="Arial-ItalicMT"/>
          <w:iCs/>
          <w:kern w:val="0"/>
          <w:sz w:val="20"/>
          <w:szCs w:val="20"/>
          <w:lang w:eastAsia="en-US"/>
        </w:rPr>
        <w:t>For wellhead releases the Cooper Offshore Victoria Source Control Plan is</w:t>
      </w:r>
      <w:r w:rsidR="002E0AA9" w:rsidRPr="002E0AA9">
        <w:rPr>
          <w:rFonts w:ascii="Arial-ItalicMT" w:eastAsia="Calibri" w:hAnsi="Arial-ItalicMT" w:cs="Arial-ItalicMT"/>
          <w:iCs/>
          <w:kern w:val="0"/>
          <w:sz w:val="20"/>
          <w:szCs w:val="20"/>
          <w:lang w:eastAsia="en-US"/>
        </w:rPr>
        <w:t xml:space="preserve"> </w:t>
      </w:r>
      <w:r w:rsidRPr="002E0AA9">
        <w:rPr>
          <w:rFonts w:ascii="Arial-ItalicMT" w:eastAsia="Calibri" w:hAnsi="Arial-ItalicMT" w:cs="Arial-ItalicMT"/>
          <w:iCs/>
          <w:kern w:val="0"/>
          <w:sz w:val="20"/>
          <w:szCs w:val="20"/>
          <w:lang w:eastAsia="en-US"/>
        </w:rPr>
        <w:t>implemented.</w:t>
      </w:r>
    </w:p>
    <w:p w14:paraId="5011A923" w14:textId="6D6CAB8F" w:rsidR="00366ABD" w:rsidRPr="002E0AA9" w:rsidRDefault="00366ABD" w:rsidP="00E439A6">
      <w:pPr>
        <w:pStyle w:val="ListParagraph"/>
        <w:numPr>
          <w:ilvl w:val="1"/>
          <w:numId w:val="43"/>
        </w:numPr>
        <w:autoSpaceDE w:val="0"/>
        <w:autoSpaceDN w:val="0"/>
        <w:adjustRightInd w:val="0"/>
        <w:contextualSpacing w:val="0"/>
        <w:outlineLvl w:val="9"/>
        <w:rPr>
          <w:rFonts w:ascii="Arial-ItalicMT" w:eastAsia="Calibri" w:hAnsi="Arial-ItalicMT" w:cs="Arial-ItalicMT"/>
          <w:iCs/>
          <w:kern w:val="0"/>
          <w:sz w:val="20"/>
          <w:szCs w:val="20"/>
          <w:lang w:eastAsia="en-US"/>
        </w:rPr>
      </w:pPr>
      <w:r w:rsidRPr="002E0AA9">
        <w:rPr>
          <w:rFonts w:ascii="Arial-ItalicMT" w:eastAsia="Calibri" w:hAnsi="Arial-ItalicMT" w:cs="Arial-ItalicMT"/>
          <w:iCs/>
          <w:kern w:val="0"/>
          <w:sz w:val="20"/>
          <w:szCs w:val="20"/>
          <w:lang w:eastAsia="en-US"/>
        </w:rPr>
        <w:t>Operational and scientific monitoring is undertaken in accordance with the</w:t>
      </w:r>
    </w:p>
    <w:p w14:paraId="0AA7F45E" w14:textId="62A8C476" w:rsidR="00366ABD" w:rsidRPr="002E0AA9" w:rsidRDefault="00366ABD" w:rsidP="00E439A6">
      <w:pPr>
        <w:pStyle w:val="ListParagraph"/>
        <w:autoSpaceDE w:val="0"/>
        <w:autoSpaceDN w:val="0"/>
        <w:adjustRightInd w:val="0"/>
        <w:ind w:left="1440"/>
        <w:contextualSpacing w:val="0"/>
        <w:outlineLvl w:val="9"/>
        <w:rPr>
          <w:rFonts w:ascii="Arial-ItalicMT" w:eastAsia="Calibri" w:hAnsi="Arial-ItalicMT" w:cs="Arial-ItalicMT"/>
          <w:iCs/>
          <w:kern w:val="0"/>
          <w:sz w:val="20"/>
          <w:szCs w:val="20"/>
          <w:lang w:eastAsia="en-US"/>
        </w:rPr>
      </w:pPr>
      <w:r w:rsidRPr="002E0AA9">
        <w:rPr>
          <w:rFonts w:ascii="Arial-ItalicMT" w:eastAsia="Calibri" w:hAnsi="Arial-ItalicMT" w:cs="Arial-ItalicMT"/>
          <w:iCs/>
          <w:kern w:val="0"/>
          <w:sz w:val="20"/>
          <w:szCs w:val="20"/>
          <w:lang w:eastAsia="en-US"/>
        </w:rPr>
        <w:t>Cooper Operational and Scientific Monitoring Program (OSMP) to reduce</w:t>
      </w:r>
      <w:r w:rsidR="002E0AA9" w:rsidRPr="002E0AA9">
        <w:rPr>
          <w:rFonts w:ascii="Arial-ItalicMT" w:eastAsia="Calibri" w:hAnsi="Arial-ItalicMT" w:cs="Arial-ItalicMT"/>
          <w:iCs/>
          <w:kern w:val="0"/>
          <w:sz w:val="20"/>
          <w:szCs w:val="20"/>
          <w:lang w:eastAsia="en-US"/>
        </w:rPr>
        <w:t xml:space="preserve"> </w:t>
      </w:r>
      <w:r w:rsidRPr="002E0AA9">
        <w:rPr>
          <w:rFonts w:ascii="Arial-ItalicMT" w:eastAsia="Calibri" w:hAnsi="Arial-ItalicMT" w:cs="Arial-ItalicMT"/>
          <w:iCs/>
          <w:kern w:val="0"/>
          <w:sz w:val="20"/>
          <w:szCs w:val="20"/>
          <w:lang w:eastAsia="en-US"/>
        </w:rPr>
        <w:t>impacts to the environment.</w:t>
      </w:r>
    </w:p>
    <w:p w14:paraId="45D3BF2F" w14:textId="77777777" w:rsidR="00366ABD" w:rsidRDefault="00366ABD" w:rsidP="00887A82">
      <w:pPr>
        <w:pStyle w:val="BodyText"/>
      </w:pPr>
    </w:p>
    <w:p w14:paraId="380264E4" w14:textId="08B4C13E" w:rsidR="00310DCD" w:rsidRDefault="00310DCD" w:rsidP="001371AD">
      <w:pPr>
        <w:pStyle w:val="Heading2"/>
        <w:keepNext w:val="0"/>
        <w:spacing w:before="0"/>
        <w:ind w:left="0" w:firstLine="0"/>
      </w:pPr>
      <w:bookmarkStart w:id="278" w:name="_Ref482784576"/>
      <w:bookmarkStart w:id="279" w:name="_Ref482784604"/>
      <w:bookmarkStart w:id="280" w:name="_Ref482785944"/>
      <w:bookmarkStart w:id="281" w:name="_Ref482939168"/>
      <w:bookmarkStart w:id="282" w:name="_Ref482939489"/>
      <w:bookmarkStart w:id="283" w:name="_Ref483204897"/>
      <w:bookmarkStart w:id="284" w:name="_Ref483206632"/>
      <w:bookmarkStart w:id="285" w:name="_Ref483206779"/>
      <w:bookmarkStart w:id="286" w:name="_Ref483206784"/>
      <w:bookmarkStart w:id="287" w:name="_Toc512862491"/>
      <w:r>
        <w:t>RISK: Diesel Spill</w:t>
      </w:r>
      <w:bookmarkEnd w:id="275"/>
      <w:r w:rsidR="006C7954">
        <w:t xml:space="preserve"> (Vessel)</w:t>
      </w:r>
      <w:bookmarkEnd w:id="276"/>
      <w:bookmarkEnd w:id="277"/>
      <w:bookmarkEnd w:id="278"/>
      <w:bookmarkEnd w:id="279"/>
      <w:bookmarkEnd w:id="280"/>
      <w:bookmarkEnd w:id="281"/>
      <w:bookmarkEnd w:id="282"/>
      <w:bookmarkEnd w:id="283"/>
      <w:bookmarkEnd w:id="284"/>
      <w:bookmarkEnd w:id="285"/>
      <w:bookmarkEnd w:id="286"/>
      <w:bookmarkEnd w:id="287"/>
    </w:p>
    <w:p w14:paraId="4EE54FD3" w14:textId="77777777" w:rsidR="00310DCD" w:rsidRDefault="00310DCD" w:rsidP="001371AD">
      <w:pPr>
        <w:pStyle w:val="Heading3"/>
      </w:pPr>
      <w:r>
        <w:t>Hazard</w:t>
      </w:r>
    </w:p>
    <w:p w14:paraId="4E34390E" w14:textId="77777777" w:rsidR="00310DCD" w:rsidRPr="006915FB" w:rsidRDefault="00310DCD" w:rsidP="00887A82">
      <w:pPr>
        <w:pStyle w:val="BodyText"/>
        <w:ind w:left="720"/>
      </w:pPr>
      <w:r w:rsidRPr="006915FB">
        <w:t>The following activities have the potential to results in a spill of marine diesel oil (MDO):</w:t>
      </w:r>
    </w:p>
    <w:p w14:paraId="60E90FFD" w14:textId="77777777" w:rsidR="00CB1F71" w:rsidRDefault="00310DCD" w:rsidP="0036080A">
      <w:pPr>
        <w:pStyle w:val="Bullet1"/>
        <w:numPr>
          <w:ilvl w:val="0"/>
          <w:numId w:val="40"/>
        </w:numPr>
      </w:pPr>
      <w:r w:rsidRPr="002668DA">
        <w:t xml:space="preserve">A collision between the </w:t>
      </w:r>
      <w:r w:rsidR="00657E84" w:rsidRPr="002668DA">
        <w:t>support vessel</w:t>
      </w:r>
      <w:r w:rsidRPr="002668DA">
        <w:t xml:space="preserve"> and a third-party vessel that results</w:t>
      </w:r>
      <w:r w:rsidR="006915FB" w:rsidRPr="002668DA">
        <w:t xml:space="preserve"> </w:t>
      </w:r>
      <w:r w:rsidRPr="002668DA">
        <w:t>in diesel tank rupture and MDO loss</w:t>
      </w:r>
      <w:r w:rsidR="00CB1F71">
        <w:t>;</w:t>
      </w:r>
    </w:p>
    <w:p w14:paraId="447D9B0A" w14:textId="767C29CB" w:rsidR="00310DCD" w:rsidRPr="002668DA" w:rsidRDefault="00CB1F71" w:rsidP="0036080A">
      <w:pPr>
        <w:pStyle w:val="Bullet1"/>
        <w:numPr>
          <w:ilvl w:val="0"/>
          <w:numId w:val="40"/>
        </w:numPr>
      </w:pPr>
      <w:r>
        <w:t>Vessel grounding of smaller IMR vessels nearshore as a result of loss of power (i.e. drift grounding)</w:t>
      </w:r>
      <w:r w:rsidR="00310DCD" w:rsidRPr="002668DA">
        <w:t>.</w:t>
      </w:r>
      <w:r w:rsidR="00BC457D">
        <w:t xml:space="preserve"> </w:t>
      </w:r>
      <w:r w:rsidR="00310DCD" w:rsidRPr="002668DA">
        <w:t xml:space="preserve"> </w:t>
      </w:r>
    </w:p>
    <w:p w14:paraId="21B19704" w14:textId="77777777" w:rsidR="00310DCD" w:rsidRPr="006915FB" w:rsidRDefault="00310DCD" w:rsidP="00887A82">
      <w:pPr>
        <w:pStyle w:val="BodyText"/>
        <w:ind w:left="720"/>
      </w:pPr>
      <w:r w:rsidRPr="006915FB">
        <w:lastRenderedPageBreak/>
        <w:t xml:space="preserve">Given the close proximity to ports, it is not planned to undertake refuelling activities on location, so refuelling spills have not been considered or modelled. </w:t>
      </w:r>
    </w:p>
    <w:p w14:paraId="34FB39C3" w14:textId="1C1A9BB5" w:rsidR="00310DCD" w:rsidRPr="006915FB" w:rsidRDefault="00310DCD" w:rsidP="00887A82">
      <w:pPr>
        <w:pStyle w:val="BodyText"/>
        <w:ind w:left="720"/>
      </w:pPr>
      <w:r w:rsidRPr="006915FB">
        <w:t xml:space="preserve">There are no emergent features along the </w:t>
      </w:r>
      <w:r w:rsidR="00CB1F71">
        <w:t>CHN</w:t>
      </w:r>
      <w:r w:rsidRPr="006915FB">
        <w:t xml:space="preserve"> assets (rocky near-shore areas had pipeline installed by HDD and therefore have no need to be visited by vessels), so vessel grounding </w:t>
      </w:r>
      <w:r w:rsidR="00CB1F71">
        <w:t xml:space="preserve">of larger marine support vessels for activities around wellheads </w:t>
      </w:r>
      <w:r w:rsidR="00D41DDF">
        <w:t xml:space="preserve">as a causal pathway </w:t>
      </w:r>
      <w:r w:rsidRPr="006915FB">
        <w:t>has been ruled out as a credible risk.</w:t>
      </w:r>
      <w:r w:rsidR="00CB1F71">
        <w:t xml:space="preserve"> DNV (2011) identifies that </w:t>
      </w:r>
      <w:r w:rsidR="00D41DDF">
        <w:t xml:space="preserve">the risk of </w:t>
      </w:r>
      <w:r w:rsidR="00CB1F71">
        <w:t xml:space="preserve">powered grounding within 4 nm of the shoreline </w:t>
      </w:r>
      <w:r w:rsidR="00D41DDF">
        <w:t>or emergent system is negligible.</w:t>
      </w:r>
      <w:r w:rsidR="00CB1F71">
        <w:t xml:space="preserve">  </w:t>
      </w:r>
    </w:p>
    <w:p w14:paraId="24E3C85B" w14:textId="77777777" w:rsidR="00310DCD" w:rsidRPr="006915FB" w:rsidRDefault="00310DCD" w:rsidP="00887A82">
      <w:pPr>
        <w:pStyle w:val="BodyText"/>
        <w:ind w:left="720"/>
      </w:pPr>
      <w:r w:rsidRPr="004705DB">
        <w:t>DNV (2011) indicates that for the period 1982-2010, there were no spills over 1 tonne (1 m</w:t>
      </w:r>
      <w:r w:rsidRPr="004705DB">
        <w:rPr>
          <w:vertAlign w:val="superscript"/>
        </w:rPr>
        <w:t>3</w:t>
      </w:r>
      <w:r w:rsidRPr="004705DB">
        <w:t>) for offshore vessels caused by collisions or fuel transfers.</w:t>
      </w:r>
      <w:r w:rsidRPr="006915FB">
        <w:t xml:space="preserve"> </w:t>
      </w:r>
    </w:p>
    <w:p w14:paraId="518A0EB8" w14:textId="77777777" w:rsidR="00310DCD" w:rsidRPr="00FC4F6C" w:rsidRDefault="00310DCD" w:rsidP="00887A82">
      <w:pPr>
        <w:pStyle w:val="BodyText"/>
        <w:ind w:left="720"/>
        <w:rPr>
          <w:u w:val="single"/>
        </w:rPr>
      </w:pPr>
      <w:r w:rsidRPr="00FC4F6C">
        <w:rPr>
          <w:u w:val="single"/>
        </w:rPr>
        <w:t xml:space="preserve">MDO OSTM </w:t>
      </w:r>
    </w:p>
    <w:p w14:paraId="27B16BF9" w14:textId="77777777" w:rsidR="00D32548" w:rsidRPr="00D32548" w:rsidRDefault="00D32548" w:rsidP="00D32548">
      <w:pPr>
        <w:pStyle w:val="BodyText"/>
        <w:spacing w:after="0"/>
        <w:ind w:left="720"/>
      </w:pPr>
      <w:r w:rsidRPr="00D32548">
        <w:t>A spill volume of 160 m3 of marine diesel oil (MDO) has been modelled for the CHN assets as</w:t>
      </w:r>
    </w:p>
    <w:p w14:paraId="30ACB7C6" w14:textId="262D89A9" w:rsidR="00D32548" w:rsidRDefault="00D32548" w:rsidP="00D32548">
      <w:pPr>
        <w:pStyle w:val="BodyText"/>
        <w:spacing w:after="0"/>
        <w:ind w:left="720"/>
      </w:pPr>
      <w:r w:rsidRPr="00D32548">
        <w:t xml:space="preserve">the largest MDO spill risk. The specifications of the MDO used for the OSTM are presented </w:t>
      </w:r>
      <w:r>
        <w:t xml:space="preserve">below. </w:t>
      </w:r>
      <w:r w:rsidRPr="00D32548">
        <w:t>MDO classified as a Group II oil (persistent).</w:t>
      </w:r>
    </w:p>
    <w:p w14:paraId="70076DF9" w14:textId="77777777" w:rsidR="00D32548" w:rsidRDefault="00D32548" w:rsidP="00887A82">
      <w:pPr>
        <w:pStyle w:val="BodyText"/>
        <w:ind w:left="720"/>
      </w:pPr>
    </w:p>
    <w:p w14:paraId="5CB8E3D2" w14:textId="26A6855A" w:rsidR="00310DCD" w:rsidRPr="00657E84" w:rsidRDefault="006915FB" w:rsidP="00024BA3">
      <w:pPr>
        <w:pStyle w:val="Caption"/>
        <w:outlineLvl w:val="9"/>
        <w:rPr>
          <w:sz w:val="20"/>
          <w:szCs w:val="20"/>
        </w:rPr>
      </w:pPr>
      <w:bookmarkStart w:id="288" w:name="_Ref473454696"/>
      <w:bookmarkStart w:id="289" w:name="_Toc511032626"/>
      <w:r w:rsidRPr="006915FB">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35</w:t>
      </w:r>
      <w:r w:rsidR="00103328">
        <w:rPr>
          <w:sz w:val="20"/>
          <w:szCs w:val="20"/>
        </w:rPr>
        <w:fldChar w:fldCharType="end"/>
      </w:r>
      <w:bookmarkEnd w:id="288"/>
      <w:r w:rsidRPr="006915FB">
        <w:rPr>
          <w:sz w:val="20"/>
          <w:szCs w:val="20"/>
        </w:rPr>
        <w:t>: Boiling Ranges and physical characteristics of MDO used in OSTM</w:t>
      </w:r>
      <w:bookmarkEnd w:id="289"/>
    </w:p>
    <w:tbl>
      <w:tblPr>
        <w:tblW w:w="0" w:type="auto"/>
        <w:tblInd w:w="567"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1484"/>
        <w:gridCol w:w="1152"/>
        <w:gridCol w:w="1151"/>
        <w:gridCol w:w="1151"/>
        <w:gridCol w:w="1214"/>
        <w:gridCol w:w="1117"/>
        <w:gridCol w:w="1175"/>
      </w:tblGrid>
      <w:tr w:rsidR="00310DCD" w:rsidRPr="006915FB" w14:paraId="6E83D55A" w14:textId="77777777" w:rsidTr="00310DCD">
        <w:trPr>
          <w:tblHeader/>
        </w:trPr>
        <w:tc>
          <w:tcPr>
            <w:tcW w:w="1504" w:type="dxa"/>
            <w:tcBorders>
              <w:right w:val="single" w:sz="6" w:space="0" w:color="F2F2F2"/>
            </w:tcBorders>
            <w:shd w:val="clear" w:color="auto" w:fill="A6A6A6"/>
            <w:tcMar>
              <w:top w:w="142" w:type="dxa"/>
            </w:tcMar>
          </w:tcPr>
          <w:p w14:paraId="3C08E813" w14:textId="77777777" w:rsidR="00310DCD" w:rsidRPr="006915FB" w:rsidRDefault="00310DCD" w:rsidP="00310DCD">
            <w:pPr>
              <w:pStyle w:val="BodyText"/>
              <w:keepNext/>
              <w:ind w:left="0"/>
              <w:rPr>
                <w:rFonts w:cs="Arial"/>
                <w:b/>
                <w:sz w:val="16"/>
                <w:szCs w:val="16"/>
              </w:rPr>
            </w:pPr>
            <w:r w:rsidRPr="006915FB">
              <w:rPr>
                <w:rFonts w:cs="Arial"/>
                <w:b/>
                <w:sz w:val="16"/>
                <w:szCs w:val="16"/>
              </w:rPr>
              <w:t>Characteristic</w:t>
            </w:r>
          </w:p>
        </w:tc>
        <w:tc>
          <w:tcPr>
            <w:tcW w:w="1180" w:type="dxa"/>
            <w:tcBorders>
              <w:left w:val="single" w:sz="6" w:space="0" w:color="F2F2F2"/>
              <w:right w:val="single" w:sz="6" w:space="0" w:color="F2F2F2"/>
            </w:tcBorders>
            <w:shd w:val="clear" w:color="auto" w:fill="A6A6A6"/>
            <w:tcMar>
              <w:top w:w="142" w:type="dxa"/>
            </w:tcMar>
          </w:tcPr>
          <w:p w14:paraId="3CBBF340" w14:textId="77777777" w:rsidR="00310DCD" w:rsidRPr="006915FB" w:rsidRDefault="00310DCD" w:rsidP="00310DCD">
            <w:pPr>
              <w:pStyle w:val="BodyText"/>
              <w:keepNext/>
              <w:ind w:left="0"/>
              <w:jc w:val="center"/>
              <w:rPr>
                <w:rFonts w:cs="Arial"/>
                <w:b/>
                <w:sz w:val="16"/>
                <w:szCs w:val="16"/>
              </w:rPr>
            </w:pPr>
            <w:r w:rsidRPr="006915FB">
              <w:rPr>
                <w:rFonts w:cs="Arial"/>
                <w:b/>
                <w:sz w:val="16"/>
                <w:szCs w:val="16"/>
              </w:rPr>
              <w:t>Volatiles (%)</w:t>
            </w:r>
          </w:p>
        </w:tc>
        <w:tc>
          <w:tcPr>
            <w:tcW w:w="1179" w:type="dxa"/>
            <w:tcBorders>
              <w:left w:val="single" w:sz="6" w:space="0" w:color="F2F2F2"/>
              <w:right w:val="single" w:sz="6" w:space="0" w:color="F2F2F2"/>
            </w:tcBorders>
            <w:shd w:val="clear" w:color="auto" w:fill="A6A6A6"/>
            <w:tcMar>
              <w:top w:w="142" w:type="dxa"/>
            </w:tcMar>
          </w:tcPr>
          <w:p w14:paraId="116FA9A2" w14:textId="77777777" w:rsidR="00310DCD" w:rsidRPr="006915FB" w:rsidRDefault="00310DCD" w:rsidP="00310DCD">
            <w:pPr>
              <w:pStyle w:val="BodyText"/>
              <w:keepNext/>
              <w:ind w:left="0"/>
              <w:jc w:val="center"/>
              <w:rPr>
                <w:rFonts w:cs="Arial"/>
                <w:b/>
                <w:sz w:val="16"/>
                <w:szCs w:val="16"/>
              </w:rPr>
            </w:pPr>
            <w:r w:rsidRPr="006915FB">
              <w:rPr>
                <w:rFonts w:cs="Arial"/>
                <w:b/>
                <w:sz w:val="16"/>
                <w:szCs w:val="16"/>
              </w:rPr>
              <w:t>Semi-volatiles (%)</w:t>
            </w:r>
          </w:p>
        </w:tc>
        <w:tc>
          <w:tcPr>
            <w:tcW w:w="1179" w:type="dxa"/>
            <w:tcBorders>
              <w:left w:val="single" w:sz="6" w:space="0" w:color="F2F2F2"/>
              <w:right w:val="single" w:sz="6" w:space="0" w:color="F2F2F2"/>
            </w:tcBorders>
            <w:shd w:val="clear" w:color="auto" w:fill="A6A6A6"/>
            <w:tcMar>
              <w:top w:w="142" w:type="dxa"/>
            </w:tcMar>
          </w:tcPr>
          <w:p w14:paraId="03CB54FE" w14:textId="77777777" w:rsidR="00310DCD" w:rsidRPr="006915FB" w:rsidRDefault="00310DCD" w:rsidP="00310DCD">
            <w:pPr>
              <w:pStyle w:val="BodyText"/>
              <w:keepNext/>
              <w:ind w:left="0"/>
              <w:jc w:val="center"/>
              <w:rPr>
                <w:rFonts w:cs="Arial"/>
                <w:b/>
                <w:sz w:val="16"/>
                <w:szCs w:val="16"/>
              </w:rPr>
            </w:pPr>
            <w:r w:rsidRPr="006915FB">
              <w:rPr>
                <w:rFonts w:cs="Arial"/>
                <w:b/>
                <w:sz w:val="16"/>
                <w:szCs w:val="16"/>
              </w:rPr>
              <w:t>Low volatiles (%)</w:t>
            </w:r>
          </w:p>
        </w:tc>
        <w:tc>
          <w:tcPr>
            <w:tcW w:w="1238" w:type="dxa"/>
            <w:tcBorders>
              <w:left w:val="single" w:sz="6" w:space="0" w:color="F2F2F2"/>
              <w:right w:val="single" w:sz="6" w:space="0" w:color="F2F2F2"/>
            </w:tcBorders>
            <w:shd w:val="clear" w:color="auto" w:fill="A6A6A6"/>
            <w:tcMar>
              <w:top w:w="142" w:type="dxa"/>
            </w:tcMar>
          </w:tcPr>
          <w:p w14:paraId="2A883D09" w14:textId="77777777" w:rsidR="00310DCD" w:rsidRPr="006915FB" w:rsidRDefault="00310DCD" w:rsidP="00310DCD">
            <w:pPr>
              <w:pStyle w:val="BodyText"/>
              <w:keepNext/>
              <w:ind w:left="0"/>
              <w:jc w:val="center"/>
              <w:rPr>
                <w:rFonts w:cs="Arial"/>
                <w:b/>
                <w:sz w:val="16"/>
                <w:szCs w:val="16"/>
              </w:rPr>
            </w:pPr>
            <w:r w:rsidRPr="006915FB">
              <w:rPr>
                <w:rFonts w:cs="Arial"/>
                <w:b/>
                <w:sz w:val="16"/>
                <w:szCs w:val="16"/>
              </w:rPr>
              <w:t>Residuals (%)</w:t>
            </w:r>
          </w:p>
        </w:tc>
        <w:tc>
          <w:tcPr>
            <w:tcW w:w="1148" w:type="dxa"/>
            <w:vMerge w:val="restart"/>
            <w:tcBorders>
              <w:left w:val="single" w:sz="6" w:space="0" w:color="F2F2F2"/>
              <w:right w:val="single" w:sz="6" w:space="0" w:color="F2F2F2"/>
            </w:tcBorders>
            <w:shd w:val="clear" w:color="auto" w:fill="A6A6A6"/>
            <w:tcMar>
              <w:top w:w="142" w:type="dxa"/>
            </w:tcMar>
          </w:tcPr>
          <w:p w14:paraId="479A54EA" w14:textId="77777777" w:rsidR="00310DCD" w:rsidRPr="006915FB" w:rsidRDefault="00310DCD" w:rsidP="00310DCD">
            <w:pPr>
              <w:pStyle w:val="BodyText"/>
              <w:keepNext/>
              <w:ind w:left="0"/>
              <w:jc w:val="center"/>
              <w:rPr>
                <w:rFonts w:cs="Arial"/>
                <w:b/>
                <w:sz w:val="16"/>
                <w:szCs w:val="16"/>
              </w:rPr>
            </w:pPr>
            <w:r w:rsidRPr="006915FB">
              <w:rPr>
                <w:rFonts w:cs="Arial"/>
                <w:b/>
                <w:sz w:val="16"/>
                <w:szCs w:val="16"/>
              </w:rPr>
              <w:t>Density (kg/m</w:t>
            </w:r>
            <w:r w:rsidRPr="006915FB">
              <w:rPr>
                <w:rFonts w:cs="Arial"/>
                <w:b/>
                <w:sz w:val="16"/>
                <w:szCs w:val="16"/>
                <w:vertAlign w:val="superscript"/>
              </w:rPr>
              <w:t>3</w:t>
            </w:r>
            <w:r w:rsidRPr="006915FB">
              <w:rPr>
                <w:rFonts w:cs="Arial"/>
                <w:b/>
                <w:sz w:val="16"/>
                <w:szCs w:val="16"/>
              </w:rPr>
              <w:t>)</w:t>
            </w:r>
          </w:p>
        </w:tc>
        <w:tc>
          <w:tcPr>
            <w:tcW w:w="1202" w:type="dxa"/>
            <w:vMerge w:val="restart"/>
            <w:tcBorders>
              <w:left w:val="single" w:sz="6" w:space="0" w:color="F2F2F2"/>
            </w:tcBorders>
            <w:shd w:val="clear" w:color="auto" w:fill="A6A6A6"/>
            <w:tcMar>
              <w:top w:w="142" w:type="dxa"/>
            </w:tcMar>
          </w:tcPr>
          <w:p w14:paraId="06B87C43" w14:textId="77777777" w:rsidR="00310DCD" w:rsidRPr="006915FB" w:rsidRDefault="00310DCD" w:rsidP="00310DCD">
            <w:pPr>
              <w:pStyle w:val="BodyText"/>
              <w:keepNext/>
              <w:ind w:left="0"/>
              <w:jc w:val="center"/>
              <w:rPr>
                <w:rFonts w:cs="Arial"/>
                <w:b/>
                <w:sz w:val="16"/>
                <w:szCs w:val="16"/>
              </w:rPr>
            </w:pPr>
            <w:r w:rsidRPr="006915FB">
              <w:rPr>
                <w:rFonts w:cs="Arial"/>
                <w:b/>
                <w:sz w:val="16"/>
                <w:szCs w:val="16"/>
              </w:rPr>
              <w:t>Dynamic viscosity (cP)</w:t>
            </w:r>
          </w:p>
        </w:tc>
      </w:tr>
      <w:tr w:rsidR="00310DCD" w:rsidRPr="006915FB" w14:paraId="41C045E2" w14:textId="77777777" w:rsidTr="00310DCD">
        <w:tc>
          <w:tcPr>
            <w:tcW w:w="1504" w:type="dxa"/>
            <w:shd w:val="clear" w:color="auto" w:fill="auto"/>
          </w:tcPr>
          <w:p w14:paraId="529CD4AE" w14:textId="77777777" w:rsidR="00310DCD" w:rsidRPr="006915FB" w:rsidRDefault="00310DCD" w:rsidP="00310DCD">
            <w:pPr>
              <w:pStyle w:val="BodyText"/>
              <w:keepNext/>
              <w:spacing w:before="60" w:after="60"/>
              <w:ind w:left="0"/>
              <w:rPr>
                <w:rFonts w:cs="Arial"/>
                <w:sz w:val="16"/>
                <w:szCs w:val="16"/>
              </w:rPr>
            </w:pPr>
            <w:r w:rsidRPr="006915FB">
              <w:rPr>
                <w:rFonts w:cs="Arial"/>
                <w:sz w:val="16"/>
                <w:szCs w:val="16"/>
              </w:rPr>
              <w:t>Boiling point (°C)</w:t>
            </w:r>
          </w:p>
        </w:tc>
        <w:tc>
          <w:tcPr>
            <w:tcW w:w="1180" w:type="dxa"/>
            <w:shd w:val="clear" w:color="auto" w:fill="auto"/>
          </w:tcPr>
          <w:p w14:paraId="65980222" w14:textId="77777777" w:rsidR="00310DCD" w:rsidRPr="006915FB" w:rsidRDefault="00310DCD" w:rsidP="00310DCD">
            <w:pPr>
              <w:pStyle w:val="BodyText"/>
              <w:keepNext/>
              <w:spacing w:before="60" w:after="60"/>
              <w:ind w:left="0"/>
              <w:jc w:val="center"/>
              <w:rPr>
                <w:rFonts w:cs="Arial"/>
                <w:sz w:val="16"/>
                <w:szCs w:val="16"/>
              </w:rPr>
            </w:pPr>
            <w:r w:rsidRPr="006915FB">
              <w:rPr>
                <w:rFonts w:cs="Arial"/>
                <w:sz w:val="16"/>
                <w:szCs w:val="16"/>
              </w:rPr>
              <w:t>&lt;180</w:t>
            </w:r>
          </w:p>
        </w:tc>
        <w:tc>
          <w:tcPr>
            <w:tcW w:w="1179" w:type="dxa"/>
            <w:shd w:val="clear" w:color="auto" w:fill="auto"/>
          </w:tcPr>
          <w:p w14:paraId="1396B3E9" w14:textId="77777777" w:rsidR="00310DCD" w:rsidRPr="006915FB" w:rsidRDefault="00310DCD" w:rsidP="00310DCD">
            <w:pPr>
              <w:pStyle w:val="BodyText"/>
              <w:keepNext/>
              <w:spacing w:before="60" w:after="60"/>
              <w:ind w:left="0"/>
              <w:jc w:val="center"/>
              <w:rPr>
                <w:rFonts w:cs="Arial"/>
                <w:sz w:val="16"/>
                <w:szCs w:val="16"/>
              </w:rPr>
            </w:pPr>
            <w:r w:rsidRPr="006915FB">
              <w:rPr>
                <w:rFonts w:cs="Arial"/>
                <w:sz w:val="16"/>
                <w:szCs w:val="16"/>
              </w:rPr>
              <w:t>180-265</w:t>
            </w:r>
          </w:p>
        </w:tc>
        <w:tc>
          <w:tcPr>
            <w:tcW w:w="1179" w:type="dxa"/>
            <w:shd w:val="clear" w:color="auto" w:fill="auto"/>
          </w:tcPr>
          <w:p w14:paraId="1780B828" w14:textId="77777777" w:rsidR="00310DCD" w:rsidRPr="006915FB" w:rsidRDefault="00310DCD" w:rsidP="00310DCD">
            <w:pPr>
              <w:pStyle w:val="BodyText"/>
              <w:keepNext/>
              <w:spacing w:before="60" w:after="60"/>
              <w:ind w:left="0"/>
              <w:jc w:val="center"/>
              <w:rPr>
                <w:rFonts w:cs="Arial"/>
                <w:sz w:val="16"/>
                <w:szCs w:val="16"/>
              </w:rPr>
            </w:pPr>
            <w:r w:rsidRPr="006915FB">
              <w:rPr>
                <w:rFonts w:cs="Arial"/>
                <w:sz w:val="16"/>
                <w:szCs w:val="16"/>
              </w:rPr>
              <w:t>265-380</w:t>
            </w:r>
          </w:p>
        </w:tc>
        <w:tc>
          <w:tcPr>
            <w:tcW w:w="1238" w:type="dxa"/>
            <w:shd w:val="clear" w:color="auto" w:fill="auto"/>
          </w:tcPr>
          <w:p w14:paraId="40258716" w14:textId="77777777" w:rsidR="00310DCD" w:rsidRPr="006915FB" w:rsidRDefault="00310DCD" w:rsidP="00310DCD">
            <w:pPr>
              <w:pStyle w:val="BodyText"/>
              <w:keepNext/>
              <w:spacing w:before="60" w:after="60"/>
              <w:ind w:left="0"/>
              <w:jc w:val="center"/>
              <w:rPr>
                <w:rFonts w:cs="Arial"/>
                <w:sz w:val="16"/>
                <w:szCs w:val="16"/>
              </w:rPr>
            </w:pPr>
            <w:r w:rsidRPr="006915FB">
              <w:rPr>
                <w:rFonts w:cs="Arial"/>
                <w:sz w:val="16"/>
                <w:szCs w:val="16"/>
              </w:rPr>
              <w:t>&gt;380</w:t>
            </w:r>
          </w:p>
        </w:tc>
        <w:tc>
          <w:tcPr>
            <w:tcW w:w="1148" w:type="dxa"/>
            <w:vMerge/>
            <w:shd w:val="clear" w:color="auto" w:fill="auto"/>
          </w:tcPr>
          <w:p w14:paraId="7ABC2570" w14:textId="77777777" w:rsidR="00310DCD" w:rsidRPr="006915FB" w:rsidRDefault="00310DCD" w:rsidP="00310DCD">
            <w:pPr>
              <w:pStyle w:val="BodyText"/>
              <w:keepNext/>
              <w:spacing w:before="60" w:after="60"/>
              <w:ind w:left="0"/>
              <w:rPr>
                <w:rFonts w:cs="Arial"/>
                <w:sz w:val="16"/>
                <w:szCs w:val="16"/>
              </w:rPr>
            </w:pPr>
          </w:p>
        </w:tc>
        <w:tc>
          <w:tcPr>
            <w:tcW w:w="1202" w:type="dxa"/>
            <w:vMerge/>
            <w:shd w:val="clear" w:color="auto" w:fill="auto"/>
          </w:tcPr>
          <w:p w14:paraId="1EF540B6" w14:textId="77777777" w:rsidR="00310DCD" w:rsidRPr="006915FB" w:rsidRDefault="00310DCD" w:rsidP="00310DCD">
            <w:pPr>
              <w:pStyle w:val="BodyText"/>
              <w:keepNext/>
              <w:spacing w:before="60" w:after="60"/>
              <w:ind w:left="0"/>
              <w:rPr>
                <w:rFonts w:cs="Arial"/>
                <w:sz w:val="16"/>
                <w:szCs w:val="16"/>
              </w:rPr>
            </w:pPr>
          </w:p>
        </w:tc>
      </w:tr>
      <w:tr w:rsidR="00310DCD" w:rsidRPr="006915FB" w14:paraId="211AF215" w14:textId="77777777" w:rsidTr="00310DCD">
        <w:tc>
          <w:tcPr>
            <w:tcW w:w="1504" w:type="dxa"/>
            <w:tcBorders>
              <w:bottom w:val="nil"/>
            </w:tcBorders>
            <w:shd w:val="clear" w:color="auto" w:fill="F2F2F2"/>
          </w:tcPr>
          <w:p w14:paraId="0845B8AF" w14:textId="77777777" w:rsidR="00310DCD" w:rsidRPr="006915FB" w:rsidRDefault="00310DCD" w:rsidP="00310DCD">
            <w:pPr>
              <w:pStyle w:val="BodyText"/>
              <w:keepNext/>
              <w:spacing w:before="60" w:after="60"/>
              <w:ind w:left="0"/>
              <w:rPr>
                <w:rFonts w:cs="Arial"/>
                <w:sz w:val="16"/>
                <w:szCs w:val="16"/>
              </w:rPr>
            </w:pPr>
            <w:r w:rsidRPr="006915FB">
              <w:rPr>
                <w:rFonts w:cs="Arial"/>
                <w:sz w:val="16"/>
                <w:szCs w:val="16"/>
              </w:rPr>
              <w:t>MDO</w:t>
            </w:r>
          </w:p>
        </w:tc>
        <w:tc>
          <w:tcPr>
            <w:tcW w:w="1180" w:type="dxa"/>
            <w:shd w:val="clear" w:color="auto" w:fill="F2F2F2"/>
          </w:tcPr>
          <w:p w14:paraId="75CAD349" w14:textId="77777777" w:rsidR="00310DCD" w:rsidRPr="006915FB" w:rsidRDefault="00310DCD" w:rsidP="00310DCD">
            <w:pPr>
              <w:pStyle w:val="BodyText"/>
              <w:keepNext/>
              <w:spacing w:before="60" w:after="60"/>
              <w:ind w:left="0"/>
              <w:jc w:val="center"/>
              <w:rPr>
                <w:rFonts w:cs="Arial"/>
                <w:sz w:val="16"/>
                <w:szCs w:val="16"/>
              </w:rPr>
            </w:pPr>
            <w:r w:rsidRPr="006915FB">
              <w:rPr>
                <w:rFonts w:cs="Arial"/>
                <w:sz w:val="16"/>
                <w:szCs w:val="16"/>
              </w:rPr>
              <w:t>6</w:t>
            </w:r>
          </w:p>
        </w:tc>
        <w:tc>
          <w:tcPr>
            <w:tcW w:w="1179" w:type="dxa"/>
            <w:shd w:val="clear" w:color="auto" w:fill="F2F2F2"/>
          </w:tcPr>
          <w:p w14:paraId="01187CD4" w14:textId="77777777" w:rsidR="00310DCD" w:rsidRPr="006915FB" w:rsidRDefault="00310DCD" w:rsidP="00310DCD">
            <w:pPr>
              <w:pStyle w:val="BodyText"/>
              <w:keepNext/>
              <w:spacing w:before="60" w:after="60"/>
              <w:ind w:left="0"/>
              <w:jc w:val="center"/>
              <w:rPr>
                <w:rFonts w:cs="Arial"/>
                <w:sz w:val="16"/>
                <w:szCs w:val="16"/>
              </w:rPr>
            </w:pPr>
            <w:r w:rsidRPr="006915FB">
              <w:rPr>
                <w:rFonts w:cs="Arial"/>
                <w:sz w:val="16"/>
                <w:szCs w:val="16"/>
              </w:rPr>
              <w:t>34.6</w:t>
            </w:r>
          </w:p>
        </w:tc>
        <w:tc>
          <w:tcPr>
            <w:tcW w:w="1179" w:type="dxa"/>
            <w:shd w:val="clear" w:color="auto" w:fill="F2F2F2"/>
          </w:tcPr>
          <w:p w14:paraId="2379744F" w14:textId="77777777" w:rsidR="00310DCD" w:rsidRPr="006915FB" w:rsidRDefault="00310DCD" w:rsidP="00310DCD">
            <w:pPr>
              <w:pStyle w:val="BodyText"/>
              <w:keepNext/>
              <w:spacing w:before="60" w:after="60"/>
              <w:ind w:left="0"/>
              <w:jc w:val="center"/>
              <w:rPr>
                <w:rFonts w:cs="Arial"/>
                <w:sz w:val="16"/>
                <w:szCs w:val="16"/>
              </w:rPr>
            </w:pPr>
            <w:r w:rsidRPr="006915FB">
              <w:rPr>
                <w:rFonts w:cs="Arial"/>
                <w:sz w:val="16"/>
                <w:szCs w:val="16"/>
              </w:rPr>
              <w:t>54.5</w:t>
            </w:r>
          </w:p>
        </w:tc>
        <w:tc>
          <w:tcPr>
            <w:tcW w:w="1238" w:type="dxa"/>
            <w:shd w:val="clear" w:color="auto" w:fill="F2F2F2"/>
          </w:tcPr>
          <w:p w14:paraId="056FC362" w14:textId="77777777" w:rsidR="00310DCD" w:rsidRPr="006915FB" w:rsidRDefault="00310DCD" w:rsidP="00310DCD">
            <w:pPr>
              <w:pStyle w:val="BodyText"/>
              <w:keepNext/>
              <w:spacing w:before="60" w:after="60"/>
              <w:ind w:left="0"/>
              <w:jc w:val="center"/>
              <w:rPr>
                <w:rFonts w:cs="Arial"/>
                <w:sz w:val="16"/>
                <w:szCs w:val="16"/>
              </w:rPr>
            </w:pPr>
            <w:r w:rsidRPr="006915FB">
              <w:rPr>
                <w:rFonts w:cs="Arial"/>
                <w:sz w:val="16"/>
                <w:szCs w:val="16"/>
              </w:rPr>
              <w:t>5</w:t>
            </w:r>
          </w:p>
        </w:tc>
        <w:tc>
          <w:tcPr>
            <w:tcW w:w="1148" w:type="dxa"/>
            <w:vMerge w:val="restart"/>
            <w:shd w:val="clear" w:color="auto" w:fill="F2F2F2"/>
          </w:tcPr>
          <w:p w14:paraId="2BA74CEC" w14:textId="77777777" w:rsidR="00310DCD" w:rsidRPr="006915FB" w:rsidRDefault="00310DCD" w:rsidP="00310DCD">
            <w:pPr>
              <w:pStyle w:val="BodyText"/>
              <w:keepNext/>
              <w:spacing w:before="60" w:after="60"/>
              <w:ind w:left="0"/>
              <w:jc w:val="center"/>
              <w:rPr>
                <w:rFonts w:cs="Arial"/>
                <w:sz w:val="16"/>
                <w:szCs w:val="16"/>
              </w:rPr>
            </w:pPr>
            <w:r w:rsidRPr="006915FB">
              <w:rPr>
                <w:rFonts w:cs="Arial"/>
                <w:sz w:val="16"/>
                <w:szCs w:val="16"/>
              </w:rPr>
              <w:t>829.1 @ 25°C</w:t>
            </w:r>
          </w:p>
        </w:tc>
        <w:tc>
          <w:tcPr>
            <w:tcW w:w="1202" w:type="dxa"/>
            <w:vMerge w:val="restart"/>
            <w:shd w:val="clear" w:color="auto" w:fill="F2F2F2"/>
          </w:tcPr>
          <w:p w14:paraId="4C3ED269" w14:textId="77777777" w:rsidR="00310DCD" w:rsidRPr="006915FB" w:rsidRDefault="00310DCD" w:rsidP="00310DCD">
            <w:pPr>
              <w:pStyle w:val="BodyText"/>
              <w:keepNext/>
              <w:spacing w:before="60" w:after="60"/>
              <w:ind w:left="0"/>
              <w:jc w:val="center"/>
              <w:rPr>
                <w:rFonts w:cs="Arial"/>
                <w:sz w:val="16"/>
                <w:szCs w:val="16"/>
              </w:rPr>
            </w:pPr>
            <w:r w:rsidRPr="006915FB">
              <w:rPr>
                <w:rFonts w:cs="Arial"/>
                <w:sz w:val="16"/>
                <w:szCs w:val="16"/>
              </w:rPr>
              <w:t>4 @ 25 °C</w:t>
            </w:r>
          </w:p>
        </w:tc>
      </w:tr>
      <w:tr w:rsidR="00310DCD" w:rsidRPr="006915FB" w14:paraId="2BA4EE7B" w14:textId="77777777" w:rsidTr="00310DCD">
        <w:tc>
          <w:tcPr>
            <w:tcW w:w="1504" w:type="dxa"/>
            <w:tcBorders>
              <w:top w:val="nil"/>
              <w:left w:val="nil"/>
              <w:bottom w:val="nil"/>
              <w:right w:val="nil"/>
            </w:tcBorders>
            <w:shd w:val="clear" w:color="auto" w:fill="auto"/>
          </w:tcPr>
          <w:p w14:paraId="21C5C907" w14:textId="77777777" w:rsidR="00310DCD" w:rsidRPr="006915FB" w:rsidRDefault="00310DCD" w:rsidP="00310DCD">
            <w:pPr>
              <w:pStyle w:val="BodyText"/>
              <w:keepNext/>
              <w:spacing w:before="60" w:after="60"/>
              <w:ind w:left="0"/>
              <w:rPr>
                <w:rFonts w:cs="Arial"/>
                <w:sz w:val="16"/>
                <w:szCs w:val="16"/>
              </w:rPr>
            </w:pPr>
          </w:p>
        </w:tc>
        <w:tc>
          <w:tcPr>
            <w:tcW w:w="3538" w:type="dxa"/>
            <w:gridSpan w:val="3"/>
            <w:tcBorders>
              <w:left w:val="nil"/>
            </w:tcBorders>
            <w:shd w:val="clear" w:color="auto" w:fill="auto"/>
          </w:tcPr>
          <w:p w14:paraId="3BBDCA44" w14:textId="77777777" w:rsidR="00310DCD" w:rsidRPr="006915FB" w:rsidRDefault="00310DCD" w:rsidP="00310DCD">
            <w:pPr>
              <w:pStyle w:val="BodyText"/>
              <w:keepNext/>
              <w:spacing w:before="60" w:after="60"/>
              <w:ind w:left="0"/>
              <w:jc w:val="center"/>
              <w:rPr>
                <w:rFonts w:cs="Arial"/>
                <w:sz w:val="16"/>
                <w:szCs w:val="16"/>
              </w:rPr>
            </w:pPr>
            <w:r w:rsidRPr="006915FB">
              <w:rPr>
                <w:rFonts w:cs="Arial"/>
                <w:sz w:val="16"/>
                <w:szCs w:val="16"/>
              </w:rPr>
              <w:t>Non-persistent</w:t>
            </w:r>
          </w:p>
        </w:tc>
        <w:tc>
          <w:tcPr>
            <w:tcW w:w="1238" w:type="dxa"/>
            <w:shd w:val="clear" w:color="auto" w:fill="auto"/>
          </w:tcPr>
          <w:p w14:paraId="7B05596F" w14:textId="77777777" w:rsidR="00310DCD" w:rsidRPr="006915FB" w:rsidRDefault="00310DCD" w:rsidP="00310DCD">
            <w:pPr>
              <w:pStyle w:val="BodyText"/>
              <w:keepNext/>
              <w:spacing w:before="60" w:after="60"/>
              <w:ind w:left="0"/>
              <w:rPr>
                <w:rFonts w:cs="Arial"/>
                <w:sz w:val="16"/>
                <w:szCs w:val="16"/>
              </w:rPr>
            </w:pPr>
            <w:r w:rsidRPr="006915FB">
              <w:rPr>
                <w:rFonts w:cs="Arial"/>
                <w:sz w:val="16"/>
                <w:szCs w:val="16"/>
              </w:rPr>
              <w:t>Persistent</w:t>
            </w:r>
          </w:p>
        </w:tc>
        <w:tc>
          <w:tcPr>
            <w:tcW w:w="1148" w:type="dxa"/>
            <w:vMerge/>
            <w:tcBorders>
              <w:bottom w:val="nil"/>
            </w:tcBorders>
            <w:shd w:val="clear" w:color="auto" w:fill="auto"/>
          </w:tcPr>
          <w:p w14:paraId="1744E326" w14:textId="77777777" w:rsidR="00310DCD" w:rsidRPr="006915FB" w:rsidRDefault="00310DCD" w:rsidP="00310DCD">
            <w:pPr>
              <w:pStyle w:val="BodyText"/>
              <w:keepNext/>
              <w:spacing w:before="60" w:after="60"/>
              <w:ind w:left="0"/>
              <w:rPr>
                <w:rFonts w:cs="Arial"/>
                <w:sz w:val="16"/>
                <w:szCs w:val="16"/>
              </w:rPr>
            </w:pPr>
          </w:p>
        </w:tc>
        <w:tc>
          <w:tcPr>
            <w:tcW w:w="1202" w:type="dxa"/>
            <w:vMerge/>
            <w:tcBorders>
              <w:bottom w:val="nil"/>
            </w:tcBorders>
            <w:shd w:val="clear" w:color="auto" w:fill="auto"/>
          </w:tcPr>
          <w:p w14:paraId="48CAEAF7" w14:textId="77777777" w:rsidR="00310DCD" w:rsidRPr="006915FB" w:rsidRDefault="00310DCD" w:rsidP="00310DCD">
            <w:pPr>
              <w:pStyle w:val="BodyText"/>
              <w:keepNext/>
              <w:spacing w:before="60" w:after="60"/>
              <w:ind w:left="0"/>
              <w:rPr>
                <w:rFonts w:cs="Arial"/>
                <w:sz w:val="16"/>
                <w:szCs w:val="16"/>
              </w:rPr>
            </w:pPr>
          </w:p>
        </w:tc>
      </w:tr>
    </w:tbl>
    <w:p w14:paraId="0BCC05F8" w14:textId="77777777" w:rsidR="00D32548" w:rsidRDefault="00D32548" w:rsidP="00887A82">
      <w:pPr>
        <w:pStyle w:val="BodyText"/>
        <w:ind w:left="709"/>
        <w:rPr>
          <w:color w:val="FF0000"/>
          <w:szCs w:val="20"/>
        </w:rPr>
      </w:pPr>
    </w:p>
    <w:p w14:paraId="4DD4D668" w14:textId="0A2D9A60" w:rsidR="00BC457D" w:rsidRPr="0077498D" w:rsidRDefault="00BC457D" w:rsidP="00887A82">
      <w:pPr>
        <w:pStyle w:val="BodyText"/>
        <w:ind w:left="709"/>
        <w:rPr>
          <w:lang w:eastAsia="en-US"/>
        </w:rPr>
      </w:pPr>
      <w:r>
        <w:rPr>
          <w:szCs w:val="20"/>
        </w:rPr>
        <w:t>It is noted that</w:t>
      </w:r>
      <w:r w:rsidR="00006D61">
        <w:rPr>
          <w:szCs w:val="20"/>
        </w:rPr>
        <w:t xml:space="preserve"> the smaller </w:t>
      </w:r>
      <w:r>
        <w:rPr>
          <w:szCs w:val="20"/>
        </w:rPr>
        <w:t>IMR vessels</w:t>
      </w:r>
      <w:r w:rsidR="00006D61">
        <w:rPr>
          <w:szCs w:val="20"/>
        </w:rPr>
        <w:t>, which have a smaller spill risk,</w:t>
      </w:r>
      <w:r>
        <w:rPr>
          <w:szCs w:val="20"/>
        </w:rPr>
        <w:t xml:space="preserve"> may operate in near-shore areas around the HDD location (i.e. approx. 800 m from shore)</w:t>
      </w:r>
      <w:r w:rsidR="00006D61">
        <w:rPr>
          <w:szCs w:val="20"/>
        </w:rPr>
        <w:t xml:space="preserve">. </w:t>
      </w:r>
      <w:r w:rsidR="00006D61">
        <w:rPr>
          <w:lang w:eastAsia="en-US"/>
        </w:rPr>
        <w:t xml:space="preserve">ADIOS modelling </w:t>
      </w:r>
      <w:r w:rsidR="00006D61" w:rsidRPr="00077821">
        <w:rPr>
          <w:lang w:eastAsia="en-US"/>
        </w:rPr>
        <w:t>(</w:t>
      </w:r>
      <w:r w:rsidR="00006D61" w:rsidRPr="00A65CD4">
        <w:rPr>
          <w:lang w:eastAsia="en-US"/>
        </w:rPr>
        <w:t>NOAA, 2017) for</w:t>
      </w:r>
      <w:r w:rsidR="00006D61" w:rsidRPr="00077821">
        <w:rPr>
          <w:lang w:eastAsia="en-US"/>
        </w:rPr>
        <w:t xml:space="preserve"> a 12m</w:t>
      </w:r>
      <w:r w:rsidR="00006D61" w:rsidRPr="00077821">
        <w:rPr>
          <w:vertAlign w:val="superscript"/>
          <w:lang w:eastAsia="en-US"/>
        </w:rPr>
        <w:t>3</w:t>
      </w:r>
      <w:r w:rsidR="00006D61" w:rsidRPr="00077821">
        <w:rPr>
          <w:lang w:eastAsia="en-US"/>
        </w:rPr>
        <w:t xml:space="preserve"> oil spill at 15</w:t>
      </w:r>
      <w:r w:rsidR="00006D61" w:rsidRPr="00077821">
        <w:rPr>
          <w:vertAlign w:val="superscript"/>
          <w:lang w:eastAsia="en-US"/>
        </w:rPr>
        <w:t>o</w:t>
      </w:r>
      <w:r w:rsidR="00006D61" w:rsidRPr="00A65CD4">
        <w:rPr>
          <w:lang w:eastAsia="en-US"/>
        </w:rPr>
        <w:t>C water temperature predicts the following:</w:t>
      </w:r>
    </w:p>
    <w:p w14:paraId="41879A0C" w14:textId="06EEDD3C" w:rsidR="00006D61" w:rsidRPr="00083759" w:rsidRDefault="00006D61" w:rsidP="0036080A">
      <w:pPr>
        <w:pStyle w:val="Bullet1"/>
        <w:numPr>
          <w:ilvl w:val="0"/>
          <w:numId w:val="40"/>
        </w:numPr>
      </w:pPr>
      <w:r w:rsidRPr="00077821">
        <w:t>At wind speeds of 5 knots after 24 hrs approximately 55% of the spill remains on the sea surface (6.6 m</w:t>
      </w:r>
      <w:r w:rsidRPr="003D0C5D">
        <w:t>3</w:t>
      </w:r>
      <w:r w:rsidRPr="00077821">
        <w:t>) with approximately 45% evaporated;</w:t>
      </w:r>
    </w:p>
    <w:p w14:paraId="5DC919C7" w14:textId="101EFE91" w:rsidR="00006D61" w:rsidRPr="00077821" w:rsidRDefault="00006D61" w:rsidP="0036080A">
      <w:pPr>
        <w:pStyle w:val="Bullet1"/>
        <w:numPr>
          <w:ilvl w:val="0"/>
          <w:numId w:val="40"/>
        </w:numPr>
      </w:pPr>
      <w:r w:rsidRPr="00077821">
        <w:t>At wind speeds of 15 knots, 23% of the volume has evaporated after four hours is approximately 23%, 70% of the spill volume has become entrained in the water column and 7% remains at the sea-surface (0.84m</w:t>
      </w:r>
      <w:r w:rsidRPr="00077821">
        <w:rPr>
          <w:vertAlign w:val="superscript"/>
        </w:rPr>
        <w:t>3</w:t>
      </w:r>
      <w:r w:rsidRPr="00077821">
        <w:t>).</w:t>
      </w:r>
    </w:p>
    <w:p w14:paraId="041FF7F9" w14:textId="551A108A" w:rsidR="00006D61" w:rsidRDefault="00006D61" w:rsidP="00887A82">
      <w:pPr>
        <w:pStyle w:val="BodyText"/>
        <w:ind w:left="709"/>
        <w:rPr>
          <w:szCs w:val="20"/>
        </w:rPr>
      </w:pPr>
      <w:r w:rsidRPr="00077821">
        <w:rPr>
          <w:szCs w:val="20"/>
        </w:rPr>
        <w:t xml:space="preserve">Based upon MDO results for larger spills, the spill trajectories are influenced by the north-west/south-east currents in the region and </w:t>
      </w:r>
      <w:r w:rsidR="00AF2D15" w:rsidRPr="00077821">
        <w:rPr>
          <w:szCs w:val="20"/>
        </w:rPr>
        <w:t>the prevailing wind direction, noting that the average wind speed at Cape Otway is approximately 25</w:t>
      </w:r>
      <w:r w:rsidR="00887A82">
        <w:rPr>
          <w:szCs w:val="20"/>
        </w:rPr>
        <w:t xml:space="preserve"> </w:t>
      </w:r>
      <w:r w:rsidR="00AF2D15" w:rsidRPr="00077821">
        <w:rPr>
          <w:szCs w:val="20"/>
        </w:rPr>
        <w:t xml:space="preserve">km/hr (13.5 knots) (BOM, 2017). As per Section </w:t>
      </w:r>
      <w:r w:rsidR="00AF2D15" w:rsidRPr="00077821">
        <w:rPr>
          <w:szCs w:val="20"/>
        </w:rPr>
        <w:fldChar w:fldCharType="begin"/>
      </w:r>
      <w:r w:rsidR="00AF2D15" w:rsidRPr="00077821">
        <w:rPr>
          <w:szCs w:val="20"/>
        </w:rPr>
        <w:instrText xml:space="preserve"> REF _Ref477121917 \r \h </w:instrText>
      </w:r>
      <w:r w:rsidR="00077821">
        <w:rPr>
          <w:szCs w:val="20"/>
        </w:rPr>
        <w:instrText xml:space="preserve"> \* MERGEFORMAT </w:instrText>
      </w:r>
      <w:r w:rsidR="00AF2D15" w:rsidRPr="00077821">
        <w:rPr>
          <w:szCs w:val="20"/>
        </w:rPr>
      </w:r>
      <w:r w:rsidR="00AF2D15" w:rsidRPr="00077821">
        <w:rPr>
          <w:szCs w:val="20"/>
        </w:rPr>
        <w:fldChar w:fldCharType="separate"/>
      </w:r>
      <w:r w:rsidR="00CC4C35">
        <w:rPr>
          <w:szCs w:val="20"/>
        </w:rPr>
        <w:t>3.2.5</w:t>
      </w:r>
      <w:r w:rsidR="00AF2D15" w:rsidRPr="00077821">
        <w:rPr>
          <w:szCs w:val="20"/>
        </w:rPr>
        <w:fldChar w:fldCharType="end"/>
      </w:r>
      <w:r w:rsidR="00AF2D15" w:rsidRPr="00077821">
        <w:rPr>
          <w:szCs w:val="20"/>
        </w:rPr>
        <w:t xml:space="preserve">, </w:t>
      </w:r>
      <w:r w:rsidR="00887A82">
        <w:rPr>
          <w:szCs w:val="20"/>
        </w:rPr>
        <w:t xml:space="preserve">if a spill occurred in </w:t>
      </w:r>
      <w:r w:rsidR="00AF2D15" w:rsidRPr="00077821">
        <w:rPr>
          <w:szCs w:val="20"/>
        </w:rPr>
        <w:t>shallower waters given the predominant south-westerly swell direction, there</w:t>
      </w:r>
      <w:r w:rsidR="00AF2D15">
        <w:rPr>
          <w:szCs w:val="20"/>
        </w:rPr>
        <w:t xml:space="preserve"> are minimal longshore currents and water movements are predominantly influenced by the orbital motion waves and localised wave-generated currents. As observed </w:t>
      </w:r>
      <w:r w:rsidR="00AF2D15" w:rsidRPr="00C1004B">
        <w:rPr>
          <w:szCs w:val="20"/>
        </w:rPr>
        <w:t xml:space="preserve">in Section </w:t>
      </w:r>
      <w:r w:rsidR="00C1004B" w:rsidRPr="00083759">
        <w:rPr>
          <w:szCs w:val="20"/>
        </w:rPr>
        <w:fldChar w:fldCharType="begin"/>
      </w:r>
      <w:r w:rsidR="00C1004B" w:rsidRPr="00083759">
        <w:rPr>
          <w:szCs w:val="20"/>
        </w:rPr>
        <w:instrText xml:space="preserve"> REF _Ref474766401 \r \h </w:instrText>
      </w:r>
      <w:r w:rsidR="00C1004B">
        <w:rPr>
          <w:szCs w:val="20"/>
        </w:rPr>
        <w:instrText xml:space="preserve"> \* MERGEFORMAT </w:instrText>
      </w:r>
      <w:r w:rsidR="00C1004B" w:rsidRPr="00083759">
        <w:rPr>
          <w:szCs w:val="20"/>
        </w:rPr>
      </w:r>
      <w:r w:rsidR="00C1004B" w:rsidRPr="00083759">
        <w:rPr>
          <w:szCs w:val="20"/>
        </w:rPr>
        <w:fldChar w:fldCharType="separate"/>
      </w:r>
      <w:r w:rsidR="00CC4C35">
        <w:rPr>
          <w:szCs w:val="20"/>
        </w:rPr>
        <w:t>5.17</w:t>
      </w:r>
      <w:r w:rsidR="00C1004B" w:rsidRPr="00083759">
        <w:rPr>
          <w:szCs w:val="20"/>
        </w:rPr>
        <w:fldChar w:fldCharType="end"/>
      </w:r>
      <w:r w:rsidR="00AF2D15" w:rsidRPr="00C1004B">
        <w:rPr>
          <w:szCs w:val="20"/>
        </w:rPr>
        <w:t>,</w:t>
      </w:r>
      <w:r w:rsidR="00AF2D15">
        <w:rPr>
          <w:szCs w:val="20"/>
        </w:rPr>
        <w:t xml:space="preserve"> condensate releases at the HDD site, the shoreline areas adjacent to the release site were the areas primarily affected by spill impacts. Given the small volumes of MDO utilised in IMR vessels, MDO spill impacts from a nearshore spill would be expected to affect adjacent </w:t>
      </w:r>
      <w:r w:rsidR="00C1004B">
        <w:rPr>
          <w:szCs w:val="20"/>
        </w:rPr>
        <w:t xml:space="preserve">shoreline </w:t>
      </w:r>
      <w:r w:rsidR="00AF2D15">
        <w:rPr>
          <w:szCs w:val="20"/>
        </w:rPr>
        <w:t xml:space="preserve">areas between </w:t>
      </w:r>
      <w:r w:rsidR="00C1004B">
        <w:rPr>
          <w:szCs w:val="20"/>
        </w:rPr>
        <w:t>the Arch and Port Campbell before being diluted and dissipated.</w:t>
      </w:r>
      <w:r w:rsidR="00AF2D15">
        <w:rPr>
          <w:szCs w:val="20"/>
        </w:rPr>
        <w:t xml:space="preserve">  </w:t>
      </w:r>
    </w:p>
    <w:p w14:paraId="5CCD9B29" w14:textId="60E911DF" w:rsidR="006D4731" w:rsidRPr="006915FB" w:rsidRDefault="006D4731" w:rsidP="00887A82">
      <w:pPr>
        <w:pStyle w:val="BodyText"/>
        <w:ind w:left="709"/>
        <w:rPr>
          <w:szCs w:val="20"/>
        </w:rPr>
      </w:pPr>
      <w:r>
        <w:rPr>
          <w:szCs w:val="20"/>
        </w:rPr>
        <w:t>For spills along the pipeline alignment but at greater distances from shore, the semi-diurnal currents will prevail. Given the small spill volume it is expected that the spill residue may travel 6</w:t>
      </w:r>
      <w:r w:rsidR="00887A82">
        <w:rPr>
          <w:szCs w:val="20"/>
        </w:rPr>
        <w:t xml:space="preserve"> </w:t>
      </w:r>
      <w:r>
        <w:rPr>
          <w:szCs w:val="20"/>
        </w:rPr>
        <w:t>hrs in prevailing currents direction before current reversal. Spill residues would be expected to dissipate and disperse below threshold levels after this time. On this basis the maximum excursion, assuming the maximum current speed for the entire 6 hours would be 10.8 km to the north-west and 19.5 km to the south east</w:t>
      </w:r>
      <w:r w:rsidR="008D3313">
        <w:rPr>
          <w:szCs w:val="20"/>
        </w:rPr>
        <w:t>.</w:t>
      </w:r>
    </w:p>
    <w:p w14:paraId="311F946F" w14:textId="77777777" w:rsidR="002B2C69" w:rsidRDefault="002B2C69" w:rsidP="002B2C69">
      <w:pPr>
        <w:pStyle w:val="BodyText"/>
      </w:pPr>
    </w:p>
    <w:p w14:paraId="41680AC7" w14:textId="21DF960E" w:rsidR="00D36D78" w:rsidRPr="00657E84" w:rsidRDefault="0073580E" w:rsidP="00024BA3">
      <w:pPr>
        <w:pStyle w:val="Caption"/>
        <w:outlineLvl w:val="9"/>
        <w:rPr>
          <w:sz w:val="20"/>
          <w:szCs w:val="20"/>
        </w:rPr>
      </w:pPr>
      <w:bookmarkStart w:id="290" w:name="_Ref473456179"/>
      <w:bookmarkStart w:id="291" w:name="_Toc511032627"/>
      <w:r w:rsidRPr="0073580E">
        <w:rPr>
          <w:sz w:val="20"/>
          <w:szCs w:val="20"/>
        </w:rPr>
        <w:lastRenderedPageBreak/>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36</w:t>
      </w:r>
      <w:r w:rsidR="00103328">
        <w:rPr>
          <w:sz w:val="20"/>
          <w:szCs w:val="20"/>
        </w:rPr>
        <w:fldChar w:fldCharType="end"/>
      </w:r>
      <w:bookmarkEnd w:id="290"/>
      <w:r w:rsidRPr="0073580E">
        <w:rPr>
          <w:sz w:val="20"/>
          <w:szCs w:val="20"/>
        </w:rPr>
        <w:t>: MDO OSTM summary results</w:t>
      </w:r>
      <w:bookmarkEnd w:id="291"/>
    </w:p>
    <w:tbl>
      <w:tblPr>
        <w:tblW w:w="0" w:type="auto"/>
        <w:tblInd w:w="567"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2176"/>
        <w:gridCol w:w="3454"/>
        <w:gridCol w:w="2814"/>
      </w:tblGrid>
      <w:tr w:rsidR="00FD03FC" w:rsidRPr="0073580E" w14:paraId="4CE35180" w14:textId="77777777" w:rsidTr="00FE1B0F">
        <w:trPr>
          <w:tblHeader/>
        </w:trPr>
        <w:tc>
          <w:tcPr>
            <w:tcW w:w="2212" w:type="dxa"/>
            <w:shd w:val="clear" w:color="auto" w:fill="A6A6A6"/>
          </w:tcPr>
          <w:p w14:paraId="1F6AA842" w14:textId="77777777" w:rsidR="00FD03FC" w:rsidRPr="0073580E" w:rsidRDefault="00FD03FC" w:rsidP="00DD1D49">
            <w:pPr>
              <w:pStyle w:val="BodyText"/>
              <w:spacing w:before="60" w:after="60"/>
              <w:ind w:left="0"/>
              <w:rPr>
                <w:rFonts w:cs="Arial"/>
                <w:b/>
                <w:sz w:val="16"/>
                <w:szCs w:val="16"/>
              </w:rPr>
            </w:pPr>
            <w:r w:rsidRPr="0073580E">
              <w:rPr>
                <w:rFonts w:cs="Arial"/>
                <w:b/>
                <w:sz w:val="16"/>
                <w:szCs w:val="16"/>
              </w:rPr>
              <w:t>Scenario</w:t>
            </w:r>
          </w:p>
        </w:tc>
        <w:tc>
          <w:tcPr>
            <w:tcW w:w="6418" w:type="dxa"/>
            <w:gridSpan w:val="2"/>
            <w:shd w:val="clear" w:color="auto" w:fill="A6A6A6"/>
          </w:tcPr>
          <w:p w14:paraId="0D749776" w14:textId="43B4298F" w:rsidR="00FD03FC" w:rsidRPr="0073580E" w:rsidRDefault="00FD03FC" w:rsidP="00FD03FC">
            <w:pPr>
              <w:pStyle w:val="BodyText"/>
              <w:spacing w:before="60" w:after="60"/>
              <w:ind w:left="0"/>
              <w:jc w:val="center"/>
              <w:rPr>
                <w:rFonts w:cs="Arial"/>
                <w:b/>
                <w:sz w:val="16"/>
                <w:szCs w:val="16"/>
              </w:rPr>
            </w:pPr>
            <w:r w:rsidRPr="0073580E">
              <w:rPr>
                <w:rFonts w:cs="Arial"/>
                <w:b/>
                <w:sz w:val="16"/>
                <w:szCs w:val="16"/>
              </w:rPr>
              <w:t>Results</w:t>
            </w:r>
          </w:p>
        </w:tc>
      </w:tr>
      <w:tr w:rsidR="00310DCD" w:rsidRPr="0073580E" w14:paraId="618A19CD" w14:textId="77777777" w:rsidTr="00FE1B0F">
        <w:trPr>
          <w:tblHeader/>
        </w:trPr>
        <w:tc>
          <w:tcPr>
            <w:tcW w:w="2212" w:type="dxa"/>
            <w:shd w:val="clear" w:color="auto" w:fill="BFBFBF"/>
          </w:tcPr>
          <w:p w14:paraId="47BA67DA" w14:textId="77777777" w:rsidR="00310DCD" w:rsidRPr="0073580E" w:rsidRDefault="00310DCD" w:rsidP="00DD1D49">
            <w:pPr>
              <w:pStyle w:val="BodyText"/>
              <w:spacing w:before="60" w:after="60"/>
              <w:ind w:left="0"/>
              <w:rPr>
                <w:rFonts w:cs="Arial"/>
                <w:b/>
                <w:sz w:val="16"/>
                <w:szCs w:val="16"/>
              </w:rPr>
            </w:pPr>
            <w:r w:rsidRPr="0073580E">
              <w:rPr>
                <w:rFonts w:cs="Arial"/>
                <w:b/>
                <w:sz w:val="16"/>
                <w:szCs w:val="16"/>
              </w:rPr>
              <w:t>Surface water</w:t>
            </w:r>
          </w:p>
        </w:tc>
        <w:tc>
          <w:tcPr>
            <w:tcW w:w="3540" w:type="dxa"/>
            <w:shd w:val="clear" w:color="auto" w:fill="BFBFBF"/>
          </w:tcPr>
          <w:p w14:paraId="552EF38E" w14:textId="75FB787C" w:rsidR="00310DCD" w:rsidRPr="0073580E" w:rsidRDefault="00FD03FC" w:rsidP="00FD03FC">
            <w:pPr>
              <w:pStyle w:val="BodyText"/>
              <w:spacing w:before="60" w:after="60"/>
              <w:ind w:left="0"/>
              <w:jc w:val="center"/>
              <w:rPr>
                <w:rFonts w:cs="Arial"/>
                <w:sz w:val="16"/>
                <w:szCs w:val="16"/>
              </w:rPr>
            </w:pPr>
            <w:r w:rsidRPr="0073580E">
              <w:rPr>
                <w:rFonts w:cs="Arial"/>
                <w:b/>
                <w:sz w:val="16"/>
                <w:szCs w:val="16"/>
              </w:rPr>
              <w:t>Sea surface exposure</w:t>
            </w:r>
          </w:p>
        </w:tc>
        <w:tc>
          <w:tcPr>
            <w:tcW w:w="2878" w:type="dxa"/>
            <w:shd w:val="clear" w:color="auto" w:fill="BFBFBF"/>
          </w:tcPr>
          <w:p w14:paraId="054274DE" w14:textId="6544D952" w:rsidR="00310DCD" w:rsidRPr="0073580E" w:rsidRDefault="00FD03FC" w:rsidP="00FD03FC">
            <w:pPr>
              <w:pStyle w:val="BodyText"/>
              <w:spacing w:before="60" w:after="60"/>
              <w:ind w:left="0"/>
              <w:jc w:val="center"/>
              <w:rPr>
                <w:rFonts w:cs="Arial"/>
                <w:sz w:val="16"/>
                <w:szCs w:val="16"/>
              </w:rPr>
            </w:pPr>
            <w:r w:rsidRPr="0073580E">
              <w:rPr>
                <w:rFonts w:cs="Arial"/>
                <w:b/>
                <w:sz w:val="16"/>
                <w:szCs w:val="16"/>
              </w:rPr>
              <w:t>Shoreline exposure</w:t>
            </w:r>
          </w:p>
        </w:tc>
      </w:tr>
      <w:tr w:rsidR="00310DCD" w:rsidRPr="0073580E" w14:paraId="103D6489" w14:textId="77777777" w:rsidTr="00310DCD">
        <w:tc>
          <w:tcPr>
            <w:tcW w:w="2212" w:type="dxa"/>
            <w:shd w:val="clear" w:color="auto" w:fill="F2F2F2"/>
          </w:tcPr>
          <w:p w14:paraId="0A0CAD4F" w14:textId="77777777" w:rsidR="00310DCD" w:rsidRPr="0073580E" w:rsidRDefault="00310DCD" w:rsidP="00DD1D49">
            <w:pPr>
              <w:pStyle w:val="BodyText"/>
              <w:spacing w:before="60" w:after="60"/>
              <w:ind w:left="0"/>
              <w:rPr>
                <w:rFonts w:cs="Arial"/>
                <w:sz w:val="16"/>
                <w:szCs w:val="16"/>
              </w:rPr>
            </w:pPr>
            <w:r w:rsidRPr="0073580E">
              <w:rPr>
                <w:rFonts w:cs="Arial"/>
                <w:sz w:val="16"/>
                <w:szCs w:val="16"/>
              </w:rPr>
              <w:t>1 g/m</w:t>
            </w:r>
            <w:r w:rsidRPr="0073580E">
              <w:rPr>
                <w:rFonts w:cs="Arial"/>
                <w:sz w:val="16"/>
                <w:szCs w:val="16"/>
                <w:vertAlign w:val="superscript"/>
              </w:rPr>
              <w:t>2</w:t>
            </w:r>
            <w:r w:rsidRPr="0073580E">
              <w:rPr>
                <w:rFonts w:cs="Arial"/>
                <w:sz w:val="16"/>
                <w:szCs w:val="16"/>
              </w:rPr>
              <w:t xml:space="preserve"> </w:t>
            </w:r>
            <w:r w:rsidRPr="0073580E">
              <w:rPr>
                <w:rFonts w:cs="Arial"/>
                <w:sz w:val="16"/>
                <w:szCs w:val="16"/>
              </w:rPr>
              <w:br/>
              <w:t>(low exposure)</w:t>
            </w:r>
          </w:p>
        </w:tc>
        <w:tc>
          <w:tcPr>
            <w:tcW w:w="3540" w:type="dxa"/>
            <w:shd w:val="clear" w:color="auto" w:fill="F2F2F2"/>
          </w:tcPr>
          <w:p w14:paraId="23616F64" w14:textId="77777777" w:rsidR="00310DCD" w:rsidRPr="0073580E" w:rsidRDefault="00310DCD" w:rsidP="00DD1D49">
            <w:pPr>
              <w:spacing w:before="60" w:after="60"/>
              <w:rPr>
                <w:rFonts w:cs="Arial"/>
                <w:sz w:val="16"/>
                <w:szCs w:val="16"/>
              </w:rPr>
            </w:pPr>
            <w:r w:rsidRPr="0073580E">
              <w:rPr>
                <w:rFonts w:cs="Arial"/>
                <w:sz w:val="16"/>
                <w:szCs w:val="16"/>
              </w:rPr>
              <w:t xml:space="preserve">Travelled a maximum of </w:t>
            </w:r>
            <w:r w:rsidRPr="0073580E">
              <w:rPr>
                <w:rFonts w:cs="Arial"/>
                <w:sz w:val="16"/>
                <w:szCs w:val="16"/>
              </w:rPr>
              <w:br/>
              <w:t xml:space="preserve">36 km, favouring the northwest direction. </w:t>
            </w:r>
          </w:p>
          <w:p w14:paraId="6BFB11F0" w14:textId="77777777" w:rsidR="00310DCD" w:rsidRPr="0073580E" w:rsidRDefault="00310DCD" w:rsidP="00DD1D49">
            <w:pPr>
              <w:pStyle w:val="BodyText"/>
              <w:spacing w:before="60" w:after="60"/>
              <w:ind w:left="0"/>
              <w:rPr>
                <w:rFonts w:cs="Arial"/>
                <w:sz w:val="16"/>
                <w:szCs w:val="16"/>
              </w:rPr>
            </w:pPr>
            <w:r w:rsidRPr="0073580E">
              <w:rPr>
                <w:rFonts w:cs="Arial"/>
                <w:sz w:val="16"/>
                <w:szCs w:val="16"/>
              </w:rPr>
              <w:t>0-5% chance of scattered exposure to Twelve Apostles Marine National Park.</w:t>
            </w:r>
          </w:p>
        </w:tc>
        <w:tc>
          <w:tcPr>
            <w:tcW w:w="2878" w:type="dxa"/>
            <w:shd w:val="clear" w:color="auto" w:fill="F2F2F2"/>
          </w:tcPr>
          <w:p w14:paraId="19EC1063" w14:textId="77777777" w:rsidR="00310DCD" w:rsidRPr="0073580E" w:rsidRDefault="00310DCD" w:rsidP="00DD1D49">
            <w:pPr>
              <w:pStyle w:val="BodyText"/>
              <w:spacing w:before="60" w:after="60"/>
              <w:ind w:left="0"/>
              <w:rPr>
                <w:rFonts w:cs="Arial"/>
                <w:sz w:val="16"/>
                <w:szCs w:val="16"/>
              </w:rPr>
            </w:pPr>
            <w:r w:rsidRPr="0073580E">
              <w:rPr>
                <w:rFonts w:cs="Arial"/>
                <w:sz w:val="16"/>
                <w:szCs w:val="16"/>
              </w:rPr>
              <w:t>A 22% probability of shoreline exposure, taking a minimum of 11.5 hours. A maximum volume of 66 m</w:t>
            </w:r>
            <w:r w:rsidRPr="0073580E">
              <w:rPr>
                <w:rFonts w:cs="Arial"/>
                <w:sz w:val="16"/>
                <w:szCs w:val="16"/>
                <w:vertAlign w:val="superscript"/>
              </w:rPr>
              <w:t>3</w:t>
            </w:r>
            <w:r w:rsidRPr="0073580E">
              <w:rPr>
                <w:rFonts w:cs="Arial"/>
                <w:sz w:val="16"/>
                <w:szCs w:val="16"/>
              </w:rPr>
              <w:t xml:space="preserve"> of MDO stranding ashore. </w:t>
            </w:r>
          </w:p>
        </w:tc>
      </w:tr>
      <w:tr w:rsidR="00310DCD" w:rsidRPr="0073580E" w14:paraId="4AC36CC6" w14:textId="77777777" w:rsidTr="00310DCD">
        <w:tc>
          <w:tcPr>
            <w:tcW w:w="2212" w:type="dxa"/>
            <w:shd w:val="clear" w:color="auto" w:fill="auto"/>
          </w:tcPr>
          <w:p w14:paraId="1E468296" w14:textId="548D5C2D" w:rsidR="00310DCD" w:rsidRPr="0073580E" w:rsidRDefault="001915E5" w:rsidP="00DD1D49">
            <w:pPr>
              <w:pStyle w:val="BodyText"/>
              <w:spacing w:before="60" w:after="60"/>
              <w:ind w:left="0"/>
              <w:rPr>
                <w:rFonts w:cs="Arial"/>
                <w:sz w:val="16"/>
                <w:szCs w:val="16"/>
              </w:rPr>
            </w:pPr>
            <w:r>
              <w:rPr>
                <w:rFonts w:cs="Arial"/>
                <w:sz w:val="16"/>
                <w:szCs w:val="16"/>
              </w:rPr>
              <w:t>10-2</w:t>
            </w:r>
            <w:r w:rsidR="00310DCD" w:rsidRPr="0073580E">
              <w:rPr>
                <w:rFonts w:cs="Arial"/>
                <w:sz w:val="16"/>
                <w:szCs w:val="16"/>
              </w:rPr>
              <w:t>5 g/m</w:t>
            </w:r>
            <w:r w:rsidR="00310DCD" w:rsidRPr="0073580E">
              <w:rPr>
                <w:rFonts w:cs="Arial"/>
                <w:sz w:val="16"/>
                <w:szCs w:val="16"/>
                <w:vertAlign w:val="superscript"/>
              </w:rPr>
              <w:t>2</w:t>
            </w:r>
            <w:r w:rsidR="00310DCD" w:rsidRPr="0073580E">
              <w:rPr>
                <w:rFonts w:cs="Arial"/>
                <w:sz w:val="16"/>
                <w:szCs w:val="16"/>
              </w:rPr>
              <w:t xml:space="preserve"> </w:t>
            </w:r>
            <w:r w:rsidR="00310DCD" w:rsidRPr="0073580E">
              <w:rPr>
                <w:rFonts w:cs="Arial"/>
                <w:sz w:val="16"/>
                <w:szCs w:val="16"/>
              </w:rPr>
              <w:br/>
              <w:t>(moderate exposure)</w:t>
            </w:r>
          </w:p>
        </w:tc>
        <w:tc>
          <w:tcPr>
            <w:tcW w:w="3540" w:type="dxa"/>
            <w:shd w:val="clear" w:color="auto" w:fill="auto"/>
          </w:tcPr>
          <w:p w14:paraId="120C6B6B" w14:textId="77777777" w:rsidR="00310DCD" w:rsidRPr="0073580E" w:rsidRDefault="00310DCD" w:rsidP="00DD1D49">
            <w:pPr>
              <w:spacing w:before="60" w:after="60"/>
              <w:rPr>
                <w:rFonts w:cs="Arial"/>
                <w:sz w:val="16"/>
                <w:szCs w:val="16"/>
              </w:rPr>
            </w:pPr>
            <w:r w:rsidRPr="0073580E">
              <w:rPr>
                <w:rFonts w:cs="Arial"/>
                <w:sz w:val="16"/>
                <w:szCs w:val="16"/>
              </w:rPr>
              <w:t xml:space="preserve">Travelled a maximum of </w:t>
            </w:r>
            <w:r w:rsidRPr="0073580E">
              <w:rPr>
                <w:rFonts w:cs="Arial"/>
                <w:sz w:val="16"/>
                <w:szCs w:val="16"/>
              </w:rPr>
              <w:br/>
              <w:t xml:space="preserve">18 km, favouring the west-northwest direction. </w:t>
            </w:r>
          </w:p>
          <w:p w14:paraId="0181A0D2" w14:textId="77777777" w:rsidR="00310DCD" w:rsidRPr="0073580E" w:rsidRDefault="00310DCD" w:rsidP="00DD1D49">
            <w:pPr>
              <w:pStyle w:val="BodyText"/>
              <w:spacing w:before="60" w:after="60"/>
              <w:ind w:left="0"/>
              <w:rPr>
                <w:rFonts w:cs="Arial"/>
                <w:sz w:val="16"/>
                <w:szCs w:val="16"/>
              </w:rPr>
            </w:pPr>
            <w:r w:rsidRPr="0073580E">
              <w:rPr>
                <w:rFonts w:cs="Arial"/>
                <w:sz w:val="16"/>
                <w:szCs w:val="16"/>
              </w:rPr>
              <w:t>No exposure to marine parks.</w:t>
            </w:r>
          </w:p>
        </w:tc>
        <w:tc>
          <w:tcPr>
            <w:tcW w:w="2878" w:type="dxa"/>
            <w:shd w:val="clear" w:color="auto" w:fill="auto"/>
          </w:tcPr>
          <w:p w14:paraId="65034D90" w14:textId="77777777" w:rsidR="00310DCD" w:rsidRPr="0073580E" w:rsidRDefault="00310DCD" w:rsidP="00DD1D49">
            <w:pPr>
              <w:pStyle w:val="BodyText"/>
              <w:spacing w:before="60" w:after="60"/>
              <w:ind w:left="0"/>
              <w:rPr>
                <w:rFonts w:cs="Arial"/>
                <w:sz w:val="16"/>
                <w:szCs w:val="16"/>
              </w:rPr>
            </w:pPr>
            <w:r w:rsidRPr="0073580E">
              <w:rPr>
                <w:rFonts w:cs="Arial"/>
                <w:sz w:val="16"/>
                <w:szCs w:val="16"/>
              </w:rPr>
              <w:t xml:space="preserve">0-16% probability of shoreline exposure, from west of Portland to Anglesea, with the majority of contact probability being in the 0-5% range. MDO would travel through the Twelve Apostles Marine National Park. </w:t>
            </w:r>
          </w:p>
        </w:tc>
      </w:tr>
      <w:tr w:rsidR="00310DCD" w:rsidRPr="0073580E" w14:paraId="439B698D" w14:textId="77777777" w:rsidTr="00310DCD">
        <w:tc>
          <w:tcPr>
            <w:tcW w:w="2212" w:type="dxa"/>
            <w:shd w:val="clear" w:color="auto" w:fill="F2F2F2"/>
          </w:tcPr>
          <w:p w14:paraId="4630B69B" w14:textId="77777777" w:rsidR="00310DCD" w:rsidRPr="0073580E" w:rsidRDefault="00310DCD" w:rsidP="00DD1D49">
            <w:pPr>
              <w:pStyle w:val="BodyText"/>
              <w:spacing w:before="60" w:after="60"/>
              <w:ind w:left="0"/>
              <w:rPr>
                <w:rFonts w:cs="Arial"/>
                <w:sz w:val="16"/>
                <w:szCs w:val="16"/>
              </w:rPr>
            </w:pPr>
            <w:r w:rsidRPr="0073580E">
              <w:rPr>
                <w:rFonts w:cs="Arial"/>
                <w:sz w:val="16"/>
                <w:szCs w:val="16"/>
              </w:rPr>
              <w:t>&gt;25 g/m</w:t>
            </w:r>
            <w:r w:rsidRPr="0073580E">
              <w:rPr>
                <w:rFonts w:cs="Arial"/>
                <w:sz w:val="16"/>
                <w:szCs w:val="16"/>
                <w:vertAlign w:val="superscript"/>
              </w:rPr>
              <w:t>2</w:t>
            </w:r>
            <w:r w:rsidRPr="0073580E">
              <w:rPr>
                <w:rFonts w:cs="Arial"/>
                <w:sz w:val="16"/>
                <w:szCs w:val="16"/>
              </w:rPr>
              <w:t xml:space="preserve"> </w:t>
            </w:r>
            <w:r w:rsidRPr="0073580E">
              <w:rPr>
                <w:rFonts w:cs="Arial"/>
                <w:sz w:val="16"/>
                <w:szCs w:val="16"/>
              </w:rPr>
              <w:br/>
              <w:t>(high exposure)</w:t>
            </w:r>
          </w:p>
        </w:tc>
        <w:tc>
          <w:tcPr>
            <w:tcW w:w="3540" w:type="dxa"/>
            <w:shd w:val="clear" w:color="auto" w:fill="F2F2F2"/>
          </w:tcPr>
          <w:p w14:paraId="55DA2782" w14:textId="77777777" w:rsidR="00310DCD" w:rsidRPr="0073580E" w:rsidRDefault="00310DCD" w:rsidP="00DD1D49">
            <w:pPr>
              <w:spacing w:before="60" w:after="60"/>
              <w:rPr>
                <w:rFonts w:cs="Arial"/>
                <w:sz w:val="16"/>
                <w:szCs w:val="16"/>
              </w:rPr>
            </w:pPr>
            <w:r w:rsidRPr="0073580E">
              <w:rPr>
                <w:rFonts w:cs="Arial"/>
                <w:sz w:val="16"/>
                <w:szCs w:val="16"/>
              </w:rPr>
              <w:t>Travelled a maximum of 11 km, favouring the northwest direction.</w:t>
            </w:r>
          </w:p>
          <w:p w14:paraId="2D2A7FD8" w14:textId="77777777" w:rsidR="00310DCD" w:rsidRPr="0073580E" w:rsidRDefault="00310DCD" w:rsidP="00DD1D49">
            <w:pPr>
              <w:pStyle w:val="BodyText"/>
              <w:spacing w:before="60" w:after="60"/>
              <w:ind w:left="0"/>
              <w:rPr>
                <w:rFonts w:cs="Arial"/>
                <w:sz w:val="16"/>
                <w:szCs w:val="16"/>
              </w:rPr>
            </w:pPr>
            <w:r w:rsidRPr="0073580E">
              <w:rPr>
                <w:rFonts w:cs="Arial"/>
                <w:sz w:val="16"/>
                <w:szCs w:val="16"/>
              </w:rPr>
              <w:t>No exposure to marine parks.</w:t>
            </w:r>
          </w:p>
        </w:tc>
        <w:tc>
          <w:tcPr>
            <w:tcW w:w="2878" w:type="dxa"/>
            <w:shd w:val="clear" w:color="auto" w:fill="F2F2F2"/>
          </w:tcPr>
          <w:p w14:paraId="52773E3C" w14:textId="77777777" w:rsidR="00310DCD" w:rsidRPr="0073580E" w:rsidRDefault="00310DCD" w:rsidP="00DD1D49">
            <w:pPr>
              <w:pStyle w:val="BodyText"/>
              <w:spacing w:before="60" w:after="60"/>
              <w:ind w:left="0"/>
              <w:rPr>
                <w:rFonts w:cs="Arial"/>
                <w:sz w:val="16"/>
                <w:szCs w:val="16"/>
              </w:rPr>
            </w:pPr>
            <w:r w:rsidRPr="0073580E">
              <w:rPr>
                <w:rFonts w:cs="Arial"/>
                <w:sz w:val="16"/>
                <w:szCs w:val="16"/>
              </w:rPr>
              <w:t xml:space="preserve">Maximum 13% probability of shoreline exposure.   </w:t>
            </w:r>
          </w:p>
        </w:tc>
      </w:tr>
      <w:tr w:rsidR="00FD03FC" w:rsidRPr="0073580E" w14:paraId="409E1971" w14:textId="77777777" w:rsidTr="00FD03FC">
        <w:tc>
          <w:tcPr>
            <w:tcW w:w="2212" w:type="dxa"/>
            <w:shd w:val="clear" w:color="auto" w:fill="BFBFBF"/>
          </w:tcPr>
          <w:p w14:paraId="3C2D1353" w14:textId="77777777" w:rsidR="00FD03FC" w:rsidRPr="0073580E" w:rsidRDefault="00FD03FC" w:rsidP="00DD1D49">
            <w:pPr>
              <w:pStyle w:val="BodyText"/>
              <w:spacing w:before="60" w:after="60"/>
              <w:ind w:left="0"/>
              <w:rPr>
                <w:rFonts w:cs="Arial"/>
                <w:b/>
                <w:sz w:val="16"/>
                <w:szCs w:val="16"/>
              </w:rPr>
            </w:pPr>
            <w:r w:rsidRPr="0073580E">
              <w:rPr>
                <w:rFonts w:cs="Arial"/>
                <w:b/>
                <w:sz w:val="16"/>
                <w:szCs w:val="16"/>
              </w:rPr>
              <w:t>Dissolved phase</w:t>
            </w:r>
          </w:p>
        </w:tc>
        <w:tc>
          <w:tcPr>
            <w:tcW w:w="6418" w:type="dxa"/>
            <w:gridSpan w:val="2"/>
            <w:shd w:val="clear" w:color="auto" w:fill="BFBFBF"/>
          </w:tcPr>
          <w:p w14:paraId="671C3806" w14:textId="77777777" w:rsidR="00FD03FC" w:rsidRPr="0073580E" w:rsidRDefault="00FD03FC" w:rsidP="00DD1D49">
            <w:pPr>
              <w:pStyle w:val="BodyText"/>
              <w:spacing w:before="60" w:after="60"/>
              <w:ind w:left="0"/>
              <w:rPr>
                <w:rFonts w:cs="Arial"/>
                <w:sz w:val="16"/>
                <w:szCs w:val="16"/>
              </w:rPr>
            </w:pPr>
          </w:p>
        </w:tc>
      </w:tr>
      <w:tr w:rsidR="00310DCD" w:rsidRPr="0073580E" w14:paraId="62D08F8C" w14:textId="77777777" w:rsidTr="00310DCD">
        <w:tc>
          <w:tcPr>
            <w:tcW w:w="2212" w:type="dxa"/>
            <w:shd w:val="clear" w:color="auto" w:fill="F2F2F2"/>
          </w:tcPr>
          <w:p w14:paraId="0C42E709" w14:textId="77777777" w:rsidR="00310DCD" w:rsidRPr="0073580E" w:rsidRDefault="00310DCD" w:rsidP="00DD1D49">
            <w:pPr>
              <w:pStyle w:val="BodyText"/>
              <w:spacing w:before="60" w:after="60"/>
              <w:ind w:left="0"/>
              <w:rPr>
                <w:rFonts w:cs="Arial"/>
                <w:sz w:val="16"/>
                <w:szCs w:val="16"/>
              </w:rPr>
            </w:pPr>
            <w:r w:rsidRPr="0073580E">
              <w:rPr>
                <w:rFonts w:cs="Arial"/>
                <w:sz w:val="16"/>
                <w:szCs w:val="16"/>
              </w:rPr>
              <w:t>576-4,800 ppb.hrs (low exposure)</w:t>
            </w:r>
          </w:p>
        </w:tc>
        <w:tc>
          <w:tcPr>
            <w:tcW w:w="6418" w:type="dxa"/>
            <w:gridSpan w:val="2"/>
            <w:shd w:val="clear" w:color="auto" w:fill="F2F2F2"/>
            <w:vAlign w:val="center"/>
          </w:tcPr>
          <w:p w14:paraId="7DA5F5B8" w14:textId="77777777" w:rsidR="00310DCD" w:rsidRPr="0073580E" w:rsidRDefault="00310DCD" w:rsidP="00DD1D49">
            <w:pPr>
              <w:pStyle w:val="BodyText"/>
              <w:spacing w:before="60" w:after="60"/>
              <w:ind w:left="0"/>
              <w:jc w:val="center"/>
              <w:rPr>
                <w:rFonts w:cs="Arial"/>
                <w:sz w:val="16"/>
                <w:szCs w:val="16"/>
              </w:rPr>
            </w:pPr>
            <w:r w:rsidRPr="0073580E">
              <w:rPr>
                <w:rFonts w:cs="Arial"/>
                <w:sz w:val="16"/>
                <w:szCs w:val="16"/>
              </w:rPr>
              <w:t>No exposure of any meaningful level.</w:t>
            </w:r>
          </w:p>
        </w:tc>
      </w:tr>
      <w:tr w:rsidR="00310DCD" w:rsidRPr="0073580E" w14:paraId="76311DB5" w14:textId="77777777" w:rsidTr="00310DCD">
        <w:tc>
          <w:tcPr>
            <w:tcW w:w="2212" w:type="dxa"/>
            <w:shd w:val="clear" w:color="auto" w:fill="auto"/>
          </w:tcPr>
          <w:p w14:paraId="761FE9DD" w14:textId="77777777" w:rsidR="00310DCD" w:rsidRPr="0073580E" w:rsidRDefault="00310DCD" w:rsidP="00DD1D49">
            <w:pPr>
              <w:pStyle w:val="BodyText"/>
              <w:spacing w:before="60" w:after="60"/>
              <w:ind w:left="0"/>
              <w:rPr>
                <w:rFonts w:cs="Arial"/>
                <w:sz w:val="16"/>
                <w:szCs w:val="16"/>
              </w:rPr>
            </w:pPr>
            <w:r w:rsidRPr="0073580E">
              <w:rPr>
                <w:rFonts w:cs="Arial"/>
                <w:sz w:val="16"/>
                <w:szCs w:val="16"/>
              </w:rPr>
              <w:t>4,800-38,400 ppb.hrs (moderate exposure)</w:t>
            </w:r>
          </w:p>
        </w:tc>
        <w:tc>
          <w:tcPr>
            <w:tcW w:w="6418" w:type="dxa"/>
            <w:gridSpan w:val="2"/>
            <w:shd w:val="clear" w:color="auto" w:fill="auto"/>
            <w:vAlign w:val="center"/>
          </w:tcPr>
          <w:p w14:paraId="415BB4BA" w14:textId="77777777" w:rsidR="00310DCD" w:rsidRPr="0073580E" w:rsidRDefault="00310DCD" w:rsidP="00DD1D49">
            <w:pPr>
              <w:pStyle w:val="BodyText"/>
              <w:spacing w:before="60" w:after="60"/>
              <w:ind w:left="0"/>
              <w:jc w:val="center"/>
              <w:rPr>
                <w:rFonts w:cs="Arial"/>
                <w:sz w:val="16"/>
                <w:szCs w:val="16"/>
              </w:rPr>
            </w:pPr>
            <w:r w:rsidRPr="0073580E">
              <w:rPr>
                <w:rFonts w:cs="Arial"/>
                <w:sz w:val="16"/>
                <w:szCs w:val="16"/>
              </w:rPr>
              <w:t>No exposure of any meaningful level.</w:t>
            </w:r>
          </w:p>
        </w:tc>
      </w:tr>
      <w:tr w:rsidR="00310DCD" w:rsidRPr="0073580E" w14:paraId="3ADED734" w14:textId="77777777" w:rsidTr="00310DCD">
        <w:tc>
          <w:tcPr>
            <w:tcW w:w="2212" w:type="dxa"/>
            <w:shd w:val="clear" w:color="auto" w:fill="F2F2F2"/>
          </w:tcPr>
          <w:p w14:paraId="554D964C" w14:textId="77777777" w:rsidR="00310DCD" w:rsidRPr="0073580E" w:rsidRDefault="00310DCD" w:rsidP="00DD1D49">
            <w:pPr>
              <w:pStyle w:val="BodyText"/>
              <w:spacing w:before="60" w:after="60"/>
              <w:ind w:left="0"/>
              <w:rPr>
                <w:rFonts w:cs="Arial"/>
                <w:sz w:val="16"/>
                <w:szCs w:val="16"/>
              </w:rPr>
            </w:pPr>
            <w:r w:rsidRPr="0073580E">
              <w:rPr>
                <w:rFonts w:cs="Arial"/>
                <w:sz w:val="16"/>
                <w:szCs w:val="16"/>
              </w:rPr>
              <w:t xml:space="preserve">&gt;38,400 ppb.hrs </w:t>
            </w:r>
            <w:r w:rsidRPr="0073580E">
              <w:rPr>
                <w:rFonts w:cs="Arial"/>
                <w:sz w:val="16"/>
                <w:szCs w:val="16"/>
              </w:rPr>
              <w:br/>
              <w:t>(high exposure)</w:t>
            </w:r>
          </w:p>
        </w:tc>
        <w:tc>
          <w:tcPr>
            <w:tcW w:w="6418" w:type="dxa"/>
            <w:gridSpan w:val="2"/>
            <w:shd w:val="clear" w:color="auto" w:fill="F2F2F2"/>
            <w:vAlign w:val="center"/>
          </w:tcPr>
          <w:p w14:paraId="1C8BD108" w14:textId="77777777" w:rsidR="00310DCD" w:rsidRPr="0073580E" w:rsidRDefault="00310DCD" w:rsidP="00DD1D49">
            <w:pPr>
              <w:pStyle w:val="BodyText"/>
              <w:spacing w:before="60" w:after="60"/>
              <w:ind w:left="0"/>
              <w:jc w:val="center"/>
              <w:rPr>
                <w:rFonts w:cs="Arial"/>
                <w:sz w:val="16"/>
                <w:szCs w:val="16"/>
              </w:rPr>
            </w:pPr>
            <w:r w:rsidRPr="0073580E">
              <w:rPr>
                <w:rFonts w:cs="Arial"/>
                <w:sz w:val="16"/>
                <w:szCs w:val="16"/>
              </w:rPr>
              <w:t>No exposure of any meaningful level.</w:t>
            </w:r>
          </w:p>
        </w:tc>
      </w:tr>
      <w:tr w:rsidR="00FD03FC" w:rsidRPr="0073580E" w14:paraId="76963785" w14:textId="77777777" w:rsidTr="00FD03FC">
        <w:tc>
          <w:tcPr>
            <w:tcW w:w="2212" w:type="dxa"/>
            <w:shd w:val="clear" w:color="auto" w:fill="BFBFBF"/>
          </w:tcPr>
          <w:p w14:paraId="11F2C1AE" w14:textId="77777777" w:rsidR="00FD03FC" w:rsidRPr="0073580E" w:rsidRDefault="00FD03FC" w:rsidP="00DD1D49">
            <w:pPr>
              <w:pStyle w:val="BodyText"/>
              <w:spacing w:before="60" w:after="60"/>
              <w:ind w:left="0"/>
              <w:rPr>
                <w:rFonts w:cs="Arial"/>
                <w:b/>
                <w:sz w:val="16"/>
                <w:szCs w:val="16"/>
              </w:rPr>
            </w:pPr>
            <w:r w:rsidRPr="0073580E">
              <w:rPr>
                <w:rFonts w:cs="Arial"/>
                <w:b/>
                <w:sz w:val="16"/>
                <w:szCs w:val="16"/>
              </w:rPr>
              <w:t>Entrained phase</w:t>
            </w:r>
          </w:p>
        </w:tc>
        <w:tc>
          <w:tcPr>
            <w:tcW w:w="6418" w:type="dxa"/>
            <w:gridSpan w:val="2"/>
            <w:shd w:val="clear" w:color="auto" w:fill="BFBFBF"/>
          </w:tcPr>
          <w:p w14:paraId="0BA5E6DC" w14:textId="77777777" w:rsidR="00FD03FC" w:rsidRPr="0073580E" w:rsidRDefault="00FD03FC" w:rsidP="00DD1D49">
            <w:pPr>
              <w:pStyle w:val="BodyText"/>
              <w:spacing w:before="60" w:after="60"/>
              <w:ind w:left="0"/>
              <w:rPr>
                <w:rFonts w:cs="Arial"/>
                <w:sz w:val="16"/>
                <w:szCs w:val="16"/>
              </w:rPr>
            </w:pPr>
          </w:p>
        </w:tc>
      </w:tr>
      <w:tr w:rsidR="00310DCD" w:rsidRPr="0073580E" w14:paraId="48951578" w14:textId="77777777" w:rsidTr="00310DCD">
        <w:tc>
          <w:tcPr>
            <w:tcW w:w="2212" w:type="dxa"/>
            <w:shd w:val="clear" w:color="auto" w:fill="F2F2F2"/>
          </w:tcPr>
          <w:p w14:paraId="7BDCF2F5" w14:textId="77777777" w:rsidR="00310DCD" w:rsidRPr="0073580E" w:rsidRDefault="00310DCD" w:rsidP="00DD1D49">
            <w:pPr>
              <w:pStyle w:val="BodyText"/>
              <w:spacing w:before="60" w:after="60"/>
              <w:ind w:left="0"/>
              <w:rPr>
                <w:rFonts w:cs="Arial"/>
                <w:sz w:val="16"/>
                <w:szCs w:val="16"/>
              </w:rPr>
            </w:pPr>
            <w:r w:rsidRPr="0073580E">
              <w:rPr>
                <w:rFonts w:cs="Arial"/>
                <w:sz w:val="16"/>
                <w:szCs w:val="16"/>
              </w:rPr>
              <w:t>672 ppb.hrs (low exposure)</w:t>
            </w:r>
          </w:p>
        </w:tc>
        <w:tc>
          <w:tcPr>
            <w:tcW w:w="6418" w:type="dxa"/>
            <w:gridSpan w:val="2"/>
            <w:shd w:val="clear" w:color="auto" w:fill="F2F2F2"/>
            <w:vAlign w:val="center"/>
          </w:tcPr>
          <w:p w14:paraId="666194C4" w14:textId="150608E3" w:rsidR="00310DCD" w:rsidRPr="00A7130B" w:rsidRDefault="00887A82" w:rsidP="00EA4418">
            <w:pPr>
              <w:pStyle w:val="BodyText"/>
              <w:spacing w:before="60" w:after="60"/>
              <w:ind w:left="0"/>
              <w:rPr>
                <w:rFonts w:cs="Arial"/>
                <w:sz w:val="16"/>
                <w:szCs w:val="16"/>
              </w:rPr>
            </w:pPr>
            <w:r>
              <w:rPr>
                <w:rFonts w:cs="Arial"/>
                <w:sz w:val="16"/>
                <w:szCs w:val="16"/>
              </w:rPr>
              <w:t>T</w:t>
            </w:r>
            <w:r w:rsidR="00310DCD" w:rsidRPr="00A7130B">
              <w:rPr>
                <w:rFonts w:cs="Arial"/>
                <w:sz w:val="16"/>
                <w:szCs w:val="16"/>
              </w:rPr>
              <w:t xml:space="preserve">his zone extends to waters up to 100 km west-northwest and </w:t>
            </w:r>
            <w:r w:rsidR="00A7130B" w:rsidRPr="00A7130B">
              <w:rPr>
                <w:rFonts w:cs="Arial"/>
                <w:sz w:val="16"/>
                <w:szCs w:val="16"/>
              </w:rPr>
              <w:t>approximately</w:t>
            </w:r>
            <w:r w:rsidR="00310DCD" w:rsidRPr="00A7130B">
              <w:rPr>
                <w:rFonts w:cs="Arial"/>
                <w:sz w:val="16"/>
                <w:szCs w:val="16"/>
              </w:rPr>
              <w:t xml:space="preserve">186 km east </w:t>
            </w:r>
          </w:p>
        </w:tc>
      </w:tr>
      <w:tr w:rsidR="00310DCD" w:rsidRPr="0073580E" w14:paraId="6E05E6EA" w14:textId="77777777" w:rsidTr="00310DCD">
        <w:tc>
          <w:tcPr>
            <w:tcW w:w="2212" w:type="dxa"/>
            <w:shd w:val="clear" w:color="auto" w:fill="auto"/>
          </w:tcPr>
          <w:p w14:paraId="1A657683" w14:textId="77777777" w:rsidR="00310DCD" w:rsidRPr="0073580E" w:rsidRDefault="00310DCD" w:rsidP="00DD1D49">
            <w:pPr>
              <w:pStyle w:val="BodyText"/>
              <w:spacing w:before="60" w:after="60"/>
              <w:ind w:left="0"/>
              <w:rPr>
                <w:rFonts w:cs="Arial"/>
                <w:sz w:val="16"/>
                <w:szCs w:val="16"/>
              </w:rPr>
            </w:pPr>
            <w:r w:rsidRPr="0073580E">
              <w:rPr>
                <w:rFonts w:cs="Arial"/>
                <w:sz w:val="16"/>
                <w:szCs w:val="16"/>
              </w:rPr>
              <w:t>6,768 ppb.hrs (moderate exposure)</w:t>
            </w:r>
          </w:p>
        </w:tc>
        <w:tc>
          <w:tcPr>
            <w:tcW w:w="6418" w:type="dxa"/>
            <w:gridSpan w:val="2"/>
            <w:shd w:val="clear" w:color="auto" w:fill="auto"/>
            <w:vAlign w:val="center"/>
          </w:tcPr>
          <w:p w14:paraId="418031DE" w14:textId="77777777" w:rsidR="00310DCD" w:rsidRPr="0073580E" w:rsidRDefault="00310DCD" w:rsidP="00DD1D49">
            <w:pPr>
              <w:pStyle w:val="BodyText"/>
              <w:spacing w:before="60" w:after="60"/>
              <w:ind w:left="0"/>
              <w:jc w:val="center"/>
              <w:rPr>
                <w:rFonts w:cs="Arial"/>
                <w:sz w:val="16"/>
                <w:szCs w:val="16"/>
              </w:rPr>
            </w:pPr>
            <w:r w:rsidRPr="0073580E">
              <w:rPr>
                <w:rFonts w:cs="Arial"/>
                <w:sz w:val="16"/>
                <w:szCs w:val="16"/>
              </w:rPr>
              <w:t>Exposure was scarce and isolated.</w:t>
            </w:r>
          </w:p>
        </w:tc>
      </w:tr>
      <w:tr w:rsidR="00310DCD" w:rsidRPr="0073580E" w14:paraId="471F409E" w14:textId="77777777" w:rsidTr="00310DCD">
        <w:tc>
          <w:tcPr>
            <w:tcW w:w="2212" w:type="dxa"/>
            <w:shd w:val="clear" w:color="auto" w:fill="F2F2F2"/>
          </w:tcPr>
          <w:p w14:paraId="737893F8" w14:textId="77777777" w:rsidR="00310DCD" w:rsidRPr="0073580E" w:rsidRDefault="00310DCD" w:rsidP="00DD1D49">
            <w:pPr>
              <w:pStyle w:val="BodyText"/>
              <w:spacing w:before="60" w:after="60"/>
              <w:ind w:left="0"/>
              <w:rPr>
                <w:rFonts w:cs="Arial"/>
                <w:sz w:val="16"/>
                <w:szCs w:val="16"/>
              </w:rPr>
            </w:pPr>
            <w:r w:rsidRPr="0073580E">
              <w:rPr>
                <w:rFonts w:cs="Arial"/>
                <w:sz w:val="16"/>
                <w:szCs w:val="16"/>
              </w:rPr>
              <w:t xml:space="preserve">77,088 ppb.hrs </w:t>
            </w:r>
            <w:r w:rsidRPr="0073580E">
              <w:rPr>
                <w:rFonts w:cs="Arial"/>
                <w:sz w:val="16"/>
                <w:szCs w:val="16"/>
              </w:rPr>
              <w:br/>
              <w:t>(high exposure)</w:t>
            </w:r>
          </w:p>
        </w:tc>
        <w:tc>
          <w:tcPr>
            <w:tcW w:w="6418" w:type="dxa"/>
            <w:gridSpan w:val="2"/>
            <w:shd w:val="clear" w:color="auto" w:fill="F2F2F2"/>
            <w:vAlign w:val="center"/>
          </w:tcPr>
          <w:p w14:paraId="73D17FC3" w14:textId="77777777" w:rsidR="00310DCD" w:rsidRPr="0073580E" w:rsidRDefault="00310DCD" w:rsidP="00DD1D49">
            <w:pPr>
              <w:pStyle w:val="BodyText"/>
              <w:spacing w:before="60" w:after="60"/>
              <w:ind w:left="0"/>
              <w:jc w:val="center"/>
              <w:rPr>
                <w:rFonts w:cs="Arial"/>
                <w:sz w:val="16"/>
                <w:szCs w:val="16"/>
              </w:rPr>
            </w:pPr>
            <w:r w:rsidRPr="0073580E">
              <w:rPr>
                <w:rFonts w:cs="Arial"/>
                <w:sz w:val="16"/>
                <w:szCs w:val="16"/>
              </w:rPr>
              <w:t>No exposure of any meaningful level.</w:t>
            </w:r>
          </w:p>
        </w:tc>
      </w:tr>
      <w:tr w:rsidR="004764D4" w:rsidRPr="0073580E" w14:paraId="59E74114" w14:textId="77777777" w:rsidTr="004764D4">
        <w:tc>
          <w:tcPr>
            <w:tcW w:w="2212" w:type="dxa"/>
            <w:shd w:val="clear" w:color="auto" w:fill="BFBFBF" w:themeFill="background1" w:themeFillShade="BF"/>
          </w:tcPr>
          <w:p w14:paraId="49EE3988" w14:textId="7F934580" w:rsidR="004764D4" w:rsidRPr="0073580E" w:rsidRDefault="004764D4" w:rsidP="00DD1D49">
            <w:pPr>
              <w:pStyle w:val="BodyText"/>
              <w:spacing w:before="60" w:after="60"/>
              <w:ind w:left="0"/>
              <w:rPr>
                <w:rFonts w:cs="Arial"/>
                <w:b/>
                <w:sz w:val="16"/>
                <w:szCs w:val="16"/>
              </w:rPr>
            </w:pPr>
            <w:r w:rsidRPr="0073580E">
              <w:rPr>
                <w:rFonts w:cs="Arial"/>
                <w:b/>
                <w:sz w:val="16"/>
                <w:szCs w:val="16"/>
              </w:rPr>
              <w:t>Shoreline</w:t>
            </w:r>
          </w:p>
        </w:tc>
        <w:tc>
          <w:tcPr>
            <w:tcW w:w="6418" w:type="dxa"/>
            <w:gridSpan w:val="2"/>
            <w:shd w:val="clear" w:color="auto" w:fill="BFBFBF" w:themeFill="background1" w:themeFillShade="BF"/>
            <w:vAlign w:val="center"/>
          </w:tcPr>
          <w:p w14:paraId="5321FCAC" w14:textId="77777777" w:rsidR="004764D4" w:rsidRPr="0073580E" w:rsidRDefault="004764D4" w:rsidP="00DD1D49">
            <w:pPr>
              <w:pStyle w:val="BodyText"/>
              <w:spacing w:before="60" w:after="60"/>
              <w:ind w:left="0"/>
              <w:jc w:val="center"/>
              <w:rPr>
                <w:rFonts w:cs="Arial"/>
                <w:sz w:val="16"/>
                <w:szCs w:val="16"/>
              </w:rPr>
            </w:pPr>
          </w:p>
        </w:tc>
      </w:tr>
      <w:tr w:rsidR="00316C85" w:rsidRPr="0073580E" w14:paraId="66FD56ED" w14:textId="77777777" w:rsidTr="002B2C69">
        <w:trPr>
          <w:trHeight w:val="890"/>
        </w:trPr>
        <w:tc>
          <w:tcPr>
            <w:tcW w:w="2212" w:type="dxa"/>
            <w:shd w:val="clear" w:color="auto" w:fill="F2F2F2"/>
          </w:tcPr>
          <w:p w14:paraId="304DB964" w14:textId="6280F6E7" w:rsidR="00316C85" w:rsidRPr="0073580E" w:rsidRDefault="0073580E" w:rsidP="002B2C69">
            <w:pPr>
              <w:pStyle w:val="BodyText"/>
              <w:spacing w:before="60" w:after="60"/>
              <w:ind w:left="0"/>
              <w:rPr>
                <w:rFonts w:cs="Arial"/>
                <w:sz w:val="16"/>
                <w:szCs w:val="16"/>
              </w:rPr>
            </w:pPr>
            <w:r>
              <w:rPr>
                <w:rFonts w:cs="Arial"/>
                <w:sz w:val="16"/>
                <w:szCs w:val="16"/>
              </w:rPr>
              <w:t>LOW EXPOSURE: 10-100g/m</w:t>
            </w:r>
            <w:r w:rsidRPr="002B2C69">
              <w:rPr>
                <w:rFonts w:cs="Arial"/>
                <w:sz w:val="16"/>
                <w:szCs w:val="16"/>
                <w:vertAlign w:val="superscript"/>
              </w:rPr>
              <w:t>2</w:t>
            </w:r>
            <w:r>
              <w:rPr>
                <w:rFonts w:cs="Arial"/>
                <w:sz w:val="16"/>
                <w:szCs w:val="16"/>
              </w:rPr>
              <w:t xml:space="preserve"> </w:t>
            </w:r>
          </w:p>
        </w:tc>
        <w:tc>
          <w:tcPr>
            <w:tcW w:w="6418" w:type="dxa"/>
            <w:gridSpan w:val="2"/>
            <w:shd w:val="clear" w:color="auto" w:fill="F2F2F2"/>
            <w:vAlign w:val="center"/>
          </w:tcPr>
          <w:p w14:paraId="30CDECAC" w14:textId="2675719F" w:rsidR="00316C85" w:rsidRPr="00DA3F63" w:rsidRDefault="002B2C69" w:rsidP="006B189E">
            <w:pPr>
              <w:pStyle w:val="BodyText"/>
              <w:spacing w:before="60" w:after="60"/>
              <w:ind w:left="0"/>
              <w:rPr>
                <w:rFonts w:cs="Arial"/>
                <w:sz w:val="16"/>
                <w:szCs w:val="16"/>
              </w:rPr>
            </w:pPr>
            <w:r w:rsidRPr="00DA3F63">
              <w:rPr>
                <w:rFonts w:cs="Arial"/>
                <w:sz w:val="16"/>
                <w:szCs w:val="16"/>
              </w:rPr>
              <w:t xml:space="preserve">The affected area is predicted to stretch between Cape Bridgewater and Anglesea at very low probabilities of exposure (0-10%). The areas with the highest probability of exposure at these levels are between Port Fairy and Cape Otway. </w:t>
            </w:r>
          </w:p>
        </w:tc>
      </w:tr>
      <w:tr w:rsidR="00316C85" w:rsidRPr="0073580E" w14:paraId="3C5E9095" w14:textId="77777777" w:rsidTr="00310DCD">
        <w:tc>
          <w:tcPr>
            <w:tcW w:w="2212" w:type="dxa"/>
            <w:shd w:val="clear" w:color="auto" w:fill="F2F2F2"/>
          </w:tcPr>
          <w:p w14:paraId="5833529F" w14:textId="360B2424" w:rsidR="00316C85" w:rsidRPr="0073580E" w:rsidRDefault="002B2C69" w:rsidP="002B2C69">
            <w:pPr>
              <w:pStyle w:val="BodyText"/>
              <w:spacing w:before="60" w:after="60"/>
              <w:ind w:left="0"/>
              <w:rPr>
                <w:rFonts w:cs="Arial"/>
                <w:sz w:val="16"/>
                <w:szCs w:val="16"/>
              </w:rPr>
            </w:pPr>
            <w:r>
              <w:rPr>
                <w:rFonts w:cs="Arial"/>
                <w:sz w:val="16"/>
                <w:szCs w:val="16"/>
              </w:rPr>
              <w:t>MODERATE EXPOSURE: 100-1000g/m</w:t>
            </w:r>
            <w:r w:rsidRPr="005B6BC1">
              <w:rPr>
                <w:rFonts w:cs="Arial"/>
                <w:sz w:val="16"/>
                <w:szCs w:val="16"/>
                <w:vertAlign w:val="superscript"/>
              </w:rPr>
              <w:t>2</w:t>
            </w:r>
          </w:p>
        </w:tc>
        <w:tc>
          <w:tcPr>
            <w:tcW w:w="6418" w:type="dxa"/>
            <w:gridSpan w:val="2"/>
            <w:shd w:val="clear" w:color="auto" w:fill="F2F2F2"/>
            <w:vAlign w:val="center"/>
          </w:tcPr>
          <w:p w14:paraId="43F580E4" w14:textId="18F83AE2" w:rsidR="00316C85" w:rsidRPr="00DA3F63" w:rsidRDefault="002B2C69" w:rsidP="00DA3F63">
            <w:pPr>
              <w:pStyle w:val="BodyText"/>
              <w:spacing w:before="60" w:after="60"/>
              <w:ind w:left="0"/>
              <w:rPr>
                <w:rFonts w:cs="Arial"/>
                <w:sz w:val="16"/>
                <w:szCs w:val="16"/>
              </w:rPr>
            </w:pPr>
            <w:r w:rsidRPr="00DA3F63">
              <w:rPr>
                <w:rFonts w:cs="Arial"/>
                <w:sz w:val="16"/>
                <w:szCs w:val="16"/>
              </w:rPr>
              <w:t xml:space="preserve">This area lies </w:t>
            </w:r>
            <w:r w:rsidR="00DA3F63" w:rsidRPr="00DA3F63">
              <w:rPr>
                <w:rFonts w:cs="Arial"/>
                <w:sz w:val="16"/>
                <w:szCs w:val="16"/>
              </w:rPr>
              <w:t>again from Port Fairy to Cape Otway</w:t>
            </w:r>
            <w:r w:rsidRPr="00DA3F63">
              <w:rPr>
                <w:rFonts w:cs="Arial"/>
                <w:sz w:val="16"/>
                <w:szCs w:val="16"/>
              </w:rPr>
              <w:t>. As per low level exposure the probability of this exposure is very low.</w:t>
            </w:r>
          </w:p>
        </w:tc>
      </w:tr>
      <w:tr w:rsidR="00316C85" w:rsidRPr="0073580E" w14:paraId="3907E970" w14:textId="77777777" w:rsidTr="00310DCD">
        <w:tc>
          <w:tcPr>
            <w:tcW w:w="2212" w:type="dxa"/>
            <w:shd w:val="clear" w:color="auto" w:fill="F2F2F2"/>
          </w:tcPr>
          <w:p w14:paraId="45023B2E" w14:textId="3C420CA2" w:rsidR="00316C85" w:rsidRPr="0073580E" w:rsidRDefault="005B6BC1" w:rsidP="005B6BC1">
            <w:pPr>
              <w:pStyle w:val="BodyText"/>
              <w:spacing w:before="60" w:after="60"/>
              <w:ind w:left="0"/>
              <w:rPr>
                <w:rFonts w:cs="Arial"/>
                <w:sz w:val="16"/>
                <w:szCs w:val="16"/>
              </w:rPr>
            </w:pPr>
            <w:r>
              <w:rPr>
                <w:rFonts w:cs="Arial"/>
                <w:sz w:val="16"/>
                <w:szCs w:val="16"/>
              </w:rPr>
              <w:t>HIGH EXPOSURE: &gt;1000g/m</w:t>
            </w:r>
            <w:r w:rsidRPr="005B6BC1">
              <w:rPr>
                <w:rFonts w:cs="Arial"/>
                <w:sz w:val="16"/>
                <w:szCs w:val="16"/>
                <w:vertAlign w:val="superscript"/>
              </w:rPr>
              <w:t>2</w:t>
            </w:r>
          </w:p>
        </w:tc>
        <w:tc>
          <w:tcPr>
            <w:tcW w:w="6418" w:type="dxa"/>
            <w:gridSpan w:val="2"/>
            <w:shd w:val="clear" w:color="auto" w:fill="F2F2F2"/>
            <w:vAlign w:val="center"/>
          </w:tcPr>
          <w:p w14:paraId="01A52EFA" w14:textId="675588F4" w:rsidR="00316C85" w:rsidRPr="00DA3F63" w:rsidRDefault="002B2C69" w:rsidP="00DA3F63">
            <w:pPr>
              <w:pStyle w:val="BodyText"/>
              <w:spacing w:before="60" w:after="60"/>
              <w:ind w:left="0"/>
              <w:rPr>
                <w:rFonts w:cs="Arial"/>
                <w:sz w:val="16"/>
                <w:szCs w:val="16"/>
              </w:rPr>
            </w:pPr>
            <w:r w:rsidRPr="00DA3F63">
              <w:rPr>
                <w:rFonts w:cs="Arial"/>
                <w:sz w:val="16"/>
                <w:szCs w:val="16"/>
              </w:rPr>
              <w:t>Th</w:t>
            </w:r>
            <w:r w:rsidR="00DA3F63" w:rsidRPr="00DA3F63">
              <w:rPr>
                <w:rFonts w:cs="Arial"/>
                <w:sz w:val="16"/>
                <w:szCs w:val="16"/>
              </w:rPr>
              <w:t>ese isolated areas lie from Peterborough to Warrnambool and at Cape Otway.</w:t>
            </w:r>
            <w:r w:rsidRPr="00DA3F63">
              <w:rPr>
                <w:rFonts w:cs="Arial"/>
                <w:sz w:val="16"/>
                <w:szCs w:val="16"/>
              </w:rPr>
              <w:t xml:space="preserve"> As per low level exposure the probability of this exposure is very low.</w:t>
            </w:r>
          </w:p>
        </w:tc>
      </w:tr>
    </w:tbl>
    <w:p w14:paraId="32FE0CF6" w14:textId="77777777" w:rsidR="007451AA" w:rsidRDefault="007451AA" w:rsidP="00310DCD">
      <w:pPr>
        <w:pStyle w:val="BodyText"/>
        <w:rPr>
          <w:color w:val="FF0000"/>
          <w:szCs w:val="20"/>
        </w:rPr>
      </w:pPr>
    </w:p>
    <w:p w14:paraId="3B878370" w14:textId="77777777" w:rsidR="00310DCD" w:rsidRDefault="00310DCD" w:rsidP="001371AD">
      <w:pPr>
        <w:pStyle w:val="Heading3"/>
      </w:pPr>
      <w:r>
        <w:t>Known and Potential Impacts</w:t>
      </w:r>
    </w:p>
    <w:p w14:paraId="58CA2C0A" w14:textId="77777777" w:rsidR="00310DCD" w:rsidRPr="00DA3F63" w:rsidRDefault="00310DCD" w:rsidP="007451AA">
      <w:pPr>
        <w:pStyle w:val="BodyText"/>
        <w:ind w:left="720"/>
        <w:rPr>
          <w:lang w:eastAsia="en-US"/>
        </w:rPr>
      </w:pPr>
      <w:r w:rsidRPr="00DA3F63">
        <w:rPr>
          <w:lang w:eastAsia="en-US"/>
        </w:rPr>
        <w:t xml:space="preserve">The known and potential impacts of an MDO spill are: </w:t>
      </w:r>
    </w:p>
    <w:p w14:paraId="5F0858FE" w14:textId="77777777" w:rsidR="00310DCD" w:rsidRPr="00DA3F63" w:rsidRDefault="00310DCD" w:rsidP="0036080A">
      <w:pPr>
        <w:pStyle w:val="Bullet1"/>
        <w:numPr>
          <w:ilvl w:val="0"/>
          <w:numId w:val="40"/>
        </w:numPr>
      </w:pPr>
      <w:r w:rsidRPr="00DA3F63">
        <w:t>A temporary and localised reduction in water quality; and</w:t>
      </w:r>
    </w:p>
    <w:p w14:paraId="5E4AEE8D" w14:textId="77777777" w:rsidR="00310DCD" w:rsidRPr="00DA3F63" w:rsidRDefault="00310DCD" w:rsidP="0036080A">
      <w:pPr>
        <w:pStyle w:val="Bullet1"/>
        <w:numPr>
          <w:ilvl w:val="0"/>
          <w:numId w:val="40"/>
        </w:numPr>
      </w:pPr>
      <w:r w:rsidRPr="00DA3F63">
        <w:t>Injury or death of marine fauna and seabirds exposed to the MDO.</w:t>
      </w:r>
    </w:p>
    <w:p w14:paraId="7BAE6EBC" w14:textId="77777777" w:rsidR="00310DCD" w:rsidRPr="007451AA" w:rsidRDefault="00310DCD" w:rsidP="007451AA">
      <w:pPr>
        <w:pStyle w:val="BodyText"/>
        <w:ind w:left="700"/>
        <w:rPr>
          <w:b/>
          <w:u w:val="single"/>
        </w:rPr>
      </w:pPr>
      <w:r w:rsidRPr="007451AA">
        <w:rPr>
          <w:b/>
          <w:u w:val="single"/>
        </w:rPr>
        <w:t>EMBA</w:t>
      </w:r>
    </w:p>
    <w:p w14:paraId="6DDB287E" w14:textId="08FD17E8" w:rsidR="00310DCD" w:rsidRDefault="00310DCD" w:rsidP="007451AA">
      <w:pPr>
        <w:pStyle w:val="BodyText"/>
        <w:ind w:left="700"/>
        <w:rPr>
          <w:lang w:eastAsia="en-US"/>
        </w:rPr>
      </w:pPr>
      <w:r w:rsidRPr="00A7130B">
        <w:rPr>
          <w:lang w:eastAsia="en-US"/>
        </w:rPr>
        <w:t>The EMBA for an MDO spill is based on OSTM, which indicates that a 160 m</w:t>
      </w:r>
      <w:r w:rsidR="0028614B">
        <w:rPr>
          <w:vertAlign w:val="superscript"/>
          <w:lang w:eastAsia="en-US"/>
        </w:rPr>
        <w:t>3</w:t>
      </w:r>
      <w:r w:rsidRPr="00A7130B">
        <w:rPr>
          <w:lang w:eastAsia="en-US"/>
        </w:rPr>
        <w:t xml:space="preserve"> spill of MDO may </w:t>
      </w:r>
      <w:r w:rsidR="00A7130B">
        <w:rPr>
          <w:lang w:eastAsia="en-US"/>
        </w:rPr>
        <w:t xml:space="preserve">on as surface sheen basis </w:t>
      </w:r>
      <w:r w:rsidRPr="00A7130B">
        <w:rPr>
          <w:lang w:eastAsia="en-US"/>
        </w:rPr>
        <w:t>travel up to 36 km, favouring the northwest direction.</w:t>
      </w:r>
      <w:r w:rsidR="00A7130B">
        <w:rPr>
          <w:lang w:eastAsia="en-US"/>
        </w:rPr>
        <w:t xml:space="preserve"> </w:t>
      </w:r>
      <w:r w:rsidR="00D93543">
        <w:rPr>
          <w:lang w:eastAsia="en-US"/>
        </w:rPr>
        <w:fldChar w:fldCharType="begin"/>
      </w:r>
      <w:r w:rsidR="00D93543">
        <w:rPr>
          <w:lang w:eastAsia="en-US"/>
        </w:rPr>
        <w:instrText xml:space="preserve"> REF _Ref474913488 \h </w:instrText>
      </w:r>
      <w:r w:rsidR="00D93543">
        <w:rPr>
          <w:lang w:eastAsia="en-US"/>
        </w:rPr>
      </w:r>
      <w:r w:rsidR="00D93543">
        <w:rPr>
          <w:lang w:eastAsia="en-US"/>
        </w:rPr>
        <w:fldChar w:fldCharType="separate"/>
      </w:r>
      <w:r w:rsidR="00CC4C35" w:rsidRPr="00A7130B">
        <w:rPr>
          <w:szCs w:val="20"/>
        </w:rPr>
        <w:t xml:space="preserve">Figure </w:t>
      </w:r>
      <w:r w:rsidR="00CC4C35">
        <w:rPr>
          <w:noProof/>
          <w:szCs w:val="20"/>
        </w:rPr>
        <w:t>5</w:t>
      </w:r>
      <w:r w:rsidR="00CC4C35">
        <w:rPr>
          <w:szCs w:val="20"/>
        </w:rPr>
        <w:noBreakHyphen/>
      </w:r>
      <w:r w:rsidR="00CC4C35">
        <w:rPr>
          <w:noProof/>
          <w:szCs w:val="20"/>
        </w:rPr>
        <w:t>2</w:t>
      </w:r>
      <w:r w:rsidR="00D93543">
        <w:rPr>
          <w:lang w:eastAsia="en-US"/>
        </w:rPr>
        <w:fldChar w:fldCharType="end"/>
      </w:r>
      <w:r w:rsidR="007451AA">
        <w:rPr>
          <w:lang w:eastAsia="en-US"/>
        </w:rPr>
        <w:t xml:space="preserve"> </w:t>
      </w:r>
      <w:r w:rsidR="00A7130B">
        <w:rPr>
          <w:lang w:eastAsia="en-US"/>
        </w:rPr>
        <w:t xml:space="preserve">provides the EMBA with the entrained phase boundary incorporated upon the surface sheen.  </w:t>
      </w:r>
    </w:p>
    <w:p w14:paraId="2D21489B" w14:textId="77777777" w:rsidR="00310DCD" w:rsidRDefault="00310DCD" w:rsidP="00310DCD">
      <w:pPr>
        <w:pStyle w:val="BodyText"/>
        <w:rPr>
          <w:lang w:eastAsia="en-US"/>
        </w:rPr>
      </w:pPr>
    </w:p>
    <w:p w14:paraId="47F64296" w14:textId="4F468211" w:rsidR="00A7130B" w:rsidRDefault="00A7130B" w:rsidP="00A7130B">
      <w:pPr>
        <w:pStyle w:val="BodyText"/>
      </w:pPr>
      <w:r>
        <w:rPr>
          <w:noProof/>
          <w:lang w:val="en-GB" w:eastAsia="en-GB"/>
        </w:rPr>
        <w:lastRenderedPageBreak/>
        <w:drawing>
          <wp:inline distT="0" distB="0" distL="0" distR="0" wp14:anchorId="5EF898D2" wp14:editId="17DFE18C">
            <wp:extent cx="5163982" cy="3561840"/>
            <wp:effectExtent l="0" t="0" r="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177191" cy="3570951"/>
                    </a:xfrm>
                    <a:prstGeom prst="rect">
                      <a:avLst/>
                    </a:prstGeom>
                    <a:noFill/>
                    <a:ln>
                      <a:noFill/>
                    </a:ln>
                  </pic:spPr>
                </pic:pic>
              </a:graphicData>
            </a:graphic>
          </wp:inline>
        </w:drawing>
      </w:r>
    </w:p>
    <w:p w14:paraId="70EB3148" w14:textId="375DBE25" w:rsidR="00310DCD" w:rsidRPr="00A7130B" w:rsidRDefault="00A7130B" w:rsidP="00024BA3">
      <w:pPr>
        <w:pStyle w:val="Caption"/>
        <w:outlineLvl w:val="9"/>
        <w:rPr>
          <w:sz w:val="20"/>
          <w:szCs w:val="20"/>
          <w:lang w:eastAsia="en-US"/>
        </w:rPr>
      </w:pPr>
      <w:bookmarkStart w:id="292" w:name="_Ref474913488"/>
      <w:bookmarkStart w:id="293" w:name="_Toc510779257"/>
      <w:r w:rsidRPr="00A7130B">
        <w:rPr>
          <w:sz w:val="20"/>
          <w:szCs w:val="20"/>
        </w:rPr>
        <w:t xml:space="preserve">Figure </w:t>
      </w:r>
      <w:r w:rsidR="00D3458F">
        <w:rPr>
          <w:sz w:val="20"/>
          <w:szCs w:val="20"/>
        </w:rPr>
        <w:fldChar w:fldCharType="begin"/>
      </w:r>
      <w:r w:rsidR="00D3458F">
        <w:rPr>
          <w:sz w:val="20"/>
          <w:szCs w:val="20"/>
        </w:rPr>
        <w:instrText xml:space="preserve"> STYLEREF 1 \s </w:instrText>
      </w:r>
      <w:r w:rsidR="00D3458F">
        <w:rPr>
          <w:sz w:val="20"/>
          <w:szCs w:val="20"/>
        </w:rPr>
        <w:fldChar w:fldCharType="separate"/>
      </w:r>
      <w:r w:rsidR="00CC4C35">
        <w:rPr>
          <w:noProof/>
          <w:sz w:val="20"/>
          <w:szCs w:val="20"/>
        </w:rPr>
        <w:t>5</w:t>
      </w:r>
      <w:r w:rsidR="00D3458F">
        <w:rPr>
          <w:sz w:val="20"/>
          <w:szCs w:val="20"/>
        </w:rPr>
        <w:fldChar w:fldCharType="end"/>
      </w:r>
      <w:r w:rsidR="00D3458F">
        <w:rPr>
          <w:sz w:val="20"/>
          <w:szCs w:val="20"/>
        </w:rPr>
        <w:noBreakHyphen/>
      </w:r>
      <w:r w:rsidR="00D3458F">
        <w:rPr>
          <w:sz w:val="20"/>
          <w:szCs w:val="20"/>
        </w:rPr>
        <w:fldChar w:fldCharType="begin"/>
      </w:r>
      <w:r w:rsidR="00D3458F">
        <w:rPr>
          <w:sz w:val="20"/>
          <w:szCs w:val="20"/>
        </w:rPr>
        <w:instrText xml:space="preserve"> SEQ Figure \* ARABIC \s 1 </w:instrText>
      </w:r>
      <w:r w:rsidR="00D3458F">
        <w:rPr>
          <w:sz w:val="20"/>
          <w:szCs w:val="20"/>
        </w:rPr>
        <w:fldChar w:fldCharType="separate"/>
      </w:r>
      <w:r w:rsidR="00CC4C35">
        <w:rPr>
          <w:noProof/>
          <w:sz w:val="20"/>
          <w:szCs w:val="20"/>
        </w:rPr>
        <w:t>2</w:t>
      </w:r>
      <w:r w:rsidR="00D3458F">
        <w:rPr>
          <w:sz w:val="20"/>
          <w:szCs w:val="20"/>
        </w:rPr>
        <w:fldChar w:fldCharType="end"/>
      </w:r>
      <w:bookmarkEnd w:id="292"/>
      <w:r w:rsidRPr="00A7130B">
        <w:rPr>
          <w:sz w:val="20"/>
          <w:szCs w:val="20"/>
        </w:rPr>
        <w:t>: Predicted 160 m</w:t>
      </w:r>
      <w:r w:rsidRPr="00A7130B">
        <w:rPr>
          <w:sz w:val="20"/>
          <w:szCs w:val="20"/>
          <w:vertAlign w:val="superscript"/>
        </w:rPr>
        <w:t>3</w:t>
      </w:r>
      <w:r w:rsidRPr="00A7130B">
        <w:rPr>
          <w:sz w:val="20"/>
          <w:szCs w:val="20"/>
        </w:rPr>
        <w:t xml:space="preserve"> MDO EMBA</w:t>
      </w:r>
      <w:bookmarkEnd w:id="293"/>
      <w:r w:rsidRPr="00A7130B">
        <w:rPr>
          <w:sz w:val="20"/>
          <w:szCs w:val="20"/>
        </w:rPr>
        <w:t xml:space="preserve"> </w:t>
      </w:r>
    </w:p>
    <w:p w14:paraId="6F30E859" w14:textId="77777777" w:rsidR="006D112C" w:rsidRDefault="006D112C" w:rsidP="007451AA">
      <w:pPr>
        <w:pStyle w:val="BodyText"/>
        <w:ind w:left="709"/>
        <w:rPr>
          <w:b/>
          <w:u w:val="single"/>
        </w:rPr>
      </w:pPr>
    </w:p>
    <w:p w14:paraId="4A80211B" w14:textId="77777777" w:rsidR="00310DCD" w:rsidRPr="007451AA" w:rsidRDefault="00310DCD" w:rsidP="007451AA">
      <w:pPr>
        <w:pStyle w:val="BodyText"/>
        <w:ind w:left="709"/>
        <w:rPr>
          <w:b/>
          <w:u w:val="single"/>
        </w:rPr>
      </w:pPr>
      <w:r w:rsidRPr="007451AA">
        <w:rPr>
          <w:b/>
          <w:u w:val="single"/>
        </w:rPr>
        <w:t>Receptors within the EMBA</w:t>
      </w:r>
    </w:p>
    <w:p w14:paraId="64A95CDB" w14:textId="77777777" w:rsidR="00DC5CDA" w:rsidRPr="00774B01" w:rsidRDefault="00DC5CDA" w:rsidP="007451AA">
      <w:pPr>
        <w:pStyle w:val="BodyText"/>
        <w:ind w:left="709"/>
        <w:rPr>
          <w:szCs w:val="20"/>
          <w:lang w:eastAsia="en-US"/>
        </w:rPr>
      </w:pPr>
      <w:r w:rsidRPr="00774B01">
        <w:rPr>
          <w:szCs w:val="20"/>
          <w:lang w:eastAsia="en-US"/>
        </w:rPr>
        <w:t xml:space="preserve">Receptors that may occur within this EMBA, either as residents or migrants, are: </w:t>
      </w:r>
    </w:p>
    <w:p w14:paraId="505C31B2" w14:textId="77777777" w:rsidR="00DC5CDA" w:rsidRPr="00774B01" w:rsidRDefault="00DC5CDA" w:rsidP="0036080A">
      <w:pPr>
        <w:pStyle w:val="Bullet1"/>
        <w:numPr>
          <w:ilvl w:val="0"/>
          <w:numId w:val="40"/>
        </w:numPr>
      </w:pPr>
      <w:r w:rsidRPr="00774B01">
        <w:t xml:space="preserve">Plankton; </w:t>
      </w:r>
    </w:p>
    <w:p w14:paraId="7BEB6854" w14:textId="776A9AEB" w:rsidR="00DC5CDA" w:rsidRPr="00774B01" w:rsidRDefault="00DC5CDA" w:rsidP="0036080A">
      <w:pPr>
        <w:pStyle w:val="Bullet1"/>
        <w:numPr>
          <w:ilvl w:val="0"/>
          <w:numId w:val="40"/>
        </w:numPr>
      </w:pPr>
      <w:r w:rsidRPr="00774B01">
        <w:t>Pelagic</w:t>
      </w:r>
      <w:r w:rsidR="005827C8">
        <w:t xml:space="preserve"> and demersal</w:t>
      </w:r>
      <w:r w:rsidRPr="00774B01">
        <w:t xml:space="preserve"> fish;</w:t>
      </w:r>
    </w:p>
    <w:p w14:paraId="110E6996" w14:textId="604590E6" w:rsidR="00DC5CDA" w:rsidRPr="00774B01" w:rsidRDefault="00DC5CDA" w:rsidP="0036080A">
      <w:pPr>
        <w:pStyle w:val="Bullet1"/>
        <w:numPr>
          <w:ilvl w:val="0"/>
          <w:numId w:val="40"/>
        </w:numPr>
      </w:pPr>
      <w:r w:rsidRPr="00774B01">
        <w:t>Benthic species;</w:t>
      </w:r>
    </w:p>
    <w:p w14:paraId="70F557C3" w14:textId="77777777" w:rsidR="00DC5CDA" w:rsidRPr="00774B01" w:rsidRDefault="00DC5CDA" w:rsidP="0036080A">
      <w:pPr>
        <w:pStyle w:val="Bullet1"/>
        <w:numPr>
          <w:ilvl w:val="0"/>
          <w:numId w:val="40"/>
        </w:numPr>
      </w:pPr>
      <w:r w:rsidRPr="00774B01">
        <w:t>Marine mammals (cetaceans and pinnipeds);</w:t>
      </w:r>
    </w:p>
    <w:p w14:paraId="4DAF49FA" w14:textId="77777777" w:rsidR="009030FF" w:rsidRDefault="00DC5CDA" w:rsidP="0036080A">
      <w:pPr>
        <w:pStyle w:val="Bullet1"/>
        <w:numPr>
          <w:ilvl w:val="0"/>
          <w:numId w:val="40"/>
        </w:numPr>
      </w:pPr>
      <w:r w:rsidRPr="00774B01">
        <w:t>Seabirds and shorebirds</w:t>
      </w:r>
      <w:r w:rsidR="009030FF">
        <w:t>;</w:t>
      </w:r>
    </w:p>
    <w:p w14:paraId="17F41AFA" w14:textId="77777777" w:rsidR="009030FF" w:rsidRDefault="009030FF" w:rsidP="0036080A">
      <w:pPr>
        <w:pStyle w:val="Bullet1"/>
        <w:numPr>
          <w:ilvl w:val="0"/>
          <w:numId w:val="40"/>
        </w:numPr>
      </w:pPr>
      <w:r>
        <w:t>Commercial fishing</w:t>
      </w:r>
    </w:p>
    <w:p w14:paraId="0F34BD7E" w14:textId="59B2C96D" w:rsidR="00DC5CDA" w:rsidRPr="00774B01" w:rsidRDefault="009030FF" w:rsidP="0036080A">
      <w:pPr>
        <w:pStyle w:val="Bullet1"/>
        <w:numPr>
          <w:ilvl w:val="0"/>
          <w:numId w:val="40"/>
        </w:numPr>
      </w:pPr>
      <w:r>
        <w:t>Tourism</w:t>
      </w:r>
      <w:r w:rsidR="00DC5CDA" w:rsidRPr="00774B01">
        <w:t>.</w:t>
      </w:r>
    </w:p>
    <w:p w14:paraId="75564298" w14:textId="71D83EC0" w:rsidR="00DC5CDA" w:rsidRPr="00774B01" w:rsidRDefault="00DC5CDA" w:rsidP="001313DC">
      <w:pPr>
        <w:pStyle w:val="Bullet1"/>
        <w:numPr>
          <w:ilvl w:val="0"/>
          <w:numId w:val="0"/>
        </w:numPr>
        <w:ind w:left="709"/>
      </w:pPr>
      <w:r w:rsidRPr="00774B01">
        <w:t xml:space="preserve">Habitat that may occur within this EMBA </w:t>
      </w:r>
      <w:r w:rsidR="003C0052">
        <w:t xml:space="preserve">where these species may be present </w:t>
      </w:r>
      <w:r w:rsidRPr="00774B01">
        <w:t xml:space="preserve">includes: </w:t>
      </w:r>
    </w:p>
    <w:p w14:paraId="0945A76D" w14:textId="77777777" w:rsidR="00DC5CDA" w:rsidRPr="00774B01" w:rsidRDefault="00DC5CDA" w:rsidP="0036080A">
      <w:pPr>
        <w:pStyle w:val="Bullet1"/>
        <w:numPr>
          <w:ilvl w:val="0"/>
          <w:numId w:val="40"/>
        </w:numPr>
      </w:pPr>
      <w:r w:rsidRPr="00774B01">
        <w:t xml:space="preserve">Sandy beaches; </w:t>
      </w:r>
    </w:p>
    <w:p w14:paraId="5034AAC8" w14:textId="77777777" w:rsidR="00DC5CDA" w:rsidRPr="00774B01" w:rsidRDefault="00DC5CDA" w:rsidP="0036080A">
      <w:pPr>
        <w:pStyle w:val="Bullet1"/>
        <w:numPr>
          <w:ilvl w:val="0"/>
          <w:numId w:val="40"/>
        </w:numPr>
      </w:pPr>
      <w:r w:rsidRPr="00774B01">
        <w:t>Rocky shoreline;</w:t>
      </w:r>
    </w:p>
    <w:p w14:paraId="0F889E9D" w14:textId="6074AF01" w:rsidR="00DC5CDA" w:rsidRPr="00774B01" w:rsidRDefault="00DC5CDA" w:rsidP="0036080A">
      <w:pPr>
        <w:pStyle w:val="Bullet1"/>
        <w:numPr>
          <w:ilvl w:val="0"/>
          <w:numId w:val="40"/>
        </w:numPr>
      </w:pPr>
      <w:r w:rsidRPr="00774B01">
        <w:t xml:space="preserve">Submerged </w:t>
      </w:r>
      <w:r w:rsidR="005827C8">
        <w:t xml:space="preserve">shelf </w:t>
      </w:r>
      <w:r w:rsidRPr="00774B01">
        <w:t>rocky reefs</w:t>
      </w:r>
      <w:r w:rsidR="005827C8">
        <w:t xml:space="preserve"> and hard substrates</w:t>
      </w:r>
      <w:r w:rsidRPr="00774B01">
        <w:t>;</w:t>
      </w:r>
    </w:p>
    <w:p w14:paraId="63D881D3" w14:textId="77777777" w:rsidR="00782162" w:rsidRDefault="00DC5CDA" w:rsidP="0036080A">
      <w:pPr>
        <w:pStyle w:val="Bullet1"/>
        <w:numPr>
          <w:ilvl w:val="0"/>
          <w:numId w:val="40"/>
        </w:numPr>
      </w:pPr>
      <w:r w:rsidRPr="00774B01">
        <w:t>Macro</w:t>
      </w:r>
      <w:r w:rsidR="006D4731">
        <w:t>-</w:t>
      </w:r>
      <w:r w:rsidRPr="00774B01">
        <w:t xml:space="preserve">algal and seagrass beds; </w:t>
      </w:r>
    </w:p>
    <w:p w14:paraId="0739AC5A" w14:textId="1C5F73EC" w:rsidR="00DC5CDA" w:rsidRPr="00774B01" w:rsidRDefault="00782162" w:rsidP="0036080A">
      <w:pPr>
        <w:pStyle w:val="Bullet1"/>
        <w:numPr>
          <w:ilvl w:val="0"/>
          <w:numId w:val="40"/>
        </w:numPr>
      </w:pPr>
      <w:r>
        <w:t xml:space="preserve">Saltmarsh; </w:t>
      </w:r>
      <w:r w:rsidR="00DC5CDA" w:rsidRPr="00774B01">
        <w:t>and</w:t>
      </w:r>
    </w:p>
    <w:p w14:paraId="4A95BED4" w14:textId="77777777" w:rsidR="00DC5CDA" w:rsidRPr="00774B01" w:rsidRDefault="00DC5CDA" w:rsidP="0036080A">
      <w:pPr>
        <w:pStyle w:val="Bullet1"/>
        <w:numPr>
          <w:ilvl w:val="0"/>
          <w:numId w:val="40"/>
        </w:numPr>
      </w:pPr>
      <w:r w:rsidRPr="00774B01">
        <w:t>Open water.</w:t>
      </w:r>
    </w:p>
    <w:p w14:paraId="6DC6A574" w14:textId="77777777" w:rsidR="00DC5CDA" w:rsidRPr="00774B01" w:rsidRDefault="00DC5CDA" w:rsidP="001313DC">
      <w:pPr>
        <w:pStyle w:val="Bullet1"/>
        <w:numPr>
          <w:ilvl w:val="0"/>
          <w:numId w:val="0"/>
        </w:numPr>
        <w:ind w:left="709"/>
      </w:pPr>
      <w:r w:rsidRPr="00774B01">
        <w:t>Protected areas or features that occur within the EMBA are:</w:t>
      </w:r>
    </w:p>
    <w:p w14:paraId="78C63631" w14:textId="77777777" w:rsidR="00DC5CDA" w:rsidRPr="00774B01" w:rsidRDefault="00DC5CDA" w:rsidP="0036080A">
      <w:pPr>
        <w:pStyle w:val="Bullet1"/>
        <w:numPr>
          <w:ilvl w:val="0"/>
          <w:numId w:val="40"/>
        </w:numPr>
      </w:pPr>
      <w:r w:rsidRPr="00774B01">
        <w:t xml:space="preserve">The Arches Marine Sanctuary; </w:t>
      </w:r>
    </w:p>
    <w:p w14:paraId="6719FAF2" w14:textId="77777777" w:rsidR="00DC5CDA" w:rsidRPr="00774B01" w:rsidRDefault="00DC5CDA" w:rsidP="0036080A">
      <w:pPr>
        <w:pStyle w:val="Bullet1"/>
        <w:numPr>
          <w:ilvl w:val="0"/>
          <w:numId w:val="40"/>
        </w:numPr>
      </w:pPr>
      <w:r w:rsidRPr="00774B01">
        <w:t>The Twelve Apostles Marine National Parks;</w:t>
      </w:r>
    </w:p>
    <w:p w14:paraId="6ABD0D92" w14:textId="77777777" w:rsidR="00DC5CDA" w:rsidRPr="00774B01" w:rsidRDefault="00DC5CDA" w:rsidP="0036080A">
      <w:pPr>
        <w:pStyle w:val="Bullet1"/>
        <w:numPr>
          <w:ilvl w:val="0"/>
          <w:numId w:val="40"/>
        </w:numPr>
      </w:pPr>
      <w:r w:rsidRPr="00774B01">
        <w:lastRenderedPageBreak/>
        <w:t>The Port Campbell National Park;</w:t>
      </w:r>
    </w:p>
    <w:p w14:paraId="19B9FAEC" w14:textId="77777777" w:rsidR="00AC5F8E" w:rsidRDefault="00DC5CDA" w:rsidP="0036080A">
      <w:pPr>
        <w:pStyle w:val="Bullet1"/>
        <w:numPr>
          <w:ilvl w:val="0"/>
          <w:numId w:val="40"/>
        </w:numPr>
      </w:pPr>
      <w:r w:rsidRPr="00774B01">
        <w:t xml:space="preserve">The Bay of Islands Coastal Park; </w:t>
      </w:r>
    </w:p>
    <w:p w14:paraId="6E317B4A" w14:textId="77777777" w:rsidR="00AC5F8E" w:rsidRDefault="00AC5F8E" w:rsidP="0036080A">
      <w:pPr>
        <w:pStyle w:val="Bullet1"/>
        <w:numPr>
          <w:ilvl w:val="0"/>
          <w:numId w:val="40"/>
        </w:numPr>
      </w:pPr>
      <w:r>
        <w:t>Merri Marine Sanctuary;</w:t>
      </w:r>
    </w:p>
    <w:p w14:paraId="5816C969" w14:textId="69745B42" w:rsidR="00AC5F8E" w:rsidRDefault="00AC5F8E" w:rsidP="0036080A">
      <w:pPr>
        <w:pStyle w:val="Bullet1"/>
        <w:numPr>
          <w:ilvl w:val="0"/>
          <w:numId w:val="40"/>
        </w:numPr>
      </w:pPr>
      <w:r>
        <w:t>Marengo Reef Marine Sanctuary;</w:t>
      </w:r>
    </w:p>
    <w:p w14:paraId="14EED823" w14:textId="77777777" w:rsidR="00782162" w:rsidRDefault="00AC5F8E" w:rsidP="0036080A">
      <w:pPr>
        <w:pStyle w:val="Bullet1"/>
        <w:numPr>
          <w:ilvl w:val="0"/>
          <w:numId w:val="40"/>
        </w:numPr>
      </w:pPr>
      <w:r>
        <w:t xml:space="preserve">Eagle Rock Marine Sanctuary; </w:t>
      </w:r>
    </w:p>
    <w:p w14:paraId="47AAA99F" w14:textId="77777777" w:rsidR="009030FF" w:rsidRDefault="00782162" w:rsidP="0036080A">
      <w:pPr>
        <w:pStyle w:val="Bullet1"/>
        <w:numPr>
          <w:ilvl w:val="0"/>
          <w:numId w:val="40"/>
        </w:numPr>
      </w:pPr>
      <w:r>
        <w:t xml:space="preserve">Apollo CMR; </w:t>
      </w:r>
    </w:p>
    <w:p w14:paraId="71BE9D50" w14:textId="42F6FA7B" w:rsidR="00DC5CDA" w:rsidRPr="00774B01" w:rsidRDefault="009030FF" w:rsidP="0036080A">
      <w:pPr>
        <w:pStyle w:val="Bullet1"/>
        <w:numPr>
          <w:ilvl w:val="0"/>
          <w:numId w:val="40"/>
        </w:numPr>
      </w:pPr>
      <w:r>
        <w:t xml:space="preserve">Sub-tropical and Temperate saltmarsh; </w:t>
      </w:r>
      <w:r w:rsidR="00DC5CDA" w:rsidRPr="00774B01">
        <w:t>and</w:t>
      </w:r>
    </w:p>
    <w:p w14:paraId="3C0E8455" w14:textId="369F8F51" w:rsidR="00310DCD" w:rsidRDefault="00DC5CDA" w:rsidP="0036080A">
      <w:pPr>
        <w:pStyle w:val="Bullet1"/>
        <w:numPr>
          <w:ilvl w:val="0"/>
          <w:numId w:val="40"/>
        </w:numPr>
      </w:pPr>
      <w:r w:rsidRPr="00DC5CDA">
        <w:t>Giant Kelp Marine Forests of SE Australia TEC.</w:t>
      </w:r>
    </w:p>
    <w:p w14:paraId="13F77451" w14:textId="77777777" w:rsidR="00310DCD" w:rsidRDefault="00310DCD" w:rsidP="001371AD">
      <w:pPr>
        <w:pStyle w:val="Heading3"/>
      </w:pPr>
      <w:r>
        <w:t>Evaluation of Environmental Impacts</w:t>
      </w:r>
    </w:p>
    <w:p w14:paraId="1D155786" w14:textId="77777777" w:rsidR="00D32548" w:rsidRDefault="00D32548" w:rsidP="00D32548">
      <w:pPr>
        <w:autoSpaceDE w:val="0"/>
        <w:autoSpaceDN w:val="0"/>
        <w:adjustRightInd w:val="0"/>
        <w:spacing w:after="0"/>
        <w:outlineLvl w:val="9"/>
        <w:rPr>
          <w:rFonts w:ascii="ArialMT" w:eastAsia="Calibri" w:hAnsi="ArialMT" w:cs="ArialMT"/>
          <w:kern w:val="0"/>
          <w:sz w:val="20"/>
          <w:szCs w:val="20"/>
          <w:lang w:eastAsia="en-US"/>
        </w:rPr>
      </w:pPr>
      <w:r>
        <w:rPr>
          <w:rFonts w:ascii="ArialMT" w:eastAsia="Calibri" w:hAnsi="ArialMT" w:cs="ArialMT"/>
          <w:kern w:val="0"/>
          <w:sz w:val="20"/>
          <w:szCs w:val="20"/>
          <w:lang w:eastAsia="en-US"/>
        </w:rPr>
        <w:t>The impacts of MDO to habitats and wildlife are similar to those described for gas condensate</w:t>
      </w:r>
    </w:p>
    <w:p w14:paraId="089E4143" w14:textId="35E5097E" w:rsidR="00B201F3" w:rsidRDefault="00D32548" w:rsidP="00D32548">
      <w:pPr>
        <w:autoSpaceDE w:val="0"/>
        <w:autoSpaceDN w:val="0"/>
        <w:adjustRightInd w:val="0"/>
        <w:spacing w:after="0"/>
        <w:outlineLvl w:val="9"/>
        <w:rPr>
          <w:b/>
          <w:lang w:eastAsia="en-US"/>
        </w:rPr>
      </w:pPr>
      <w:r>
        <w:rPr>
          <w:rFonts w:ascii="ArialMT" w:eastAsia="Calibri" w:hAnsi="ArialMT" w:cs="ArialMT"/>
          <w:kern w:val="0"/>
          <w:sz w:val="20"/>
          <w:szCs w:val="20"/>
          <w:lang w:eastAsia="en-US"/>
        </w:rPr>
        <w:t>spills in Section 6.21. This is due to their common lighter-end components which rapidly evaporate and minor heavier end components which have a low viscosity allowing for rapid spreading and permeability into sediments at shorelines. Specific literature separating gas condensate and refined hydrocarbons such as diesel is sparse, with most impacts related to the physical components of the hydrocarbon released. As such, this section does not discuss the general impacts of MDO spills on individual receptors (refer to Table 6-4 for this information). This section assesses the implications of the MDO spill for this activity as outlined in Table 6-7.</w:t>
      </w:r>
      <w:r>
        <w:rPr>
          <w:rFonts w:ascii="ArialMT" w:eastAsia="Calibri" w:hAnsi="ArialMT" w:cs="ArialMT"/>
          <w:kern w:val="0"/>
          <w:szCs w:val="20"/>
          <w:lang w:eastAsia="en-US"/>
        </w:rPr>
        <w:t xml:space="preserve"> </w:t>
      </w:r>
    </w:p>
    <w:p w14:paraId="52E06ECB" w14:textId="77777777" w:rsidR="00085E17" w:rsidRDefault="00085E17" w:rsidP="00310DCD">
      <w:pPr>
        <w:pStyle w:val="BodyText"/>
        <w:rPr>
          <w:b/>
          <w:lang w:eastAsia="en-US"/>
        </w:rPr>
      </w:pPr>
    </w:p>
    <w:p w14:paraId="04784480" w14:textId="77777777" w:rsidR="00085E17" w:rsidRDefault="00085E17" w:rsidP="00310DCD">
      <w:pPr>
        <w:pStyle w:val="BodyText"/>
        <w:rPr>
          <w:b/>
          <w:lang w:eastAsia="en-US"/>
        </w:rPr>
        <w:sectPr w:rsidR="00085E17" w:rsidSect="00E439A6">
          <w:pgSz w:w="11907" w:h="16840" w:code="9"/>
          <w:pgMar w:top="1970" w:right="1440" w:bottom="1440" w:left="1440" w:header="680" w:footer="284" w:gutter="0"/>
          <w:cols w:space="720"/>
          <w:docGrid w:linePitch="299"/>
        </w:sectPr>
      </w:pPr>
    </w:p>
    <w:p w14:paraId="380B1DCC" w14:textId="77777777" w:rsidR="00085E17" w:rsidRDefault="00085E17" w:rsidP="00310DCD">
      <w:pPr>
        <w:pStyle w:val="BodyText"/>
        <w:rPr>
          <w:b/>
          <w:lang w:eastAsia="en-US"/>
        </w:rPr>
      </w:pPr>
    </w:p>
    <w:p w14:paraId="280C7968" w14:textId="1E7AADA4" w:rsidR="00AC5F8E" w:rsidRPr="00AC5F8E" w:rsidRDefault="00AC5F8E" w:rsidP="00024BA3">
      <w:pPr>
        <w:pStyle w:val="Caption"/>
        <w:outlineLvl w:val="9"/>
        <w:rPr>
          <w:b w:val="0"/>
          <w:sz w:val="20"/>
          <w:szCs w:val="20"/>
          <w:lang w:eastAsia="en-US"/>
        </w:rPr>
      </w:pPr>
      <w:bookmarkStart w:id="294" w:name="_Ref473460575"/>
      <w:bookmarkStart w:id="295" w:name="_Toc511032628"/>
      <w:r w:rsidRPr="00AC5F8E">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37</w:t>
      </w:r>
      <w:r w:rsidR="00103328">
        <w:rPr>
          <w:sz w:val="20"/>
          <w:szCs w:val="20"/>
        </w:rPr>
        <w:fldChar w:fldCharType="end"/>
      </w:r>
      <w:bookmarkEnd w:id="294"/>
      <w:r w:rsidRPr="00AC5F8E">
        <w:rPr>
          <w:sz w:val="20"/>
          <w:szCs w:val="20"/>
        </w:rPr>
        <w:t>: Assessment of a 160m</w:t>
      </w:r>
      <w:r w:rsidRPr="00AC5F8E">
        <w:rPr>
          <w:sz w:val="20"/>
          <w:szCs w:val="20"/>
          <w:vertAlign w:val="superscript"/>
        </w:rPr>
        <w:t>3</w:t>
      </w:r>
      <w:r w:rsidRPr="00AC5F8E">
        <w:rPr>
          <w:sz w:val="20"/>
          <w:szCs w:val="20"/>
        </w:rPr>
        <w:t xml:space="preserve"> MDO spill from the </w:t>
      </w:r>
      <w:r w:rsidR="00BA0611">
        <w:rPr>
          <w:sz w:val="20"/>
          <w:szCs w:val="20"/>
        </w:rPr>
        <w:t>CHN</w:t>
      </w:r>
      <w:r w:rsidRPr="00AC5F8E">
        <w:rPr>
          <w:sz w:val="20"/>
          <w:szCs w:val="20"/>
        </w:rPr>
        <w:t xml:space="preserve"> assets</w:t>
      </w:r>
      <w:bookmarkEnd w:id="295"/>
    </w:p>
    <w:tbl>
      <w:tblPr>
        <w:tblStyle w:val="TableGrid"/>
        <w:tblW w:w="0" w:type="auto"/>
        <w:tblLook w:val="04A0" w:firstRow="1" w:lastRow="0" w:firstColumn="1" w:lastColumn="0" w:noHBand="0" w:noVBand="1"/>
      </w:tblPr>
      <w:tblGrid>
        <w:gridCol w:w="1700"/>
        <w:gridCol w:w="3541"/>
        <w:gridCol w:w="3824"/>
        <w:gridCol w:w="3966"/>
      </w:tblGrid>
      <w:tr w:rsidR="00B201F3" w:rsidRPr="006B189E" w14:paraId="46B6CCEE" w14:textId="77777777" w:rsidTr="00FA36A5">
        <w:trPr>
          <w:cnfStyle w:val="100000000000" w:firstRow="1" w:lastRow="0" w:firstColumn="0" w:lastColumn="0" w:oddVBand="0" w:evenVBand="0" w:oddHBand="0" w:evenHBand="0" w:firstRowFirstColumn="0" w:firstRowLastColumn="0" w:lastRowFirstColumn="0" w:lastRowLastColumn="0"/>
          <w:cantSplit/>
        </w:trPr>
        <w:tc>
          <w:tcPr>
            <w:tcW w:w="0" w:type="dxa"/>
          </w:tcPr>
          <w:p w14:paraId="4FF8D03F" w14:textId="63461C14" w:rsidR="00087F32" w:rsidRPr="006B189E" w:rsidRDefault="00087F32" w:rsidP="00310DCD">
            <w:pPr>
              <w:pStyle w:val="BodyText"/>
              <w:ind w:left="0"/>
              <w:rPr>
                <w:sz w:val="16"/>
                <w:szCs w:val="16"/>
                <w:lang w:eastAsia="en-US"/>
              </w:rPr>
            </w:pPr>
            <w:r w:rsidRPr="006B189E">
              <w:rPr>
                <w:sz w:val="16"/>
                <w:szCs w:val="16"/>
                <w:lang w:eastAsia="en-US"/>
              </w:rPr>
              <w:t>Receptor</w:t>
            </w:r>
          </w:p>
        </w:tc>
        <w:tc>
          <w:tcPr>
            <w:tcW w:w="3544" w:type="dxa"/>
          </w:tcPr>
          <w:p w14:paraId="1759E033" w14:textId="0767A200" w:rsidR="00087F32" w:rsidRPr="006B189E" w:rsidRDefault="00087F32" w:rsidP="004D784B">
            <w:pPr>
              <w:pStyle w:val="BodyText"/>
              <w:ind w:left="0"/>
              <w:jc w:val="center"/>
              <w:rPr>
                <w:sz w:val="16"/>
                <w:szCs w:val="16"/>
                <w:lang w:eastAsia="en-US"/>
              </w:rPr>
            </w:pPr>
            <w:r w:rsidRPr="006B189E">
              <w:rPr>
                <w:sz w:val="16"/>
                <w:szCs w:val="16"/>
                <w:lang w:eastAsia="en-US"/>
              </w:rPr>
              <w:t>Sea surface</w:t>
            </w:r>
          </w:p>
        </w:tc>
        <w:tc>
          <w:tcPr>
            <w:tcW w:w="3827" w:type="dxa"/>
          </w:tcPr>
          <w:p w14:paraId="2DA10607" w14:textId="2DBE829D" w:rsidR="00087F32" w:rsidRPr="006B189E" w:rsidRDefault="00087F32" w:rsidP="004D784B">
            <w:pPr>
              <w:pStyle w:val="BodyText"/>
              <w:ind w:left="0"/>
              <w:jc w:val="center"/>
              <w:rPr>
                <w:sz w:val="16"/>
                <w:szCs w:val="16"/>
                <w:lang w:eastAsia="en-US"/>
              </w:rPr>
            </w:pPr>
            <w:r w:rsidRPr="006B189E">
              <w:rPr>
                <w:sz w:val="16"/>
                <w:szCs w:val="16"/>
                <w:lang w:eastAsia="en-US"/>
              </w:rPr>
              <w:t>In-water</w:t>
            </w:r>
          </w:p>
        </w:tc>
        <w:tc>
          <w:tcPr>
            <w:tcW w:w="0" w:type="dxa"/>
          </w:tcPr>
          <w:p w14:paraId="6DFAB9CD" w14:textId="00A59CBE" w:rsidR="00087F32" w:rsidRPr="006B189E" w:rsidRDefault="00087F32" w:rsidP="004D784B">
            <w:pPr>
              <w:pStyle w:val="BodyText"/>
              <w:ind w:left="0"/>
              <w:jc w:val="center"/>
              <w:rPr>
                <w:sz w:val="16"/>
                <w:szCs w:val="16"/>
                <w:lang w:eastAsia="en-US"/>
              </w:rPr>
            </w:pPr>
            <w:r w:rsidRPr="006B189E">
              <w:rPr>
                <w:sz w:val="16"/>
                <w:szCs w:val="16"/>
                <w:lang w:eastAsia="en-US"/>
              </w:rPr>
              <w:t>Shoreline</w:t>
            </w:r>
          </w:p>
        </w:tc>
      </w:tr>
      <w:tr w:rsidR="00B201F3" w:rsidRPr="006B189E" w14:paraId="6F7BAFD4" w14:textId="77777777" w:rsidTr="00FA36A5">
        <w:trPr>
          <w:cantSplit/>
        </w:trPr>
        <w:tc>
          <w:tcPr>
            <w:tcW w:w="0" w:type="dxa"/>
          </w:tcPr>
          <w:p w14:paraId="6DE0B02F" w14:textId="6B65AA97" w:rsidR="00157439" w:rsidRPr="006B189E" w:rsidRDefault="00157439" w:rsidP="00310DCD">
            <w:pPr>
              <w:pStyle w:val="BodyText"/>
              <w:ind w:left="0"/>
              <w:rPr>
                <w:sz w:val="16"/>
                <w:szCs w:val="16"/>
                <w:lang w:eastAsia="en-US"/>
              </w:rPr>
            </w:pPr>
            <w:r w:rsidRPr="006B189E">
              <w:rPr>
                <w:sz w:val="16"/>
                <w:szCs w:val="16"/>
                <w:lang w:eastAsia="en-US"/>
              </w:rPr>
              <w:t>Benthic assemblages</w:t>
            </w:r>
          </w:p>
        </w:tc>
        <w:tc>
          <w:tcPr>
            <w:tcW w:w="3544" w:type="dxa"/>
          </w:tcPr>
          <w:p w14:paraId="5FD3E03A" w14:textId="169162BE" w:rsidR="00157439" w:rsidRPr="006B189E" w:rsidRDefault="00157439" w:rsidP="00310DCD">
            <w:pPr>
              <w:pStyle w:val="BodyText"/>
              <w:ind w:left="0"/>
              <w:rPr>
                <w:sz w:val="16"/>
                <w:szCs w:val="16"/>
                <w:lang w:eastAsia="en-US"/>
              </w:rPr>
            </w:pPr>
            <w:r w:rsidRPr="006B189E">
              <w:rPr>
                <w:sz w:val="16"/>
                <w:szCs w:val="16"/>
                <w:lang w:eastAsia="en-US"/>
              </w:rPr>
              <w:t xml:space="preserve">Not applicable. </w:t>
            </w:r>
          </w:p>
        </w:tc>
        <w:tc>
          <w:tcPr>
            <w:tcW w:w="3827" w:type="dxa"/>
          </w:tcPr>
          <w:p w14:paraId="1CF73028" w14:textId="2E1E7A13" w:rsidR="00157439" w:rsidRPr="006B189E" w:rsidRDefault="004C3276" w:rsidP="00157439">
            <w:pPr>
              <w:rPr>
                <w:sz w:val="16"/>
                <w:szCs w:val="16"/>
                <w:lang w:val="en-GB"/>
              </w:rPr>
            </w:pPr>
            <w:r w:rsidRPr="006B189E">
              <w:rPr>
                <w:sz w:val="16"/>
                <w:szCs w:val="16"/>
                <w:lang w:val="en-GB"/>
              </w:rPr>
              <w:t xml:space="preserve">The OSTM indicates that </w:t>
            </w:r>
            <w:r w:rsidR="006B189E">
              <w:rPr>
                <w:sz w:val="16"/>
                <w:szCs w:val="16"/>
                <w:lang w:val="en-GB"/>
              </w:rPr>
              <w:t xml:space="preserve">temporary </w:t>
            </w:r>
            <w:r w:rsidRPr="006B189E">
              <w:rPr>
                <w:sz w:val="16"/>
                <w:szCs w:val="16"/>
                <w:lang w:val="en-GB"/>
              </w:rPr>
              <w:t xml:space="preserve">patches of entrained MDO may be present through the EMBA at </w:t>
            </w:r>
            <w:r w:rsidR="006B189E">
              <w:rPr>
                <w:sz w:val="16"/>
                <w:szCs w:val="16"/>
                <w:lang w:val="en-GB"/>
              </w:rPr>
              <w:t>0-</w:t>
            </w:r>
            <w:r w:rsidRPr="006B189E">
              <w:rPr>
                <w:sz w:val="16"/>
                <w:szCs w:val="16"/>
                <w:lang w:val="en-GB"/>
              </w:rPr>
              <w:t xml:space="preserve">20 m water depth. </w:t>
            </w:r>
          </w:p>
          <w:p w14:paraId="72FAA344" w14:textId="623E0258" w:rsidR="000412B3" w:rsidRDefault="00157439">
            <w:pPr>
              <w:rPr>
                <w:sz w:val="16"/>
                <w:szCs w:val="16"/>
                <w:lang w:val="en-GB"/>
              </w:rPr>
            </w:pPr>
            <w:r w:rsidRPr="006B189E">
              <w:rPr>
                <w:sz w:val="16"/>
                <w:szCs w:val="16"/>
                <w:lang w:val="en-GB"/>
              </w:rPr>
              <w:t xml:space="preserve">Impact by direct contact of benthic species with hydrocarbon in the </w:t>
            </w:r>
            <w:r w:rsidR="000412B3">
              <w:rPr>
                <w:sz w:val="16"/>
                <w:szCs w:val="16"/>
                <w:lang w:val="en-GB"/>
              </w:rPr>
              <w:t xml:space="preserve">deeper areas of the </w:t>
            </w:r>
            <w:r w:rsidRPr="006B189E">
              <w:rPr>
                <w:sz w:val="16"/>
                <w:szCs w:val="16"/>
                <w:lang w:val="en-GB"/>
              </w:rPr>
              <w:t xml:space="preserve">release area </w:t>
            </w:r>
            <w:r w:rsidR="006B189E">
              <w:rPr>
                <w:sz w:val="16"/>
                <w:szCs w:val="16"/>
                <w:lang w:val="en-GB"/>
              </w:rPr>
              <w:t>is not expected given the surface nature of the spill and the water depths at the spill location. Species closer to shore may be affected although these effects will be localised, low level and temporary</w:t>
            </w:r>
            <w:r w:rsidR="000412B3">
              <w:rPr>
                <w:sz w:val="16"/>
                <w:szCs w:val="16"/>
                <w:lang w:val="en-GB"/>
              </w:rPr>
              <w:t xml:space="preserve">, noting that in-water thresholds selected for interpretation are effects levels for 95-99% species protection </w:t>
            </w:r>
            <w:r w:rsidR="006B189E">
              <w:rPr>
                <w:sz w:val="16"/>
                <w:szCs w:val="16"/>
                <w:lang w:val="en-GB"/>
              </w:rPr>
              <w:t>.</w:t>
            </w:r>
            <w:r w:rsidRPr="006B189E">
              <w:rPr>
                <w:sz w:val="16"/>
                <w:szCs w:val="16"/>
                <w:lang w:val="en-GB"/>
              </w:rPr>
              <w:t xml:space="preserve"> </w:t>
            </w:r>
          </w:p>
          <w:p w14:paraId="7630223F" w14:textId="28152040" w:rsidR="008F5F7B" w:rsidRDefault="008F5F7B">
            <w:pPr>
              <w:rPr>
                <w:sz w:val="16"/>
                <w:szCs w:val="16"/>
                <w:lang w:val="en-GB"/>
              </w:rPr>
            </w:pPr>
            <w:r>
              <w:rPr>
                <w:sz w:val="16"/>
                <w:szCs w:val="16"/>
                <w:lang w:val="en-GB"/>
              </w:rPr>
              <w:t>Note that inshore MDO spills (</w:t>
            </w:r>
            <w:r>
              <w:rPr>
                <w:rFonts w:ascii="Verdana" w:hAnsi="Verdana"/>
                <w:sz w:val="16"/>
                <w:szCs w:val="16"/>
                <w:lang w:val="en-GB"/>
              </w:rPr>
              <w:t>~</w:t>
            </w:r>
            <w:r>
              <w:rPr>
                <w:sz w:val="16"/>
                <w:szCs w:val="16"/>
                <w:lang w:val="en-GB"/>
              </w:rPr>
              <w:t>12m</w:t>
            </w:r>
            <w:r w:rsidRPr="00FA36A5">
              <w:rPr>
                <w:sz w:val="16"/>
                <w:szCs w:val="16"/>
                <w:vertAlign w:val="superscript"/>
                <w:lang w:val="en-GB"/>
              </w:rPr>
              <w:t>3</w:t>
            </w:r>
            <w:r>
              <w:rPr>
                <w:sz w:val="16"/>
                <w:szCs w:val="16"/>
                <w:lang w:val="en-GB"/>
              </w:rPr>
              <w:t>) are smaller in nature and will have very localised and temporary impacts.</w:t>
            </w:r>
          </w:p>
          <w:p w14:paraId="2C5BD9F8" w14:textId="47CDACB4" w:rsidR="00157439" w:rsidRPr="006B189E" w:rsidRDefault="00157439">
            <w:pPr>
              <w:rPr>
                <w:sz w:val="16"/>
                <w:szCs w:val="16"/>
                <w:lang w:eastAsia="en-US"/>
              </w:rPr>
            </w:pPr>
            <w:r w:rsidRPr="006B189E">
              <w:rPr>
                <w:sz w:val="16"/>
                <w:szCs w:val="16"/>
                <w:lang w:val="en-GB"/>
              </w:rPr>
              <w:t>Filter-feeding benthic invertebrates such as sponges, bryozoans</w:t>
            </w:r>
            <w:r w:rsidR="000412B3">
              <w:rPr>
                <w:sz w:val="16"/>
                <w:szCs w:val="16"/>
                <w:lang w:val="en-GB"/>
              </w:rPr>
              <w:t>, abalone</w:t>
            </w:r>
            <w:r w:rsidRPr="006B189E">
              <w:rPr>
                <w:sz w:val="16"/>
                <w:szCs w:val="16"/>
                <w:lang w:val="en-GB"/>
              </w:rPr>
              <w:t xml:space="preserve"> and hydroids may be exposed to </w:t>
            </w:r>
            <w:r w:rsidR="005C46A5" w:rsidRPr="006B189E">
              <w:rPr>
                <w:sz w:val="16"/>
                <w:szCs w:val="16"/>
                <w:lang w:val="en-GB"/>
              </w:rPr>
              <w:t>s</w:t>
            </w:r>
            <w:r w:rsidRPr="006B189E">
              <w:rPr>
                <w:sz w:val="16"/>
                <w:szCs w:val="16"/>
                <w:lang w:val="en-GB"/>
              </w:rPr>
              <w:t>ub-lethal impacts</w:t>
            </w:r>
            <w:r w:rsidR="000412B3">
              <w:rPr>
                <w:sz w:val="16"/>
                <w:szCs w:val="16"/>
                <w:lang w:val="en-GB"/>
              </w:rPr>
              <w:t xml:space="preserve"> however p</w:t>
            </w:r>
            <w:r w:rsidRPr="006B189E">
              <w:rPr>
                <w:sz w:val="16"/>
                <w:szCs w:val="16"/>
                <w:lang w:val="en-GB"/>
              </w:rPr>
              <w:t xml:space="preserve">opulation level impacts are considered unlikely. Tissue taint may </w:t>
            </w:r>
            <w:r w:rsidR="000412B3">
              <w:rPr>
                <w:sz w:val="16"/>
                <w:szCs w:val="16"/>
                <w:lang w:val="en-GB"/>
              </w:rPr>
              <w:t>occur an</w:t>
            </w:r>
            <w:r w:rsidR="005827C8">
              <w:rPr>
                <w:sz w:val="16"/>
                <w:szCs w:val="16"/>
                <w:lang w:val="en-GB"/>
              </w:rPr>
              <w:t>d</w:t>
            </w:r>
            <w:r w:rsidR="000412B3">
              <w:rPr>
                <w:sz w:val="16"/>
                <w:szCs w:val="16"/>
                <w:lang w:val="en-GB"/>
              </w:rPr>
              <w:t xml:space="preserve"> </w:t>
            </w:r>
            <w:r w:rsidRPr="006B189E">
              <w:rPr>
                <w:sz w:val="16"/>
                <w:szCs w:val="16"/>
                <w:lang w:val="en-GB"/>
              </w:rPr>
              <w:t>remain for several months in some species (e.g., lobster</w:t>
            </w:r>
            <w:r w:rsidR="006B189E">
              <w:rPr>
                <w:sz w:val="16"/>
                <w:szCs w:val="16"/>
                <w:lang w:val="en-GB"/>
              </w:rPr>
              <w:t>, abalone</w:t>
            </w:r>
            <w:r w:rsidRPr="006B189E">
              <w:rPr>
                <w:sz w:val="16"/>
                <w:szCs w:val="16"/>
                <w:lang w:val="en-GB"/>
              </w:rPr>
              <w:t xml:space="preserve">) however, </w:t>
            </w:r>
            <w:r w:rsidR="000412B3">
              <w:rPr>
                <w:sz w:val="16"/>
                <w:szCs w:val="16"/>
                <w:lang w:val="en-GB"/>
              </w:rPr>
              <w:t xml:space="preserve">this will be </w:t>
            </w:r>
            <w:r w:rsidR="006B189E">
              <w:rPr>
                <w:sz w:val="16"/>
                <w:szCs w:val="16"/>
                <w:lang w:val="en-GB"/>
              </w:rPr>
              <w:t xml:space="preserve">localised and low level with recovery is expected (negligible consequence).  </w:t>
            </w:r>
          </w:p>
        </w:tc>
        <w:tc>
          <w:tcPr>
            <w:tcW w:w="0" w:type="dxa"/>
          </w:tcPr>
          <w:p w14:paraId="4290AB2A" w14:textId="0E082392" w:rsidR="005C46A5" w:rsidRDefault="00157439" w:rsidP="00157439">
            <w:pPr>
              <w:rPr>
                <w:sz w:val="16"/>
                <w:szCs w:val="16"/>
                <w:lang w:val="en-GB"/>
              </w:rPr>
            </w:pPr>
            <w:r w:rsidRPr="006B189E">
              <w:rPr>
                <w:sz w:val="16"/>
                <w:szCs w:val="16"/>
                <w:lang w:val="en-GB"/>
              </w:rPr>
              <w:t xml:space="preserve">There is a </w:t>
            </w:r>
            <w:r w:rsidR="002B1D7A">
              <w:rPr>
                <w:sz w:val="16"/>
                <w:szCs w:val="16"/>
                <w:lang w:val="en-GB"/>
              </w:rPr>
              <w:t>22</w:t>
            </w:r>
            <w:r w:rsidRPr="006B189E">
              <w:rPr>
                <w:sz w:val="16"/>
                <w:szCs w:val="16"/>
                <w:lang w:val="en-GB"/>
              </w:rPr>
              <w:t xml:space="preserve">% probability of shoreline exposure </w:t>
            </w:r>
            <w:r w:rsidR="005C46A5" w:rsidRPr="006B189E">
              <w:rPr>
                <w:sz w:val="16"/>
                <w:szCs w:val="16"/>
                <w:lang w:val="en-GB"/>
              </w:rPr>
              <w:t xml:space="preserve"> along </w:t>
            </w:r>
            <w:r w:rsidR="002B1D7A">
              <w:rPr>
                <w:sz w:val="16"/>
                <w:szCs w:val="16"/>
                <w:lang w:val="en-GB"/>
              </w:rPr>
              <w:t>the Port Fairy to Cape Otway coast line</w:t>
            </w:r>
            <w:r w:rsidR="000412B3">
              <w:rPr>
                <w:sz w:val="16"/>
                <w:szCs w:val="16"/>
                <w:lang w:val="en-GB"/>
              </w:rPr>
              <w:t xml:space="preserve"> from a significant offshore MDO spill</w:t>
            </w:r>
            <w:r w:rsidR="001F28D2">
              <w:rPr>
                <w:sz w:val="16"/>
                <w:szCs w:val="16"/>
                <w:lang w:val="en-GB"/>
              </w:rPr>
              <w:t>.</w:t>
            </w:r>
            <w:r w:rsidR="002B1D7A">
              <w:rPr>
                <w:sz w:val="16"/>
                <w:szCs w:val="16"/>
                <w:lang w:val="en-GB"/>
              </w:rPr>
              <w:t xml:space="preserve"> The maximum volume ashore is 65.9 m</w:t>
            </w:r>
            <w:r w:rsidR="002B1D7A" w:rsidRPr="00083759">
              <w:rPr>
                <w:sz w:val="16"/>
                <w:szCs w:val="16"/>
                <w:vertAlign w:val="superscript"/>
                <w:lang w:val="en-GB"/>
              </w:rPr>
              <w:t>3</w:t>
            </w:r>
            <w:r w:rsidR="002B1D7A">
              <w:rPr>
                <w:sz w:val="16"/>
                <w:szCs w:val="16"/>
                <w:lang w:val="en-GB"/>
              </w:rPr>
              <w:t xml:space="preserve"> and average is 26.9 m</w:t>
            </w:r>
            <w:r w:rsidR="002B1D7A" w:rsidRPr="00083759">
              <w:rPr>
                <w:sz w:val="16"/>
                <w:szCs w:val="16"/>
                <w:vertAlign w:val="superscript"/>
                <w:lang w:val="en-GB"/>
              </w:rPr>
              <w:t>3</w:t>
            </w:r>
            <w:r w:rsidR="002B1D7A">
              <w:rPr>
                <w:sz w:val="16"/>
                <w:szCs w:val="16"/>
                <w:lang w:val="en-GB"/>
              </w:rPr>
              <w:t xml:space="preserve"> of MDO.</w:t>
            </w:r>
            <w:r w:rsidR="005C46A5" w:rsidRPr="006B189E">
              <w:rPr>
                <w:sz w:val="16"/>
                <w:szCs w:val="16"/>
                <w:lang w:val="en-GB"/>
              </w:rPr>
              <w:t xml:space="preserve"> </w:t>
            </w:r>
            <w:r w:rsidR="000412B3">
              <w:rPr>
                <w:sz w:val="16"/>
                <w:szCs w:val="16"/>
                <w:lang w:val="en-GB"/>
              </w:rPr>
              <w:t>Nearer to shore activities undertaken with smaller vessels (</w:t>
            </w:r>
            <w:r w:rsidR="000412B3">
              <w:rPr>
                <w:rFonts w:ascii="Verdana" w:hAnsi="Verdana"/>
                <w:sz w:val="16"/>
                <w:szCs w:val="16"/>
                <w:lang w:val="en-GB"/>
              </w:rPr>
              <w:t>~</w:t>
            </w:r>
            <w:r w:rsidR="000412B3">
              <w:rPr>
                <w:sz w:val="16"/>
                <w:szCs w:val="16"/>
                <w:lang w:val="en-GB"/>
              </w:rPr>
              <w:t>12m</w:t>
            </w:r>
            <w:r w:rsidR="000412B3" w:rsidRPr="00FA36A5">
              <w:rPr>
                <w:sz w:val="16"/>
                <w:szCs w:val="16"/>
                <w:vertAlign w:val="superscript"/>
                <w:lang w:val="en-GB"/>
              </w:rPr>
              <w:t>3</w:t>
            </w:r>
            <w:r w:rsidR="000412B3">
              <w:rPr>
                <w:sz w:val="16"/>
                <w:szCs w:val="16"/>
                <w:lang w:val="en-GB"/>
              </w:rPr>
              <w:t xml:space="preserve"> spill risk) have a smaller spill risk.</w:t>
            </w:r>
          </w:p>
          <w:p w14:paraId="31531A84" w14:textId="69495853" w:rsidR="002B1D7A" w:rsidRPr="006B189E" w:rsidRDefault="002B1D7A" w:rsidP="00157439">
            <w:pPr>
              <w:rPr>
                <w:sz w:val="16"/>
                <w:szCs w:val="16"/>
                <w:lang w:val="en-GB"/>
              </w:rPr>
            </w:pPr>
            <w:r>
              <w:rPr>
                <w:sz w:val="16"/>
                <w:szCs w:val="16"/>
                <w:lang w:val="en-GB"/>
              </w:rPr>
              <w:t xml:space="preserve">Due to the low viscosity of the MDO residue </w:t>
            </w:r>
            <w:r w:rsidR="000412B3">
              <w:rPr>
                <w:sz w:val="16"/>
                <w:szCs w:val="16"/>
                <w:lang w:val="en-GB"/>
              </w:rPr>
              <w:t xml:space="preserve">after a spill, studies indicate </w:t>
            </w:r>
            <w:r>
              <w:rPr>
                <w:sz w:val="16"/>
                <w:szCs w:val="16"/>
                <w:lang w:val="en-GB"/>
              </w:rPr>
              <w:t xml:space="preserve">it is likely </w:t>
            </w:r>
            <w:r w:rsidR="00080284">
              <w:rPr>
                <w:sz w:val="16"/>
                <w:szCs w:val="16"/>
                <w:lang w:val="en-GB"/>
              </w:rPr>
              <w:t>to</w:t>
            </w:r>
            <w:r>
              <w:rPr>
                <w:sz w:val="16"/>
                <w:szCs w:val="16"/>
                <w:lang w:val="en-GB"/>
              </w:rPr>
              <w:t xml:space="preserve"> percolate into the </w:t>
            </w:r>
            <w:r w:rsidR="00080284">
              <w:rPr>
                <w:sz w:val="16"/>
                <w:szCs w:val="16"/>
                <w:lang w:val="en-GB"/>
              </w:rPr>
              <w:t xml:space="preserve">voids between </w:t>
            </w:r>
            <w:r>
              <w:rPr>
                <w:sz w:val="16"/>
                <w:szCs w:val="16"/>
                <w:lang w:val="en-GB"/>
              </w:rPr>
              <w:t>sand</w:t>
            </w:r>
            <w:r w:rsidR="00080284">
              <w:rPr>
                <w:sz w:val="16"/>
                <w:szCs w:val="16"/>
                <w:lang w:val="en-GB"/>
              </w:rPr>
              <w:t xml:space="preserve"> particles</w:t>
            </w:r>
            <w:r w:rsidR="000412B3">
              <w:rPr>
                <w:sz w:val="16"/>
                <w:szCs w:val="16"/>
                <w:lang w:val="en-GB"/>
              </w:rPr>
              <w:t xml:space="preserve"> and not present itself as a surface residue</w:t>
            </w:r>
            <w:r>
              <w:rPr>
                <w:sz w:val="16"/>
                <w:szCs w:val="16"/>
                <w:lang w:val="en-GB"/>
              </w:rPr>
              <w:t>.</w:t>
            </w:r>
          </w:p>
          <w:p w14:paraId="2625CD12" w14:textId="31A606D2" w:rsidR="00157439" w:rsidRPr="006B189E" w:rsidRDefault="00157439" w:rsidP="00157439">
            <w:pPr>
              <w:rPr>
                <w:sz w:val="16"/>
                <w:szCs w:val="16"/>
                <w:lang w:val="en-GB"/>
              </w:rPr>
            </w:pPr>
            <w:r w:rsidRPr="006B189E">
              <w:rPr>
                <w:sz w:val="16"/>
                <w:szCs w:val="16"/>
                <w:lang w:val="en-GB"/>
              </w:rPr>
              <w:t>Inshore and intertidal benthic species may be exposed to weathered</w:t>
            </w:r>
            <w:r w:rsidR="00B201F3" w:rsidRPr="006B189E">
              <w:rPr>
                <w:sz w:val="16"/>
                <w:szCs w:val="16"/>
                <w:lang w:val="en-GB"/>
              </w:rPr>
              <w:t xml:space="preserve"> MDO (minimum time to shore is 11.5 hours</w:t>
            </w:r>
            <w:r w:rsidR="00080284">
              <w:rPr>
                <w:sz w:val="16"/>
                <w:szCs w:val="16"/>
                <w:lang w:val="en-GB"/>
              </w:rPr>
              <w:t xml:space="preserve"> from offshore spill</w:t>
            </w:r>
            <w:r w:rsidRPr="006B189E">
              <w:rPr>
                <w:sz w:val="16"/>
                <w:szCs w:val="16"/>
                <w:lang w:val="en-GB"/>
              </w:rPr>
              <w:t>)</w:t>
            </w:r>
            <w:r w:rsidR="00080284">
              <w:rPr>
                <w:sz w:val="16"/>
                <w:szCs w:val="16"/>
                <w:lang w:val="en-GB"/>
              </w:rPr>
              <w:t xml:space="preserve"> </w:t>
            </w:r>
            <w:r w:rsidR="00E45B20">
              <w:rPr>
                <w:sz w:val="16"/>
                <w:szCs w:val="16"/>
                <w:lang w:val="en-GB"/>
              </w:rPr>
              <w:t>from an offshore spill and smaller volumes but fresher hydrocarbon from near shore spills.</w:t>
            </w:r>
            <w:r w:rsidRPr="006B189E">
              <w:rPr>
                <w:sz w:val="16"/>
                <w:szCs w:val="16"/>
                <w:lang w:val="en-GB"/>
              </w:rPr>
              <w:t xml:space="preserve"> Inshore reefs occur along this section of coastline, so it is</w:t>
            </w:r>
            <w:r w:rsidR="001F28D2">
              <w:rPr>
                <w:sz w:val="16"/>
                <w:szCs w:val="16"/>
                <w:lang w:val="en-GB"/>
              </w:rPr>
              <w:t xml:space="preserve"> also </w:t>
            </w:r>
            <w:r w:rsidRPr="006B189E">
              <w:rPr>
                <w:sz w:val="16"/>
                <w:szCs w:val="16"/>
                <w:lang w:val="en-GB"/>
              </w:rPr>
              <w:t xml:space="preserve">likely that that </w:t>
            </w:r>
            <w:r w:rsidR="001F28D2">
              <w:rPr>
                <w:sz w:val="16"/>
                <w:szCs w:val="16"/>
                <w:lang w:val="en-GB"/>
              </w:rPr>
              <w:t xml:space="preserve">those </w:t>
            </w:r>
            <w:r w:rsidRPr="006B189E">
              <w:rPr>
                <w:sz w:val="16"/>
                <w:szCs w:val="16"/>
                <w:lang w:val="en-GB"/>
              </w:rPr>
              <w:t xml:space="preserve">communities would be exposed </w:t>
            </w:r>
            <w:r w:rsidR="00E45B20">
              <w:rPr>
                <w:sz w:val="16"/>
                <w:szCs w:val="16"/>
                <w:lang w:val="en-GB"/>
              </w:rPr>
              <w:t xml:space="preserve">but </w:t>
            </w:r>
            <w:r w:rsidRPr="006B189E">
              <w:rPr>
                <w:sz w:val="16"/>
                <w:szCs w:val="16"/>
                <w:lang w:val="en-GB"/>
              </w:rPr>
              <w:t xml:space="preserve">to </w:t>
            </w:r>
            <w:r w:rsidR="001F28D2">
              <w:rPr>
                <w:sz w:val="16"/>
                <w:szCs w:val="16"/>
                <w:lang w:val="en-GB"/>
              </w:rPr>
              <w:t xml:space="preserve">low level </w:t>
            </w:r>
            <w:r w:rsidR="000412B3">
              <w:rPr>
                <w:sz w:val="16"/>
                <w:szCs w:val="16"/>
                <w:lang w:val="en-GB"/>
              </w:rPr>
              <w:t xml:space="preserve">entrained </w:t>
            </w:r>
            <w:r w:rsidRPr="006B189E">
              <w:rPr>
                <w:sz w:val="16"/>
                <w:szCs w:val="16"/>
                <w:lang w:val="en-GB"/>
              </w:rPr>
              <w:t>hydrocarbons</w:t>
            </w:r>
            <w:r w:rsidR="000412B3">
              <w:rPr>
                <w:sz w:val="16"/>
                <w:szCs w:val="16"/>
                <w:lang w:val="en-GB"/>
              </w:rPr>
              <w:t xml:space="preserve"> (95% species protection)</w:t>
            </w:r>
            <w:r w:rsidRPr="006B189E">
              <w:rPr>
                <w:sz w:val="16"/>
                <w:szCs w:val="16"/>
                <w:lang w:val="en-GB"/>
              </w:rPr>
              <w:t>.</w:t>
            </w:r>
          </w:p>
          <w:p w14:paraId="5E4DF34D" w14:textId="5DB27F35" w:rsidR="00157439" w:rsidRPr="006B189E" w:rsidRDefault="00157439">
            <w:pPr>
              <w:rPr>
                <w:sz w:val="16"/>
                <w:szCs w:val="16"/>
                <w:lang w:val="en-GB"/>
              </w:rPr>
            </w:pPr>
            <w:r w:rsidRPr="006B189E">
              <w:rPr>
                <w:sz w:val="16"/>
                <w:szCs w:val="16"/>
                <w:lang w:val="en-GB"/>
              </w:rPr>
              <w:t xml:space="preserve">Resident </w:t>
            </w:r>
            <w:r w:rsidR="00E45B20">
              <w:rPr>
                <w:sz w:val="16"/>
                <w:szCs w:val="16"/>
                <w:lang w:val="en-GB"/>
              </w:rPr>
              <w:t xml:space="preserve">shoreline </w:t>
            </w:r>
            <w:r w:rsidRPr="006B189E">
              <w:rPr>
                <w:sz w:val="16"/>
                <w:szCs w:val="16"/>
                <w:lang w:val="en-GB"/>
              </w:rPr>
              <w:t xml:space="preserve">fauna such as worms, molluscs and crustaceans may suffer lethal impacts if </w:t>
            </w:r>
            <w:r w:rsidR="00B201F3" w:rsidRPr="006B189E">
              <w:rPr>
                <w:sz w:val="16"/>
                <w:szCs w:val="16"/>
                <w:lang w:val="en-GB"/>
              </w:rPr>
              <w:t>MDO</w:t>
            </w:r>
            <w:r w:rsidRPr="006B189E">
              <w:rPr>
                <w:sz w:val="16"/>
                <w:szCs w:val="16"/>
                <w:lang w:val="en-GB"/>
              </w:rPr>
              <w:t xml:space="preserve"> penetrate into the sediments, especially in highly productive sheltered shorelines where hydrocarbon is more likely to be retained. </w:t>
            </w:r>
            <w:r w:rsidR="001F28D2">
              <w:rPr>
                <w:sz w:val="16"/>
                <w:szCs w:val="16"/>
                <w:lang w:val="en-GB"/>
              </w:rPr>
              <w:t xml:space="preserve">However this is considered to be unlikely </w:t>
            </w:r>
            <w:r w:rsidR="00E45B20">
              <w:rPr>
                <w:sz w:val="16"/>
                <w:szCs w:val="16"/>
                <w:lang w:val="en-GB"/>
              </w:rPr>
              <w:t xml:space="preserve">given the limited sheltered shorelines </w:t>
            </w:r>
            <w:r w:rsidR="000412B3">
              <w:rPr>
                <w:sz w:val="16"/>
                <w:szCs w:val="16"/>
                <w:lang w:val="en-GB"/>
              </w:rPr>
              <w:t>containing sand along the coast. If this occurred</w:t>
            </w:r>
            <w:r w:rsidR="001F28D2">
              <w:rPr>
                <w:sz w:val="16"/>
                <w:szCs w:val="16"/>
                <w:lang w:val="en-GB"/>
              </w:rPr>
              <w:t xml:space="preserve">, it would be in isolated areas </w:t>
            </w:r>
            <w:r w:rsidR="00CB6F84">
              <w:rPr>
                <w:sz w:val="16"/>
                <w:szCs w:val="16"/>
                <w:lang w:val="en-GB"/>
              </w:rPr>
              <w:t xml:space="preserve">and recolonization </w:t>
            </w:r>
            <w:r w:rsidR="001F28D2">
              <w:rPr>
                <w:sz w:val="16"/>
                <w:szCs w:val="16"/>
                <w:lang w:val="en-GB"/>
              </w:rPr>
              <w:t>by adjacent species</w:t>
            </w:r>
            <w:r w:rsidR="00CB6F84">
              <w:rPr>
                <w:sz w:val="16"/>
                <w:szCs w:val="16"/>
                <w:lang w:val="en-GB"/>
              </w:rPr>
              <w:t xml:space="preserve"> would occur in the short to medium term</w:t>
            </w:r>
            <w:r w:rsidR="001F28D2">
              <w:rPr>
                <w:sz w:val="16"/>
                <w:szCs w:val="16"/>
                <w:lang w:val="en-GB"/>
              </w:rPr>
              <w:t xml:space="preserve"> (negligible consequence).  </w:t>
            </w:r>
          </w:p>
        </w:tc>
      </w:tr>
      <w:tr w:rsidR="003D1D39" w:rsidRPr="006B189E" w14:paraId="526619FE" w14:textId="77777777" w:rsidTr="001F28D2">
        <w:trPr>
          <w:cnfStyle w:val="000000010000" w:firstRow="0" w:lastRow="0" w:firstColumn="0" w:lastColumn="0" w:oddVBand="0" w:evenVBand="0" w:oddHBand="0" w:evenHBand="1" w:firstRowFirstColumn="0" w:firstRowLastColumn="0" w:lastRowFirstColumn="0" w:lastRowLastColumn="0"/>
          <w:cantSplit/>
        </w:trPr>
        <w:tc>
          <w:tcPr>
            <w:tcW w:w="1701" w:type="dxa"/>
          </w:tcPr>
          <w:p w14:paraId="77155691" w14:textId="1D63ECA4" w:rsidR="003D1D39" w:rsidRPr="006B189E" w:rsidRDefault="003D1D39" w:rsidP="00087F32">
            <w:pPr>
              <w:pStyle w:val="BodyText"/>
              <w:ind w:left="0"/>
              <w:rPr>
                <w:sz w:val="16"/>
                <w:szCs w:val="16"/>
                <w:lang w:eastAsia="en-US"/>
              </w:rPr>
            </w:pPr>
            <w:r w:rsidRPr="006B189E">
              <w:rPr>
                <w:sz w:val="16"/>
                <w:szCs w:val="16"/>
                <w:lang w:eastAsia="en-US"/>
              </w:rPr>
              <w:lastRenderedPageBreak/>
              <w:t>Plankton</w:t>
            </w:r>
            <w:r w:rsidR="00996468">
              <w:rPr>
                <w:sz w:val="16"/>
                <w:szCs w:val="16"/>
                <w:lang w:eastAsia="en-US"/>
              </w:rPr>
              <w:t xml:space="preserve"> and Planktonic eggs</w:t>
            </w:r>
          </w:p>
        </w:tc>
        <w:tc>
          <w:tcPr>
            <w:tcW w:w="7371" w:type="dxa"/>
            <w:gridSpan w:val="2"/>
          </w:tcPr>
          <w:p w14:paraId="60F3874F" w14:textId="105DB687" w:rsidR="003D1D39" w:rsidRPr="006B189E" w:rsidRDefault="003D1D39" w:rsidP="003D1D39">
            <w:pPr>
              <w:rPr>
                <w:sz w:val="16"/>
                <w:szCs w:val="16"/>
                <w:lang w:val="en-GB"/>
              </w:rPr>
            </w:pPr>
            <w:r w:rsidRPr="006B189E">
              <w:rPr>
                <w:sz w:val="16"/>
                <w:szCs w:val="16"/>
                <w:lang w:val="en-GB"/>
              </w:rPr>
              <w:t xml:space="preserve">Plankton </w:t>
            </w:r>
            <w:r w:rsidR="00CB6F84">
              <w:rPr>
                <w:sz w:val="16"/>
                <w:szCs w:val="16"/>
                <w:lang w:val="en-GB"/>
              </w:rPr>
              <w:t>(including planktonic eggs</w:t>
            </w:r>
            <w:r w:rsidR="008F5F7B">
              <w:rPr>
                <w:sz w:val="16"/>
                <w:szCs w:val="16"/>
                <w:lang w:val="en-GB"/>
              </w:rPr>
              <w:t xml:space="preserve"> and larvae</w:t>
            </w:r>
            <w:r w:rsidR="00CB6F84">
              <w:rPr>
                <w:sz w:val="16"/>
                <w:szCs w:val="16"/>
                <w:lang w:val="en-GB"/>
              </w:rPr>
              <w:t xml:space="preserve">) </w:t>
            </w:r>
            <w:r w:rsidRPr="006B189E">
              <w:rPr>
                <w:sz w:val="16"/>
                <w:szCs w:val="16"/>
                <w:lang w:val="en-GB"/>
              </w:rPr>
              <w:t xml:space="preserve">found in open waters of the EMBA is expected to be widely represented within waters of the wider Bass Strait region. Plankton in the upper water column is likely to be directly (e.g., through smothering and ingestion) and indirectly (e.g., toxicity from decrease in water quality and bioaccumulation) affected by </w:t>
            </w:r>
            <w:r w:rsidR="00EE6ADA" w:rsidRPr="006B189E">
              <w:rPr>
                <w:sz w:val="16"/>
                <w:szCs w:val="16"/>
                <w:lang w:val="en-GB"/>
              </w:rPr>
              <w:t>entrained</w:t>
            </w:r>
            <w:r w:rsidRPr="006B189E">
              <w:rPr>
                <w:sz w:val="16"/>
                <w:szCs w:val="16"/>
                <w:lang w:val="en-GB"/>
              </w:rPr>
              <w:t xml:space="preserve"> hydrocarbons. </w:t>
            </w:r>
          </w:p>
          <w:p w14:paraId="799AD89B" w14:textId="34C03A8E" w:rsidR="003D1D39" w:rsidRPr="006B189E" w:rsidRDefault="00CB6F84" w:rsidP="003D1D39">
            <w:pPr>
              <w:rPr>
                <w:sz w:val="16"/>
                <w:szCs w:val="16"/>
                <w:lang w:val="en-GB"/>
              </w:rPr>
            </w:pPr>
            <w:r>
              <w:rPr>
                <w:sz w:val="16"/>
                <w:szCs w:val="16"/>
                <w:lang w:val="en-GB"/>
              </w:rPr>
              <w:t xml:space="preserve">Entrained </w:t>
            </w:r>
            <w:r w:rsidR="003E7F4F" w:rsidRPr="006B189E">
              <w:rPr>
                <w:sz w:val="16"/>
                <w:szCs w:val="16"/>
                <w:lang w:val="en-GB"/>
              </w:rPr>
              <w:t xml:space="preserve">phase MDO may intersect the Bonney Upwelling KEF around the </w:t>
            </w:r>
            <w:r w:rsidR="00D13025" w:rsidRPr="006B189E">
              <w:rPr>
                <w:sz w:val="16"/>
                <w:szCs w:val="16"/>
                <w:lang w:val="en-GB"/>
              </w:rPr>
              <w:t xml:space="preserve">Port Fairy to </w:t>
            </w:r>
            <w:r w:rsidR="003E7F4F" w:rsidRPr="006B189E">
              <w:rPr>
                <w:sz w:val="16"/>
                <w:szCs w:val="16"/>
                <w:lang w:val="en-GB"/>
              </w:rPr>
              <w:t xml:space="preserve">Portland area. </w:t>
            </w:r>
            <w:r w:rsidR="00D13025" w:rsidRPr="006B189E">
              <w:rPr>
                <w:sz w:val="16"/>
                <w:szCs w:val="16"/>
                <w:lang w:val="en-GB"/>
              </w:rPr>
              <w:t>While a spill would not affect the upwelling itself, if the spill occurs at the time of an upwelling event (timing changes year-to-year, but generally occurs around February in southwest Victoria)</w:t>
            </w:r>
            <w:r w:rsidR="00EE6ADA" w:rsidRPr="006B189E">
              <w:rPr>
                <w:sz w:val="16"/>
                <w:szCs w:val="16"/>
                <w:lang w:val="en-GB"/>
              </w:rPr>
              <w:t>, it may result in krill being exposed to low</w:t>
            </w:r>
            <w:r>
              <w:rPr>
                <w:sz w:val="16"/>
                <w:szCs w:val="16"/>
                <w:lang w:val="en-GB"/>
              </w:rPr>
              <w:t xml:space="preserve"> (effects)</w:t>
            </w:r>
            <w:r w:rsidR="00EE6ADA" w:rsidRPr="006B189E">
              <w:rPr>
                <w:sz w:val="16"/>
                <w:szCs w:val="16"/>
                <w:lang w:val="en-GB"/>
              </w:rPr>
              <w:t xml:space="preserve"> level entrained phase MDO</w:t>
            </w:r>
            <w:r>
              <w:rPr>
                <w:sz w:val="16"/>
                <w:szCs w:val="16"/>
                <w:lang w:val="en-GB"/>
              </w:rPr>
              <w:t xml:space="preserve"> (99% species protection)</w:t>
            </w:r>
            <w:r w:rsidR="00EE6ADA" w:rsidRPr="006B189E">
              <w:rPr>
                <w:sz w:val="16"/>
                <w:szCs w:val="16"/>
                <w:lang w:val="en-GB"/>
              </w:rPr>
              <w:t xml:space="preserve">. Pygmy blue whales feeding on this krill may suffer </w:t>
            </w:r>
            <w:r>
              <w:rPr>
                <w:sz w:val="16"/>
                <w:szCs w:val="16"/>
                <w:lang w:val="en-GB"/>
              </w:rPr>
              <w:t>from reduced prey however these impacts are expected to be extremely localised and temporary</w:t>
            </w:r>
            <w:r w:rsidR="00EE6ADA" w:rsidRPr="006B189E">
              <w:rPr>
                <w:sz w:val="16"/>
                <w:szCs w:val="16"/>
                <w:lang w:val="en-GB"/>
              </w:rPr>
              <w:t>.</w:t>
            </w:r>
            <w:r>
              <w:rPr>
                <w:sz w:val="16"/>
                <w:szCs w:val="16"/>
                <w:lang w:val="en-GB"/>
              </w:rPr>
              <w:t xml:space="preserve"> </w:t>
            </w:r>
            <w:r w:rsidR="003D1D39" w:rsidRPr="006B189E">
              <w:rPr>
                <w:sz w:val="16"/>
                <w:szCs w:val="16"/>
                <w:lang w:val="en-GB"/>
              </w:rPr>
              <w:t xml:space="preserve">Once background water quality conditions are re-established, plankton populations are expected to recover due to the recruitment of plankton </w:t>
            </w:r>
            <w:r>
              <w:rPr>
                <w:sz w:val="16"/>
                <w:szCs w:val="16"/>
                <w:lang w:val="en-GB"/>
              </w:rPr>
              <w:t xml:space="preserve">(&amp; planktonic eggs) </w:t>
            </w:r>
            <w:r w:rsidR="003D1D39" w:rsidRPr="006B189E">
              <w:rPr>
                <w:sz w:val="16"/>
                <w:szCs w:val="16"/>
                <w:lang w:val="en-GB"/>
              </w:rPr>
              <w:t xml:space="preserve">from surrounding waters. </w:t>
            </w:r>
          </w:p>
          <w:p w14:paraId="6E631112" w14:textId="22D958BB" w:rsidR="003D1D39" w:rsidRPr="006B189E" w:rsidRDefault="003D1D39" w:rsidP="00742323">
            <w:pPr>
              <w:rPr>
                <w:sz w:val="16"/>
                <w:szCs w:val="16"/>
                <w:lang w:eastAsia="en-US"/>
              </w:rPr>
            </w:pPr>
            <w:r w:rsidRPr="006B189E">
              <w:rPr>
                <w:sz w:val="16"/>
                <w:szCs w:val="16"/>
              </w:rPr>
              <w:t>The overall impact of hydrocarbon spills on plankton is not considered to be significant in the long-term</w:t>
            </w:r>
            <w:r w:rsidR="001F28D2">
              <w:rPr>
                <w:sz w:val="16"/>
                <w:szCs w:val="16"/>
              </w:rPr>
              <w:t xml:space="preserve"> (negligible consequence)</w:t>
            </w:r>
            <w:r w:rsidRPr="006B189E">
              <w:rPr>
                <w:sz w:val="16"/>
                <w:szCs w:val="16"/>
              </w:rPr>
              <w:t>.</w:t>
            </w:r>
          </w:p>
        </w:tc>
        <w:tc>
          <w:tcPr>
            <w:tcW w:w="3969" w:type="dxa"/>
          </w:tcPr>
          <w:p w14:paraId="0775EF33" w14:textId="07726FFC" w:rsidR="003D1D39" w:rsidRPr="006B189E" w:rsidRDefault="003D1D39" w:rsidP="00310DCD">
            <w:pPr>
              <w:pStyle w:val="BodyText"/>
              <w:ind w:left="0"/>
              <w:rPr>
                <w:sz w:val="16"/>
                <w:szCs w:val="16"/>
                <w:lang w:eastAsia="en-US"/>
              </w:rPr>
            </w:pPr>
            <w:r w:rsidRPr="006B189E">
              <w:rPr>
                <w:sz w:val="16"/>
                <w:szCs w:val="16"/>
                <w:lang w:eastAsia="en-US"/>
              </w:rPr>
              <w:t>Not applicable.</w:t>
            </w:r>
          </w:p>
        </w:tc>
      </w:tr>
      <w:tr w:rsidR="00B201F3" w:rsidRPr="006B189E" w14:paraId="190BD8C1" w14:textId="77777777" w:rsidTr="00FA36A5">
        <w:trPr>
          <w:cantSplit/>
        </w:trPr>
        <w:tc>
          <w:tcPr>
            <w:tcW w:w="0" w:type="dxa"/>
          </w:tcPr>
          <w:p w14:paraId="32001465" w14:textId="15E5F039" w:rsidR="00157439" w:rsidRPr="006B189E" w:rsidRDefault="005827C8" w:rsidP="005827C8">
            <w:pPr>
              <w:pStyle w:val="BodyText"/>
              <w:ind w:left="0"/>
              <w:rPr>
                <w:sz w:val="16"/>
                <w:szCs w:val="16"/>
                <w:lang w:eastAsia="en-US"/>
              </w:rPr>
            </w:pPr>
            <w:r>
              <w:rPr>
                <w:sz w:val="16"/>
                <w:szCs w:val="16"/>
                <w:lang w:eastAsia="en-US"/>
              </w:rPr>
              <w:lastRenderedPageBreak/>
              <w:t>F</w:t>
            </w:r>
            <w:r w:rsidR="00157439" w:rsidRPr="006B189E">
              <w:rPr>
                <w:sz w:val="16"/>
                <w:szCs w:val="16"/>
                <w:lang w:eastAsia="en-US"/>
              </w:rPr>
              <w:t>ish</w:t>
            </w:r>
          </w:p>
        </w:tc>
        <w:tc>
          <w:tcPr>
            <w:tcW w:w="3544" w:type="dxa"/>
          </w:tcPr>
          <w:p w14:paraId="280FD342" w14:textId="4D931CA6" w:rsidR="00CB6F84" w:rsidRDefault="00742323" w:rsidP="00742323">
            <w:pPr>
              <w:rPr>
                <w:sz w:val="16"/>
                <w:szCs w:val="16"/>
                <w:lang w:val="en-GB"/>
              </w:rPr>
            </w:pPr>
            <w:r w:rsidRPr="006B189E">
              <w:rPr>
                <w:sz w:val="16"/>
                <w:szCs w:val="16"/>
                <w:lang w:val="en-GB"/>
              </w:rPr>
              <w:t>The majority of adult fish, including sharks, tend to remain in the mid-pelagic zone and are not likely to come into contact with surface hydrocarbons.</w:t>
            </w:r>
            <w:r w:rsidR="00E45B20">
              <w:rPr>
                <w:sz w:val="16"/>
                <w:szCs w:val="16"/>
                <w:lang w:val="en-GB"/>
              </w:rPr>
              <w:t xml:space="preserve"> </w:t>
            </w:r>
          </w:p>
          <w:p w14:paraId="379AE66B" w14:textId="1FBEE339" w:rsidR="00742323" w:rsidRPr="006B189E" w:rsidRDefault="00902287" w:rsidP="00742323">
            <w:pPr>
              <w:rPr>
                <w:sz w:val="16"/>
                <w:szCs w:val="16"/>
                <w:lang w:val="en-GB"/>
              </w:rPr>
            </w:pPr>
            <w:r>
              <w:rPr>
                <w:sz w:val="16"/>
                <w:szCs w:val="16"/>
                <w:lang w:val="en-GB"/>
              </w:rPr>
              <w:t xml:space="preserve">It is possible that some near-shore species (e.g. </w:t>
            </w:r>
            <w:r w:rsidR="00742323" w:rsidRPr="006B189E">
              <w:rPr>
                <w:sz w:val="16"/>
                <w:szCs w:val="16"/>
                <w:lang w:val="en-GB"/>
              </w:rPr>
              <w:t>some syngnathid species</w:t>
            </w:r>
            <w:r>
              <w:rPr>
                <w:sz w:val="16"/>
                <w:szCs w:val="16"/>
                <w:lang w:val="en-GB"/>
              </w:rPr>
              <w:t>)</w:t>
            </w:r>
            <w:r w:rsidR="00742323" w:rsidRPr="006B189E">
              <w:rPr>
                <w:sz w:val="16"/>
                <w:szCs w:val="16"/>
                <w:lang w:val="en-GB"/>
              </w:rPr>
              <w:t xml:space="preserve"> associated with nearshore rocky reefs and rafts of floating seaweed may come into contact with surface oil</w:t>
            </w:r>
            <w:r>
              <w:rPr>
                <w:sz w:val="16"/>
                <w:szCs w:val="16"/>
                <w:lang w:val="en-GB"/>
              </w:rPr>
              <w:t xml:space="preserve"> i</w:t>
            </w:r>
            <w:r w:rsidR="00CB6F84">
              <w:rPr>
                <w:sz w:val="16"/>
                <w:szCs w:val="16"/>
                <w:lang w:val="en-GB"/>
              </w:rPr>
              <w:t>f</w:t>
            </w:r>
            <w:r>
              <w:rPr>
                <w:sz w:val="16"/>
                <w:szCs w:val="16"/>
                <w:lang w:val="en-GB"/>
              </w:rPr>
              <w:t xml:space="preserve"> present</w:t>
            </w:r>
            <w:r w:rsidR="00CB6F84">
              <w:rPr>
                <w:sz w:val="16"/>
                <w:szCs w:val="16"/>
                <w:lang w:val="en-GB"/>
              </w:rPr>
              <w:t xml:space="preserve"> through entrainment, however given the dynamic nature around near-shore reefs exposure is not considered to be significant</w:t>
            </w:r>
            <w:r w:rsidR="00742323" w:rsidRPr="006B189E">
              <w:rPr>
                <w:sz w:val="16"/>
                <w:szCs w:val="16"/>
                <w:lang w:val="en-GB"/>
              </w:rPr>
              <w:t xml:space="preserve">.  </w:t>
            </w:r>
          </w:p>
          <w:p w14:paraId="481B287A" w14:textId="04936A92" w:rsidR="00157439" w:rsidRPr="006B189E" w:rsidRDefault="00CB6F84">
            <w:pPr>
              <w:pStyle w:val="BodyText"/>
              <w:ind w:left="0"/>
              <w:rPr>
                <w:sz w:val="16"/>
                <w:szCs w:val="16"/>
                <w:lang w:eastAsia="en-US"/>
              </w:rPr>
            </w:pPr>
            <w:r>
              <w:rPr>
                <w:sz w:val="16"/>
                <w:szCs w:val="16"/>
                <w:lang w:val="en-GB"/>
              </w:rPr>
              <w:t xml:space="preserve">Any impacts from </w:t>
            </w:r>
            <w:r w:rsidR="00742323" w:rsidRPr="006B189E">
              <w:rPr>
                <w:sz w:val="16"/>
                <w:szCs w:val="16"/>
                <w:lang w:val="en-GB"/>
              </w:rPr>
              <w:t xml:space="preserve">surface oiling on fish </w:t>
            </w:r>
            <w:r>
              <w:rPr>
                <w:sz w:val="16"/>
                <w:szCs w:val="16"/>
                <w:lang w:val="en-GB"/>
              </w:rPr>
              <w:t>are</w:t>
            </w:r>
            <w:r w:rsidR="00742323" w:rsidRPr="006B189E">
              <w:rPr>
                <w:sz w:val="16"/>
                <w:szCs w:val="16"/>
                <w:lang w:val="en-GB"/>
              </w:rPr>
              <w:t xml:space="preserve"> considered to be negligible at a population level.</w:t>
            </w:r>
          </w:p>
        </w:tc>
        <w:tc>
          <w:tcPr>
            <w:tcW w:w="3827" w:type="dxa"/>
          </w:tcPr>
          <w:p w14:paraId="6BB575CA" w14:textId="0CD7AEBB" w:rsidR="00E37FB4" w:rsidRDefault="00742323" w:rsidP="00742323">
            <w:pPr>
              <w:rPr>
                <w:sz w:val="16"/>
                <w:szCs w:val="16"/>
                <w:lang w:val="en-GB"/>
              </w:rPr>
            </w:pPr>
            <w:r w:rsidRPr="006B189E">
              <w:rPr>
                <w:sz w:val="16"/>
                <w:szCs w:val="16"/>
                <w:lang w:val="en-GB"/>
              </w:rPr>
              <w:t>Ingestion of hydrocarbons in the water column is possible for adults and juveniles in the mid-pelagic zone, however generally these species are highly mobile and as such are not likely to suffer extended exposure. Hook et al (2016) states that high concentrations of dissolved hydrocarbons are required to cause outright fish mortality.</w:t>
            </w:r>
            <w:r w:rsidR="001F28D2">
              <w:rPr>
                <w:sz w:val="16"/>
                <w:szCs w:val="16"/>
                <w:lang w:val="en-GB"/>
              </w:rPr>
              <w:t xml:space="preserve"> </w:t>
            </w:r>
            <w:r w:rsidR="00E37FB4">
              <w:rPr>
                <w:sz w:val="16"/>
                <w:szCs w:val="16"/>
                <w:lang w:val="en-GB"/>
              </w:rPr>
              <w:t>MDO rapidly loses its lighter more toxic components (BTEX) when spilt as identified in modelling where there is not an appreciable dissolved phase exposure.</w:t>
            </w:r>
          </w:p>
          <w:p w14:paraId="501BCDC1" w14:textId="4CAF595C" w:rsidR="00742323" w:rsidRDefault="001F28D2" w:rsidP="00742323">
            <w:pPr>
              <w:rPr>
                <w:sz w:val="16"/>
                <w:szCs w:val="16"/>
                <w:lang w:val="en-GB"/>
              </w:rPr>
            </w:pPr>
            <w:r>
              <w:rPr>
                <w:sz w:val="16"/>
                <w:szCs w:val="16"/>
                <w:lang w:val="en-GB"/>
              </w:rPr>
              <w:t xml:space="preserve">In-water </w:t>
            </w:r>
            <w:r w:rsidR="00E37FB4">
              <w:rPr>
                <w:sz w:val="16"/>
                <w:szCs w:val="16"/>
                <w:lang w:val="en-GB"/>
              </w:rPr>
              <w:t xml:space="preserve">entrained </w:t>
            </w:r>
            <w:r>
              <w:rPr>
                <w:sz w:val="16"/>
                <w:szCs w:val="16"/>
                <w:lang w:val="en-GB"/>
              </w:rPr>
              <w:t xml:space="preserve">concentrations </w:t>
            </w:r>
            <w:r w:rsidR="00902287">
              <w:rPr>
                <w:sz w:val="16"/>
                <w:szCs w:val="16"/>
                <w:lang w:val="en-GB"/>
              </w:rPr>
              <w:t xml:space="preserve">are predicted to be </w:t>
            </w:r>
            <w:r>
              <w:rPr>
                <w:sz w:val="16"/>
                <w:szCs w:val="16"/>
                <w:lang w:val="en-GB"/>
              </w:rPr>
              <w:t xml:space="preserve">low to moderate </w:t>
            </w:r>
            <w:r w:rsidR="00E37FB4">
              <w:rPr>
                <w:sz w:val="16"/>
                <w:szCs w:val="16"/>
                <w:lang w:val="en-GB"/>
              </w:rPr>
              <w:t xml:space="preserve">(effect level) </w:t>
            </w:r>
            <w:r>
              <w:rPr>
                <w:sz w:val="16"/>
                <w:szCs w:val="16"/>
                <w:lang w:val="en-GB"/>
              </w:rPr>
              <w:t>exposures (</w:t>
            </w:r>
            <w:r w:rsidR="00E37FB4">
              <w:rPr>
                <w:sz w:val="16"/>
                <w:szCs w:val="16"/>
                <w:lang w:val="en-GB"/>
              </w:rPr>
              <w:t xml:space="preserve">the latter with </w:t>
            </w:r>
            <w:r>
              <w:rPr>
                <w:sz w:val="16"/>
                <w:szCs w:val="16"/>
                <w:lang w:val="en-GB"/>
              </w:rPr>
              <w:t xml:space="preserve">low probability) which are </w:t>
            </w:r>
            <w:r w:rsidR="00902287">
              <w:rPr>
                <w:sz w:val="16"/>
                <w:szCs w:val="16"/>
                <w:lang w:val="en-GB"/>
              </w:rPr>
              <w:t xml:space="preserve">localised </w:t>
            </w:r>
            <w:r>
              <w:rPr>
                <w:sz w:val="16"/>
                <w:szCs w:val="16"/>
                <w:lang w:val="en-GB"/>
              </w:rPr>
              <w:t xml:space="preserve">and </w:t>
            </w:r>
            <w:r w:rsidR="00E37FB4">
              <w:rPr>
                <w:sz w:val="16"/>
                <w:szCs w:val="16"/>
                <w:lang w:val="en-GB"/>
              </w:rPr>
              <w:t xml:space="preserve">will be </w:t>
            </w:r>
            <w:r>
              <w:rPr>
                <w:sz w:val="16"/>
                <w:szCs w:val="16"/>
                <w:lang w:val="en-GB"/>
              </w:rPr>
              <w:t>rapidly diluted. Fish mo</w:t>
            </w:r>
            <w:r w:rsidR="00742323" w:rsidRPr="006B189E">
              <w:rPr>
                <w:sz w:val="16"/>
                <w:szCs w:val="16"/>
                <w:lang w:val="en-GB"/>
              </w:rPr>
              <w:t>rtality</w:t>
            </w:r>
            <w:r>
              <w:rPr>
                <w:sz w:val="16"/>
                <w:szCs w:val="16"/>
                <w:lang w:val="en-GB"/>
              </w:rPr>
              <w:t xml:space="preserve"> </w:t>
            </w:r>
            <w:r w:rsidR="00E37FB4">
              <w:rPr>
                <w:sz w:val="16"/>
                <w:szCs w:val="16"/>
                <w:lang w:val="en-GB"/>
              </w:rPr>
              <w:t xml:space="preserve">is not expected through these exposures </w:t>
            </w:r>
            <w:r>
              <w:rPr>
                <w:sz w:val="16"/>
                <w:szCs w:val="16"/>
                <w:lang w:val="en-GB"/>
              </w:rPr>
              <w:t xml:space="preserve">and associated </w:t>
            </w:r>
            <w:r w:rsidR="00E37FB4">
              <w:rPr>
                <w:sz w:val="16"/>
                <w:szCs w:val="16"/>
                <w:lang w:val="en-GB"/>
              </w:rPr>
              <w:t xml:space="preserve">sub-lethal </w:t>
            </w:r>
            <w:r>
              <w:rPr>
                <w:sz w:val="16"/>
                <w:szCs w:val="16"/>
                <w:lang w:val="en-GB"/>
              </w:rPr>
              <w:t>effects are</w:t>
            </w:r>
            <w:r w:rsidR="00742323" w:rsidRPr="006B189E">
              <w:rPr>
                <w:sz w:val="16"/>
                <w:szCs w:val="16"/>
                <w:lang w:val="en-GB"/>
              </w:rPr>
              <w:t xml:space="preserve"> not </w:t>
            </w:r>
            <w:r w:rsidR="00902287">
              <w:rPr>
                <w:sz w:val="16"/>
                <w:szCs w:val="16"/>
                <w:lang w:val="en-GB"/>
              </w:rPr>
              <w:t>expected</w:t>
            </w:r>
            <w:r w:rsidR="00742323" w:rsidRPr="006B189E">
              <w:rPr>
                <w:sz w:val="16"/>
                <w:szCs w:val="16"/>
                <w:lang w:val="en-GB"/>
              </w:rPr>
              <w:t xml:space="preserve"> as fish are highly mobile and unlikely to remain in the </w:t>
            </w:r>
            <w:r w:rsidR="00E37FB4">
              <w:rPr>
                <w:sz w:val="16"/>
                <w:szCs w:val="16"/>
                <w:lang w:val="en-GB"/>
              </w:rPr>
              <w:t xml:space="preserve">entrained phase </w:t>
            </w:r>
            <w:r w:rsidR="00742323" w:rsidRPr="006B189E">
              <w:rPr>
                <w:sz w:val="16"/>
                <w:szCs w:val="16"/>
                <w:lang w:val="en-GB"/>
              </w:rPr>
              <w:t xml:space="preserve">plume </w:t>
            </w:r>
            <w:r w:rsidR="00614DDB" w:rsidRPr="006B189E">
              <w:rPr>
                <w:sz w:val="16"/>
                <w:szCs w:val="16"/>
                <w:lang w:val="en-GB"/>
              </w:rPr>
              <w:t xml:space="preserve">for the days required to </w:t>
            </w:r>
            <w:r w:rsidR="00E37FB4">
              <w:rPr>
                <w:sz w:val="16"/>
                <w:szCs w:val="16"/>
                <w:lang w:val="en-GB"/>
              </w:rPr>
              <w:t>exhibit these effects</w:t>
            </w:r>
            <w:r w:rsidR="00742323" w:rsidRPr="006B189E">
              <w:rPr>
                <w:sz w:val="16"/>
                <w:szCs w:val="16"/>
                <w:lang w:val="en-GB"/>
              </w:rPr>
              <w:t xml:space="preserve">. </w:t>
            </w:r>
          </w:p>
          <w:p w14:paraId="3776C8F3" w14:textId="01EA592B" w:rsidR="00E37FB4" w:rsidRPr="006B189E" w:rsidRDefault="00E37FB4" w:rsidP="00742323">
            <w:pPr>
              <w:rPr>
                <w:sz w:val="16"/>
                <w:szCs w:val="16"/>
                <w:lang w:val="en-GB"/>
              </w:rPr>
            </w:pPr>
            <w:r>
              <w:rPr>
                <w:sz w:val="16"/>
                <w:szCs w:val="16"/>
                <w:lang w:val="en-GB"/>
              </w:rPr>
              <w:t>For benthic or site attached fish within the shallower areas that are exposed to low-moderate effects levels of entrained hydrocarbons, areas affected will be localised and significant impacts at a population level would not be expected.</w:t>
            </w:r>
          </w:p>
          <w:p w14:paraId="3EB5FAC7" w14:textId="4F81D2C3" w:rsidR="00157439" w:rsidRPr="006B189E" w:rsidRDefault="00742323">
            <w:pPr>
              <w:rPr>
                <w:sz w:val="16"/>
                <w:szCs w:val="16"/>
                <w:lang w:eastAsia="en-US"/>
              </w:rPr>
            </w:pPr>
            <w:r w:rsidRPr="006B189E">
              <w:rPr>
                <w:sz w:val="16"/>
                <w:szCs w:val="16"/>
                <w:lang w:val="en-GB"/>
              </w:rPr>
              <w:t>Large scale population level impacts on fish species, abundances or assemblage</w:t>
            </w:r>
            <w:r w:rsidR="00902287">
              <w:rPr>
                <w:sz w:val="16"/>
                <w:szCs w:val="16"/>
                <w:lang w:val="en-GB"/>
              </w:rPr>
              <w:t>s</w:t>
            </w:r>
            <w:r w:rsidRPr="006B189E">
              <w:rPr>
                <w:sz w:val="16"/>
                <w:szCs w:val="16"/>
                <w:lang w:val="en-GB"/>
              </w:rPr>
              <w:t xml:space="preserve"> </w:t>
            </w:r>
            <w:r w:rsidR="001F28D2">
              <w:rPr>
                <w:sz w:val="16"/>
                <w:szCs w:val="16"/>
                <w:lang w:val="en-GB"/>
              </w:rPr>
              <w:t>from an MDO spill</w:t>
            </w:r>
            <w:r w:rsidR="00E37FB4">
              <w:rPr>
                <w:sz w:val="16"/>
                <w:szCs w:val="16"/>
                <w:lang w:val="en-GB"/>
              </w:rPr>
              <w:t xml:space="preserve"> at the CHN assets</w:t>
            </w:r>
            <w:r w:rsidR="00902287">
              <w:rPr>
                <w:sz w:val="16"/>
                <w:szCs w:val="16"/>
                <w:lang w:val="en-GB"/>
              </w:rPr>
              <w:t xml:space="preserve">, given the </w:t>
            </w:r>
            <w:r w:rsidRPr="006B189E">
              <w:rPr>
                <w:sz w:val="16"/>
                <w:szCs w:val="16"/>
                <w:lang w:val="en-GB"/>
              </w:rPr>
              <w:t>wide geographical distribution of many fish</w:t>
            </w:r>
            <w:r w:rsidR="00902287">
              <w:rPr>
                <w:sz w:val="16"/>
                <w:szCs w:val="16"/>
                <w:lang w:val="en-GB"/>
              </w:rPr>
              <w:t xml:space="preserve"> in</w:t>
            </w:r>
            <w:r w:rsidRPr="006B189E">
              <w:rPr>
                <w:sz w:val="16"/>
                <w:szCs w:val="16"/>
                <w:lang w:val="en-GB"/>
              </w:rPr>
              <w:t xml:space="preserve"> Bass Strait </w:t>
            </w:r>
            <w:r w:rsidR="001F28D2">
              <w:rPr>
                <w:sz w:val="16"/>
                <w:szCs w:val="16"/>
                <w:lang w:val="en-GB"/>
              </w:rPr>
              <w:t>is unlikely and impacts are considered negligible.</w:t>
            </w:r>
          </w:p>
        </w:tc>
        <w:tc>
          <w:tcPr>
            <w:tcW w:w="0" w:type="dxa"/>
          </w:tcPr>
          <w:p w14:paraId="54ECBC97" w14:textId="212C4A98" w:rsidR="00157439" w:rsidRPr="006B189E" w:rsidRDefault="00157439" w:rsidP="00310DCD">
            <w:pPr>
              <w:pStyle w:val="BodyText"/>
              <w:ind w:left="0"/>
              <w:rPr>
                <w:sz w:val="16"/>
                <w:szCs w:val="16"/>
                <w:lang w:eastAsia="en-US"/>
              </w:rPr>
            </w:pPr>
            <w:r w:rsidRPr="006B189E">
              <w:rPr>
                <w:sz w:val="16"/>
                <w:szCs w:val="16"/>
                <w:lang w:eastAsia="en-US"/>
              </w:rPr>
              <w:t>Not applicable.</w:t>
            </w:r>
          </w:p>
        </w:tc>
      </w:tr>
      <w:tr w:rsidR="00B201F3" w:rsidRPr="006B189E" w14:paraId="6C93A3AF" w14:textId="77777777" w:rsidTr="00FA36A5">
        <w:trPr>
          <w:cnfStyle w:val="000000010000" w:firstRow="0" w:lastRow="0" w:firstColumn="0" w:lastColumn="0" w:oddVBand="0" w:evenVBand="0" w:oddHBand="0" w:evenHBand="1" w:firstRowFirstColumn="0" w:firstRowLastColumn="0" w:lastRowFirstColumn="0" w:lastRowLastColumn="0"/>
          <w:cantSplit/>
        </w:trPr>
        <w:tc>
          <w:tcPr>
            <w:tcW w:w="0" w:type="dxa"/>
          </w:tcPr>
          <w:p w14:paraId="76872D2A" w14:textId="694A0752" w:rsidR="00157439" w:rsidRPr="006B189E" w:rsidRDefault="00157439" w:rsidP="00310DCD">
            <w:pPr>
              <w:pStyle w:val="BodyText"/>
              <w:ind w:left="0"/>
              <w:rPr>
                <w:sz w:val="16"/>
                <w:szCs w:val="16"/>
                <w:lang w:eastAsia="en-US"/>
              </w:rPr>
            </w:pPr>
            <w:r w:rsidRPr="006B189E">
              <w:rPr>
                <w:sz w:val="16"/>
                <w:szCs w:val="16"/>
                <w:lang w:eastAsia="en-US"/>
              </w:rPr>
              <w:lastRenderedPageBreak/>
              <w:t>Cetaceans</w:t>
            </w:r>
          </w:p>
        </w:tc>
        <w:tc>
          <w:tcPr>
            <w:tcW w:w="3544" w:type="dxa"/>
          </w:tcPr>
          <w:p w14:paraId="223FF7DE" w14:textId="427F5722" w:rsidR="00614DDB" w:rsidRPr="006B189E" w:rsidRDefault="00614DDB" w:rsidP="00614DDB">
            <w:pPr>
              <w:rPr>
                <w:sz w:val="16"/>
                <w:szCs w:val="16"/>
                <w:lang w:val="en-GB"/>
              </w:rPr>
            </w:pPr>
            <w:r w:rsidRPr="006B189E">
              <w:rPr>
                <w:sz w:val="16"/>
                <w:szCs w:val="16"/>
                <w:lang w:val="en-GB"/>
              </w:rPr>
              <w:t xml:space="preserve">The OSTM modelling shows that exposure zones of surface hydrocarbons </w:t>
            </w:r>
            <w:r w:rsidR="00E37FB4">
              <w:rPr>
                <w:sz w:val="16"/>
                <w:szCs w:val="16"/>
                <w:lang w:val="en-GB"/>
              </w:rPr>
              <w:t xml:space="preserve">from a significant offshore MDO spill </w:t>
            </w:r>
            <w:r w:rsidRPr="006B189E">
              <w:rPr>
                <w:sz w:val="16"/>
                <w:szCs w:val="16"/>
                <w:lang w:val="en-GB"/>
              </w:rPr>
              <w:t>are very locali</w:t>
            </w:r>
            <w:r w:rsidR="00365246">
              <w:rPr>
                <w:sz w:val="16"/>
                <w:szCs w:val="16"/>
                <w:lang w:val="en-GB"/>
              </w:rPr>
              <w:t>z</w:t>
            </w:r>
            <w:r w:rsidRPr="006B189E">
              <w:rPr>
                <w:sz w:val="16"/>
                <w:szCs w:val="16"/>
                <w:lang w:val="en-GB"/>
              </w:rPr>
              <w:t xml:space="preserve">ed and do not overlap the nearby aggregation BIA for southern right whales (though the nearshore migration BIA </w:t>
            </w:r>
            <w:r w:rsidR="00E37FB4">
              <w:rPr>
                <w:sz w:val="16"/>
                <w:szCs w:val="16"/>
                <w:lang w:val="en-GB"/>
              </w:rPr>
              <w:t>may</w:t>
            </w:r>
            <w:r w:rsidR="00E37FB4" w:rsidRPr="006B189E">
              <w:rPr>
                <w:sz w:val="16"/>
                <w:szCs w:val="16"/>
                <w:lang w:val="en-GB"/>
              </w:rPr>
              <w:t xml:space="preserve"> </w:t>
            </w:r>
            <w:r w:rsidRPr="006B189E">
              <w:rPr>
                <w:sz w:val="16"/>
                <w:szCs w:val="16"/>
                <w:lang w:val="en-GB"/>
              </w:rPr>
              <w:t xml:space="preserve">be overlapped). </w:t>
            </w:r>
          </w:p>
          <w:p w14:paraId="0B14B753" w14:textId="2CC31DD5" w:rsidR="00614DDB" w:rsidRPr="006B189E" w:rsidRDefault="00614DDB" w:rsidP="00614DDB">
            <w:pPr>
              <w:rPr>
                <w:sz w:val="16"/>
                <w:szCs w:val="16"/>
                <w:lang w:val="en-GB"/>
              </w:rPr>
            </w:pPr>
            <w:r w:rsidRPr="006B189E">
              <w:rPr>
                <w:sz w:val="16"/>
                <w:szCs w:val="16"/>
                <w:lang w:val="en-GB"/>
              </w:rPr>
              <w:t xml:space="preserve">A surface slick may overlap the foraging BIA for the pygmy blue whale (if the spill occurs during their main feeding period of November to May). Zooplankton </w:t>
            </w:r>
            <w:r w:rsidR="00365246">
              <w:rPr>
                <w:sz w:val="16"/>
                <w:szCs w:val="16"/>
                <w:lang w:val="en-GB"/>
              </w:rPr>
              <w:t>is</w:t>
            </w:r>
            <w:r w:rsidRPr="006B189E">
              <w:rPr>
                <w:sz w:val="16"/>
                <w:szCs w:val="16"/>
                <w:lang w:val="en-GB"/>
              </w:rPr>
              <w:t xml:space="preserve"> able to ingest hydrocarbon particles and rapidly process them (Volkman </w:t>
            </w:r>
            <w:r w:rsidRPr="006B189E">
              <w:rPr>
                <w:i/>
                <w:sz w:val="16"/>
                <w:szCs w:val="16"/>
                <w:lang w:val="en-GB"/>
              </w:rPr>
              <w:t>et al</w:t>
            </w:r>
            <w:r w:rsidRPr="006B189E">
              <w:rPr>
                <w:sz w:val="16"/>
                <w:szCs w:val="16"/>
                <w:lang w:val="en-GB"/>
              </w:rPr>
              <w:t xml:space="preserve">., 1994), so if large quantities of affected prey were ingested, chronic toxicity impacts to pygmy blue whales may occur. </w:t>
            </w:r>
          </w:p>
          <w:p w14:paraId="3ADCA848" w14:textId="7ADAB972" w:rsidR="00157439" w:rsidRPr="006B189E" w:rsidRDefault="00614DDB">
            <w:pPr>
              <w:pStyle w:val="BodyText"/>
              <w:ind w:left="0"/>
              <w:rPr>
                <w:sz w:val="16"/>
                <w:szCs w:val="16"/>
                <w:lang w:eastAsia="en-US"/>
              </w:rPr>
            </w:pPr>
            <w:r w:rsidRPr="006B189E">
              <w:rPr>
                <w:sz w:val="16"/>
                <w:szCs w:val="16"/>
                <w:lang w:val="en-GB"/>
              </w:rPr>
              <w:t xml:space="preserve">Biological consequences of physical contact with very localised areas of low concentration hydrocarbons </w:t>
            </w:r>
            <w:r w:rsidR="00E37FB4">
              <w:rPr>
                <w:sz w:val="16"/>
                <w:szCs w:val="16"/>
                <w:lang w:val="en-GB"/>
              </w:rPr>
              <w:t xml:space="preserve">present at the sea surface </w:t>
            </w:r>
            <w:r w:rsidR="00365246">
              <w:rPr>
                <w:sz w:val="16"/>
                <w:szCs w:val="16"/>
                <w:lang w:val="en-GB"/>
              </w:rPr>
              <w:t xml:space="preserve">for </w:t>
            </w:r>
            <w:r w:rsidR="00E37FB4">
              <w:rPr>
                <w:sz w:val="16"/>
                <w:szCs w:val="16"/>
                <w:lang w:val="en-GB"/>
              </w:rPr>
              <w:t xml:space="preserve">approximately </w:t>
            </w:r>
            <w:r w:rsidR="00365246">
              <w:rPr>
                <w:sz w:val="16"/>
                <w:szCs w:val="16"/>
                <w:lang w:val="en-GB"/>
              </w:rPr>
              <w:t xml:space="preserve">24 hours </w:t>
            </w:r>
            <w:r w:rsidRPr="006B189E">
              <w:rPr>
                <w:sz w:val="16"/>
                <w:szCs w:val="16"/>
                <w:lang w:val="en-GB"/>
              </w:rPr>
              <w:t xml:space="preserve">are unlikely to lead to any long-term impacts, with temporary skin irritation and very light fouling/matting of baleen plates </w:t>
            </w:r>
            <w:r w:rsidR="00365246">
              <w:rPr>
                <w:sz w:val="16"/>
                <w:szCs w:val="16"/>
                <w:lang w:val="en-GB"/>
              </w:rPr>
              <w:t>possible if present</w:t>
            </w:r>
            <w:r w:rsidRPr="006B189E">
              <w:rPr>
                <w:sz w:val="16"/>
                <w:szCs w:val="16"/>
                <w:lang w:val="en-GB"/>
              </w:rPr>
              <w:t xml:space="preserve"> (</w:t>
            </w:r>
            <w:r w:rsidR="00365246">
              <w:rPr>
                <w:sz w:val="16"/>
                <w:szCs w:val="16"/>
                <w:lang w:val="en-GB"/>
              </w:rPr>
              <w:t>effect is recoverable</w:t>
            </w:r>
            <w:r w:rsidRPr="006B189E">
              <w:rPr>
                <w:sz w:val="16"/>
                <w:szCs w:val="16"/>
                <w:lang w:val="en-GB"/>
              </w:rPr>
              <w:t>)</w:t>
            </w:r>
            <w:r w:rsidR="006055B2">
              <w:rPr>
                <w:sz w:val="16"/>
                <w:szCs w:val="16"/>
                <w:lang w:val="en-GB"/>
              </w:rPr>
              <w:t xml:space="preserve"> (minor consequence)</w:t>
            </w:r>
            <w:r w:rsidRPr="006B189E">
              <w:rPr>
                <w:sz w:val="16"/>
                <w:szCs w:val="16"/>
                <w:lang w:val="en-GB"/>
              </w:rPr>
              <w:t>. Population level effects on the pygmy blue whale (or any other cetaceans species present) are considered unlikely</w:t>
            </w:r>
            <w:r w:rsidR="002702B5">
              <w:rPr>
                <w:sz w:val="16"/>
                <w:szCs w:val="16"/>
                <w:lang w:val="en-GB"/>
              </w:rPr>
              <w:t>.</w:t>
            </w:r>
            <w:r w:rsidR="00365246">
              <w:rPr>
                <w:sz w:val="16"/>
                <w:szCs w:val="16"/>
                <w:lang w:val="en-GB"/>
              </w:rPr>
              <w:t xml:space="preserve"> </w:t>
            </w:r>
          </w:p>
        </w:tc>
        <w:tc>
          <w:tcPr>
            <w:tcW w:w="3827" w:type="dxa"/>
          </w:tcPr>
          <w:p w14:paraId="415792BA" w14:textId="1E747D5F" w:rsidR="00614DDB" w:rsidRPr="006B189E" w:rsidRDefault="00614DDB" w:rsidP="00614DDB">
            <w:pPr>
              <w:rPr>
                <w:sz w:val="16"/>
                <w:szCs w:val="16"/>
                <w:lang w:val="en-GB"/>
              </w:rPr>
            </w:pPr>
            <w:r w:rsidRPr="006B189E">
              <w:rPr>
                <w:sz w:val="16"/>
                <w:szCs w:val="16"/>
                <w:lang w:val="en-GB"/>
              </w:rPr>
              <w:t xml:space="preserve">The zones of potential entrained </w:t>
            </w:r>
            <w:r w:rsidR="00085C62" w:rsidRPr="006B189E">
              <w:rPr>
                <w:sz w:val="16"/>
                <w:szCs w:val="16"/>
                <w:lang w:val="en-GB"/>
              </w:rPr>
              <w:t>MDO</w:t>
            </w:r>
            <w:r w:rsidRPr="006B189E">
              <w:rPr>
                <w:sz w:val="16"/>
                <w:szCs w:val="16"/>
                <w:lang w:val="en-GB"/>
              </w:rPr>
              <w:t xml:space="preserve"> </w:t>
            </w:r>
            <w:r w:rsidR="00085C62" w:rsidRPr="006B189E">
              <w:rPr>
                <w:sz w:val="16"/>
                <w:szCs w:val="16"/>
                <w:lang w:val="en-GB"/>
              </w:rPr>
              <w:t>overlaps with the nearshore migration BIA for southern right whales</w:t>
            </w:r>
            <w:r w:rsidR="00E37FB4">
              <w:rPr>
                <w:sz w:val="16"/>
                <w:szCs w:val="16"/>
                <w:lang w:val="en-GB"/>
              </w:rPr>
              <w:t xml:space="preserve"> and aggregation areas at Port Fairy and Logan’s Beach</w:t>
            </w:r>
            <w:r w:rsidR="00085C62" w:rsidRPr="006B189E">
              <w:rPr>
                <w:sz w:val="16"/>
                <w:szCs w:val="16"/>
                <w:lang w:val="en-GB"/>
              </w:rPr>
              <w:t>.</w:t>
            </w:r>
            <w:r w:rsidRPr="006B189E">
              <w:rPr>
                <w:sz w:val="16"/>
                <w:szCs w:val="16"/>
                <w:lang w:val="en-GB"/>
              </w:rPr>
              <w:t xml:space="preserve"> </w:t>
            </w:r>
            <w:r w:rsidR="00C457BB">
              <w:rPr>
                <w:sz w:val="16"/>
                <w:szCs w:val="16"/>
                <w:lang w:val="en-GB"/>
              </w:rPr>
              <w:t>This effect-level exposure (95-99% species protection) is unlikely to affect aggregating whales given they are no normally foraging at this time. Sub-lethal impacts (temporary skin irritation, etc.) might be experienced, however exposures will be short-term and any effects would be expected to be recoverable.</w:t>
            </w:r>
          </w:p>
          <w:p w14:paraId="68FB6DA3" w14:textId="75FA70D0" w:rsidR="00157439" w:rsidRPr="006B189E" w:rsidRDefault="00614DDB">
            <w:pPr>
              <w:pStyle w:val="BodyText"/>
              <w:ind w:left="0"/>
              <w:rPr>
                <w:sz w:val="16"/>
                <w:szCs w:val="16"/>
                <w:lang w:eastAsia="en-US"/>
              </w:rPr>
            </w:pPr>
            <w:r w:rsidRPr="006B189E">
              <w:rPr>
                <w:sz w:val="16"/>
                <w:szCs w:val="16"/>
                <w:lang w:val="en-GB"/>
              </w:rPr>
              <w:t xml:space="preserve">Cetaceans migrating through these zones, especially southern right whales during their predicted nearshore migration (mid-May to mid-July and September to mid-November), may ingest contaminated water and plankton. The biological consequences of physical contact with low </w:t>
            </w:r>
            <w:r w:rsidR="00E37FB4">
              <w:rPr>
                <w:sz w:val="16"/>
                <w:szCs w:val="16"/>
                <w:lang w:val="en-GB"/>
              </w:rPr>
              <w:t xml:space="preserve">effect level </w:t>
            </w:r>
            <w:r w:rsidRPr="006B189E">
              <w:rPr>
                <w:sz w:val="16"/>
                <w:szCs w:val="16"/>
                <w:lang w:val="en-GB"/>
              </w:rPr>
              <w:t xml:space="preserve">concentrations of hydrocarbons in the water column </w:t>
            </w:r>
            <w:r w:rsidR="00085C62" w:rsidRPr="006B189E">
              <w:rPr>
                <w:sz w:val="16"/>
                <w:szCs w:val="16"/>
                <w:lang w:val="en-GB"/>
              </w:rPr>
              <w:t xml:space="preserve">over several days may </w:t>
            </w:r>
            <w:r w:rsidRPr="006B189E">
              <w:rPr>
                <w:sz w:val="16"/>
                <w:szCs w:val="16"/>
                <w:lang w:val="en-GB"/>
              </w:rPr>
              <w:t xml:space="preserve">lead to </w:t>
            </w:r>
            <w:r w:rsidR="00085C62" w:rsidRPr="006B189E">
              <w:rPr>
                <w:sz w:val="16"/>
                <w:szCs w:val="16"/>
                <w:lang w:val="en-GB"/>
              </w:rPr>
              <w:t>some short</w:t>
            </w:r>
            <w:r w:rsidRPr="006B189E">
              <w:rPr>
                <w:sz w:val="16"/>
                <w:szCs w:val="16"/>
                <w:lang w:val="en-GB"/>
              </w:rPr>
              <w:t>-term impacts, with temporary skin irritation being the most likely impact. Population level effects on migrating</w:t>
            </w:r>
            <w:r w:rsidR="00E37FB4">
              <w:rPr>
                <w:sz w:val="16"/>
                <w:szCs w:val="16"/>
                <w:lang w:val="en-GB"/>
              </w:rPr>
              <w:t xml:space="preserve">, feeding or aggregating whales </w:t>
            </w:r>
            <w:r w:rsidRPr="006B189E">
              <w:rPr>
                <w:sz w:val="16"/>
                <w:szCs w:val="16"/>
                <w:lang w:val="en-GB"/>
              </w:rPr>
              <w:t>(and other species that may be present) are considered unlikely.</w:t>
            </w:r>
          </w:p>
        </w:tc>
        <w:tc>
          <w:tcPr>
            <w:tcW w:w="0" w:type="dxa"/>
          </w:tcPr>
          <w:p w14:paraId="3E30AE18" w14:textId="3B3668AF" w:rsidR="00157439" w:rsidRPr="006B189E" w:rsidRDefault="00157439" w:rsidP="00310DCD">
            <w:pPr>
              <w:pStyle w:val="BodyText"/>
              <w:ind w:left="0"/>
              <w:rPr>
                <w:sz w:val="16"/>
                <w:szCs w:val="16"/>
                <w:lang w:eastAsia="en-US"/>
              </w:rPr>
            </w:pPr>
            <w:r w:rsidRPr="006B189E">
              <w:rPr>
                <w:sz w:val="16"/>
                <w:szCs w:val="16"/>
                <w:lang w:eastAsia="en-US"/>
              </w:rPr>
              <w:t>Not applicable.</w:t>
            </w:r>
          </w:p>
        </w:tc>
      </w:tr>
      <w:tr w:rsidR="00132B4D" w:rsidRPr="006B189E" w14:paraId="2E850F39" w14:textId="77777777" w:rsidTr="00FA36A5">
        <w:trPr>
          <w:cantSplit/>
        </w:trPr>
        <w:tc>
          <w:tcPr>
            <w:tcW w:w="0" w:type="dxa"/>
          </w:tcPr>
          <w:p w14:paraId="76FB7006" w14:textId="21A52FF8" w:rsidR="00132B4D" w:rsidRPr="006B189E" w:rsidRDefault="00132B4D" w:rsidP="00310DCD">
            <w:pPr>
              <w:pStyle w:val="BodyText"/>
              <w:ind w:left="0"/>
              <w:rPr>
                <w:sz w:val="16"/>
                <w:szCs w:val="16"/>
                <w:lang w:eastAsia="en-US"/>
              </w:rPr>
            </w:pPr>
            <w:r w:rsidRPr="006B189E">
              <w:rPr>
                <w:sz w:val="16"/>
                <w:szCs w:val="16"/>
                <w:lang w:eastAsia="en-US"/>
              </w:rPr>
              <w:lastRenderedPageBreak/>
              <w:t>Pinnipeds</w:t>
            </w:r>
          </w:p>
        </w:tc>
        <w:tc>
          <w:tcPr>
            <w:tcW w:w="3544" w:type="dxa"/>
          </w:tcPr>
          <w:p w14:paraId="29B9B06C" w14:textId="2A89A63D" w:rsidR="00132B4D" w:rsidRPr="006B189E" w:rsidRDefault="00132B4D" w:rsidP="00BB03DA">
            <w:pPr>
              <w:rPr>
                <w:sz w:val="16"/>
                <w:szCs w:val="16"/>
                <w:lang w:val="en-GB"/>
              </w:rPr>
            </w:pPr>
            <w:r w:rsidRPr="006B189E">
              <w:rPr>
                <w:sz w:val="16"/>
                <w:szCs w:val="16"/>
                <w:lang w:val="en-GB"/>
              </w:rPr>
              <w:t>Localised parts of the foraging range for New Zealand fur-seals and Australian fur-seals may be temporarily exposed to low to high concentrations (up to 25 g/m</w:t>
            </w:r>
            <w:r w:rsidRPr="006B189E">
              <w:rPr>
                <w:sz w:val="16"/>
                <w:szCs w:val="16"/>
                <w:vertAlign w:val="superscript"/>
                <w:lang w:val="en-GB"/>
              </w:rPr>
              <w:t>2</w:t>
            </w:r>
            <w:r w:rsidRPr="006B189E">
              <w:rPr>
                <w:sz w:val="16"/>
                <w:szCs w:val="16"/>
                <w:lang w:val="en-GB"/>
              </w:rPr>
              <w:t>) of MDO at the sea surface</w:t>
            </w:r>
            <w:r w:rsidR="00365246">
              <w:rPr>
                <w:sz w:val="16"/>
                <w:szCs w:val="16"/>
                <w:lang w:val="en-GB"/>
              </w:rPr>
              <w:t xml:space="preserve"> for very short periods (up to 24 hours)</w:t>
            </w:r>
            <w:r w:rsidR="00C457BB">
              <w:rPr>
                <w:sz w:val="16"/>
                <w:szCs w:val="16"/>
                <w:lang w:val="en-GB"/>
              </w:rPr>
              <w:t xml:space="preserve"> at the spill location</w:t>
            </w:r>
            <w:r w:rsidRPr="006B189E">
              <w:rPr>
                <w:sz w:val="16"/>
                <w:szCs w:val="16"/>
                <w:lang w:val="en-GB"/>
              </w:rPr>
              <w:t>.</w:t>
            </w:r>
          </w:p>
          <w:p w14:paraId="43A12334" w14:textId="06E94106" w:rsidR="00902287" w:rsidRDefault="00132B4D" w:rsidP="002702B5">
            <w:pPr>
              <w:rPr>
                <w:sz w:val="16"/>
                <w:szCs w:val="16"/>
                <w:lang w:val="en-GB"/>
              </w:rPr>
            </w:pPr>
            <w:r w:rsidRPr="006B189E">
              <w:rPr>
                <w:sz w:val="16"/>
                <w:szCs w:val="16"/>
                <w:lang w:val="en-GB"/>
              </w:rPr>
              <w:t xml:space="preserve">Exposure may result in irritation to mucous membranes that surround the eyes and line the oral cavity, respiratory surfaces, and anal and urogenital orifices. The extent that this results in permanent injury or mortality is unknown, but given the absence of breeding colonies and haul-out sites within the </w:t>
            </w:r>
            <w:r w:rsidR="00C457BB">
              <w:rPr>
                <w:sz w:val="16"/>
                <w:szCs w:val="16"/>
                <w:lang w:val="en-GB"/>
              </w:rPr>
              <w:t xml:space="preserve">area of this </w:t>
            </w:r>
            <w:r w:rsidR="00365246">
              <w:rPr>
                <w:sz w:val="16"/>
                <w:szCs w:val="16"/>
                <w:lang w:val="en-GB"/>
              </w:rPr>
              <w:t>surface oil</w:t>
            </w:r>
            <w:r w:rsidR="00C457BB">
              <w:rPr>
                <w:sz w:val="16"/>
                <w:szCs w:val="16"/>
                <w:lang w:val="en-GB"/>
              </w:rPr>
              <w:t xml:space="preserve">, population level impacts would not be expected. Individual animals may be exposed to these high surface loadings which may cause </w:t>
            </w:r>
            <w:r w:rsidRPr="006B189E">
              <w:rPr>
                <w:sz w:val="16"/>
                <w:szCs w:val="16"/>
                <w:lang w:val="en-GB"/>
              </w:rPr>
              <w:t xml:space="preserve">injuries and mortality </w:t>
            </w:r>
            <w:r w:rsidR="00C457BB">
              <w:rPr>
                <w:sz w:val="16"/>
                <w:szCs w:val="16"/>
                <w:lang w:val="en-GB"/>
              </w:rPr>
              <w:t xml:space="preserve">as they transit the area </w:t>
            </w:r>
            <w:r w:rsidR="00902287">
              <w:rPr>
                <w:sz w:val="16"/>
                <w:szCs w:val="16"/>
                <w:lang w:val="en-GB"/>
              </w:rPr>
              <w:t>but this is not expected to lead to population level impacts.</w:t>
            </w:r>
          </w:p>
          <w:p w14:paraId="27059556" w14:textId="3D704797" w:rsidR="00132B4D" w:rsidRPr="006B189E" w:rsidRDefault="00132B4D" w:rsidP="002702B5">
            <w:pPr>
              <w:rPr>
                <w:sz w:val="16"/>
                <w:szCs w:val="16"/>
                <w:lang w:val="en-GB"/>
              </w:rPr>
            </w:pPr>
          </w:p>
        </w:tc>
        <w:tc>
          <w:tcPr>
            <w:tcW w:w="3827" w:type="dxa"/>
          </w:tcPr>
          <w:p w14:paraId="38C8DCDF" w14:textId="55753F22" w:rsidR="00132B4D" w:rsidRPr="006B189E" w:rsidRDefault="00132B4D" w:rsidP="00132B4D">
            <w:pPr>
              <w:rPr>
                <w:sz w:val="16"/>
                <w:szCs w:val="16"/>
                <w:lang w:val="en-GB"/>
              </w:rPr>
            </w:pPr>
            <w:r w:rsidRPr="006B189E">
              <w:rPr>
                <w:sz w:val="16"/>
                <w:szCs w:val="16"/>
                <w:lang w:val="en-GB"/>
              </w:rPr>
              <w:t>Localised parts of the foraging range for New Zealand fur-seals and Australian fur-seals may be temporarily exposed to low concentrations of entrained MDO in the water column (no dissolved phase).</w:t>
            </w:r>
          </w:p>
          <w:p w14:paraId="38F6952F" w14:textId="17773F7A" w:rsidR="00A62119" w:rsidRPr="006B189E" w:rsidRDefault="00A62119" w:rsidP="00132B4D">
            <w:pPr>
              <w:rPr>
                <w:sz w:val="16"/>
                <w:szCs w:val="16"/>
                <w:lang w:val="en-GB"/>
              </w:rPr>
            </w:pPr>
            <w:r w:rsidRPr="006B189E">
              <w:rPr>
                <w:sz w:val="16"/>
                <w:szCs w:val="16"/>
                <w:lang w:val="en-GB"/>
              </w:rPr>
              <w:t xml:space="preserve">Small colonies of New Zealand fur-seals and Australian fur-seals occur at </w:t>
            </w:r>
            <w:r w:rsidR="00C457BB">
              <w:rPr>
                <w:sz w:val="16"/>
                <w:szCs w:val="16"/>
                <w:lang w:val="en-GB"/>
              </w:rPr>
              <w:t>Caped Nelson (low-moderate entrained phase exposure); Lawrence Rocks (low level exposure)</w:t>
            </w:r>
            <w:r w:rsidR="007A6351">
              <w:rPr>
                <w:sz w:val="16"/>
                <w:szCs w:val="16"/>
                <w:lang w:val="en-GB"/>
              </w:rPr>
              <w:t>; Moonlight Head/Cape Volney (low-moderate entrained phase exposure) and Marengo Reef (low level exposures).</w:t>
            </w:r>
          </w:p>
          <w:p w14:paraId="636683D4" w14:textId="09E85AB6" w:rsidR="00132B4D" w:rsidRPr="006B189E" w:rsidRDefault="00132B4D">
            <w:pPr>
              <w:pStyle w:val="BodyText"/>
              <w:ind w:left="0"/>
              <w:rPr>
                <w:sz w:val="16"/>
                <w:szCs w:val="16"/>
                <w:lang w:eastAsia="en-US"/>
              </w:rPr>
            </w:pPr>
            <w:r w:rsidRPr="006B189E">
              <w:rPr>
                <w:sz w:val="16"/>
                <w:szCs w:val="16"/>
                <w:lang w:val="en-GB"/>
              </w:rPr>
              <w:t xml:space="preserve">Exposure to </w:t>
            </w:r>
            <w:r w:rsidR="007A6351">
              <w:rPr>
                <w:sz w:val="16"/>
                <w:szCs w:val="16"/>
                <w:lang w:val="en-GB"/>
              </w:rPr>
              <w:t xml:space="preserve">low/moderate effects level </w:t>
            </w:r>
            <w:r w:rsidRPr="006B189E">
              <w:rPr>
                <w:sz w:val="16"/>
                <w:szCs w:val="16"/>
                <w:lang w:val="en-GB"/>
              </w:rPr>
              <w:t xml:space="preserve">hydrocarbons in the water column or consumption of prey affected by the oil </w:t>
            </w:r>
            <w:r w:rsidR="00365246">
              <w:rPr>
                <w:sz w:val="16"/>
                <w:szCs w:val="16"/>
                <w:lang w:val="en-GB"/>
              </w:rPr>
              <w:t xml:space="preserve">may </w:t>
            </w:r>
            <w:r w:rsidRPr="006B189E">
              <w:rPr>
                <w:sz w:val="16"/>
                <w:szCs w:val="16"/>
                <w:lang w:val="en-GB"/>
              </w:rPr>
              <w:t xml:space="preserve">cause </w:t>
            </w:r>
            <w:r w:rsidR="007A6351">
              <w:rPr>
                <w:sz w:val="16"/>
                <w:szCs w:val="16"/>
                <w:lang w:val="en-GB"/>
              </w:rPr>
              <w:t>sub-lethal</w:t>
            </w:r>
            <w:r w:rsidR="007A6351" w:rsidRPr="006B189E">
              <w:rPr>
                <w:sz w:val="16"/>
                <w:szCs w:val="16"/>
                <w:lang w:val="en-GB"/>
              </w:rPr>
              <w:t xml:space="preserve"> </w:t>
            </w:r>
            <w:r w:rsidRPr="006B189E">
              <w:rPr>
                <w:sz w:val="16"/>
                <w:szCs w:val="16"/>
                <w:lang w:val="en-GB"/>
              </w:rPr>
              <w:t>impacts</w:t>
            </w:r>
            <w:r w:rsidR="007A6351">
              <w:rPr>
                <w:sz w:val="16"/>
                <w:szCs w:val="16"/>
                <w:lang w:val="en-GB"/>
              </w:rPr>
              <w:t xml:space="preserve"> to pinnipeds</w:t>
            </w:r>
            <w:r w:rsidR="00365246">
              <w:rPr>
                <w:sz w:val="16"/>
                <w:szCs w:val="16"/>
                <w:lang w:val="en-GB"/>
              </w:rPr>
              <w:t xml:space="preserve">, however given the temporary and localised nature of the spill, their widespread nature, the </w:t>
            </w:r>
            <w:r w:rsidRPr="006B189E">
              <w:rPr>
                <w:sz w:val="16"/>
                <w:szCs w:val="16"/>
                <w:lang w:val="en-GB"/>
              </w:rPr>
              <w:t xml:space="preserve">low </w:t>
            </w:r>
            <w:r w:rsidR="00365246">
              <w:rPr>
                <w:sz w:val="16"/>
                <w:szCs w:val="16"/>
                <w:lang w:val="en-GB"/>
              </w:rPr>
              <w:t xml:space="preserve">level </w:t>
            </w:r>
            <w:r w:rsidRPr="006B189E">
              <w:rPr>
                <w:sz w:val="16"/>
                <w:szCs w:val="16"/>
                <w:lang w:val="en-GB"/>
              </w:rPr>
              <w:t>exposure zones and rapid loss of the volatile components of MDO in choppy and windy seas (such as that of the EMBA)</w:t>
            </w:r>
            <w:r w:rsidR="00365246">
              <w:rPr>
                <w:sz w:val="16"/>
                <w:szCs w:val="16"/>
                <w:lang w:val="en-GB"/>
              </w:rPr>
              <w:t>, i</w:t>
            </w:r>
            <w:r w:rsidRPr="006B189E">
              <w:rPr>
                <w:sz w:val="16"/>
                <w:szCs w:val="16"/>
                <w:lang w:val="en-GB"/>
              </w:rPr>
              <w:t xml:space="preserve">mpacts at </w:t>
            </w:r>
            <w:r w:rsidR="00365246">
              <w:rPr>
                <w:sz w:val="16"/>
                <w:szCs w:val="16"/>
                <w:lang w:val="en-GB"/>
              </w:rPr>
              <w:t>a</w:t>
            </w:r>
            <w:r w:rsidRPr="006B189E">
              <w:rPr>
                <w:sz w:val="16"/>
                <w:szCs w:val="16"/>
                <w:lang w:val="en-GB"/>
              </w:rPr>
              <w:t xml:space="preserve"> population level are considered </w:t>
            </w:r>
            <w:r w:rsidR="007A6351">
              <w:rPr>
                <w:sz w:val="16"/>
                <w:szCs w:val="16"/>
                <w:lang w:val="en-GB"/>
              </w:rPr>
              <w:t>very un</w:t>
            </w:r>
            <w:r w:rsidRPr="006B189E">
              <w:rPr>
                <w:sz w:val="16"/>
                <w:szCs w:val="16"/>
                <w:lang w:val="en-GB"/>
              </w:rPr>
              <w:t>likely</w:t>
            </w:r>
            <w:r w:rsidR="002702B5">
              <w:rPr>
                <w:sz w:val="16"/>
                <w:szCs w:val="16"/>
                <w:lang w:val="en-GB"/>
              </w:rPr>
              <w:t>.</w:t>
            </w:r>
            <w:r w:rsidR="00365246">
              <w:rPr>
                <w:sz w:val="16"/>
                <w:szCs w:val="16"/>
                <w:lang w:val="en-GB"/>
              </w:rPr>
              <w:t xml:space="preserve"> </w:t>
            </w:r>
          </w:p>
        </w:tc>
        <w:tc>
          <w:tcPr>
            <w:tcW w:w="0" w:type="dxa"/>
          </w:tcPr>
          <w:p w14:paraId="1C3EC129" w14:textId="708295AA" w:rsidR="00132B4D" w:rsidRPr="006B189E" w:rsidRDefault="005A4BA4" w:rsidP="00FA36A5">
            <w:pPr>
              <w:rPr>
                <w:sz w:val="16"/>
                <w:szCs w:val="16"/>
                <w:lang w:eastAsia="en-US"/>
              </w:rPr>
            </w:pPr>
            <w:r>
              <w:rPr>
                <w:sz w:val="16"/>
                <w:szCs w:val="16"/>
                <w:lang w:val="en-GB"/>
              </w:rPr>
              <w:t>Predictive modelling</w:t>
            </w:r>
            <w:r w:rsidR="00132B4D" w:rsidRPr="006B189E">
              <w:rPr>
                <w:sz w:val="16"/>
                <w:szCs w:val="16"/>
                <w:lang w:val="en-GB"/>
              </w:rPr>
              <w:t xml:space="preserve"> indicates </w:t>
            </w:r>
            <w:r>
              <w:rPr>
                <w:sz w:val="16"/>
                <w:szCs w:val="16"/>
                <w:lang w:val="en-GB"/>
              </w:rPr>
              <w:t xml:space="preserve">no </w:t>
            </w:r>
            <w:r w:rsidR="00132B4D" w:rsidRPr="006B189E">
              <w:rPr>
                <w:sz w:val="16"/>
                <w:szCs w:val="16"/>
                <w:lang w:val="en-GB"/>
              </w:rPr>
              <w:t xml:space="preserve">shoreline stranding of hydrocarbons at </w:t>
            </w:r>
            <w:r w:rsidR="00A62119" w:rsidRPr="006B189E">
              <w:rPr>
                <w:sz w:val="16"/>
                <w:szCs w:val="16"/>
                <w:lang w:val="en-GB"/>
              </w:rPr>
              <w:t>Julia Percy Island</w:t>
            </w:r>
            <w:r w:rsidR="007A6351">
              <w:rPr>
                <w:sz w:val="16"/>
                <w:szCs w:val="16"/>
                <w:lang w:val="en-GB"/>
              </w:rPr>
              <w:t xml:space="preserve"> or Lawrence Rocks</w:t>
            </w:r>
            <w:r w:rsidR="00132B4D" w:rsidRPr="006B189E">
              <w:rPr>
                <w:sz w:val="16"/>
                <w:szCs w:val="16"/>
                <w:lang w:val="en-GB"/>
              </w:rPr>
              <w:t>.</w:t>
            </w:r>
            <w:r w:rsidR="007A6351">
              <w:rPr>
                <w:sz w:val="16"/>
                <w:szCs w:val="16"/>
                <w:lang w:val="en-GB"/>
              </w:rPr>
              <w:t xml:space="preserve"> Low level of shoreline accumulation (&gt;100g/m</w:t>
            </w:r>
            <w:r w:rsidR="007A6351" w:rsidRPr="00FA36A5">
              <w:rPr>
                <w:sz w:val="16"/>
                <w:szCs w:val="16"/>
                <w:vertAlign w:val="superscript"/>
                <w:lang w:val="en-GB"/>
              </w:rPr>
              <w:t>2</w:t>
            </w:r>
            <w:r w:rsidR="007A6351">
              <w:rPr>
                <w:sz w:val="16"/>
                <w:szCs w:val="16"/>
                <w:lang w:val="en-GB"/>
              </w:rPr>
              <w:t xml:space="preserve">) is possible at Moonlight Head and Cape Volney where colonies are present. </w:t>
            </w:r>
            <w:r w:rsidR="006464FB" w:rsidRPr="006B189E">
              <w:rPr>
                <w:sz w:val="16"/>
                <w:szCs w:val="16"/>
                <w:lang w:val="en-GB"/>
              </w:rPr>
              <w:t>Given the rocky nature of haul-out sites, the MDO will rapidly weather through repeated wave action against the rocks. As such, oiling of individuals or group of pinnipeds (and impacts associated with this) is not expected</w:t>
            </w:r>
            <w:r w:rsidR="006464FB">
              <w:rPr>
                <w:sz w:val="16"/>
                <w:szCs w:val="16"/>
                <w:lang w:val="en-GB"/>
              </w:rPr>
              <w:t>. I</w:t>
            </w:r>
            <w:r>
              <w:rPr>
                <w:sz w:val="16"/>
                <w:szCs w:val="16"/>
                <w:lang w:val="en-GB"/>
              </w:rPr>
              <w:t xml:space="preserve">mpacts to pinnipeds are </w:t>
            </w:r>
            <w:r w:rsidR="006464FB">
              <w:rPr>
                <w:sz w:val="16"/>
                <w:szCs w:val="16"/>
                <w:lang w:val="en-GB"/>
              </w:rPr>
              <w:t>considered small (negligible impact)</w:t>
            </w:r>
            <w:r>
              <w:rPr>
                <w:sz w:val="16"/>
                <w:szCs w:val="16"/>
                <w:lang w:val="en-GB"/>
              </w:rPr>
              <w:t xml:space="preserve">. </w:t>
            </w:r>
          </w:p>
        </w:tc>
      </w:tr>
      <w:tr w:rsidR="001403B0" w:rsidRPr="006B189E" w14:paraId="4BBC188F" w14:textId="77777777" w:rsidTr="00FA36A5">
        <w:trPr>
          <w:cnfStyle w:val="000000010000" w:firstRow="0" w:lastRow="0" w:firstColumn="0" w:lastColumn="0" w:oddVBand="0" w:evenVBand="0" w:oddHBand="0" w:evenHBand="1" w:firstRowFirstColumn="0" w:firstRowLastColumn="0" w:lastRowFirstColumn="0" w:lastRowLastColumn="0"/>
          <w:cantSplit/>
        </w:trPr>
        <w:tc>
          <w:tcPr>
            <w:tcW w:w="0" w:type="dxa"/>
          </w:tcPr>
          <w:p w14:paraId="41A5C291" w14:textId="0477D7A4" w:rsidR="001403B0" w:rsidRPr="006B189E" w:rsidRDefault="001403B0" w:rsidP="00310DCD">
            <w:pPr>
              <w:pStyle w:val="BodyText"/>
              <w:ind w:left="0"/>
              <w:rPr>
                <w:sz w:val="16"/>
                <w:szCs w:val="16"/>
                <w:lang w:eastAsia="en-US"/>
              </w:rPr>
            </w:pPr>
            <w:r w:rsidRPr="006B189E">
              <w:rPr>
                <w:sz w:val="16"/>
                <w:szCs w:val="16"/>
                <w:lang w:eastAsia="en-US"/>
              </w:rPr>
              <w:t>Marine reptiles</w:t>
            </w:r>
          </w:p>
        </w:tc>
        <w:tc>
          <w:tcPr>
            <w:tcW w:w="3544" w:type="dxa"/>
          </w:tcPr>
          <w:p w14:paraId="0F260BBF" w14:textId="64882398" w:rsidR="001403B0" w:rsidRPr="006B189E" w:rsidRDefault="006464FB" w:rsidP="00FA36A5">
            <w:pPr>
              <w:rPr>
                <w:sz w:val="16"/>
                <w:szCs w:val="16"/>
                <w:lang w:eastAsia="en-US"/>
              </w:rPr>
            </w:pPr>
            <w:r>
              <w:rPr>
                <w:sz w:val="16"/>
                <w:szCs w:val="16"/>
                <w:lang w:val="en-GB"/>
              </w:rPr>
              <w:t>As per the observations made for condensate</w:t>
            </w:r>
            <w:r w:rsidR="007A6351">
              <w:rPr>
                <w:sz w:val="16"/>
                <w:szCs w:val="16"/>
                <w:lang w:val="en-GB"/>
              </w:rPr>
              <w:t xml:space="preserve"> and cetaceans</w:t>
            </w:r>
            <w:r>
              <w:rPr>
                <w:sz w:val="16"/>
                <w:szCs w:val="16"/>
                <w:lang w:val="en-GB"/>
              </w:rPr>
              <w:t>, marine reptiles encountering hydrocarbon may result in skin or other cavity irritation.</w:t>
            </w:r>
            <w:r w:rsidR="001403B0" w:rsidRPr="006B189E">
              <w:rPr>
                <w:sz w:val="16"/>
                <w:szCs w:val="16"/>
                <w:lang w:val="en-GB"/>
              </w:rPr>
              <w:t xml:space="preserve"> However, due to the sparse nature of turtles within the Otway Basin, potential impacts to marine reptile populations are considered to be </w:t>
            </w:r>
            <w:r w:rsidR="007A6351">
              <w:rPr>
                <w:sz w:val="16"/>
                <w:szCs w:val="16"/>
                <w:lang w:val="en-GB"/>
              </w:rPr>
              <w:t>unlikely.</w:t>
            </w:r>
          </w:p>
        </w:tc>
        <w:tc>
          <w:tcPr>
            <w:tcW w:w="3827" w:type="dxa"/>
          </w:tcPr>
          <w:p w14:paraId="14CDD8E9" w14:textId="455CE3A0" w:rsidR="001403B0" w:rsidRPr="006B189E" w:rsidRDefault="001403B0" w:rsidP="001403B0">
            <w:pPr>
              <w:pStyle w:val="BodyText"/>
              <w:ind w:left="0"/>
              <w:rPr>
                <w:sz w:val="16"/>
                <w:szCs w:val="16"/>
                <w:lang w:eastAsia="en-US"/>
              </w:rPr>
            </w:pPr>
            <w:r w:rsidRPr="006B189E">
              <w:rPr>
                <w:sz w:val="16"/>
                <w:szCs w:val="16"/>
                <w:lang w:val="en-GB"/>
              </w:rPr>
              <w:t>The sparse population of marine reptiles in the EMBA combined with the localised extent of MDO exposure indicates that potential impacts to marine reptile populations from hydrocarbons in the water column are considered to be negligible.</w:t>
            </w:r>
          </w:p>
        </w:tc>
        <w:tc>
          <w:tcPr>
            <w:tcW w:w="0" w:type="dxa"/>
          </w:tcPr>
          <w:p w14:paraId="419D5469" w14:textId="04B895D2" w:rsidR="001403B0" w:rsidRPr="006B189E" w:rsidRDefault="001403B0" w:rsidP="00310DCD">
            <w:pPr>
              <w:pStyle w:val="BodyText"/>
              <w:ind w:left="0"/>
              <w:rPr>
                <w:sz w:val="16"/>
                <w:szCs w:val="16"/>
                <w:lang w:eastAsia="en-US"/>
              </w:rPr>
            </w:pPr>
            <w:r w:rsidRPr="006B189E">
              <w:rPr>
                <w:sz w:val="16"/>
                <w:szCs w:val="16"/>
                <w:lang w:val="en-GB"/>
              </w:rPr>
              <w:t xml:space="preserve">There are no known turtle nesting beaches within the EMBA, so impacts </w:t>
            </w:r>
            <w:r w:rsidR="006F3D06">
              <w:rPr>
                <w:sz w:val="16"/>
                <w:szCs w:val="16"/>
                <w:lang w:val="en-GB"/>
              </w:rPr>
              <w:t xml:space="preserve">to turtles </w:t>
            </w:r>
            <w:r w:rsidRPr="006B189E">
              <w:rPr>
                <w:sz w:val="16"/>
                <w:szCs w:val="16"/>
                <w:lang w:val="en-GB"/>
              </w:rPr>
              <w:t xml:space="preserve">from shoreline oiling will not occur.  </w:t>
            </w:r>
          </w:p>
        </w:tc>
      </w:tr>
      <w:tr w:rsidR="00564287" w:rsidRPr="006B189E" w14:paraId="02E9ED6D" w14:textId="77777777" w:rsidTr="00FA36A5">
        <w:trPr>
          <w:cantSplit/>
        </w:trPr>
        <w:tc>
          <w:tcPr>
            <w:tcW w:w="0" w:type="dxa"/>
          </w:tcPr>
          <w:p w14:paraId="0A070CAE" w14:textId="52D77E2F" w:rsidR="00564287" w:rsidRPr="006B189E" w:rsidRDefault="00564287" w:rsidP="00310DCD">
            <w:pPr>
              <w:pStyle w:val="BodyText"/>
              <w:ind w:left="0"/>
              <w:rPr>
                <w:sz w:val="16"/>
                <w:szCs w:val="16"/>
                <w:lang w:eastAsia="en-US"/>
              </w:rPr>
            </w:pPr>
            <w:r w:rsidRPr="006B189E">
              <w:rPr>
                <w:sz w:val="16"/>
                <w:szCs w:val="16"/>
                <w:lang w:eastAsia="en-US"/>
              </w:rPr>
              <w:lastRenderedPageBreak/>
              <w:t>Seabirds and shorebirds</w:t>
            </w:r>
          </w:p>
        </w:tc>
        <w:tc>
          <w:tcPr>
            <w:tcW w:w="3544" w:type="dxa"/>
          </w:tcPr>
          <w:p w14:paraId="46C9B126" w14:textId="54F2AC6F" w:rsidR="00564287" w:rsidRPr="006B189E" w:rsidRDefault="00DE142B" w:rsidP="00F96403">
            <w:pPr>
              <w:pStyle w:val="BodyText"/>
              <w:spacing w:before="60" w:after="60"/>
              <w:ind w:left="0"/>
              <w:rPr>
                <w:sz w:val="16"/>
                <w:szCs w:val="16"/>
                <w:lang w:val="en-GB"/>
              </w:rPr>
            </w:pPr>
            <w:r>
              <w:rPr>
                <w:sz w:val="16"/>
                <w:szCs w:val="16"/>
                <w:lang w:val="en-GB"/>
              </w:rPr>
              <w:t xml:space="preserve">Table 7-43 provides details of the threatened </w:t>
            </w:r>
            <w:r w:rsidR="00564287" w:rsidRPr="006B189E">
              <w:rPr>
                <w:sz w:val="16"/>
                <w:szCs w:val="16"/>
                <w:lang w:val="en-GB"/>
              </w:rPr>
              <w:t xml:space="preserve">bird species likely to occur in the EMBA </w:t>
            </w:r>
            <w:r w:rsidR="0060725C" w:rsidRPr="006B189E">
              <w:rPr>
                <w:sz w:val="16"/>
                <w:szCs w:val="16"/>
                <w:lang w:val="en-GB"/>
              </w:rPr>
              <w:t xml:space="preserve">(such as albatross and petrels) </w:t>
            </w:r>
            <w:r>
              <w:rPr>
                <w:sz w:val="16"/>
                <w:szCs w:val="16"/>
                <w:lang w:val="en-GB"/>
              </w:rPr>
              <w:t xml:space="preserve">and their BIAs for </w:t>
            </w:r>
            <w:r w:rsidR="00564287" w:rsidRPr="006B189E">
              <w:rPr>
                <w:sz w:val="16"/>
                <w:szCs w:val="16"/>
                <w:lang w:val="en-GB"/>
              </w:rPr>
              <w:t>forag</w:t>
            </w:r>
            <w:r>
              <w:rPr>
                <w:sz w:val="16"/>
                <w:szCs w:val="16"/>
                <w:lang w:val="en-GB"/>
              </w:rPr>
              <w:t xml:space="preserve">ing which </w:t>
            </w:r>
            <w:r w:rsidR="006F3D06">
              <w:rPr>
                <w:sz w:val="16"/>
                <w:szCs w:val="16"/>
                <w:lang w:val="en-GB"/>
              </w:rPr>
              <w:t>cover</w:t>
            </w:r>
            <w:r w:rsidR="00564287" w:rsidRPr="006B189E">
              <w:rPr>
                <w:sz w:val="16"/>
                <w:szCs w:val="16"/>
                <w:lang w:val="en-GB"/>
              </w:rPr>
              <w:t xml:space="preserve"> a wide geographic area.</w:t>
            </w:r>
          </w:p>
          <w:p w14:paraId="429DE1B6" w14:textId="5453D5D5" w:rsidR="00564287" w:rsidRPr="006B189E" w:rsidRDefault="008B7E5A" w:rsidP="00FA36A5">
            <w:pPr>
              <w:rPr>
                <w:sz w:val="16"/>
                <w:szCs w:val="16"/>
                <w:lang w:val="en-GB"/>
              </w:rPr>
            </w:pPr>
            <w:r w:rsidRPr="006B189E">
              <w:rPr>
                <w:sz w:val="16"/>
                <w:szCs w:val="16"/>
                <w:lang w:val="en-GB"/>
              </w:rPr>
              <w:t xml:space="preserve">When first released, the </w:t>
            </w:r>
            <w:r w:rsidR="007A6351">
              <w:rPr>
                <w:sz w:val="16"/>
                <w:szCs w:val="16"/>
                <w:lang w:val="en-GB"/>
              </w:rPr>
              <w:t xml:space="preserve">MDO has higher toxicity </w:t>
            </w:r>
            <w:r w:rsidRPr="006B189E">
              <w:rPr>
                <w:sz w:val="16"/>
                <w:szCs w:val="16"/>
                <w:lang w:val="en-GB"/>
              </w:rPr>
              <w:t xml:space="preserve">due to the </w:t>
            </w:r>
            <w:r w:rsidR="007A6351">
              <w:rPr>
                <w:sz w:val="16"/>
                <w:szCs w:val="16"/>
                <w:lang w:val="en-GB"/>
              </w:rPr>
              <w:t xml:space="preserve">presence of </w:t>
            </w:r>
            <w:r w:rsidRPr="006B189E">
              <w:rPr>
                <w:sz w:val="16"/>
                <w:szCs w:val="16"/>
                <w:lang w:val="en-GB"/>
              </w:rPr>
              <w:t>volatile components. Individual</w:t>
            </w:r>
            <w:r w:rsidR="00A17133">
              <w:rPr>
                <w:sz w:val="16"/>
                <w:szCs w:val="16"/>
                <w:lang w:val="en-GB"/>
              </w:rPr>
              <w:t xml:space="preserve"> bird</w:t>
            </w:r>
            <w:r w:rsidRPr="006B189E">
              <w:rPr>
                <w:sz w:val="16"/>
                <w:szCs w:val="16"/>
                <w:lang w:val="en-GB"/>
              </w:rPr>
              <w:t>s mak</w:t>
            </w:r>
            <w:r w:rsidR="006F3D06">
              <w:rPr>
                <w:sz w:val="16"/>
                <w:szCs w:val="16"/>
                <w:lang w:val="en-GB"/>
              </w:rPr>
              <w:t>ing</w:t>
            </w:r>
            <w:r w:rsidRPr="006B189E">
              <w:rPr>
                <w:sz w:val="16"/>
                <w:szCs w:val="16"/>
                <w:lang w:val="en-GB"/>
              </w:rPr>
              <w:t xml:space="preserve"> contact close to the </w:t>
            </w:r>
            <w:r w:rsidR="007A6351">
              <w:rPr>
                <w:sz w:val="16"/>
                <w:szCs w:val="16"/>
                <w:lang w:val="en-GB"/>
              </w:rPr>
              <w:t xml:space="preserve">spill </w:t>
            </w:r>
            <w:r w:rsidRPr="006B189E">
              <w:rPr>
                <w:sz w:val="16"/>
                <w:szCs w:val="16"/>
                <w:lang w:val="en-GB"/>
              </w:rPr>
              <w:t xml:space="preserve">source </w:t>
            </w:r>
            <w:r w:rsidR="007A6351">
              <w:rPr>
                <w:sz w:val="16"/>
                <w:szCs w:val="16"/>
                <w:lang w:val="en-GB"/>
              </w:rPr>
              <w:t xml:space="preserve">at the time of the spill (i.e. out to 18 km for a significant offshore MDO spill) </w:t>
            </w:r>
            <w:r w:rsidRPr="006B189E">
              <w:rPr>
                <w:sz w:val="16"/>
                <w:szCs w:val="16"/>
                <w:lang w:val="en-GB"/>
              </w:rPr>
              <w:t xml:space="preserve">may suffer impacts however it is unlikely that a large number </w:t>
            </w:r>
            <w:r w:rsidR="006F3D06">
              <w:rPr>
                <w:sz w:val="16"/>
                <w:szCs w:val="16"/>
                <w:lang w:val="en-GB"/>
              </w:rPr>
              <w:t xml:space="preserve">of birds will be affected. </w:t>
            </w:r>
            <w:r w:rsidR="00564287" w:rsidRPr="006B189E">
              <w:rPr>
                <w:sz w:val="16"/>
                <w:szCs w:val="16"/>
                <w:lang w:val="en-GB"/>
              </w:rPr>
              <w:t>Seabirds rafting, resting, diving or feeding at sea have the potential to come into contact with localised area</w:t>
            </w:r>
            <w:r w:rsidR="00A17133">
              <w:rPr>
                <w:sz w:val="16"/>
                <w:szCs w:val="16"/>
                <w:lang w:val="en-GB"/>
              </w:rPr>
              <w:t xml:space="preserve">s of sheen &gt;10µm </w:t>
            </w:r>
            <w:r w:rsidR="006F3D06">
              <w:rPr>
                <w:sz w:val="16"/>
                <w:szCs w:val="16"/>
                <w:lang w:val="en-GB"/>
              </w:rPr>
              <w:t xml:space="preserve">and </w:t>
            </w:r>
            <w:r w:rsidR="00A17133">
              <w:rPr>
                <w:sz w:val="16"/>
                <w:szCs w:val="16"/>
                <w:lang w:val="en-GB"/>
              </w:rPr>
              <w:t>may experience lethal surface thresholds</w:t>
            </w:r>
            <w:r w:rsidR="00365246">
              <w:rPr>
                <w:sz w:val="16"/>
                <w:szCs w:val="16"/>
                <w:lang w:val="en-GB"/>
              </w:rPr>
              <w:t>, however th</w:t>
            </w:r>
            <w:r w:rsidR="00A17133">
              <w:rPr>
                <w:sz w:val="16"/>
                <w:szCs w:val="16"/>
                <w:lang w:val="en-GB"/>
              </w:rPr>
              <w:t>e</w:t>
            </w:r>
            <w:r w:rsidR="00365246">
              <w:rPr>
                <w:sz w:val="16"/>
                <w:szCs w:val="16"/>
                <w:lang w:val="en-GB"/>
              </w:rPr>
              <w:t xml:space="preserve"> area of contact is localised and temporary (</w:t>
            </w:r>
            <w:r w:rsidR="00365246">
              <w:rPr>
                <w:rFonts w:ascii="Verdana" w:hAnsi="Verdana"/>
                <w:sz w:val="16"/>
                <w:szCs w:val="16"/>
                <w:lang w:val="en-GB"/>
              </w:rPr>
              <w:t>~</w:t>
            </w:r>
            <w:r w:rsidR="00365246">
              <w:rPr>
                <w:sz w:val="16"/>
                <w:szCs w:val="16"/>
                <w:lang w:val="en-GB"/>
              </w:rPr>
              <w:t>24hrs)</w:t>
            </w:r>
            <w:r w:rsidR="00564287" w:rsidRPr="006B189E">
              <w:rPr>
                <w:sz w:val="16"/>
                <w:szCs w:val="16"/>
                <w:lang w:val="en-GB"/>
              </w:rPr>
              <w:t xml:space="preserve">. Contact with areas of high hydrocarbon exposure is highly unlikely. As such, acute or chronic toxicity impacts (death or long-term poor health) to </w:t>
            </w:r>
            <w:r w:rsidR="00A17133">
              <w:rPr>
                <w:sz w:val="16"/>
                <w:szCs w:val="16"/>
                <w:lang w:val="en-GB"/>
              </w:rPr>
              <w:t xml:space="preserve">small numbers of </w:t>
            </w:r>
            <w:r w:rsidR="00564287" w:rsidRPr="006B189E">
              <w:rPr>
                <w:sz w:val="16"/>
                <w:szCs w:val="16"/>
                <w:lang w:val="en-GB"/>
              </w:rPr>
              <w:t>birds</w:t>
            </w:r>
            <w:r w:rsidR="00A17133">
              <w:rPr>
                <w:sz w:val="16"/>
                <w:szCs w:val="16"/>
                <w:lang w:val="en-GB"/>
              </w:rPr>
              <w:t xml:space="preserve"> </w:t>
            </w:r>
            <w:r w:rsidR="004970AE">
              <w:rPr>
                <w:sz w:val="16"/>
                <w:szCs w:val="16"/>
                <w:lang w:val="en-GB"/>
              </w:rPr>
              <w:t>are</w:t>
            </w:r>
            <w:r w:rsidR="00A17133">
              <w:rPr>
                <w:sz w:val="16"/>
                <w:szCs w:val="16"/>
                <w:lang w:val="en-GB"/>
              </w:rPr>
              <w:t xml:space="preserve"> possible, however this is not considered significant at a population level. </w:t>
            </w:r>
          </w:p>
          <w:p w14:paraId="4B7E23CF" w14:textId="75E4CE5D" w:rsidR="00564287" w:rsidRPr="006B189E" w:rsidRDefault="003F3855" w:rsidP="00310DCD">
            <w:pPr>
              <w:pStyle w:val="BodyText"/>
              <w:ind w:left="0"/>
              <w:rPr>
                <w:sz w:val="16"/>
                <w:szCs w:val="16"/>
                <w:lang w:eastAsia="en-US"/>
              </w:rPr>
            </w:pPr>
            <w:r w:rsidRPr="006B189E">
              <w:rPr>
                <w:sz w:val="16"/>
                <w:szCs w:val="16"/>
                <w:lang w:val="en-GB"/>
              </w:rPr>
              <w:t>The OSTM indicates that surface hydrocarbons are unlikely to enter the Curdies Inlet at Peterborough (which in any case is rarely open to the sea), thus limiting the potential impacts to wetland bird species</w:t>
            </w:r>
            <w:r w:rsidR="007A6351">
              <w:rPr>
                <w:sz w:val="16"/>
                <w:szCs w:val="16"/>
                <w:lang w:val="en-GB"/>
              </w:rPr>
              <w:t xml:space="preserve"> in the area (i.e. Curdies Inlet is the only recognised estuary for shorebirds in the areas affected by surface oil).</w:t>
            </w:r>
            <w:r w:rsidRPr="006B189E">
              <w:rPr>
                <w:sz w:val="16"/>
                <w:szCs w:val="16"/>
                <w:lang w:val="en-GB"/>
              </w:rPr>
              <w:t xml:space="preserve"> </w:t>
            </w:r>
          </w:p>
        </w:tc>
        <w:tc>
          <w:tcPr>
            <w:tcW w:w="3827" w:type="dxa"/>
          </w:tcPr>
          <w:p w14:paraId="3DE8D3F7" w14:textId="787881E8" w:rsidR="00564287" w:rsidRPr="006B189E" w:rsidRDefault="00564287" w:rsidP="00F96403">
            <w:pPr>
              <w:pStyle w:val="BodyText"/>
              <w:spacing w:before="60" w:after="60"/>
              <w:ind w:left="0"/>
              <w:rPr>
                <w:sz w:val="16"/>
                <w:szCs w:val="16"/>
                <w:lang w:val="en-GB"/>
              </w:rPr>
            </w:pPr>
            <w:r w:rsidRPr="006B189E">
              <w:rPr>
                <w:sz w:val="16"/>
                <w:szCs w:val="16"/>
                <w:lang w:val="en-GB"/>
              </w:rPr>
              <w:t xml:space="preserve">Impacts from hydrocarbons </w:t>
            </w:r>
            <w:r w:rsidR="004970AE">
              <w:rPr>
                <w:sz w:val="16"/>
                <w:szCs w:val="16"/>
                <w:lang w:val="en-GB"/>
              </w:rPr>
              <w:t xml:space="preserve">to birds </w:t>
            </w:r>
            <w:r w:rsidRPr="006B189E">
              <w:rPr>
                <w:sz w:val="16"/>
                <w:szCs w:val="16"/>
                <w:lang w:val="en-GB"/>
              </w:rPr>
              <w:t xml:space="preserve">in the water column are unlikely without </w:t>
            </w:r>
            <w:r w:rsidR="00F5313A">
              <w:rPr>
                <w:sz w:val="16"/>
                <w:szCs w:val="16"/>
                <w:lang w:val="en-GB"/>
              </w:rPr>
              <w:t xml:space="preserve">the bird first being </w:t>
            </w:r>
            <w:r w:rsidRPr="006B189E">
              <w:rPr>
                <w:sz w:val="16"/>
                <w:szCs w:val="16"/>
                <w:lang w:val="en-GB"/>
              </w:rPr>
              <w:t>expos</w:t>
            </w:r>
            <w:r w:rsidR="00F5313A">
              <w:rPr>
                <w:sz w:val="16"/>
                <w:szCs w:val="16"/>
                <w:lang w:val="en-GB"/>
              </w:rPr>
              <w:t>ed</w:t>
            </w:r>
            <w:r w:rsidRPr="006B189E">
              <w:rPr>
                <w:sz w:val="16"/>
                <w:szCs w:val="16"/>
                <w:lang w:val="en-GB"/>
              </w:rPr>
              <w:t xml:space="preserve"> to surface oil. This exposure route is not considered as significant as direct contact with hydrocarbons on the sea surface or at the shoreline.</w:t>
            </w:r>
          </w:p>
          <w:p w14:paraId="48ED81EC" w14:textId="421C87B5" w:rsidR="00F5313A" w:rsidRDefault="00564287" w:rsidP="00745748">
            <w:pPr>
              <w:pStyle w:val="BodyText"/>
              <w:ind w:left="0"/>
              <w:rPr>
                <w:sz w:val="16"/>
                <w:szCs w:val="16"/>
                <w:lang w:val="en-GB"/>
              </w:rPr>
            </w:pPr>
            <w:r w:rsidRPr="006B189E">
              <w:rPr>
                <w:sz w:val="16"/>
                <w:szCs w:val="16"/>
                <w:lang w:val="en-GB"/>
              </w:rPr>
              <w:t xml:space="preserve">Penguin colonies feeding in the area may be exposed to </w:t>
            </w:r>
            <w:r w:rsidR="00365246">
              <w:rPr>
                <w:sz w:val="16"/>
                <w:szCs w:val="16"/>
                <w:lang w:val="en-GB"/>
              </w:rPr>
              <w:t>localised</w:t>
            </w:r>
            <w:r w:rsidRPr="006B189E">
              <w:rPr>
                <w:sz w:val="16"/>
                <w:szCs w:val="16"/>
                <w:lang w:val="en-GB"/>
              </w:rPr>
              <w:t xml:space="preserve"> areas of low </w:t>
            </w:r>
            <w:r w:rsidR="00F5313A">
              <w:rPr>
                <w:sz w:val="16"/>
                <w:szCs w:val="16"/>
                <w:lang w:val="en-GB"/>
              </w:rPr>
              <w:t xml:space="preserve">– medium (effects level) </w:t>
            </w:r>
            <w:r w:rsidRPr="006B189E">
              <w:rPr>
                <w:sz w:val="16"/>
                <w:szCs w:val="16"/>
                <w:lang w:val="en-GB"/>
              </w:rPr>
              <w:t>exposure</w:t>
            </w:r>
            <w:r w:rsidR="00F5313A">
              <w:rPr>
                <w:sz w:val="16"/>
                <w:szCs w:val="16"/>
                <w:lang w:val="en-GB"/>
              </w:rPr>
              <w:t xml:space="preserve">s of </w:t>
            </w:r>
            <w:r w:rsidR="00745748" w:rsidRPr="006B189E">
              <w:rPr>
                <w:sz w:val="16"/>
                <w:szCs w:val="16"/>
                <w:lang w:val="en-GB"/>
              </w:rPr>
              <w:t>entrained</w:t>
            </w:r>
            <w:r w:rsidRPr="006B189E">
              <w:rPr>
                <w:sz w:val="16"/>
                <w:szCs w:val="16"/>
                <w:lang w:val="en-GB"/>
              </w:rPr>
              <w:t xml:space="preserve"> hydrocarbons</w:t>
            </w:r>
            <w:r w:rsidR="00745748" w:rsidRPr="006B189E">
              <w:rPr>
                <w:sz w:val="16"/>
                <w:szCs w:val="16"/>
                <w:lang w:val="en-GB"/>
              </w:rPr>
              <w:t xml:space="preserve"> (there is no meaningful level of dissolved MDO predicted by the OSTM)</w:t>
            </w:r>
            <w:r w:rsidRPr="006B189E">
              <w:rPr>
                <w:sz w:val="16"/>
                <w:szCs w:val="16"/>
                <w:lang w:val="en-GB"/>
              </w:rPr>
              <w:t xml:space="preserve">, </w:t>
            </w:r>
            <w:r w:rsidR="00F5313A">
              <w:rPr>
                <w:sz w:val="16"/>
                <w:szCs w:val="16"/>
                <w:lang w:val="en-GB"/>
              </w:rPr>
              <w:t xml:space="preserve">which may cause sub-lethal impacts. Entrained phase hydrocarbon exposure in these areas is not expected to impact on their prey stock. </w:t>
            </w:r>
          </w:p>
          <w:p w14:paraId="2A875F31" w14:textId="60A3D5F4" w:rsidR="00564287" w:rsidRPr="006B189E" w:rsidRDefault="00F5313A" w:rsidP="00745748">
            <w:pPr>
              <w:pStyle w:val="BodyText"/>
              <w:ind w:left="0"/>
              <w:rPr>
                <w:sz w:val="16"/>
                <w:szCs w:val="16"/>
                <w:lang w:val="en-GB"/>
              </w:rPr>
            </w:pPr>
            <w:r>
              <w:rPr>
                <w:sz w:val="16"/>
                <w:szCs w:val="16"/>
                <w:lang w:val="en-GB"/>
              </w:rPr>
              <w:t>G</w:t>
            </w:r>
            <w:r w:rsidR="00564287" w:rsidRPr="006B189E">
              <w:rPr>
                <w:sz w:val="16"/>
                <w:szCs w:val="16"/>
                <w:lang w:val="en-GB"/>
              </w:rPr>
              <w:t xml:space="preserve">iven </w:t>
            </w:r>
            <w:r>
              <w:rPr>
                <w:sz w:val="16"/>
                <w:szCs w:val="16"/>
                <w:lang w:val="en-GB"/>
              </w:rPr>
              <w:t xml:space="preserve">the species is </w:t>
            </w:r>
            <w:r w:rsidR="00564287" w:rsidRPr="006B189E">
              <w:rPr>
                <w:sz w:val="16"/>
                <w:szCs w:val="16"/>
                <w:lang w:val="en-GB"/>
              </w:rPr>
              <w:t xml:space="preserve">wide ranging </w:t>
            </w:r>
            <w:r>
              <w:rPr>
                <w:sz w:val="16"/>
                <w:szCs w:val="16"/>
                <w:lang w:val="en-GB"/>
              </w:rPr>
              <w:t xml:space="preserve">in </w:t>
            </w:r>
            <w:r w:rsidR="00564287" w:rsidRPr="006B189E">
              <w:rPr>
                <w:sz w:val="16"/>
                <w:szCs w:val="16"/>
                <w:lang w:val="en-GB"/>
              </w:rPr>
              <w:t>foraging habitats and their nightly return to burrows at the shore, they are unlikely to remain within plumes of entrained</w:t>
            </w:r>
            <w:r w:rsidR="00745748" w:rsidRPr="006B189E">
              <w:rPr>
                <w:sz w:val="16"/>
                <w:szCs w:val="16"/>
                <w:lang w:val="en-GB"/>
              </w:rPr>
              <w:t xml:space="preserve"> MDO</w:t>
            </w:r>
            <w:r w:rsidR="00564287" w:rsidRPr="006B189E">
              <w:rPr>
                <w:sz w:val="16"/>
                <w:szCs w:val="16"/>
                <w:lang w:val="en-GB"/>
              </w:rPr>
              <w:t xml:space="preserve"> </w:t>
            </w:r>
            <w:r>
              <w:rPr>
                <w:sz w:val="16"/>
                <w:szCs w:val="16"/>
                <w:lang w:val="en-GB"/>
              </w:rPr>
              <w:t>(i.e. very mobile)</w:t>
            </w:r>
            <w:r w:rsidR="00564287" w:rsidRPr="006B189E">
              <w:rPr>
                <w:sz w:val="16"/>
                <w:szCs w:val="16"/>
                <w:lang w:val="en-GB"/>
              </w:rPr>
              <w:t xml:space="preserve">. This is </w:t>
            </w:r>
            <w:r>
              <w:rPr>
                <w:sz w:val="16"/>
                <w:szCs w:val="16"/>
                <w:lang w:val="en-GB"/>
              </w:rPr>
              <w:t xml:space="preserve">not expected </w:t>
            </w:r>
            <w:r w:rsidR="00564287" w:rsidRPr="006B189E">
              <w:rPr>
                <w:sz w:val="16"/>
                <w:szCs w:val="16"/>
                <w:lang w:val="en-GB"/>
              </w:rPr>
              <w:t xml:space="preserve">to cause toxicity effects, </w:t>
            </w:r>
            <w:r>
              <w:rPr>
                <w:sz w:val="16"/>
                <w:szCs w:val="16"/>
                <w:lang w:val="en-GB"/>
              </w:rPr>
              <w:t>however</w:t>
            </w:r>
            <w:r w:rsidRPr="006B189E">
              <w:rPr>
                <w:sz w:val="16"/>
                <w:szCs w:val="16"/>
                <w:lang w:val="en-GB"/>
              </w:rPr>
              <w:t xml:space="preserve"> </w:t>
            </w:r>
            <w:r w:rsidR="00564287" w:rsidRPr="006B189E">
              <w:rPr>
                <w:sz w:val="16"/>
                <w:szCs w:val="16"/>
                <w:lang w:val="en-GB"/>
              </w:rPr>
              <w:t xml:space="preserve">preening once onshore may increase </w:t>
            </w:r>
            <w:r>
              <w:rPr>
                <w:sz w:val="16"/>
                <w:szCs w:val="16"/>
                <w:lang w:val="en-GB"/>
              </w:rPr>
              <w:t xml:space="preserve">sub-lethal </w:t>
            </w:r>
            <w:r w:rsidR="00564287" w:rsidRPr="006B189E">
              <w:rPr>
                <w:sz w:val="16"/>
                <w:szCs w:val="16"/>
                <w:lang w:val="en-GB"/>
              </w:rPr>
              <w:t>exposure</w:t>
            </w:r>
            <w:r>
              <w:rPr>
                <w:sz w:val="16"/>
                <w:szCs w:val="16"/>
                <w:lang w:val="en-GB"/>
              </w:rPr>
              <w:t>s</w:t>
            </w:r>
            <w:r w:rsidR="00564287" w:rsidRPr="006B189E">
              <w:rPr>
                <w:sz w:val="16"/>
                <w:szCs w:val="16"/>
                <w:lang w:val="en-GB"/>
              </w:rPr>
              <w:t xml:space="preserve">. </w:t>
            </w:r>
          </w:p>
          <w:p w14:paraId="02EE34AE" w14:textId="2DC4289F" w:rsidR="008B7E5A" w:rsidRPr="006B189E" w:rsidRDefault="008B7E5A" w:rsidP="006706DE">
            <w:pPr>
              <w:rPr>
                <w:sz w:val="16"/>
                <w:szCs w:val="16"/>
                <w:lang w:eastAsia="en-US"/>
              </w:rPr>
            </w:pPr>
          </w:p>
        </w:tc>
        <w:tc>
          <w:tcPr>
            <w:tcW w:w="0" w:type="dxa"/>
          </w:tcPr>
          <w:p w14:paraId="72F0246D" w14:textId="126CD6F4" w:rsidR="00F5313A" w:rsidRDefault="0056024B" w:rsidP="00F96403">
            <w:pPr>
              <w:rPr>
                <w:sz w:val="16"/>
                <w:szCs w:val="16"/>
                <w:lang w:val="en-GB"/>
              </w:rPr>
            </w:pPr>
            <w:r w:rsidRPr="006B189E">
              <w:rPr>
                <w:sz w:val="16"/>
                <w:szCs w:val="16"/>
                <w:lang w:val="en-GB"/>
              </w:rPr>
              <w:t xml:space="preserve">Small isolated sections of </w:t>
            </w:r>
            <w:r w:rsidR="00F5313A">
              <w:rPr>
                <w:sz w:val="16"/>
                <w:szCs w:val="16"/>
                <w:lang w:val="en-GB"/>
              </w:rPr>
              <w:t xml:space="preserve">sandy </w:t>
            </w:r>
            <w:r w:rsidRPr="006B189E">
              <w:rPr>
                <w:sz w:val="16"/>
                <w:szCs w:val="16"/>
                <w:lang w:val="en-GB"/>
              </w:rPr>
              <w:t xml:space="preserve">shoreline between </w:t>
            </w:r>
            <w:r w:rsidR="004970AE">
              <w:rPr>
                <w:sz w:val="16"/>
                <w:szCs w:val="16"/>
                <w:lang w:val="en-GB"/>
              </w:rPr>
              <w:t xml:space="preserve">Cape Otway and Port Fairy </w:t>
            </w:r>
            <w:r w:rsidRPr="006B189E">
              <w:rPr>
                <w:sz w:val="16"/>
                <w:szCs w:val="16"/>
                <w:lang w:val="en-GB"/>
              </w:rPr>
              <w:t xml:space="preserve">that have a </w:t>
            </w:r>
            <w:r w:rsidR="00365246">
              <w:rPr>
                <w:sz w:val="16"/>
                <w:szCs w:val="16"/>
                <w:lang w:val="en-GB"/>
              </w:rPr>
              <w:t>low</w:t>
            </w:r>
            <w:r w:rsidRPr="006B189E">
              <w:rPr>
                <w:sz w:val="16"/>
                <w:szCs w:val="16"/>
                <w:lang w:val="en-GB"/>
              </w:rPr>
              <w:t xml:space="preserve"> probability of MDO stranding at concentrations of &gt;100 g/m</w:t>
            </w:r>
            <w:r w:rsidRPr="006B189E">
              <w:rPr>
                <w:sz w:val="16"/>
                <w:szCs w:val="16"/>
                <w:vertAlign w:val="superscript"/>
                <w:lang w:val="en-GB"/>
              </w:rPr>
              <w:t>2</w:t>
            </w:r>
            <w:r w:rsidR="00F5313A">
              <w:rPr>
                <w:sz w:val="16"/>
                <w:szCs w:val="16"/>
                <w:lang w:val="en-GB"/>
              </w:rPr>
              <w:t xml:space="preserve">. Other sections potentially affected such as intertidal platforms/rocky coastlines are not expected to accumulate hydrocarbon due to wave and tidal action. </w:t>
            </w:r>
          </w:p>
          <w:p w14:paraId="09097CEE" w14:textId="77777777" w:rsidR="00F5313A" w:rsidRDefault="00F5313A" w:rsidP="00F96403">
            <w:pPr>
              <w:rPr>
                <w:sz w:val="16"/>
                <w:szCs w:val="16"/>
                <w:lang w:val="en-GB"/>
              </w:rPr>
            </w:pPr>
            <w:r>
              <w:rPr>
                <w:sz w:val="16"/>
                <w:szCs w:val="16"/>
                <w:lang w:val="en-GB"/>
              </w:rPr>
              <w:t>Locations which are identified along the areas which could be affected by shoreline resides in excess of 100 g/m</w:t>
            </w:r>
            <w:r w:rsidRPr="00FA36A5">
              <w:rPr>
                <w:sz w:val="16"/>
                <w:szCs w:val="16"/>
                <w:vertAlign w:val="superscript"/>
                <w:lang w:val="en-GB"/>
              </w:rPr>
              <w:t>2</w:t>
            </w:r>
            <w:r>
              <w:rPr>
                <w:sz w:val="16"/>
                <w:szCs w:val="16"/>
                <w:lang w:val="en-GB"/>
              </w:rPr>
              <w:t xml:space="preserve"> are:</w:t>
            </w:r>
          </w:p>
          <w:p w14:paraId="496E08D9" w14:textId="77777777" w:rsidR="00CA07E9" w:rsidRDefault="00F5313A" w:rsidP="0036080A">
            <w:pPr>
              <w:pStyle w:val="ListParagraph"/>
              <w:numPr>
                <w:ilvl w:val="0"/>
                <w:numId w:val="21"/>
              </w:numPr>
              <w:rPr>
                <w:sz w:val="16"/>
                <w:szCs w:val="16"/>
                <w:lang w:val="en-GB"/>
              </w:rPr>
            </w:pPr>
            <w:r>
              <w:rPr>
                <w:sz w:val="16"/>
                <w:szCs w:val="16"/>
                <w:lang w:val="en-GB"/>
              </w:rPr>
              <w:t>Pengiuns (Middle Island – Warrnambool; Murmaine Bay- Flaxman Hill coastline; Bay of Islands; London Bridge; The Twelve Apostles</w:t>
            </w:r>
            <w:r w:rsidR="00CA07E9">
              <w:rPr>
                <w:sz w:val="16"/>
                <w:szCs w:val="16"/>
                <w:lang w:val="en-GB"/>
              </w:rPr>
              <w:t>);</w:t>
            </w:r>
          </w:p>
          <w:p w14:paraId="7D458C5A" w14:textId="06F186AB" w:rsidR="0056024B" w:rsidRPr="00FA36A5" w:rsidRDefault="00CA07E9" w:rsidP="0036080A">
            <w:pPr>
              <w:pStyle w:val="ListParagraph"/>
              <w:numPr>
                <w:ilvl w:val="0"/>
                <w:numId w:val="21"/>
              </w:numPr>
              <w:rPr>
                <w:sz w:val="16"/>
                <w:szCs w:val="16"/>
                <w:lang w:val="en-GB"/>
              </w:rPr>
            </w:pPr>
            <w:r>
              <w:rPr>
                <w:sz w:val="16"/>
                <w:szCs w:val="16"/>
                <w:lang w:val="en-GB"/>
              </w:rPr>
              <w:t>Hooded Plover (Nurmaine Bay to Flaxman Hill; Crofts Bay; Curdies Inlet; Shelly Beach; Lochard Gorge; Clifton Beach; Johanna Beach; Aire River; Station Beach).</w:t>
            </w:r>
          </w:p>
          <w:p w14:paraId="4F94475B" w14:textId="7B1C7E2B" w:rsidR="00564287" w:rsidRPr="006B189E" w:rsidRDefault="00361B5D" w:rsidP="00F96403">
            <w:pPr>
              <w:rPr>
                <w:sz w:val="16"/>
                <w:szCs w:val="16"/>
                <w:lang w:val="en-GB"/>
              </w:rPr>
            </w:pPr>
            <w:r w:rsidRPr="006B189E">
              <w:rPr>
                <w:sz w:val="16"/>
                <w:szCs w:val="16"/>
                <w:lang w:val="en-GB"/>
              </w:rPr>
              <w:t>I</w:t>
            </w:r>
            <w:r w:rsidR="00564287" w:rsidRPr="006B189E">
              <w:rPr>
                <w:sz w:val="16"/>
                <w:szCs w:val="16"/>
                <w:lang w:val="en-GB"/>
              </w:rPr>
              <w:t xml:space="preserve">mpacts to penguins </w:t>
            </w:r>
            <w:r w:rsidR="006F3D06">
              <w:rPr>
                <w:sz w:val="16"/>
                <w:szCs w:val="16"/>
                <w:lang w:val="en-GB"/>
              </w:rPr>
              <w:t xml:space="preserve">are </w:t>
            </w:r>
            <w:r w:rsidR="00564287" w:rsidRPr="006B189E">
              <w:rPr>
                <w:sz w:val="16"/>
                <w:szCs w:val="16"/>
                <w:lang w:val="en-GB"/>
              </w:rPr>
              <w:t xml:space="preserve">likely to be similar to these described </w:t>
            </w:r>
            <w:r w:rsidR="002702B5">
              <w:rPr>
                <w:sz w:val="16"/>
                <w:szCs w:val="16"/>
                <w:lang w:val="en-GB"/>
              </w:rPr>
              <w:t>for condensate</w:t>
            </w:r>
            <w:r w:rsidR="00564287" w:rsidRPr="006B189E">
              <w:rPr>
                <w:sz w:val="16"/>
                <w:szCs w:val="16"/>
                <w:lang w:val="en-GB"/>
              </w:rPr>
              <w:t>. Any coating of feathers may be preened once onshore, which would increase oil ingestion and may lead to acute or chronic toxicity depending on the amount ingested and the life stage of the bird.</w:t>
            </w:r>
          </w:p>
          <w:p w14:paraId="23CB130D" w14:textId="313D7860" w:rsidR="00564287" w:rsidRPr="006B189E" w:rsidRDefault="00564287" w:rsidP="00F96403">
            <w:pPr>
              <w:rPr>
                <w:sz w:val="16"/>
                <w:szCs w:val="16"/>
                <w:lang w:val="en-GB"/>
              </w:rPr>
            </w:pPr>
            <w:r w:rsidRPr="006B189E">
              <w:rPr>
                <w:sz w:val="16"/>
                <w:szCs w:val="16"/>
                <w:lang w:val="en-GB"/>
              </w:rPr>
              <w:t xml:space="preserve">If shorebirds have a long duration of exposure to areas of heavy shoreline oiling (or long duration of ingestion of weathered oil), it is </w:t>
            </w:r>
            <w:r w:rsidR="00CA07E9">
              <w:rPr>
                <w:sz w:val="16"/>
                <w:szCs w:val="16"/>
                <w:lang w:val="en-GB"/>
              </w:rPr>
              <w:t>possible that lethal impacts may occur</w:t>
            </w:r>
            <w:r w:rsidRPr="006B189E">
              <w:rPr>
                <w:sz w:val="16"/>
                <w:szCs w:val="16"/>
                <w:lang w:val="en-GB"/>
              </w:rPr>
              <w:t xml:space="preserve">. However, </w:t>
            </w:r>
            <w:r w:rsidR="00CA07E9">
              <w:rPr>
                <w:sz w:val="16"/>
                <w:szCs w:val="16"/>
                <w:lang w:val="en-GB"/>
              </w:rPr>
              <w:t xml:space="preserve">this is extremely unlikely given the characteristics of MDO and its residues which, due to their viscosity, percolate into sand and do not usually present as shoreline residues (hence limited potential for direct oiling). For shoreline areas which are inter-tidal platforms/rocky shorelines, accumulation will be temporary given wave and tidal action which remobilises and weathers MDO residues. </w:t>
            </w:r>
            <w:r w:rsidRPr="006B189E">
              <w:rPr>
                <w:sz w:val="16"/>
                <w:szCs w:val="16"/>
                <w:lang w:val="en-GB"/>
              </w:rPr>
              <w:t xml:space="preserve">Populations of most shorebird species within the EMBA (including plovers, </w:t>
            </w:r>
            <w:r w:rsidR="00CA07E9">
              <w:rPr>
                <w:sz w:val="16"/>
                <w:szCs w:val="16"/>
                <w:lang w:val="en-GB"/>
              </w:rPr>
              <w:t xml:space="preserve">penguins, </w:t>
            </w:r>
            <w:r w:rsidRPr="006B189E">
              <w:rPr>
                <w:sz w:val="16"/>
                <w:szCs w:val="16"/>
                <w:lang w:val="en-GB"/>
              </w:rPr>
              <w:t xml:space="preserve">terns and sandpipers) </w:t>
            </w:r>
            <w:r w:rsidR="00CA07E9">
              <w:rPr>
                <w:sz w:val="16"/>
                <w:szCs w:val="16"/>
                <w:lang w:val="en-GB"/>
              </w:rPr>
              <w:t xml:space="preserve">also </w:t>
            </w:r>
            <w:r w:rsidRPr="006B189E">
              <w:rPr>
                <w:sz w:val="16"/>
                <w:szCs w:val="16"/>
                <w:lang w:val="en-GB"/>
              </w:rPr>
              <w:t xml:space="preserve">have a wide geographic range, meaning that impacts to individuals or a population at one location will not necessarily extend to populations at other locations. </w:t>
            </w:r>
            <w:r w:rsidR="00CA07E9">
              <w:rPr>
                <w:sz w:val="16"/>
                <w:szCs w:val="16"/>
                <w:lang w:val="en-GB"/>
              </w:rPr>
              <w:t xml:space="preserve">Population level impacts due to shoreline residue accumulation </w:t>
            </w:r>
            <w:r w:rsidR="002220BA">
              <w:rPr>
                <w:sz w:val="16"/>
                <w:szCs w:val="16"/>
                <w:lang w:val="en-GB"/>
              </w:rPr>
              <w:t>are</w:t>
            </w:r>
            <w:r w:rsidR="00CA07E9">
              <w:rPr>
                <w:sz w:val="16"/>
                <w:szCs w:val="16"/>
                <w:lang w:val="en-GB"/>
              </w:rPr>
              <w:t xml:space="preserve"> considered unlikely.</w:t>
            </w:r>
          </w:p>
          <w:p w14:paraId="4130A9AB" w14:textId="2B9BE9CD" w:rsidR="00564287" w:rsidRPr="006B189E" w:rsidRDefault="00564287">
            <w:pPr>
              <w:pStyle w:val="BodyText"/>
              <w:ind w:left="0"/>
              <w:rPr>
                <w:sz w:val="16"/>
                <w:szCs w:val="16"/>
                <w:lang w:eastAsia="en-US"/>
              </w:rPr>
            </w:pPr>
            <w:r w:rsidRPr="006B189E">
              <w:rPr>
                <w:sz w:val="16"/>
                <w:szCs w:val="16"/>
                <w:lang w:val="en-GB"/>
              </w:rPr>
              <w:lastRenderedPageBreak/>
              <w:t xml:space="preserve">Shorebirds foraging for food in intertidal </w:t>
            </w:r>
            <w:r w:rsidR="005D74AD">
              <w:rPr>
                <w:sz w:val="16"/>
                <w:szCs w:val="16"/>
                <w:lang w:val="en-GB"/>
              </w:rPr>
              <w:t xml:space="preserve">sand </w:t>
            </w:r>
            <w:r w:rsidRPr="006B189E">
              <w:rPr>
                <w:sz w:val="16"/>
                <w:szCs w:val="16"/>
                <w:lang w:val="en-GB"/>
              </w:rPr>
              <w:t xml:space="preserve">areas </w:t>
            </w:r>
            <w:r w:rsidR="005D74AD">
              <w:rPr>
                <w:sz w:val="16"/>
                <w:szCs w:val="16"/>
                <w:lang w:val="en-GB"/>
              </w:rPr>
              <w:t>may experience secondary impacts due to MDO residues impacting invertebrate prey. Tidal washing within sand environments rapidly degrades MDO residues allowing for rapid recolonization by adjacent invertebrate species. Areas affected will also be isolated in nature. These localised impacts would not be expected to affect shoreline bird species at a population level.</w:t>
            </w:r>
          </w:p>
        </w:tc>
      </w:tr>
      <w:tr w:rsidR="00564287" w:rsidRPr="006B189E" w14:paraId="1C8AB803" w14:textId="77777777" w:rsidTr="00FA36A5">
        <w:trPr>
          <w:cnfStyle w:val="000000010000" w:firstRow="0" w:lastRow="0" w:firstColumn="0" w:lastColumn="0" w:oddVBand="0" w:evenVBand="0" w:oddHBand="0" w:evenHBand="1" w:firstRowFirstColumn="0" w:firstRowLastColumn="0" w:lastRowFirstColumn="0" w:lastRowLastColumn="0"/>
          <w:cantSplit/>
        </w:trPr>
        <w:tc>
          <w:tcPr>
            <w:tcW w:w="0" w:type="dxa"/>
          </w:tcPr>
          <w:p w14:paraId="5C766BE8" w14:textId="08D9BBD0" w:rsidR="00564287" w:rsidRPr="006B189E" w:rsidRDefault="00564287" w:rsidP="00310DCD">
            <w:pPr>
              <w:pStyle w:val="BodyText"/>
              <w:ind w:left="0"/>
              <w:rPr>
                <w:sz w:val="16"/>
                <w:szCs w:val="16"/>
                <w:lang w:eastAsia="en-US"/>
              </w:rPr>
            </w:pPr>
            <w:r w:rsidRPr="006B189E">
              <w:rPr>
                <w:sz w:val="16"/>
                <w:szCs w:val="16"/>
                <w:lang w:eastAsia="en-US"/>
              </w:rPr>
              <w:lastRenderedPageBreak/>
              <w:t>Sandy beaches</w:t>
            </w:r>
          </w:p>
        </w:tc>
        <w:tc>
          <w:tcPr>
            <w:tcW w:w="3544" w:type="dxa"/>
          </w:tcPr>
          <w:p w14:paraId="46169BB1" w14:textId="04C2ED24" w:rsidR="00564287" w:rsidRPr="006B189E" w:rsidRDefault="00564287" w:rsidP="00310DCD">
            <w:pPr>
              <w:pStyle w:val="BodyText"/>
              <w:ind w:left="0"/>
              <w:rPr>
                <w:sz w:val="16"/>
                <w:szCs w:val="16"/>
                <w:lang w:eastAsia="en-US"/>
              </w:rPr>
            </w:pPr>
            <w:r w:rsidRPr="006B189E">
              <w:rPr>
                <w:sz w:val="16"/>
                <w:szCs w:val="16"/>
                <w:lang w:eastAsia="en-US"/>
              </w:rPr>
              <w:t>Not applicable.</w:t>
            </w:r>
          </w:p>
        </w:tc>
        <w:tc>
          <w:tcPr>
            <w:tcW w:w="3827" w:type="dxa"/>
          </w:tcPr>
          <w:p w14:paraId="6C5FAB2B" w14:textId="0DA84ED4" w:rsidR="00564287" w:rsidRPr="006B189E" w:rsidRDefault="00564287" w:rsidP="00310DCD">
            <w:pPr>
              <w:pStyle w:val="BodyText"/>
              <w:ind w:left="0"/>
              <w:rPr>
                <w:sz w:val="16"/>
                <w:szCs w:val="16"/>
                <w:lang w:eastAsia="en-US"/>
              </w:rPr>
            </w:pPr>
            <w:r w:rsidRPr="006B189E">
              <w:rPr>
                <w:sz w:val="16"/>
                <w:szCs w:val="16"/>
                <w:lang w:eastAsia="en-US"/>
              </w:rPr>
              <w:t>Not applicable.</w:t>
            </w:r>
          </w:p>
        </w:tc>
        <w:tc>
          <w:tcPr>
            <w:tcW w:w="0" w:type="dxa"/>
          </w:tcPr>
          <w:p w14:paraId="117B0DBB" w14:textId="0C68F832" w:rsidR="00E052C8" w:rsidRDefault="0046746E" w:rsidP="00593B70">
            <w:pPr>
              <w:pStyle w:val="BodyText"/>
              <w:ind w:left="0"/>
              <w:rPr>
                <w:sz w:val="16"/>
                <w:szCs w:val="16"/>
                <w:lang w:val="en-GB"/>
              </w:rPr>
            </w:pPr>
            <w:r w:rsidRPr="006B189E">
              <w:rPr>
                <w:sz w:val="16"/>
                <w:szCs w:val="16"/>
                <w:lang w:val="en-GB"/>
              </w:rPr>
              <w:t xml:space="preserve">Small isolated sections of sandy beaches between </w:t>
            </w:r>
            <w:r w:rsidR="00D40C5A">
              <w:rPr>
                <w:sz w:val="16"/>
                <w:szCs w:val="16"/>
                <w:lang w:val="en-GB"/>
              </w:rPr>
              <w:t>Cape Otway and Port Fairy</w:t>
            </w:r>
            <w:r w:rsidRPr="006B189E">
              <w:rPr>
                <w:sz w:val="16"/>
                <w:szCs w:val="16"/>
                <w:lang w:val="en-GB"/>
              </w:rPr>
              <w:t xml:space="preserve"> are predicted to have a </w:t>
            </w:r>
            <w:r w:rsidR="002702B5">
              <w:rPr>
                <w:sz w:val="16"/>
                <w:szCs w:val="16"/>
                <w:lang w:val="en-GB"/>
              </w:rPr>
              <w:t>low</w:t>
            </w:r>
            <w:r w:rsidRPr="006B189E">
              <w:rPr>
                <w:sz w:val="16"/>
                <w:szCs w:val="16"/>
                <w:lang w:val="en-GB"/>
              </w:rPr>
              <w:t xml:space="preserve"> probability of MDO </w:t>
            </w:r>
            <w:r w:rsidR="00D40C5A">
              <w:rPr>
                <w:sz w:val="16"/>
                <w:szCs w:val="16"/>
                <w:lang w:val="en-GB"/>
              </w:rPr>
              <w:t xml:space="preserve">residue </w:t>
            </w:r>
            <w:r w:rsidRPr="006B189E">
              <w:rPr>
                <w:sz w:val="16"/>
                <w:szCs w:val="16"/>
                <w:lang w:val="en-GB"/>
              </w:rPr>
              <w:t>stranding at concentrations of &gt;100 g/m</w:t>
            </w:r>
            <w:r w:rsidRPr="006B189E">
              <w:rPr>
                <w:sz w:val="16"/>
                <w:szCs w:val="16"/>
                <w:vertAlign w:val="superscript"/>
                <w:lang w:val="en-GB"/>
              </w:rPr>
              <w:t>2</w:t>
            </w:r>
            <w:r w:rsidR="005D74AD">
              <w:rPr>
                <w:sz w:val="16"/>
                <w:szCs w:val="16"/>
                <w:lang w:val="en-GB"/>
              </w:rPr>
              <w:t>. These include (excluding mixed platform/sand environments) Port Fairy Bay, Logans Beach (Warrnambool), Crofts Bay, Curdies Inlet, Port Campbell, Lochard Gorge, Clifton Beach, Princetown Beach, Johanna Beach, Aire River Beach and Station Beach.</w:t>
            </w:r>
            <w:r w:rsidR="00A17133">
              <w:rPr>
                <w:sz w:val="16"/>
                <w:szCs w:val="16"/>
                <w:lang w:val="en-GB"/>
              </w:rPr>
              <w:t>Small sections of the coastline between Curdies Inlet and Mepunga have a low probability of shoreline residues &gt;1000g/m</w:t>
            </w:r>
            <w:r w:rsidR="00A17133" w:rsidRPr="00FA36A5">
              <w:rPr>
                <w:sz w:val="16"/>
                <w:szCs w:val="16"/>
                <w:vertAlign w:val="superscript"/>
                <w:lang w:val="en-GB"/>
              </w:rPr>
              <w:t>2</w:t>
            </w:r>
            <w:r w:rsidR="00A17133">
              <w:rPr>
                <w:sz w:val="16"/>
                <w:szCs w:val="16"/>
                <w:lang w:val="en-GB"/>
              </w:rPr>
              <w:t>.</w:t>
            </w:r>
            <w:r w:rsidR="006464FB">
              <w:rPr>
                <w:sz w:val="16"/>
                <w:szCs w:val="16"/>
                <w:lang w:val="en-GB"/>
              </w:rPr>
              <w:t xml:space="preserve"> </w:t>
            </w:r>
          </w:p>
          <w:p w14:paraId="6D34E03A" w14:textId="32064D8A" w:rsidR="00A17133" w:rsidRDefault="00E052C8" w:rsidP="00593B70">
            <w:pPr>
              <w:pStyle w:val="BodyText"/>
              <w:ind w:left="0"/>
              <w:rPr>
                <w:sz w:val="16"/>
                <w:szCs w:val="16"/>
                <w:lang w:val="en-GB"/>
              </w:rPr>
            </w:pPr>
            <w:r>
              <w:rPr>
                <w:sz w:val="16"/>
                <w:szCs w:val="16"/>
                <w:lang w:val="en-GB"/>
              </w:rPr>
              <w:t xml:space="preserve">As per shoreline birds section, sandy beach environments are not likely to accumulate MDO residue due to the viscosity of the hydrocarbon. Additionally the constant wave action and tidal movements will naturally wash and degrade MDO residues which remain in the inter-tidal area. Beach environments rapidly rehabilitate and any residual shoreline residues should not create visual aesthetic impacts to visiting tourists.  </w:t>
            </w:r>
          </w:p>
          <w:p w14:paraId="10A755F7" w14:textId="1B04220E" w:rsidR="006C469A" w:rsidRDefault="00A17133" w:rsidP="00593B70">
            <w:pPr>
              <w:pStyle w:val="BodyText"/>
              <w:ind w:left="0"/>
              <w:rPr>
                <w:sz w:val="16"/>
                <w:szCs w:val="16"/>
              </w:rPr>
            </w:pPr>
            <w:r>
              <w:rPr>
                <w:sz w:val="16"/>
                <w:szCs w:val="16"/>
                <w:lang w:val="en-GB"/>
              </w:rPr>
              <w:t>A threshold of 1</w:t>
            </w:r>
            <w:r w:rsidR="006C469A" w:rsidRPr="006B189E">
              <w:rPr>
                <w:sz w:val="16"/>
                <w:szCs w:val="16"/>
              </w:rPr>
              <w:t>00 g/m</w:t>
            </w:r>
            <w:r w:rsidR="006C469A" w:rsidRPr="006B189E">
              <w:rPr>
                <w:sz w:val="16"/>
                <w:szCs w:val="16"/>
                <w:vertAlign w:val="superscript"/>
              </w:rPr>
              <w:t>2</w:t>
            </w:r>
            <w:r w:rsidR="006C469A" w:rsidRPr="006B189E">
              <w:rPr>
                <w:sz w:val="16"/>
                <w:szCs w:val="16"/>
              </w:rPr>
              <w:t xml:space="preserve"> oil thickness </w:t>
            </w:r>
            <w:r w:rsidR="00E052C8">
              <w:rPr>
                <w:sz w:val="16"/>
                <w:szCs w:val="16"/>
              </w:rPr>
              <w:t>is considered to b</w:t>
            </w:r>
            <w:r w:rsidR="006C469A" w:rsidRPr="006B189E">
              <w:rPr>
                <w:sz w:val="16"/>
                <w:szCs w:val="16"/>
              </w:rPr>
              <w:t xml:space="preserve">e enough to coat animals living on or in the sand </w:t>
            </w:r>
            <w:r w:rsidR="00E052C8">
              <w:rPr>
                <w:sz w:val="16"/>
                <w:szCs w:val="16"/>
              </w:rPr>
              <w:t>may</w:t>
            </w:r>
            <w:r w:rsidR="006C469A" w:rsidRPr="006B189E">
              <w:rPr>
                <w:sz w:val="16"/>
                <w:szCs w:val="16"/>
              </w:rPr>
              <w:t xml:space="preserve"> impact survival and reproductive capacity. Based on this, areas of heavy oiling </w:t>
            </w:r>
            <w:r w:rsidR="00E052C8">
              <w:rPr>
                <w:sz w:val="16"/>
                <w:szCs w:val="16"/>
              </w:rPr>
              <w:t>may</w:t>
            </w:r>
            <w:r w:rsidR="006C469A" w:rsidRPr="006B189E">
              <w:rPr>
                <w:sz w:val="16"/>
                <w:szCs w:val="16"/>
              </w:rPr>
              <w:t xml:space="preserve"> result in acute toxicity, and death, of many </w:t>
            </w:r>
            <w:r w:rsidR="00E052C8">
              <w:rPr>
                <w:sz w:val="16"/>
                <w:szCs w:val="16"/>
              </w:rPr>
              <w:t xml:space="preserve">shoreline </w:t>
            </w:r>
            <w:r w:rsidR="006C469A" w:rsidRPr="006B189E">
              <w:rPr>
                <w:sz w:val="16"/>
                <w:szCs w:val="16"/>
              </w:rPr>
              <w:t xml:space="preserve">invertebrate communities, especially where oil penetrates into sediments through animal burrows. </w:t>
            </w:r>
            <w:r w:rsidR="00E052C8">
              <w:rPr>
                <w:sz w:val="16"/>
                <w:szCs w:val="16"/>
              </w:rPr>
              <w:t>Th</w:t>
            </w:r>
            <w:r w:rsidR="006C469A" w:rsidRPr="006B189E">
              <w:rPr>
                <w:sz w:val="16"/>
                <w:szCs w:val="16"/>
              </w:rPr>
              <w:t xml:space="preserve">ese communities would be </w:t>
            </w:r>
            <w:r w:rsidR="00E052C8">
              <w:rPr>
                <w:sz w:val="16"/>
                <w:szCs w:val="16"/>
              </w:rPr>
              <w:t>expected</w:t>
            </w:r>
            <w:r w:rsidR="00E052C8" w:rsidRPr="006B189E">
              <w:rPr>
                <w:sz w:val="16"/>
                <w:szCs w:val="16"/>
              </w:rPr>
              <w:t xml:space="preserve"> </w:t>
            </w:r>
            <w:r w:rsidR="006C469A" w:rsidRPr="006B189E">
              <w:rPr>
                <w:sz w:val="16"/>
                <w:szCs w:val="16"/>
              </w:rPr>
              <w:t xml:space="preserve">to rapidly recover (recruitment from unaffected individuals and recruitment from nearby areas) as oil is removed </w:t>
            </w:r>
            <w:r w:rsidR="00593B70" w:rsidRPr="006B189E">
              <w:rPr>
                <w:sz w:val="16"/>
                <w:szCs w:val="16"/>
              </w:rPr>
              <w:t>with the tides</w:t>
            </w:r>
            <w:r w:rsidR="002702B5">
              <w:rPr>
                <w:sz w:val="16"/>
                <w:szCs w:val="16"/>
              </w:rPr>
              <w:t xml:space="preserve"> (sediment reworking)</w:t>
            </w:r>
            <w:r w:rsidR="00593B70" w:rsidRPr="006B189E">
              <w:rPr>
                <w:sz w:val="16"/>
                <w:szCs w:val="16"/>
              </w:rPr>
              <w:t xml:space="preserve">. </w:t>
            </w:r>
          </w:p>
          <w:p w14:paraId="2D36709B" w14:textId="5227C8FB" w:rsidR="002702B5" w:rsidRPr="006B189E" w:rsidRDefault="002702B5">
            <w:pPr>
              <w:pStyle w:val="BodyText"/>
              <w:ind w:left="0"/>
              <w:rPr>
                <w:sz w:val="16"/>
                <w:szCs w:val="16"/>
                <w:lang w:eastAsia="en-US"/>
              </w:rPr>
            </w:pPr>
            <w:r>
              <w:rPr>
                <w:sz w:val="16"/>
                <w:szCs w:val="16"/>
              </w:rPr>
              <w:t>Given the MDO spill is localised</w:t>
            </w:r>
            <w:r w:rsidR="00A17133">
              <w:rPr>
                <w:sz w:val="16"/>
                <w:szCs w:val="16"/>
              </w:rPr>
              <w:t>, limited in volume</w:t>
            </w:r>
            <w:r>
              <w:rPr>
                <w:sz w:val="16"/>
                <w:szCs w:val="16"/>
              </w:rPr>
              <w:t xml:space="preserve"> and temporary,</w:t>
            </w:r>
            <w:r w:rsidR="00A17133">
              <w:rPr>
                <w:sz w:val="16"/>
                <w:szCs w:val="16"/>
              </w:rPr>
              <w:t xml:space="preserve"> invertebrate</w:t>
            </w:r>
            <w:r>
              <w:rPr>
                <w:sz w:val="16"/>
                <w:szCs w:val="16"/>
              </w:rPr>
              <w:t xml:space="preserve"> impacts at a population level are not considered to be significant.</w:t>
            </w:r>
          </w:p>
        </w:tc>
      </w:tr>
      <w:tr w:rsidR="00564287" w:rsidRPr="006B189E" w14:paraId="622DCC06" w14:textId="77777777" w:rsidTr="00FA36A5">
        <w:trPr>
          <w:cantSplit/>
        </w:trPr>
        <w:tc>
          <w:tcPr>
            <w:tcW w:w="0" w:type="dxa"/>
          </w:tcPr>
          <w:p w14:paraId="5902DD15" w14:textId="662D3816" w:rsidR="00564287" w:rsidRPr="006B189E" w:rsidRDefault="00564287" w:rsidP="00310DCD">
            <w:pPr>
              <w:pStyle w:val="BodyText"/>
              <w:ind w:left="0"/>
              <w:rPr>
                <w:sz w:val="16"/>
                <w:szCs w:val="16"/>
                <w:lang w:eastAsia="en-US"/>
              </w:rPr>
            </w:pPr>
            <w:r w:rsidRPr="006B189E">
              <w:rPr>
                <w:sz w:val="16"/>
                <w:szCs w:val="16"/>
                <w:lang w:eastAsia="en-US"/>
              </w:rPr>
              <w:lastRenderedPageBreak/>
              <w:t>Rocky shores</w:t>
            </w:r>
          </w:p>
        </w:tc>
        <w:tc>
          <w:tcPr>
            <w:tcW w:w="3544" w:type="dxa"/>
          </w:tcPr>
          <w:p w14:paraId="5DE84AB7" w14:textId="45103B85" w:rsidR="00564287" w:rsidRPr="006B189E" w:rsidRDefault="00564287" w:rsidP="00310DCD">
            <w:pPr>
              <w:pStyle w:val="BodyText"/>
              <w:ind w:left="0"/>
              <w:rPr>
                <w:sz w:val="16"/>
                <w:szCs w:val="16"/>
                <w:lang w:eastAsia="en-US"/>
              </w:rPr>
            </w:pPr>
            <w:r w:rsidRPr="006B189E">
              <w:rPr>
                <w:sz w:val="16"/>
                <w:szCs w:val="16"/>
                <w:lang w:eastAsia="en-US"/>
              </w:rPr>
              <w:t>Not applicable.</w:t>
            </w:r>
          </w:p>
        </w:tc>
        <w:tc>
          <w:tcPr>
            <w:tcW w:w="3827" w:type="dxa"/>
          </w:tcPr>
          <w:p w14:paraId="33873163" w14:textId="0CE4CE58" w:rsidR="00564287" w:rsidRPr="006B189E" w:rsidRDefault="00564287" w:rsidP="00310DCD">
            <w:pPr>
              <w:pStyle w:val="BodyText"/>
              <w:ind w:left="0"/>
              <w:rPr>
                <w:sz w:val="16"/>
                <w:szCs w:val="16"/>
                <w:lang w:eastAsia="en-US"/>
              </w:rPr>
            </w:pPr>
            <w:r w:rsidRPr="006B189E">
              <w:rPr>
                <w:sz w:val="16"/>
                <w:szCs w:val="16"/>
                <w:lang w:eastAsia="en-US"/>
              </w:rPr>
              <w:t>Not applicable.</w:t>
            </w:r>
          </w:p>
        </w:tc>
        <w:tc>
          <w:tcPr>
            <w:tcW w:w="0" w:type="dxa"/>
          </w:tcPr>
          <w:p w14:paraId="3E87FC08" w14:textId="77777777" w:rsidR="00564287" w:rsidRPr="006B189E" w:rsidRDefault="00593B70" w:rsidP="00310DCD">
            <w:pPr>
              <w:pStyle w:val="BodyText"/>
              <w:ind w:left="0"/>
              <w:rPr>
                <w:sz w:val="16"/>
                <w:szCs w:val="16"/>
                <w:lang w:eastAsia="en-US"/>
              </w:rPr>
            </w:pPr>
            <w:r w:rsidRPr="006B189E">
              <w:rPr>
                <w:sz w:val="16"/>
                <w:szCs w:val="16"/>
                <w:lang w:eastAsia="en-US"/>
              </w:rPr>
              <w:t xml:space="preserve">Much of the coastline predicted to be contacted by an MDO spill comprises steep rocky cliffs. </w:t>
            </w:r>
          </w:p>
          <w:p w14:paraId="1835400D" w14:textId="5FBBBE38" w:rsidR="00AF50D1" w:rsidRPr="006B189E" w:rsidRDefault="00593B70" w:rsidP="00593B70">
            <w:pPr>
              <w:spacing w:before="60" w:after="60"/>
              <w:rPr>
                <w:sz w:val="16"/>
                <w:szCs w:val="16"/>
              </w:rPr>
            </w:pPr>
            <w:r w:rsidRPr="006B189E">
              <w:rPr>
                <w:sz w:val="16"/>
                <w:szCs w:val="16"/>
              </w:rPr>
              <w:t xml:space="preserve">Impacts to </w:t>
            </w:r>
            <w:r w:rsidR="00D40C5A">
              <w:rPr>
                <w:sz w:val="16"/>
                <w:szCs w:val="16"/>
              </w:rPr>
              <w:t xml:space="preserve">the </w:t>
            </w:r>
            <w:r w:rsidRPr="006B189E">
              <w:rPr>
                <w:sz w:val="16"/>
                <w:szCs w:val="16"/>
              </w:rPr>
              <w:t xml:space="preserve">rocky shores of the EMBA should not vary significantly from those described for the condensate spill scenarios. </w:t>
            </w:r>
          </w:p>
          <w:p w14:paraId="647E73D0" w14:textId="089B327B" w:rsidR="00593B70" w:rsidRPr="006B189E" w:rsidRDefault="00AF50D1">
            <w:pPr>
              <w:rPr>
                <w:sz w:val="16"/>
                <w:szCs w:val="16"/>
              </w:rPr>
            </w:pPr>
            <w:r w:rsidRPr="006B189E">
              <w:rPr>
                <w:sz w:val="16"/>
                <w:szCs w:val="16"/>
              </w:rPr>
              <w:t xml:space="preserve">The action of reflected waves off rocky shores means it is unlikely that toxicity or smothering effects to exposed </w:t>
            </w:r>
            <w:r w:rsidR="002702B5">
              <w:rPr>
                <w:sz w:val="16"/>
                <w:szCs w:val="16"/>
              </w:rPr>
              <w:t>invertebrates</w:t>
            </w:r>
            <w:r w:rsidRPr="006B189E">
              <w:rPr>
                <w:sz w:val="16"/>
                <w:szCs w:val="16"/>
              </w:rPr>
              <w:t xml:space="preserve"> will occur on this type of shoreline. The oil is likely to be continually washed off the substrate and into the water, leading to further weathering.</w:t>
            </w:r>
            <w:r w:rsidR="002702B5">
              <w:rPr>
                <w:sz w:val="16"/>
                <w:szCs w:val="16"/>
              </w:rPr>
              <w:t xml:space="preserve"> Given the MDO spill is localised and temporary, impacts to these </w:t>
            </w:r>
            <w:r w:rsidR="00E052C8">
              <w:rPr>
                <w:sz w:val="16"/>
                <w:szCs w:val="16"/>
              </w:rPr>
              <w:t>areas</w:t>
            </w:r>
            <w:r w:rsidR="002702B5">
              <w:rPr>
                <w:sz w:val="16"/>
                <w:szCs w:val="16"/>
              </w:rPr>
              <w:t xml:space="preserve"> are not considered to be significant.</w:t>
            </w:r>
          </w:p>
        </w:tc>
      </w:tr>
      <w:tr w:rsidR="00D34BF9" w:rsidRPr="006B189E" w14:paraId="24869CCC" w14:textId="77777777" w:rsidTr="00FA36A5">
        <w:trPr>
          <w:cnfStyle w:val="000000010000" w:firstRow="0" w:lastRow="0" w:firstColumn="0" w:lastColumn="0" w:oddVBand="0" w:evenVBand="0" w:oddHBand="0" w:evenHBand="1" w:firstRowFirstColumn="0" w:firstRowLastColumn="0" w:lastRowFirstColumn="0" w:lastRowLastColumn="0"/>
          <w:cantSplit/>
        </w:trPr>
        <w:tc>
          <w:tcPr>
            <w:tcW w:w="0" w:type="dxa"/>
          </w:tcPr>
          <w:p w14:paraId="0EE085D5" w14:textId="191BEF65" w:rsidR="00D34BF9" w:rsidRPr="006B189E" w:rsidRDefault="00D34BF9" w:rsidP="00310DCD">
            <w:pPr>
              <w:pStyle w:val="BodyText"/>
              <w:ind w:left="0"/>
              <w:rPr>
                <w:sz w:val="16"/>
                <w:szCs w:val="16"/>
                <w:lang w:eastAsia="en-US"/>
              </w:rPr>
            </w:pPr>
            <w:r w:rsidRPr="006B189E">
              <w:rPr>
                <w:sz w:val="16"/>
                <w:szCs w:val="16"/>
                <w:lang w:eastAsia="en-US"/>
              </w:rPr>
              <w:t>Macro</w:t>
            </w:r>
            <w:r w:rsidR="00D40C5A">
              <w:rPr>
                <w:sz w:val="16"/>
                <w:szCs w:val="16"/>
                <w:lang w:eastAsia="en-US"/>
              </w:rPr>
              <w:t>-</w:t>
            </w:r>
            <w:r w:rsidRPr="006B189E">
              <w:rPr>
                <w:sz w:val="16"/>
                <w:szCs w:val="16"/>
                <w:lang w:eastAsia="en-US"/>
              </w:rPr>
              <w:t>algal communities</w:t>
            </w:r>
          </w:p>
        </w:tc>
        <w:tc>
          <w:tcPr>
            <w:tcW w:w="3544" w:type="dxa"/>
          </w:tcPr>
          <w:p w14:paraId="567AED9B" w14:textId="1AC8350F" w:rsidR="00D34BF9" w:rsidRPr="006B189E" w:rsidRDefault="00D34BF9" w:rsidP="00310DCD">
            <w:pPr>
              <w:pStyle w:val="BodyText"/>
              <w:ind w:left="0"/>
              <w:rPr>
                <w:sz w:val="16"/>
                <w:szCs w:val="16"/>
                <w:lang w:eastAsia="en-US"/>
              </w:rPr>
            </w:pPr>
            <w:r w:rsidRPr="006B189E">
              <w:rPr>
                <w:sz w:val="16"/>
                <w:szCs w:val="16"/>
                <w:lang w:eastAsia="en-US"/>
              </w:rPr>
              <w:t>Not applicable.</w:t>
            </w:r>
          </w:p>
        </w:tc>
        <w:tc>
          <w:tcPr>
            <w:tcW w:w="7796" w:type="dxa"/>
            <w:gridSpan w:val="2"/>
          </w:tcPr>
          <w:p w14:paraId="092CDD1A" w14:textId="7B34821D" w:rsidR="00D34BF9" w:rsidRPr="006B189E" w:rsidRDefault="00E052C8" w:rsidP="00E75B01">
            <w:pPr>
              <w:rPr>
                <w:sz w:val="16"/>
                <w:szCs w:val="16"/>
                <w:lang w:val="en-GB"/>
              </w:rPr>
            </w:pPr>
            <w:r>
              <w:rPr>
                <w:sz w:val="16"/>
                <w:szCs w:val="16"/>
                <w:lang w:val="en-GB"/>
              </w:rPr>
              <w:t>The Giant Kelp TEC is not known to be present in the entrained phase EMBA except at the Merri Marine Sanctuary which may be exposed to low-moderate effects level entrained hydrocarbons. It is possible that other areas of G</w:t>
            </w:r>
            <w:r w:rsidR="00D34BF9" w:rsidRPr="006B189E">
              <w:rPr>
                <w:sz w:val="16"/>
                <w:szCs w:val="16"/>
                <w:lang w:val="en-GB"/>
              </w:rPr>
              <w:t xml:space="preserve">iant Kelp Forests TEC may occur within the EMBA for entrained MDO, </w:t>
            </w:r>
            <w:r>
              <w:rPr>
                <w:sz w:val="16"/>
                <w:szCs w:val="16"/>
                <w:lang w:val="en-GB"/>
              </w:rPr>
              <w:t xml:space="preserve">however surveys undertaken in The Arches MS and </w:t>
            </w:r>
            <w:r w:rsidR="005C35E8">
              <w:rPr>
                <w:sz w:val="16"/>
                <w:szCs w:val="16"/>
                <w:lang w:val="en-GB"/>
              </w:rPr>
              <w:t>Twelve Apostles NP have not identified any stands. Kelp dominated reefs to occur in the region.</w:t>
            </w:r>
            <w:r w:rsidR="00D34BF9" w:rsidRPr="006B189E">
              <w:rPr>
                <w:sz w:val="16"/>
                <w:szCs w:val="16"/>
                <w:lang w:val="en-GB"/>
              </w:rPr>
              <w:t xml:space="preserve"> Kelp-dominated reefs are noted as occurring </w:t>
            </w:r>
            <w:r w:rsidR="00D34BF9" w:rsidRPr="00FE1B0F">
              <w:rPr>
                <w:sz w:val="16"/>
                <w:szCs w:val="16"/>
                <w:lang w:val="en-GB"/>
              </w:rPr>
              <w:t>around the Portland area with seagrass meadows also mapped as occur</w:t>
            </w:r>
            <w:r w:rsidR="002702B5" w:rsidRPr="00FE1B0F">
              <w:rPr>
                <w:sz w:val="16"/>
                <w:szCs w:val="16"/>
                <w:lang w:val="en-GB"/>
              </w:rPr>
              <w:t>r</w:t>
            </w:r>
            <w:r w:rsidR="00D34BF9" w:rsidRPr="00FE1B0F">
              <w:rPr>
                <w:sz w:val="16"/>
                <w:szCs w:val="16"/>
                <w:lang w:val="en-GB"/>
              </w:rPr>
              <w:t xml:space="preserve">ing along the </w:t>
            </w:r>
            <w:r w:rsidR="008D3313">
              <w:rPr>
                <w:sz w:val="16"/>
                <w:szCs w:val="16"/>
                <w:lang w:val="en-GB"/>
              </w:rPr>
              <w:t xml:space="preserve">Portland and Warrnambool coasts. </w:t>
            </w:r>
            <w:r w:rsidR="00D34BF9" w:rsidRPr="00FE1B0F">
              <w:rPr>
                <w:sz w:val="16"/>
                <w:szCs w:val="16"/>
                <w:lang w:val="en-GB"/>
              </w:rPr>
              <w:t>These areas</w:t>
            </w:r>
            <w:r w:rsidR="00D34BF9" w:rsidRPr="006B189E">
              <w:rPr>
                <w:sz w:val="16"/>
                <w:szCs w:val="16"/>
                <w:lang w:val="en-GB"/>
              </w:rPr>
              <w:t xml:space="preserve"> may be exposed to low concentrations of </w:t>
            </w:r>
            <w:r w:rsidR="005C35E8">
              <w:rPr>
                <w:sz w:val="16"/>
                <w:szCs w:val="16"/>
                <w:lang w:val="en-GB"/>
              </w:rPr>
              <w:t xml:space="preserve">(effects level) </w:t>
            </w:r>
            <w:r w:rsidR="00D34BF9" w:rsidRPr="006B189E">
              <w:rPr>
                <w:sz w:val="16"/>
                <w:szCs w:val="16"/>
                <w:lang w:val="en-GB"/>
              </w:rPr>
              <w:t xml:space="preserve">entrained MDO, which are unlikely to result in </w:t>
            </w:r>
            <w:r w:rsidR="005C35E8">
              <w:rPr>
                <w:sz w:val="16"/>
                <w:szCs w:val="16"/>
                <w:lang w:val="en-GB"/>
              </w:rPr>
              <w:t>significant impacts</w:t>
            </w:r>
            <w:r w:rsidR="00D34BF9" w:rsidRPr="006B189E">
              <w:rPr>
                <w:sz w:val="16"/>
                <w:szCs w:val="16"/>
                <w:lang w:val="en-GB"/>
              </w:rPr>
              <w:t>.</w:t>
            </w:r>
          </w:p>
          <w:p w14:paraId="4E94261A" w14:textId="664D2DFE" w:rsidR="00D34BF9" w:rsidRPr="006B189E" w:rsidRDefault="00D34BF9">
            <w:pPr>
              <w:pStyle w:val="BodyText"/>
              <w:ind w:left="0"/>
              <w:rPr>
                <w:sz w:val="16"/>
                <w:szCs w:val="16"/>
                <w:lang w:eastAsia="en-US"/>
              </w:rPr>
            </w:pPr>
            <w:r w:rsidRPr="006B189E">
              <w:rPr>
                <w:sz w:val="16"/>
                <w:szCs w:val="16"/>
                <w:lang w:val="en-GB"/>
              </w:rPr>
              <w:t>Impacts to this community are likely to be similar to those described for condensate, noting that the rough seas of the nearshore environment will result in rapid weathering of the MDO</w:t>
            </w:r>
            <w:r w:rsidR="00D40C5A">
              <w:rPr>
                <w:sz w:val="16"/>
                <w:szCs w:val="16"/>
                <w:lang w:val="en-GB"/>
              </w:rPr>
              <w:t xml:space="preserve"> residue.</w:t>
            </w:r>
          </w:p>
        </w:tc>
      </w:tr>
      <w:tr w:rsidR="009D0890" w:rsidRPr="006B189E" w14:paraId="0A11689C" w14:textId="77777777" w:rsidTr="00902287">
        <w:trPr>
          <w:cantSplit/>
        </w:trPr>
        <w:tc>
          <w:tcPr>
            <w:tcW w:w="1701" w:type="dxa"/>
          </w:tcPr>
          <w:p w14:paraId="385A4B5F" w14:textId="58E6EA62" w:rsidR="009D0890" w:rsidRPr="006B189E" w:rsidRDefault="009D0890" w:rsidP="00310DCD">
            <w:pPr>
              <w:pStyle w:val="BodyText"/>
              <w:ind w:left="0"/>
              <w:rPr>
                <w:sz w:val="16"/>
                <w:szCs w:val="16"/>
                <w:lang w:eastAsia="en-US"/>
              </w:rPr>
            </w:pPr>
            <w:r>
              <w:rPr>
                <w:sz w:val="16"/>
                <w:szCs w:val="16"/>
                <w:lang w:eastAsia="en-US"/>
              </w:rPr>
              <w:t>Saltmarsh</w:t>
            </w:r>
          </w:p>
        </w:tc>
        <w:tc>
          <w:tcPr>
            <w:tcW w:w="3544" w:type="dxa"/>
          </w:tcPr>
          <w:p w14:paraId="7B0A5C17" w14:textId="5E602C63" w:rsidR="009D0890" w:rsidRPr="006B189E" w:rsidRDefault="009D0890">
            <w:pPr>
              <w:rPr>
                <w:sz w:val="16"/>
                <w:szCs w:val="16"/>
                <w:lang w:val="en-GB"/>
              </w:rPr>
            </w:pPr>
            <w:r>
              <w:rPr>
                <w:sz w:val="16"/>
                <w:szCs w:val="16"/>
                <w:lang w:val="en-GB"/>
              </w:rPr>
              <w:t xml:space="preserve">Surface sheens from MDO spills may extend from isolated areas around the Twelve Apostles National Park to Mepunga along the Otway coastline. Within that coastline segment, there are no areas of saltmarsh except a small area in Port Campbell Creek which is at elevations of 6masl and </w:t>
            </w:r>
            <w:r w:rsidR="005C35E8">
              <w:rPr>
                <w:sz w:val="16"/>
                <w:szCs w:val="16"/>
                <w:lang w:val="en-GB"/>
              </w:rPr>
              <w:t xml:space="preserve">is </w:t>
            </w:r>
            <w:r>
              <w:rPr>
                <w:sz w:val="16"/>
                <w:szCs w:val="16"/>
                <w:lang w:val="en-GB"/>
              </w:rPr>
              <w:t xml:space="preserve">not considered to be at threat from surface sheens. </w:t>
            </w:r>
          </w:p>
        </w:tc>
        <w:tc>
          <w:tcPr>
            <w:tcW w:w="3827" w:type="dxa"/>
          </w:tcPr>
          <w:p w14:paraId="577BE3BA" w14:textId="7E411C50" w:rsidR="009D0890" w:rsidRPr="006B189E" w:rsidRDefault="009D0890">
            <w:pPr>
              <w:pStyle w:val="BodyText"/>
              <w:ind w:left="0"/>
              <w:rPr>
                <w:sz w:val="16"/>
                <w:szCs w:val="16"/>
                <w:lang w:val="en-GB"/>
              </w:rPr>
            </w:pPr>
            <w:r>
              <w:rPr>
                <w:sz w:val="16"/>
                <w:szCs w:val="16"/>
                <w:lang w:val="en-GB"/>
              </w:rPr>
              <w:t xml:space="preserve">In-water concentrations of low level </w:t>
            </w:r>
            <w:r w:rsidR="005C35E8">
              <w:rPr>
                <w:sz w:val="16"/>
                <w:szCs w:val="16"/>
                <w:lang w:val="en-GB"/>
              </w:rPr>
              <w:t xml:space="preserve">effects-level </w:t>
            </w:r>
            <w:r>
              <w:rPr>
                <w:sz w:val="16"/>
                <w:szCs w:val="16"/>
                <w:lang w:val="en-GB"/>
              </w:rPr>
              <w:t xml:space="preserve">entrained hydrocarbons (no aromatics) extend from Portland to Point Addis. Within that coastline there are a number of estuaries with saltmarsh lying within normal tidal ranges which may </w:t>
            </w:r>
            <w:r w:rsidR="005C35E8">
              <w:rPr>
                <w:sz w:val="16"/>
                <w:szCs w:val="16"/>
                <w:lang w:val="en-GB"/>
              </w:rPr>
              <w:t xml:space="preserve">be exposed to these effects level concentrations. </w:t>
            </w:r>
            <w:r w:rsidR="002F0089">
              <w:rPr>
                <w:sz w:val="16"/>
                <w:szCs w:val="16"/>
                <w:lang w:val="en-GB"/>
              </w:rPr>
              <w:t xml:space="preserve">Invertebrates and fish nursery areas present in the salt marsh areas and exposed to these hydrocarbons may experience sub-lethal impacts, however impacts would be limited given the </w:t>
            </w:r>
            <w:r w:rsidR="005C35E8">
              <w:rPr>
                <w:sz w:val="16"/>
                <w:szCs w:val="16"/>
                <w:lang w:val="en-GB"/>
              </w:rPr>
              <w:t xml:space="preserve">exposure from the hydrocarbons would be at a time when estuary mouths were open to tidal influence and there would be </w:t>
            </w:r>
            <w:r w:rsidR="002F0089">
              <w:rPr>
                <w:sz w:val="16"/>
                <w:szCs w:val="16"/>
                <w:lang w:val="en-GB"/>
              </w:rPr>
              <w:t xml:space="preserve">constant tidal flushing of these areas during the spill incident. Impacts are not expected to be significant to the saltmarsh plant or the species it protects. </w:t>
            </w:r>
          </w:p>
        </w:tc>
        <w:tc>
          <w:tcPr>
            <w:tcW w:w="3969" w:type="dxa"/>
          </w:tcPr>
          <w:p w14:paraId="3324D78B" w14:textId="3F530993" w:rsidR="009D0890" w:rsidRDefault="002F0089">
            <w:pPr>
              <w:rPr>
                <w:sz w:val="16"/>
                <w:szCs w:val="16"/>
                <w:lang w:val="en-GB"/>
              </w:rPr>
            </w:pPr>
            <w:r>
              <w:rPr>
                <w:sz w:val="16"/>
                <w:szCs w:val="16"/>
                <w:lang w:val="en-GB"/>
              </w:rPr>
              <w:t>Shoreline residues which exceed 1000g/m</w:t>
            </w:r>
            <w:r w:rsidRPr="00FA36A5">
              <w:rPr>
                <w:sz w:val="16"/>
                <w:szCs w:val="16"/>
                <w:vertAlign w:val="superscript"/>
                <w:lang w:val="en-GB"/>
              </w:rPr>
              <w:t>2</w:t>
            </w:r>
            <w:r w:rsidR="005C35E8">
              <w:rPr>
                <w:sz w:val="16"/>
                <w:szCs w:val="16"/>
                <w:lang w:val="en-GB"/>
              </w:rPr>
              <w:t xml:space="preserve">, and therefore may present a significant impact to saltmarsh growth rates </w:t>
            </w:r>
            <w:r>
              <w:rPr>
                <w:sz w:val="16"/>
                <w:szCs w:val="16"/>
                <w:lang w:val="en-GB"/>
              </w:rPr>
              <w:t>are predicted between Curdies Inlet and Mepunga – a section of coastline which does not have areas of saltmarsh.</w:t>
            </w:r>
          </w:p>
          <w:p w14:paraId="46DC3CB3" w14:textId="6FA31F1F" w:rsidR="002F0089" w:rsidRPr="006B189E" w:rsidRDefault="002F0089">
            <w:pPr>
              <w:rPr>
                <w:sz w:val="16"/>
                <w:szCs w:val="16"/>
                <w:lang w:val="en-GB"/>
              </w:rPr>
            </w:pPr>
            <w:r>
              <w:rPr>
                <w:sz w:val="16"/>
                <w:szCs w:val="16"/>
                <w:lang w:val="en-GB"/>
              </w:rPr>
              <w:t>Other estuaries between Port Fairy and Cape Otway may encounter residues of 100 g/m</w:t>
            </w:r>
            <w:r w:rsidRPr="00FA36A5">
              <w:rPr>
                <w:sz w:val="16"/>
                <w:szCs w:val="16"/>
                <w:vertAlign w:val="superscript"/>
                <w:lang w:val="en-GB"/>
              </w:rPr>
              <w:t>2</w:t>
            </w:r>
            <w:r>
              <w:rPr>
                <w:sz w:val="16"/>
                <w:szCs w:val="16"/>
                <w:lang w:val="en-GB"/>
              </w:rPr>
              <w:t xml:space="preserve"> however impacts would be sub-lethal and not expected to affect saltmarsh growth rates. </w:t>
            </w:r>
          </w:p>
        </w:tc>
      </w:tr>
      <w:tr w:rsidR="00E75B01" w:rsidRPr="006B189E" w14:paraId="3051FFBB" w14:textId="77777777" w:rsidTr="00FA36A5">
        <w:trPr>
          <w:cnfStyle w:val="000000010000" w:firstRow="0" w:lastRow="0" w:firstColumn="0" w:lastColumn="0" w:oddVBand="0" w:evenVBand="0" w:oddHBand="0" w:evenHBand="1" w:firstRowFirstColumn="0" w:firstRowLastColumn="0" w:lastRowFirstColumn="0" w:lastRowLastColumn="0"/>
          <w:cantSplit/>
        </w:trPr>
        <w:tc>
          <w:tcPr>
            <w:tcW w:w="0" w:type="dxa"/>
          </w:tcPr>
          <w:p w14:paraId="18FC7739" w14:textId="276DC6B7" w:rsidR="00E75B01" w:rsidRPr="006B189E" w:rsidRDefault="00E75B01" w:rsidP="00310DCD">
            <w:pPr>
              <w:pStyle w:val="BodyText"/>
              <w:ind w:left="0"/>
              <w:rPr>
                <w:sz w:val="16"/>
                <w:szCs w:val="16"/>
                <w:lang w:eastAsia="en-US"/>
              </w:rPr>
            </w:pPr>
            <w:r w:rsidRPr="006B189E">
              <w:rPr>
                <w:sz w:val="16"/>
                <w:szCs w:val="16"/>
                <w:lang w:eastAsia="en-US"/>
              </w:rPr>
              <w:lastRenderedPageBreak/>
              <w:t>Commercial fishing</w:t>
            </w:r>
          </w:p>
        </w:tc>
        <w:tc>
          <w:tcPr>
            <w:tcW w:w="3544" w:type="dxa"/>
          </w:tcPr>
          <w:p w14:paraId="1EFE0FA7" w14:textId="26FAB78F" w:rsidR="00FA5AA2" w:rsidRPr="006B189E" w:rsidRDefault="00FA5AA2" w:rsidP="00F96403">
            <w:pPr>
              <w:rPr>
                <w:sz w:val="16"/>
                <w:szCs w:val="16"/>
                <w:lang w:val="en-GB"/>
              </w:rPr>
            </w:pPr>
            <w:r w:rsidRPr="006B189E">
              <w:rPr>
                <w:sz w:val="16"/>
                <w:szCs w:val="16"/>
                <w:lang w:val="en-GB"/>
              </w:rPr>
              <w:t>Direct impact to finfish fisheries (snapper, wrasse) is not considered to be significant due to the large spatial extent of the fisheries and the localised zone of exposure to MDO at the sea surface.</w:t>
            </w:r>
          </w:p>
          <w:p w14:paraId="3816A517" w14:textId="5FEDD67B" w:rsidR="00E75B01" w:rsidRPr="006B189E" w:rsidRDefault="00E75B01" w:rsidP="00F96403">
            <w:pPr>
              <w:rPr>
                <w:sz w:val="16"/>
                <w:szCs w:val="16"/>
                <w:lang w:val="en-GB"/>
              </w:rPr>
            </w:pPr>
            <w:r w:rsidRPr="006B189E">
              <w:rPr>
                <w:sz w:val="16"/>
                <w:szCs w:val="16"/>
                <w:lang w:val="en-GB"/>
              </w:rPr>
              <w:t>Given the commercial fishing equipment which is used in the EMBA, impacts associated with its contamination is assessed as a negligible consequence (&lt;$5M)</w:t>
            </w:r>
            <w:r w:rsidR="005C35E8">
              <w:rPr>
                <w:sz w:val="16"/>
                <w:szCs w:val="16"/>
                <w:lang w:val="en-GB"/>
              </w:rPr>
              <w:t xml:space="preserve"> should it come into contact with surface oil (considered unlikely)</w:t>
            </w:r>
            <w:r w:rsidR="00EC6408" w:rsidRPr="006B189E">
              <w:rPr>
                <w:sz w:val="16"/>
                <w:szCs w:val="16"/>
                <w:lang w:val="en-GB"/>
              </w:rPr>
              <w:t>.</w:t>
            </w:r>
          </w:p>
          <w:p w14:paraId="28768459" w14:textId="449D7313" w:rsidR="00E75B01" w:rsidRPr="006B189E" w:rsidRDefault="001F093C" w:rsidP="004D3AAE">
            <w:pPr>
              <w:rPr>
                <w:sz w:val="16"/>
                <w:szCs w:val="16"/>
                <w:lang w:val="en-GB"/>
              </w:rPr>
            </w:pPr>
            <w:r w:rsidRPr="004D3AAE">
              <w:rPr>
                <w:sz w:val="16"/>
                <w:szCs w:val="16"/>
                <w:lang w:val="en-GB"/>
              </w:rPr>
              <w:t xml:space="preserve"> </w:t>
            </w:r>
          </w:p>
        </w:tc>
        <w:tc>
          <w:tcPr>
            <w:tcW w:w="3827" w:type="dxa"/>
          </w:tcPr>
          <w:p w14:paraId="7F6F8E26" w14:textId="77777777" w:rsidR="00E75B01" w:rsidRPr="006B189E" w:rsidRDefault="001F093C" w:rsidP="00FA5AA2">
            <w:pPr>
              <w:pStyle w:val="BodyText"/>
              <w:ind w:left="0"/>
              <w:rPr>
                <w:sz w:val="16"/>
                <w:szCs w:val="16"/>
                <w:lang w:val="en-GB"/>
              </w:rPr>
            </w:pPr>
            <w:r w:rsidRPr="006B189E">
              <w:rPr>
                <w:sz w:val="16"/>
                <w:szCs w:val="16"/>
                <w:lang w:val="en-GB"/>
              </w:rPr>
              <w:t xml:space="preserve">Direct impact to </w:t>
            </w:r>
            <w:r w:rsidR="00FA5AA2" w:rsidRPr="006B189E">
              <w:rPr>
                <w:sz w:val="16"/>
                <w:szCs w:val="16"/>
                <w:lang w:val="en-GB"/>
              </w:rPr>
              <w:t xml:space="preserve">the </w:t>
            </w:r>
            <w:r w:rsidRPr="006B189E">
              <w:rPr>
                <w:sz w:val="16"/>
                <w:szCs w:val="16"/>
                <w:lang w:val="en-GB"/>
              </w:rPr>
              <w:t xml:space="preserve">finfish </w:t>
            </w:r>
            <w:r w:rsidR="00FA5AA2" w:rsidRPr="006B189E">
              <w:rPr>
                <w:sz w:val="16"/>
                <w:szCs w:val="16"/>
                <w:lang w:val="en-GB"/>
              </w:rPr>
              <w:t xml:space="preserve">fisheries </w:t>
            </w:r>
            <w:r w:rsidRPr="006B189E">
              <w:rPr>
                <w:sz w:val="16"/>
                <w:szCs w:val="16"/>
                <w:lang w:val="en-GB"/>
              </w:rPr>
              <w:t>is not considered to be significant due to the large spatial extent of the fisher</w:t>
            </w:r>
            <w:r w:rsidR="00FA5AA2" w:rsidRPr="006B189E">
              <w:rPr>
                <w:sz w:val="16"/>
                <w:szCs w:val="16"/>
                <w:lang w:val="en-GB"/>
              </w:rPr>
              <w:t>ies</w:t>
            </w:r>
            <w:r w:rsidRPr="006B189E">
              <w:rPr>
                <w:sz w:val="16"/>
                <w:szCs w:val="16"/>
                <w:lang w:val="en-GB"/>
              </w:rPr>
              <w:t xml:space="preserve"> and the localised zone of low exposure to entrained hydrocarbons.</w:t>
            </w:r>
          </w:p>
          <w:p w14:paraId="675479D0" w14:textId="619C85EE" w:rsidR="00FA5AA2" w:rsidRDefault="00FA5AA2" w:rsidP="00FA5AA2">
            <w:pPr>
              <w:pStyle w:val="BodyText"/>
              <w:ind w:left="0"/>
              <w:rPr>
                <w:sz w:val="16"/>
                <w:szCs w:val="16"/>
                <w:lang w:val="en-GB"/>
              </w:rPr>
            </w:pPr>
            <w:r w:rsidRPr="006B189E">
              <w:rPr>
                <w:sz w:val="16"/>
                <w:szCs w:val="16"/>
                <w:lang w:val="en-GB"/>
              </w:rPr>
              <w:t xml:space="preserve">Fisheries closures imposed at the time of a spill would limit </w:t>
            </w:r>
            <w:r w:rsidR="005C35E8">
              <w:rPr>
                <w:sz w:val="16"/>
                <w:szCs w:val="16"/>
                <w:lang w:val="en-GB"/>
              </w:rPr>
              <w:t xml:space="preserve">fishing activity and </w:t>
            </w:r>
            <w:r w:rsidRPr="006B189E">
              <w:rPr>
                <w:sz w:val="16"/>
                <w:szCs w:val="16"/>
                <w:lang w:val="en-GB"/>
              </w:rPr>
              <w:t xml:space="preserve">may result </w:t>
            </w:r>
            <w:r w:rsidR="005C35E8">
              <w:rPr>
                <w:sz w:val="16"/>
                <w:szCs w:val="16"/>
                <w:lang w:val="en-GB"/>
              </w:rPr>
              <w:t>in</w:t>
            </w:r>
            <w:r w:rsidR="005C35E8" w:rsidRPr="006B189E">
              <w:rPr>
                <w:sz w:val="16"/>
                <w:szCs w:val="16"/>
                <w:lang w:val="en-GB"/>
              </w:rPr>
              <w:t xml:space="preserve"> </w:t>
            </w:r>
            <w:r w:rsidRPr="006B189E">
              <w:rPr>
                <w:sz w:val="16"/>
                <w:szCs w:val="16"/>
                <w:lang w:val="en-GB"/>
              </w:rPr>
              <w:t xml:space="preserve">tainted fish (which are unsaleable). </w:t>
            </w:r>
          </w:p>
          <w:p w14:paraId="2ED21F91" w14:textId="6E331E06" w:rsidR="00071D10" w:rsidRPr="006B189E" w:rsidRDefault="00071D10" w:rsidP="00071D10">
            <w:pPr>
              <w:rPr>
                <w:sz w:val="16"/>
                <w:szCs w:val="16"/>
                <w:lang w:val="en-GB"/>
              </w:rPr>
            </w:pPr>
            <w:r w:rsidRPr="006B189E">
              <w:rPr>
                <w:sz w:val="16"/>
                <w:szCs w:val="16"/>
                <w:lang w:val="en-GB"/>
              </w:rPr>
              <w:t xml:space="preserve">While tainting is considered possible from the MDO spill, entrained phase hydrocarbon levels in the environment </w:t>
            </w:r>
            <w:r w:rsidR="00D40C5A">
              <w:rPr>
                <w:sz w:val="16"/>
                <w:szCs w:val="16"/>
                <w:lang w:val="en-GB"/>
              </w:rPr>
              <w:t>is localised and at lo</w:t>
            </w:r>
            <w:r w:rsidRPr="006B189E">
              <w:rPr>
                <w:sz w:val="16"/>
                <w:szCs w:val="16"/>
                <w:lang w:val="en-GB"/>
              </w:rPr>
              <w:t>w level</w:t>
            </w:r>
            <w:r w:rsidR="00D40C5A">
              <w:rPr>
                <w:sz w:val="16"/>
                <w:szCs w:val="16"/>
                <w:lang w:val="en-GB"/>
              </w:rPr>
              <w:t>s</w:t>
            </w:r>
            <w:r w:rsidRPr="006B189E">
              <w:rPr>
                <w:sz w:val="16"/>
                <w:szCs w:val="16"/>
                <w:lang w:val="en-GB"/>
              </w:rPr>
              <w:t xml:space="preserve"> and not considered sufficiently high to cause </w:t>
            </w:r>
            <w:r w:rsidR="00D40C5A">
              <w:rPr>
                <w:sz w:val="16"/>
                <w:szCs w:val="16"/>
                <w:lang w:val="en-GB"/>
              </w:rPr>
              <w:t xml:space="preserve">significant levels of </w:t>
            </w:r>
            <w:r w:rsidRPr="006B189E">
              <w:rPr>
                <w:sz w:val="16"/>
                <w:szCs w:val="16"/>
                <w:lang w:val="en-GB"/>
              </w:rPr>
              <w:t>tainting (~ 250 ppb</w:t>
            </w:r>
            <w:r w:rsidR="005C35E8">
              <w:rPr>
                <w:sz w:val="16"/>
                <w:szCs w:val="16"/>
                <w:lang w:val="en-GB"/>
              </w:rPr>
              <w:t xml:space="preserve"> has been recorded as an MDO threshold</w:t>
            </w:r>
            <w:r w:rsidRPr="006B189E">
              <w:rPr>
                <w:sz w:val="16"/>
                <w:szCs w:val="16"/>
                <w:lang w:val="en-GB"/>
              </w:rPr>
              <w:t>)</w:t>
            </w:r>
            <w:r w:rsidR="00D40C5A">
              <w:rPr>
                <w:sz w:val="16"/>
                <w:szCs w:val="16"/>
                <w:lang w:val="en-GB"/>
              </w:rPr>
              <w:t xml:space="preserve"> to fish stock</w:t>
            </w:r>
            <w:r w:rsidRPr="006B189E">
              <w:rPr>
                <w:sz w:val="16"/>
                <w:szCs w:val="16"/>
                <w:lang w:val="en-GB"/>
              </w:rPr>
              <w:t xml:space="preserve">, particularly for mobile pelagic species. The exception to this is abalone and rock lobster found in inshore reef areas where isolated areas of moderate </w:t>
            </w:r>
            <w:r w:rsidR="005C35E8">
              <w:rPr>
                <w:sz w:val="16"/>
                <w:szCs w:val="16"/>
                <w:lang w:val="en-GB"/>
              </w:rPr>
              <w:t xml:space="preserve">effects-level </w:t>
            </w:r>
            <w:r w:rsidRPr="006B189E">
              <w:rPr>
                <w:sz w:val="16"/>
                <w:szCs w:val="16"/>
                <w:lang w:val="en-GB"/>
              </w:rPr>
              <w:t xml:space="preserve">exposure of entrained phase MDO may occur. </w:t>
            </w:r>
            <w:r w:rsidR="005C35E8">
              <w:rPr>
                <w:sz w:val="16"/>
                <w:szCs w:val="16"/>
                <w:lang w:val="en-GB"/>
              </w:rPr>
              <w:t>E</w:t>
            </w:r>
            <w:r w:rsidRPr="006B189E">
              <w:rPr>
                <w:sz w:val="16"/>
                <w:szCs w:val="16"/>
                <w:lang w:val="en-GB"/>
              </w:rPr>
              <w:t>xposure</w:t>
            </w:r>
            <w:r w:rsidR="005C35E8">
              <w:rPr>
                <w:sz w:val="16"/>
                <w:szCs w:val="16"/>
                <w:lang w:val="en-GB"/>
              </w:rPr>
              <w:t>s</w:t>
            </w:r>
            <w:r w:rsidRPr="006B189E">
              <w:rPr>
                <w:sz w:val="16"/>
                <w:szCs w:val="16"/>
                <w:lang w:val="en-GB"/>
              </w:rPr>
              <w:t xml:space="preserve"> </w:t>
            </w:r>
            <w:r w:rsidR="005C35E8">
              <w:rPr>
                <w:sz w:val="16"/>
                <w:szCs w:val="16"/>
                <w:lang w:val="en-GB"/>
              </w:rPr>
              <w:t xml:space="preserve">are localised and not considered sufficient to cause injury to the stock, but may cause tainting in these isolated areas. </w:t>
            </w:r>
            <w:r w:rsidRPr="006B189E">
              <w:rPr>
                <w:sz w:val="16"/>
                <w:szCs w:val="16"/>
                <w:lang w:val="en-GB"/>
              </w:rPr>
              <w:t xml:space="preserve"> </w:t>
            </w:r>
          </w:p>
          <w:p w14:paraId="65C01E79" w14:textId="0A7F538F" w:rsidR="00071D10" w:rsidRPr="006B189E" w:rsidRDefault="00071D10" w:rsidP="00071D10">
            <w:pPr>
              <w:pStyle w:val="BodyText"/>
              <w:ind w:left="0"/>
              <w:rPr>
                <w:sz w:val="16"/>
                <w:szCs w:val="16"/>
                <w:lang w:val="en-GB"/>
              </w:rPr>
            </w:pPr>
            <w:r w:rsidRPr="004D3AAE">
              <w:rPr>
                <w:sz w:val="16"/>
                <w:szCs w:val="16"/>
                <w:lang w:val="en-GB"/>
              </w:rPr>
              <w:t>The value of the Victorian Abalone fishery in 2013 was $20M (</w:t>
            </w:r>
            <w:r w:rsidR="00DD4270">
              <w:rPr>
                <w:sz w:val="16"/>
                <w:szCs w:val="16"/>
                <w:lang w:val="en-GB"/>
              </w:rPr>
              <w:t>D</w:t>
            </w:r>
            <w:r w:rsidRPr="004D3AAE">
              <w:rPr>
                <w:sz w:val="16"/>
                <w:szCs w:val="16"/>
                <w:lang w:val="en-GB"/>
              </w:rPr>
              <w:t>SEWPC, 2013) and approximately 40% of the catch is taken from the Central region. Possible economic impact is assessed at $5-10M (moderate consequence).</w:t>
            </w:r>
          </w:p>
        </w:tc>
        <w:tc>
          <w:tcPr>
            <w:tcW w:w="0" w:type="dxa"/>
          </w:tcPr>
          <w:p w14:paraId="767492F9" w14:textId="51065526" w:rsidR="00331DB4" w:rsidRPr="006B189E" w:rsidRDefault="00331DB4" w:rsidP="00331DB4">
            <w:pPr>
              <w:rPr>
                <w:sz w:val="16"/>
                <w:szCs w:val="16"/>
                <w:lang w:val="en-GB"/>
              </w:rPr>
            </w:pPr>
            <w:r w:rsidRPr="006B189E">
              <w:rPr>
                <w:sz w:val="16"/>
                <w:szCs w:val="16"/>
                <w:lang w:val="en-GB"/>
              </w:rPr>
              <w:t xml:space="preserve">Vessels used in local fisheries use local ports. However, hydrocarbon coating of vessel hulls and jetty or port infrastructure is highly unlikely. </w:t>
            </w:r>
          </w:p>
          <w:p w14:paraId="165E077D" w14:textId="77777777" w:rsidR="00E75B01" w:rsidRPr="006B189E" w:rsidRDefault="00E75B01" w:rsidP="00310DCD">
            <w:pPr>
              <w:pStyle w:val="BodyText"/>
              <w:ind w:left="0"/>
              <w:rPr>
                <w:sz w:val="16"/>
                <w:szCs w:val="16"/>
                <w:lang w:eastAsia="en-US"/>
              </w:rPr>
            </w:pPr>
          </w:p>
        </w:tc>
      </w:tr>
      <w:tr w:rsidR="00E97CED" w:rsidRPr="006B189E" w14:paraId="04D783A8" w14:textId="77777777" w:rsidTr="00FA36A5">
        <w:trPr>
          <w:cantSplit/>
        </w:trPr>
        <w:tc>
          <w:tcPr>
            <w:tcW w:w="0" w:type="dxa"/>
          </w:tcPr>
          <w:p w14:paraId="34AD90F6" w14:textId="5AE273D6" w:rsidR="00E97CED" w:rsidRPr="006B189E" w:rsidRDefault="00E97CED" w:rsidP="00310DCD">
            <w:pPr>
              <w:pStyle w:val="BodyText"/>
              <w:ind w:left="0"/>
              <w:rPr>
                <w:sz w:val="16"/>
                <w:szCs w:val="16"/>
                <w:lang w:eastAsia="en-US"/>
              </w:rPr>
            </w:pPr>
            <w:r w:rsidRPr="006B189E">
              <w:rPr>
                <w:sz w:val="16"/>
                <w:szCs w:val="16"/>
                <w:lang w:eastAsia="en-US"/>
              </w:rPr>
              <w:lastRenderedPageBreak/>
              <w:t>Tourism</w:t>
            </w:r>
          </w:p>
        </w:tc>
        <w:tc>
          <w:tcPr>
            <w:tcW w:w="3544" w:type="dxa"/>
          </w:tcPr>
          <w:p w14:paraId="5E647556" w14:textId="7A96604E" w:rsidR="00620081" w:rsidRPr="006B189E" w:rsidRDefault="00EB1508" w:rsidP="00D538AB">
            <w:pPr>
              <w:pStyle w:val="BodyText"/>
              <w:spacing w:before="60" w:after="60"/>
              <w:ind w:left="0"/>
              <w:rPr>
                <w:sz w:val="16"/>
                <w:szCs w:val="16"/>
                <w:lang w:val="en-GB"/>
              </w:rPr>
            </w:pPr>
            <w:r w:rsidRPr="006B189E">
              <w:rPr>
                <w:sz w:val="16"/>
                <w:szCs w:val="16"/>
                <w:lang w:val="en-GB"/>
              </w:rPr>
              <w:t>The OSTM</w:t>
            </w:r>
            <w:r w:rsidR="00620081" w:rsidRPr="006B189E">
              <w:rPr>
                <w:sz w:val="16"/>
                <w:szCs w:val="16"/>
                <w:lang w:val="en-GB"/>
              </w:rPr>
              <w:t xml:space="preserve"> predicts low level sheens (1-10</w:t>
            </w:r>
            <w:r w:rsidRPr="006B189E">
              <w:rPr>
                <w:sz w:val="16"/>
                <w:szCs w:val="16"/>
                <w:lang w:val="en-GB"/>
              </w:rPr>
              <w:t xml:space="preserve"> </w:t>
            </w:r>
            <w:r w:rsidR="00620081" w:rsidRPr="006B189E">
              <w:rPr>
                <w:sz w:val="16"/>
                <w:szCs w:val="16"/>
                <w:lang w:val="en-GB"/>
              </w:rPr>
              <w:t xml:space="preserve">µm) may </w:t>
            </w:r>
            <w:r w:rsidRPr="006B189E">
              <w:rPr>
                <w:sz w:val="16"/>
                <w:szCs w:val="16"/>
                <w:lang w:val="en-GB"/>
              </w:rPr>
              <w:t>occur betw</w:t>
            </w:r>
            <w:r w:rsidR="0063665C" w:rsidRPr="006B189E">
              <w:rPr>
                <w:sz w:val="16"/>
                <w:szCs w:val="16"/>
                <w:lang w:val="en-GB"/>
              </w:rPr>
              <w:t xml:space="preserve">een </w:t>
            </w:r>
            <w:r w:rsidR="00CF0309">
              <w:rPr>
                <w:sz w:val="16"/>
                <w:szCs w:val="16"/>
                <w:lang w:val="en-GB"/>
              </w:rPr>
              <w:t xml:space="preserve">The Twelve Apostles NP and </w:t>
            </w:r>
            <w:r w:rsidR="0063665C" w:rsidRPr="006B189E">
              <w:rPr>
                <w:sz w:val="16"/>
                <w:szCs w:val="16"/>
                <w:lang w:val="en-GB"/>
              </w:rPr>
              <w:t xml:space="preserve">Port Fairy, </w:t>
            </w:r>
            <w:r w:rsidR="00CF0309">
              <w:rPr>
                <w:sz w:val="16"/>
                <w:szCs w:val="16"/>
                <w:lang w:val="en-GB"/>
              </w:rPr>
              <w:t xml:space="preserve">however these are </w:t>
            </w:r>
            <w:r w:rsidR="0063665C" w:rsidRPr="006B189E">
              <w:rPr>
                <w:sz w:val="16"/>
                <w:szCs w:val="16"/>
                <w:lang w:val="en-GB"/>
              </w:rPr>
              <w:t xml:space="preserve">mostly offshore. </w:t>
            </w:r>
            <w:r w:rsidR="00CF0309">
              <w:rPr>
                <w:sz w:val="16"/>
                <w:szCs w:val="16"/>
                <w:lang w:val="en-GB"/>
              </w:rPr>
              <w:t xml:space="preserve">Shoreline sheens would be expected between the western side of the Twelve Apostles NP and Mepunga. </w:t>
            </w:r>
            <w:r w:rsidR="0063665C" w:rsidRPr="006B189E">
              <w:rPr>
                <w:sz w:val="16"/>
                <w:szCs w:val="16"/>
                <w:lang w:val="en-GB"/>
              </w:rPr>
              <w:t xml:space="preserve">This </w:t>
            </w:r>
            <w:r w:rsidR="00CF0309">
              <w:rPr>
                <w:sz w:val="16"/>
                <w:szCs w:val="16"/>
                <w:lang w:val="en-GB"/>
              </w:rPr>
              <w:t xml:space="preserve">may </w:t>
            </w:r>
            <w:r w:rsidR="0063665C" w:rsidRPr="006B189E">
              <w:rPr>
                <w:sz w:val="16"/>
                <w:szCs w:val="16"/>
                <w:lang w:val="en-GB"/>
              </w:rPr>
              <w:t>be visible as a</w:t>
            </w:r>
            <w:r w:rsidR="001D27C9">
              <w:rPr>
                <w:sz w:val="16"/>
                <w:szCs w:val="16"/>
                <w:lang w:val="en-GB"/>
              </w:rPr>
              <w:t xml:space="preserve"> </w:t>
            </w:r>
            <w:r w:rsidR="0063665C" w:rsidRPr="006B189E">
              <w:rPr>
                <w:sz w:val="16"/>
                <w:szCs w:val="16"/>
                <w:lang w:val="en-GB"/>
              </w:rPr>
              <w:t>rainbow sheen on the sea surface</w:t>
            </w:r>
            <w:r w:rsidR="00CF0309">
              <w:rPr>
                <w:sz w:val="16"/>
                <w:szCs w:val="16"/>
                <w:lang w:val="en-GB"/>
              </w:rPr>
              <w:t xml:space="preserve"> during calm conditions</w:t>
            </w:r>
            <w:r w:rsidR="0063665C" w:rsidRPr="006B189E">
              <w:rPr>
                <w:sz w:val="16"/>
                <w:szCs w:val="16"/>
                <w:lang w:val="en-GB"/>
              </w:rPr>
              <w:t xml:space="preserve">. </w:t>
            </w:r>
            <w:r w:rsidR="00620081" w:rsidRPr="006B189E">
              <w:rPr>
                <w:sz w:val="16"/>
                <w:szCs w:val="16"/>
                <w:lang w:val="en-GB"/>
              </w:rPr>
              <w:t xml:space="preserve"> </w:t>
            </w:r>
          </w:p>
          <w:p w14:paraId="55DB478D" w14:textId="57191302" w:rsidR="00CF0309" w:rsidRDefault="00620081" w:rsidP="00D538AB">
            <w:pPr>
              <w:pStyle w:val="BodyText"/>
              <w:spacing w:before="60" w:after="60"/>
              <w:ind w:left="0"/>
              <w:rPr>
                <w:sz w:val="16"/>
                <w:szCs w:val="16"/>
                <w:lang w:val="en-GB"/>
              </w:rPr>
            </w:pPr>
            <w:r w:rsidRPr="006B189E">
              <w:rPr>
                <w:sz w:val="16"/>
                <w:szCs w:val="16"/>
                <w:lang w:val="en-GB"/>
              </w:rPr>
              <w:t>Such levels of hydrocarbon exposure, while not predicted to affect the ecological integrity of the receiving environment, may trigger a localised stakeholder response to potential contamination of isolated pristine environments and potential beach closure</w:t>
            </w:r>
            <w:r w:rsidR="0063665C" w:rsidRPr="006B189E">
              <w:rPr>
                <w:sz w:val="16"/>
                <w:szCs w:val="16"/>
                <w:lang w:val="en-GB"/>
              </w:rPr>
              <w:t>s</w:t>
            </w:r>
            <w:r w:rsidRPr="006B189E">
              <w:rPr>
                <w:sz w:val="16"/>
                <w:szCs w:val="16"/>
                <w:lang w:val="en-GB"/>
              </w:rPr>
              <w:t>.</w:t>
            </w:r>
            <w:r w:rsidR="0063665C" w:rsidRPr="006B189E">
              <w:rPr>
                <w:sz w:val="16"/>
                <w:szCs w:val="16"/>
                <w:lang w:val="en-GB"/>
              </w:rPr>
              <w:t xml:space="preserve"> Sheens close to the coast may be visible to tourists from coastal cliff lookouts, with offshore sheens visible to tourists und</w:t>
            </w:r>
            <w:r w:rsidR="00D538AB" w:rsidRPr="006B189E">
              <w:rPr>
                <w:sz w:val="16"/>
                <w:szCs w:val="16"/>
                <w:lang w:val="en-GB"/>
              </w:rPr>
              <w:t>ertaking helicopter joy flights. This may affect their visitor experience of the region</w:t>
            </w:r>
            <w:r w:rsidR="001C3275">
              <w:rPr>
                <w:sz w:val="16"/>
                <w:szCs w:val="16"/>
                <w:lang w:val="en-GB"/>
              </w:rPr>
              <w:t xml:space="preserve"> although the reason for visitation is the shipwreck coastline aesthetics and scenery which is unlikely to be significantly affected by temporary surface sheens</w:t>
            </w:r>
            <w:r w:rsidR="00D538AB" w:rsidRPr="006B189E">
              <w:rPr>
                <w:sz w:val="16"/>
                <w:szCs w:val="16"/>
                <w:lang w:val="en-GB"/>
              </w:rPr>
              <w:t xml:space="preserve">. </w:t>
            </w:r>
            <w:r w:rsidR="001C3275">
              <w:rPr>
                <w:sz w:val="16"/>
                <w:szCs w:val="16"/>
                <w:lang w:val="en-GB"/>
              </w:rPr>
              <w:t>Minor i</w:t>
            </w:r>
            <w:r w:rsidR="00D538AB" w:rsidRPr="006B189E">
              <w:rPr>
                <w:sz w:val="16"/>
                <w:szCs w:val="16"/>
                <w:lang w:val="en-GB"/>
              </w:rPr>
              <w:t>mpacts to tourist operators (such as helicopter and charter vessel operators)</w:t>
            </w:r>
            <w:r w:rsidR="0063665C" w:rsidRPr="006B189E">
              <w:rPr>
                <w:sz w:val="16"/>
                <w:szCs w:val="16"/>
                <w:lang w:val="en-GB"/>
              </w:rPr>
              <w:t xml:space="preserve"> </w:t>
            </w:r>
            <w:r w:rsidR="00D538AB" w:rsidRPr="006B189E">
              <w:rPr>
                <w:sz w:val="16"/>
                <w:szCs w:val="16"/>
                <w:lang w:val="en-GB"/>
              </w:rPr>
              <w:t xml:space="preserve">may result of this and </w:t>
            </w:r>
            <w:r w:rsidR="001C3275">
              <w:rPr>
                <w:sz w:val="16"/>
                <w:szCs w:val="16"/>
                <w:lang w:val="en-GB"/>
              </w:rPr>
              <w:t xml:space="preserve">attract state level </w:t>
            </w:r>
            <w:r w:rsidR="00D538AB" w:rsidRPr="006B189E">
              <w:rPr>
                <w:sz w:val="16"/>
                <w:szCs w:val="16"/>
                <w:lang w:val="en-GB"/>
              </w:rPr>
              <w:t>media attention</w:t>
            </w:r>
            <w:r w:rsidR="001D27C9">
              <w:rPr>
                <w:sz w:val="16"/>
                <w:szCs w:val="16"/>
                <w:lang w:val="en-GB"/>
              </w:rPr>
              <w:t xml:space="preserve"> (</w:t>
            </w:r>
            <w:r w:rsidR="001C3275">
              <w:rPr>
                <w:sz w:val="16"/>
                <w:szCs w:val="16"/>
                <w:lang w:val="en-GB"/>
              </w:rPr>
              <w:t xml:space="preserve">moderate </w:t>
            </w:r>
            <w:r w:rsidR="001D27C9">
              <w:rPr>
                <w:sz w:val="16"/>
                <w:szCs w:val="16"/>
                <w:lang w:val="en-GB"/>
              </w:rPr>
              <w:t>consequence based upon business reputation)</w:t>
            </w:r>
            <w:r w:rsidR="00D538AB" w:rsidRPr="006B189E">
              <w:rPr>
                <w:sz w:val="16"/>
                <w:szCs w:val="16"/>
                <w:lang w:val="en-GB"/>
              </w:rPr>
              <w:t>.</w:t>
            </w:r>
          </w:p>
          <w:p w14:paraId="019EF5AD" w14:textId="420FE903" w:rsidR="00E97CED" w:rsidRPr="006B189E" w:rsidRDefault="00CF0309">
            <w:pPr>
              <w:pStyle w:val="BodyText"/>
              <w:spacing w:before="60" w:after="60"/>
              <w:ind w:left="0"/>
              <w:rPr>
                <w:sz w:val="16"/>
                <w:szCs w:val="16"/>
                <w:lang w:val="en-GB"/>
              </w:rPr>
            </w:pPr>
            <w:r>
              <w:rPr>
                <w:sz w:val="16"/>
                <w:szCs w:val="16"/>
                <w:lang w:val="en-GB"/>
              </w:rPr>
              <w:t xml:space="preserve">Impacts to other tourist areas outside the sheen (Logan’s Beach, Dinosaur Cove) are not expected. </w:t>
            </w:r>
            <w:r w:rsidR="00D538AB" w:rsidRPr="006B189E">
              <w:rPr>
                <w:sz w:val="16"/>
                <w:szCs w:val="16"/>
                <w:lang w:val="en-GB"/>
              </w:rPr>
              <w:t xml:space="preserve"> </w:t>
            </w:r>
          </w:p>
        </w:tc>
        <w:tc>
          <w:tcPr>
            <w:tcW w:w="3827" w:type="dxa"/>
          </w:tcPr>
          <w:p w14:paraId="4A43AC30" w14:textId="427AF4BD" w:rsidR="00E97CED" w:rsidRPr="006B189E" w:rsidRDefault="00EB1508" w:rsidP="00D538AB">
            <w:pPr>
              <w:pStyle w:val="BodyText"/>
              <w:spacing w:before="60" w:after="60"/>
              <w:ind w:left="0"/>
              <w:rPr>
                <w:sz w:val="16"/>
                <w:szCs w:val="16"/>
                <w:lang w:val="en-GB"/>
              </w:rPr>
            </w:pPr>
            <w:r w:rsidRPr="006B189E">
              <w:rPr>
                <w:sz w:val="16"/>
                <w:szCs w:val="16"/>
                <w:lang w:val="en-GB"/>
              </w:rPr>
              <w:t xml:space="preserve">Entrained phase MDO is </w:t>
            </w:r>
            <w:r w:rsidR="00620081" w:rsidRPr="006B189E">
              <w:rPr>
                <w:sz w:val="16"/>
                <w:szCs w:val="16"/>
                <w:lang w:val="en-GB"/>
              </w:rPr>
              <w:t xml:space="preserve">not expected to </w:t>
            </w:r>
            <w:r w:rsidR="00D538AB" w:rsidRPr="006B189E">
              <w:rPr>
                <w:sz w:val="16"/>
                <w:szCs w:val="16"/>
                <w:lang w:val="en-GB"/>
              </w:rPr>
              <w:t xml:space="preserve">be </w:t>
            </w:r>
            <w:r w:rsidR="00620081" w:rsidRPr="006B189E">
              <w:rPr>
                <w:sz w:val="16"/>
                <w:szCs w:val="16"/>
                <w:lang w:val="en-GB"/>
              </w:rPr>
              <w:t>vis</w:t>
            </w:r>
            <w:r w:rsidR="00D538AB" w:rsidRPr="006B189E">
              <w:rPr>
                <w:sz w:val="16"/>
                <w:szCs w:val="16"/>
                <w:lang w:val="en-GB"/>
              </w:rPr>
              <w:t>ible.</w:t>
            </w:r>
            <w:r w:rsidR="00207075" w:rsidRPr="006B189E">
              <w:rPr>
                <w:sz w:val="16"/>
                <w:szCs w:val="16"/>
                <w:lang w:val="en-GB"/>
              </w:rPr>
              <w:t xml:space="preserve"> Recreational divers may notice isolated areas of entrained MDO if it is coincident with dive sites such as shipwrecks. </w:t>
            </w:r>
          </w:p>
        </w:tc>
        <w:tc>
          <w:tcPr>
            <w:tcW w:w="0" w:type="dxa"/>
          </w:tcPr>
          <w:p w14:paraId="21318C13" w14:textId="2E809441" w:rsidR="00E97CED" w:rsidRPr="006B189E" w:rsidRDefault="00620081" w:rsidP="001D27C9">
            <w:pPr>
              <w:pStyle w:val="BodyText"/>
              <w:spacing w:before="60" w:after="60"/>
              <w:ind w:left="0"/>
              <w:rPr>
                <w:sz w:val="16"/>
                <w:szCs w:val="16"/>
                <w:lang w:val="en-GB"/>
              </w:rPr>
            </w:pPr>
            <w:r w:rsidRPr="006B189E">
              <w:rPr>
                <w:sz w:val="16"/>
                <w:szCs w:val="16"/>
                <w:lang w:val="en-GB"/>
              </w:rPr>
              <w:t>Beached MDO does not tend to accumulate on sandy beaches and percolates into the sand due to its low viscosity. Visual amenity impacts, even if concentrations exceed 100 g/m</w:t>
            </w:r>
            <w:r w:rsidRPr="006B189E">
              <w:rPr>
                <w:sz w:val="16"/>
                <w:szCs w:val="16"/>
                <w:vertAlign w:val="superscript"/>
                <w:lang w:val="en-GB"/>
              </w:rPr>
              <w:t>2</w:t>
            </w:r>
            <w:r w:rsidRPr="006B189E">
              <w:rPr>
                <w:sz w:val="16"/>
                <w:szCs w:val="16"/>
                <w:lang w:val="en-GB"/>
              </w:rPr>
              <w:t xml:space="preserve"> are predicted to be temporary and localised.</w:t>
            </w:r>
            <w:r w:rsidR="00672FEC" w:rsidRPr="006B189E">
              <w:rPr>
                <w:sz w:val="16"/>
                <w:szCs w:val="16"/>
                <w:lang w:val="en-GB"/>
              </w:rPr>
              <w:t xml:space="preserve"> Most of the tourist coastal viewing platforms are along coastal cliffs, where shoreline oiling is not likely to be visually evident. As such, tourists should not suffer a reduced visitor experience</w:t>
            </w:r>
            <w:r w:rsidR="001D27C9">
              <w:rPr>
                <w:sz w:val="16"/>
                <w:szCs w:val="16"/>
                <w:lang w:val="en-GB"/>
              </w:rPr>
              <w:t xml:space="preserve"> (negligible impact)</w:t>
            </w:r>
            <w:r w:rsidR="00672FEC" w:rsidRPr="006B189E">
              <w:rPr>
                <w:sz w:val="16"/>
                <w:szCs w:val="16"/>
                <w:lang w:val="en-GB"/>
              </w:rPr>
              <w:t xml:space="preserve">.  </w:t>
            </w:r>
          </w:p>
        </w:tc>
      </w:tr>
    </w:tbl>
    <w:p w14:paraId="6EB1B374" w14:textId="77777777" w:rsidR="00B201F3" w:rsidRDefault="00B201F3" w:rsidP="00310DCD">
      <w:pPr>
        <w:pStyle w:val="BodyText"/>
        <w:rPr>
          <w:b/>
          <w:lang w:eastAsia="en-US"/>
        </w:rPr>
        <w:sectPr w:rsidR="00B201F3" w:rsidSect="00E439A6">
          <w:pgSz w:w="16840" w:h="11900" w:orient="landscape" w:code="9"/>
          <w:pgMar w:top="1896" w:right="1440" w:bottom="1440" w:left="2268" w:header="680" w:footer="284" w:gutter="0"/>
          <w:cols w:space="720"/>
          <w:docGrid w:linePitch="299"/>
        </w:sectPr>
      </w:pPr>
    </w:p>
    <w:p w14:paraId="399A90F4" w14:textId="77777777" w:rsidR="00310DCD" w:rsidRPr="007451AA" w:rsidRDefault="00310DCD" w:rsidP="007451AA">
      <w:pPr>
        <w:pStyle w:val="BodyText"/>
        <w:ind w:left="709"/>
        <w:rPr>
          <w:b/>
          <w:u w:val="single"/>
        </w:rPr>
      </w:pPr>
      <w:r w:rsidRPr="007451AA">
        <w:rPr>
          <w:b/>
          <w:u w:val="single"/>
        </w:rPr>
        <w:lastRenderedPageBreak/>
        <w:t>Impacts to Matters of NES</w:t>
      </w:r>
    </w:p>
    <w:p w14:paraId="108577DE" w14:textId="3B5D937F" w:rsidR="00310DCD" w:rsidRDefault="00310DCD" w:rsidP="002813FF">
      <w:pPr>
        <w:pStyle w:val="BodyText"/>
        <w:ind w:left="709"/>
        <w:rPr>
          <w:lang w:eastAsia="en-US"/>
        </w:rPr>
      </w:pPr>
      <w:r w:rsidRPr="001D27C9">
        <w:rPr>
          <w:lang w:eastAsia="en-US"/>
        </w:rPr>
        <w:t xml:space="preserve">An MDO spill is not likely to have a ‘significant’ impact to any of the matters of </w:t>
      </w:r>
      <w:r w:rsidR="002813FF">
        <w:rPr>
          <w:lang w:eastAsia="en-US"/>
        </w:rPr>
        <w:t>NES applicable to this project.</w:t>
      </w:r>
    </w:p>
    <w:p w14:paraId="6B544AE0" w14:textId="77777777" w:rsidR="00310DCD" w:rsidRPr="007451AA" w:rsidRDefault="00310DCD" w:rsidP="007451AA">
      <w:pPr>
        <w:pStyle w:val="BodyText"/>
        <w:ind w:left="709"/>
        <w:rPr>
          <w:b/>
          <w:u w:val="single"/>
        </w:rPr>
      </w:pPr>
      <w:r w:rsidRPr="007451AA">
        <w:rPr>
          <w:b/>
          <w:u w:val="single"/>
        </w:rPr>
        <w:t>Impacts to other areas of Conservation Significance</w:t>
      </w:r>
    </w:p>
    <w:p w14:paraId="1BC95B4E" w14:textId="77777777" w:rsidR="00310DCD" w:rsidRPr="001D27C9" w:rsidRDefault="00310DCD" w:rsidP="007451AA">
      <w:pPr>
        <w:pStyle w:val="BodyText"/>
        <w:ind w:left="709"/>
        <w:rPr>
          <w:lang w:eastAsia="en-US"/>
        </w:rPr>
      </w:pPr>
      <w:r w:rsidRPr="001D27C9">
        <w:rPr>
          <w:lang w:eastAsia="en-US"/>
        </w:rPr>
        <w:t xml:space="preserve">There are no other areas of conservation significance within the EMBA by accidental disposal of hazardous and non-hazardous materials and waste to the ocean. This discharge will not have any impacts to other areas of conservation significance, as outlined in the box below. </w:t>
      </w:r>
    </w:p>
    <w:tbl>
      <w:tblPr>
        <w:tblW w:w="0" w:type="auto"/>
        <w:tblInd w:w="567"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2449"/>
        <w:gridCol w:w="1812"/>
        <w:gridCol w:w="2646"/>
        <w:gridCol w:w="1537"/>
      </w:tblGrid>
      <w:tr w:rsidR="00310DCD" w:rsidRPr="004705DB" w14:paraId="0F8BAE94" w14:textId="77777777" w:rsidTr="0025202E">
        <w:tc>
          <w:tcPr>
            <w:tcW w:w="2495" w:type="dxa"/>
            <w:shd w:val="clear" w:color="auto" w:fill="A6A6A6"/>
          </w:tcPr>
          <w:p w14:paraId="16C0706B" w14:textId="44B10E9C" w:rsidR="00310DCD" w:rsidRPr="00E93C75" w:rsidRDefault="00310DCD" w:rsidP="00310DCD">
            <w:pPr>
              <w:pStyle w:val="BodyText"/>
              <w:ind w:left="0"/>
              <w:jc w:val="center"/>
              <w:rPr>
                <w:rFonts w:cs="Arial"/>
                <w:b/>
                <w:sz w:val="16"/>
                <w:szCs w:val="16"/>
                <w:lang w:eastAsia="en-US"/>
              </w:rPr>
            </w:pPr>
            <w:r w:rsidRPr="00D41DDF">
              <w:rPr>
                <w:rFonts w:cs="Arial"/>
                <w:b/>
                <w:sz w:val="16"/>
                <w:szCs w:val="16"/>
                <w:lang w:eastAsia="en-US"/>
              </w:rPr>
              <w:t xml:space="preserve">KEFs </w:t>
            </w:r>
            <w:r w:rsidRPr="00D41DDF">
              <w:rPr>
                <w:rFonts w:cs="Arial"/>
                <w:b/>
                <w:sz w:val="16"/>
                <w:szCs w:val="16"/>
                <w:lang w:eastAsia="en-US"/>
              </w:rPr>
              <w:br/>
              <w:t>(Bonney U</w:t>
            </w:r>
            <w:r w:rsidRPr="00E93C75">
              <w:rPr>
                <w:rFonts w:cs="Arial"/>
                <w:b/>
                <w:sz w:val="16"/>
                <w:szCs w:val="16"/>
                <w:lang w:eastAsia="en-US"/>
              </w:rPr>
              <w:t>pwelling</w:t>
            </w:r>
            <w:r w:rsidR="002220BA">
              <w:rPr>
                <w:rFonts w:cs="Arial"/>
                <w:b/>
                <w:sz w:val="16"/>
                <w:szCs w:val="16"/>
                <w:lang w:eastAsia="en-US"/>
              </w:rPr>
              <w:t xml:space="preserve"> / Shelf Rocky Reef and Hard Substrates</w:t>
            </w:r>
            <w:r w:rsidRPr="00E93C75">
              <w:rPr>
                <w:rFonts w:cs="Arial"/>
                <w:b/>
                <w:sz w:val="16"/>
                <w:szCs w:val="16"/>
                <w:lang w:eastAsia="en-US"/>
              </w:rPr>
              <w:t>)</w:t>
            </w:r>
          </w:p>
        </w:tc>
        <w:tc>
          <w:tcPr>
            <w:tcW w:w="1843" w:type="dxa"/>
            <w:shd w:val="clear" w:color="auto" w:fill="A6A6A6"/>
          </w:tcPr>
          <w:p w14:paraId="6FA56B5F" w14:textId="77777777" w:rsidR="00310DCD" w:rsidRPr="00E93C75" w:rsidRDefault="00310DCD" w:rsidP="00310DCD">
            <w:pPr>
              <w:pStyle w:val="BodyText"/>
              <w:ind w:left="0"/>
              <w:jc w:val="center"/>
              <w:rPr>
                <w:rFonts w:cs="Arial"/>
                <w:b/>
                <w:sz w:val="16"/>
                <w:szCs w:val="16"/>
                <w:lang w:eastAsia="en-US"/>
              </w:rPr>
            </w:pPr>
            <w:r w:rsidRPr="00E93C75">
              <w:rPr>
                <w:rFonts w:cs="Arial"/>
                <w:b/>
                <w:sz w:val="16"/>
                <w:szCs w:val="16"/>
                <w:lang w:eastAsia="en-US"/>
              </w:rPr>
              <w:t>Nationally Important Wetlands</w:t>
            </w:r>
          </w:p>
        </w:tc>
        <w:tc>
          <w:tcPr>
            <w:tcW w:w="2693" w:type="dxa"/>
            <w:shd w:val="clear" w:color="auto" w:fill="A6A6A6"/>
          </w:tcPr>
          <w:p w14:paraId="381505B0" w14:textId="77777777" w:rsidR="00310DCD" w:rsidRPr="0028614B" w:rsidRDefault="00310DCD" w:rsidP="00310DCD">
            <w:pPr>
              <w:pStyle w:val="BodyText"/>
              <w:ind w:left="0"/>
              <w:jc w:val="center"/>
              <w:rPr>
                <w:rFonts w:cs="Arial"/>
                <w:b/>
                <w:sz w:val="16"/>
                <w:szCs w:val="16"/>
                <w:lang w:eastAsia="en-US"/>
              </w:rPr>
            </w:pPr>
            <w:r w:rsidRPr="0028614B">
              <w:rPr>
                <w:rFonts w:cs="Arial"/>
                <w:b/>
                <w:sz w:val="16"/>
                <w:szCs w:val="16"/>
                <w:lang w:eastAsia="en-US"/>
              </w:rPr>
              <w:t>State Marine Parks</w:t>
            </w:r>
          </w:p>
        </w:tc>
        <w:tc>
          <w:tcPr>
            <w:tcW w:w="1559" w:type="dxa"/>
            <w:shd w:val="clear" w:color="auto" w:fill="A6A6A6"/>
          </w:tcPr>
          <w:p w14:paraId="1987F340" w14:textId="77777777" w:rsidR="00310DCD" w:rsidRPr="0028614B" w:rsidRDefault="00310DCD" w:rsidP="00310DCD">
            <w:pPr>
              <w:pStyle w:val="BodyText"/>
              <w:ind w:left="0"/>
              <w:jc w:val="center"/>
              <w:rPr>
                <w:rFonts w:cs="Arial"/>
                <w:b/>
                <w:sz w:val="16"/>
                <w:szCs w:val="16"/>
                <w:lang w:eastAsia="en-US"/>
              </w:rPr>
            </w:pPr>
            <w:r w:rsidRPr="0028614B">
              <w:rPr>
                <w:rFonts w:cs="Arial"/>
                <w:b/>
                <w:sz w:val="16"/>
                <w:szCs w:val="16"/>
                <w:lang w:eastAsia="en-US"/>
              </w:rPr>
              <w:t>Coastal protected areas</w:t>
            </w:r>
          </w:p>
        </w:tc>
      </w:tr>
      <w:tr w:rsidR="00310DCD" w:rsidRPr="004705DB" w14:paraId="4559E91C" w14:textId="77777777" w:rsidTr="0025202E">
        <w:tc>
          <w:tcPr>
            <w:tcW w:w="2495" w:type="dxa"/>
            <w:shd w:val="clear" w:color="auto" w:fill="auto"/>
          </w:tcPr>
          <w:p w14:paraId="7CB50C73" w14:textId="79CA0FD7" w:rsidR="00310DCD" w:rsidRPr="00D41DDF" w:rsidRDefault="002220BA" w:rsidP="00310DCD">
            <w:pPr>
              <w:pStyle w:val="BodyText"/>
              <w:spacing w:before="60" w:after="60"/>
              <w:ind w:left="0"/>
              <w:jc w:val="center"/>
              <w:rPr>
                <w:rFonts w:cs="Arial"/>
                <w:sz w:val="16"/>
                <w:szCs w:val="16"/>
                <w:lang w:eastAsia="en-US"/>
              </w:rPr>
            </w:pPr>
            <w:r w:rsidRPr="00DC5CDA">
              <w:rPr>
                <w:rFonts w:cs="Arial"/>
                <w:b/>
                <w:color w:val="008000"/>
                <w:sz w:val="16"/>
                <w:szCs w:val="16"/>
              </w:rPr>
              <w:sym w:font="Wingdings" w:char="F0FC"/>
            </w:r>
            <w:r>
              <w:rPr>
                <w:rFonts w:eastAsia="MS Gothic" w:cs="Arial"/>
                <w:color w:val="FF0000"/>
                <w:sz w:val="16"/>
                <w:szCs w:val="16"/>
                <w:lang w:eastAsia="en-US"/>
              </w:rPr>
              <w:t xml:space="preserve"> / </w:t>
            </w:r>
            <w:r w:rsidRPr="00DC5CDA">
              <w:rPr>
                <w:rFonts w:cs="Arial"/>
                <w:b/>
                <w:color w:val="008000"/>
                <w:sz w:val="16"/>
                <w:szCs w:val="16"/>
              </w:rPr>
              <w:sym w:font="Wingdings" w:char="F0FC"/>
            </w:r>
          </w:p>
        </w:tc>
        <w:tc>
          <w:tcPr>
            <w:tcW w:w="1843" w:type="dxa"/>
            <w:shd w:val="clear" w:color="auto" w:fill="auto"/>
          </w:tcPr>
          <w:p w14:paraId="48AB89D1" w14:textId="29A29E5E" w:rsidR="00310DCD" w:rsidRPr="00E93C75" w:rsidRDefault="001D27C9" w:rsidP="00310DCD">
            <w:pPr>
              <w:pStyle w:val="BodyText"/>
              <w:spacing w:before="60" w:after="60"/>
              <w:ind w:left="0"/>
              <w:jc w:val="center"/>
              <w:rPr>
                <w:rFonts w:cs="Arial"/>
                <w:sz w:val="16"/>
                <w:szCs w:val="16"/>
                <w:lang w:eastAsia="en-US"/>
              </w:rPr>
            </w:pPr>
            <w:r w:rsidRPr="00E93C75">
              <w:rPr>
                <w:rFonts w:eastAsia="MS Gothic" w:cs="Arial"/>
                <w:color w:val="FF0000"/>
                <w:sz w:val="16"/>
                <w:szCs w:val="16"/>
                <w:lang w:eastAsia="en-US"/>
              </w:rPr>
              <w:t>X</w:t>
            </w:r>
          </w:p>
        </w:tc>
        <w:tc>
          <w:tcPr>
            <w:tcW w:w="2693" w:type="dxa"/>
            <w:shd w:val="clear" w:color="auto" w:fill="auto"/>
          </w:tcPr>
          <w:p w14:paraId="77D30272" w14:textId="77777777" w:rsidR="00310DCD" w:rsidRPr="0028614B" w:rsidRDefault="00310DCD" w:rsidP="00310DCD">
            <w:pPr>
              <w:pStyle w:val="BodyText"/>
              <w:spacing w:before="60" w:after="60"/>
              <w:ind w:left="0"/>
              <w:jc w:val="center"/>
              <w:rPr>
                <w:rFonts w:cs="Arial"/>
                <w:sz w:val="16"/>
                <w:szCs w:val="16"/>
                <w:lang w:eastAsia="en-US"/>
              </w:rPr>
            </w:pPr>
            <w:r w:rsidRPr="0028614B">
              <w:rPr>
                <w:rFonts w:cs="Arial"/>
                <w:sz w:val="16"/>
                <w:szCs w:val="16"/>
                <w:lang w:eastAsia="en-US"/>
              </w:rPr>
              <w:t>Possible</w:t>
            </w:r>
          </w:p>
        </w:tc>
        <w:tc>
          <w:tcPr>
            <w:tcW w:w="1559" w:type="dxa"/>
            <w:shd w:val="clear" w:color="auto" w:fill="auto"/>
          </w:tcPr>
          <w:p w14:paraId="7511C25A" w14:textId="1176C2DE" w:rsidR="00310DCD" w:rsidRPr="0028614B" w:rsidRDefault="001D27C9" w:rsidP="00310DCD">
            <w:pPr>
              <w:pStyle w:val="BodyText"/>
              <w:spacing w:before="60" w:after="60"/>
              <w:ind w:left="0"/>
              <w:jc w:val="center"/>
              <w:rPr>
                <w:rFonts w:cs="Arial"/>
                <w:sz w:val="16"/>
                <w:szCs w:val="16"/>
                <w:lang w:eastAsia="en-US"/>
              </w:rPr>
            </w:pPr>
            <w:r w:rsidRPr="0028614B">
              <w:rPr>
                <w:rFonts w:eastAsia="MS Gothic" w:cs="Arial"/>
                <w:color w:val="FF0000"/>
                <w:sz w:val="16"/>
                <w:szCs w:val="16"/>
                <w:lang w:eastAsia="en-US"/>
              </w:rPr>
              <w:t>X</w:t>
            </w:r>
          </w:p>
        </w:tc>
      </w:tr>
      <w:tr w:rsidR="00310DCD" w:rsidRPr="004705DB" w14:paraId="566B3084" w14:textId="77777777" w:rsidTr="0025202E">
        <w:tc>
          <w:tcPr>
            <w:tcW w:w="2495" w:type="dxa"/>
            <w:shd w:val="clear" w:color="auto" w:fill="F2F2F2"/>
          </w:tcPr>
          <w:p w14:paraId="578A4B7D" w14:textId="36F6BF81" w:rsidR="002220BA" w:rsidRDefault="00310DCD" w:rsidP="00402CD7">
            <w:pPr>
              <w:pStyle w:val="BodyText"/>
              <w:ind w:left="0"/>
              <w:rPr>
                <w:rFonts w:cs="Arial"/>
                <w:sz w:val="16"/>
                <w:szCs w:val="16"/>
                <w:lang w:eastAsia="en-US"/>
              </w:rPr>
            </w:pPr>
            <w:r w:rsidRPr="00D41DDF">
              <w:rPr>
                <w:rFonts w:cs="Arial"/>
                <w:sz w:val="16"/>
                <w:szCs w:val="16"/>
                <w:lang w:eastAsia="en-US"/>
              </w:rPr>
              <w:t>The KEF is within the EMBA for entrained MDO (top 10 m of water column). Upwelling is not affected by the spill. However, blue whales feeding on krill durin</w:t>
            </w:r>
            <w:r w:rsidRPr="00E93C75">
              <w:rPr>
                <w:rFonts w:cs="Arial"/>
                <w:sz w:val="16"/>
                <w:szCs w:val="16"/>
                <w:lang w:eastAsia="en-US"/>
              </w:rPr>
              <w:t xml:space="preserve">g an upwelling (see Section </w:t>
            </w:r>
            <w:r w:rsidR="00402CD7" w:rsidRPr="004705DB">
              <w:rPr>
                <w:rFonts w:cs="Arial"/>
                <w:sz w:val="16"/>
                <w:szCs w:val="16"/>
                <w:lang w:eastAsia="en-US"/>
              </w:rPr>
              <w:fldChar w:fldCharType="begin"/>
            </w:r>
            <w:r w:rsidR="00402CD7" w:rsidRPr="004705DB">
              <w:rPr>
                <w:rFonts w:cs="Arial"/>
                <w:sz w:val="16"/>
                <w:szCs w:val="16"/>
                <w:lang w:eastAsia="en-US"/>
              </w:rPr>
              <w:instrText xml:space="preserve"> REF _Ref473518779 \r \h  \* MERGEFORMAT </w:instrText>
            </w:r>
            <w:r w:rsidR="00402CD7" w:rsidRPr="004705DB">
              <w:rPr>
                <w:rFonts w:cs="Arial"/>
                <w:sz w:val="16"/>
                <w:szCs w:val="16"/>
                <w:lang w:eastAsia="en-US"/>
              </w:rPr>
            </w:r>
            <w:r w:rsidR="00402CD7" w:rsidRPr="004705DB">
              <w:rPr>
                <w:rFonts w:cs="Arial"/>
                <w:sz w:val="16"/>
                <w:szCs w:val="16"/>
                <w:lang w:eastAsia="en-US"/>
              </w:rPr>
              <w:fldChar w:fldCharType="separate"/>
            </w:r>
            <w:r w:rsidR="00CC4C35">
              <w:rPr>
                <w:rFonts w:cs="Arial"/>
                <w:sz w:val="16"/>
                <w:szCs w:val="16"/>
                <w:lang w:eastAsia="en-US"/>
              </w:rPr>
              <w:t>3.4.5</w:t>
            </w:r>
            <w:r w:rsidR="00402CD7" w:rsidRPr="004705DB">
              <w:rPr>
                <w:rFonts w:cs="Arial"/>
                <w:sz w:val="16"/>
                <w:szCs w:val="16"/>
                <w:lang w:eastAsia="en-US"/>
              </w:rPr>
              <w:fldChar w:fldCharType="end"/>
            </w:r>
            <w:r w:rsidRPr="004705DB">
              <w:rPr>
                <w:rFonts w:cs="Arial"/>
                <w:sz w:val="16"/>
                <w:szCs w:val="16"/>
                <w:lang w:eastAsia="en-US"/>
              </w:rPr>
              <w:t>) may ingest contaminated prey and water. As per the discussion in the evaluation of impacts, impacts to cetaceans are unlikely to be significant.</w:t>
            </w:r>
          </w:p>
          <w:p w14:paraId="5CB29C8B" w14:textId="6252485B" w:rsidR="002220BA" w:rsidRDefault="002220BA" w:rsidP="00402CD7">
            <w:pPr>
              <w:pStyle w:val="BodyText"/>
              <w:ind w:left="0"/>
              <w:rPr>
                <w:rFonts w:cs="Arial"/>
                <w:sz w:val="16"/>
                <w:szCs w:val="16"/>
                <w:lang w:eastAsia="en-US"/>
              </w:rPr>
            </w:pPr>
            <w:r>
              <w:rPr>
                <w:rFonts w:cs="Arial"/>
                <w:sz w:val="16"/>
                <w:szCs w:val="16"/>
                <w:lang w:eastAsia="en-US"/>
              </w:rPr>
              <w:t>The shelf rocky reef and hard substrate KEF may lie in the EMBA of MDO spills which occur in the deeper areas of the CHN assets (i.e. water depth &gt; 60 m)</w:t>
            </w:r>
          </w:p>
          <w:p w14:paraId="2550BF19" w14:textId="6F7EEBED" w:rsidR="00310DCD" w:rsidRPr="004705DB" w:rsidRDefault="00310DCD" w:rsidP="00402CD7">
            <w:pPr>
              <w:pStyle w:val="BodyText"/>
              <w:ind w:left="0"/>
              <w:rPr>
                <w:rFonts w:cs="Arial"/>
                <w:sz w:val="16"/>
                <w:szCs w:val="16"/>
                <w:lang w:eastAsia="en-US"/>
              </w:rPr>
            </w:pPr>
            <w:r w:rsidRPr="004705DB">
              <w:rPr>
                <w:rFonts w:cs="Arial"/>
                <w:sz w:val="16"/>
                <w:szCs w:val="16"/>
                <w:lang w:eastAsia="en-US"/>
              </w:rPr>
              <w:t xml:space="preserve"> </w:t>
            </w:r>
          </w:p>
        </w:tc>
        <w:tc>
          <w:tcPr>
            <w:tcW w:w="1843" w:type="dxa"/>
            <w:shd w:val="clear" w:color="auto" w:fill="F2F2F2"/>
          </w:tcPr>
          <w:p w14:paraId="25BFF973" w14:textId="1488A85E" w:rsidR="00310DCD" w:rsidRPr="004705DB" w:rsidRDefault="001D27C9" w:rsidP="00310DCD">
            <w:pPr>
              <w:pStyle w:val="BodyText"/>
              <w:ind w:left="0"/>
              <w:rPr>
                <w:rFonts w:cs="Arial"/>
                <w:sz w:val="16"/>
                <w:szCs w:val="16"/>
                <w:lang w:eastAsia="en-US"/>
              </w:rPr>
            </w:pPr>
            <w:r w:rsidRPr="004705DB">
              <w:rPr>
                <w:rFonts w:cs="Arial"/>
                <w:sz w:val="16"/>
                <w:szCs w:val="16"/>
                <w:lang w:eastAsia="en-US"/>
              </w:rPr>
              <w:t>Residue</w:t>
            </w:r>
            <w:r w:rsidR="00310DCD" w:rsidRPr="004705DB">
              <w:rPr>
                <w:rFonts w:cs="Arial"/>
                <w:sz w:val="16"/>
                <w:szCs w:val="16"/>
                <w:lang w:eastAsia="en-US"/>
              </w:rPr>
              <w:t xml:space="preserve"> is unlikely to enter nationally important wetlands along the coast.</w:t>
            </w:r>
          </w:p>
        </w:tc>
        <w:tc>
          <w:tcPr>
            <w:tcW w:w="2693" w:type="dxa"/>
            <w:shd w:val="clear" w:color="auto" w:fill="F2F2F2"/>
          </w:tcPr>
          <w:p w14:paraId="51681A6A" w14:textId="77777777" w:rsidR="001D27C9" w:rsidRPr="004705DB" w:rsidRDefault="00310DCD" w:rsidP="001D27C9">
            <w:pPr>
              <w:pStyle w:val="BodyText"/>
              <w:ind w:left="0"/>
              <w:rPr>
                <w:rFonts w:cs="Arial"/>
                <w:sz w:val="16"/>
                <w:szCs w:val="16"/>
                <w:lang w:eastAsia="en-US"/>
              </w:rPr>
            </w:pPr>
            <w:r w:rsidRPr="004705DB">
              <w:rPr>
                <w:rFonts w:cs="Arial"/>
                <w:sz w:val="16"/>
                <w:szCs w:val="16"/>
                <w:lang w:eastAsia="en-US"/>
              </w:rPr>
              <w:t xml:space="preserve">The Arches Marine Sanctuary may be within the EMBA for </w:t>
            </w:r>
            <w:r w:rsidR="001D27C9" w:rsidRPr="004705DB">
              <w:rPr>
                <w:rFonts w:cs="Arial"/>
                <w:sz w:val="16"/>
                <w:szCs w:val="16"/>
                <w:lang w:eastAsia="en-US"/>
              </w:rPr>
              <w:t>visible sheens</w:t>
            </w:r>
            <w:r w:rsidRPr="004705DB">
              <w:rPr>
                <w:rFonts w:cs="Arial"/>
                <w:sz w:val="16"/>
                <w:szCs w:val="16"/>
                <w:lang w:eastAsia="en-US"/>
              </w:rPr>
              <w:t xml:space="preserve"> (2.8 km east of pipeline)</w:t>
            </w:r>
            <w:r w:rsidR="001D27C9" w:rsidRPr="004705DB">
              <w:rPr>
                <w:rFonts w:cs="Arial"/>
                <w:sz w:val="16"/>
                <w:szCs w:val="16"/>
                <w:lang w:eastAsia="en-US"/>
              </w:rPr>
              <w:t>.</w:t>
            </w:r>
          </w:p>
          <w:p w14:paraId="11A0C507" w14:textId="77777777" w:rsidR="001D27C9" w:rsidRPr="002220BA" w:rsidRDefault="001D27C9" w:rsidP="001D27C9">
            <w:pPr>
              <w:pStyle w:val="BodyText"/>
              <w:ind w:left="0"/>
              <w:rPr>
                <w:rFonts w:cs="Arial"/>
                <w:sz w:val="16"/>
                <w:szCs w:val="16"/>
                <w:lang w:eastAsia="en-US"/>
              </w:rPr>
            </w:pPr>
            <w:r w:rsidRPr="002220BA">
              <w:rPr>
                <w:rFonts w:cs="Arial"/>
                <w:sz w:val="16"/>
                <w:szCs w:val="16"/>
                <w:lang w:eastAsia="en-US"/>
              </w:rPr>
              <w:t>The following marine sanctuaries may be affected by low levels entrained phase hydrocarbon:</w:t>
            </w:r>
          </w:p>
          <w:p w14:paraId="062F6087" w14:textId="77777777" w:rsidR="001D27C9" w:rsidRPr="00E25547" w:rsidRDefault="001D27C9" w:rsidP="0036080A">
            <w:pPr>
              <w:pStyle w:val="Bullet1"/>
              <w:numPr>
                <w:ilvl w:val="0"/>
                <w:numId w:val="15"/>
              </w:numPr>
              <w:rPr>
                <w:sz w:val="16"/>
                <w:szCs w:val="16"/>
              </w:rPr>
            </w:pPr>
            <w:r w:rsidRPr="00E25547">
              <w:rPr>
                <w:sz w:val="16"/>
                <w:szCs w:val="16"/>
              </w:rPr>
              <w:t>The Twelve Apostles Marine National Parks;</w:t>
            </w:r>
          </w:p>
          <w:p w14:paraId="6296C214" w14:textId="77777777" w:rsidR="001D27C9" w:rsidRPr="00E25547" w:rsidRDefault="001D27C9" w:rsidP="0036080A">
            <w:pPr>
              <w:pStyle w:val="Bullet1"/>
              <w:numPr>
                <w:ilvl w:val="0"/>
                <w:numId w:val="15"/>
              </w:numPr>
              <w:rPr>
                <w:sz w:val="16"/>
                <w:szCs w:val="16"/>
              </w:rPr>
            </w:pPr>
            <w:r w:rsidRPr="00E25547">
              <w:rPr>
                <w:sz w:val="16"/>
                <w:szCs w:val="16"/>
              </w:rPr>
              <w:t>The Port Campbell National Park;</w:t>
            </w:r>
          </w:p>
          <w:p w14:paraId="4CA06B75" w14:textId="77777777" w:rsidR="001D27C9" w:rsidRPr="00E25547" w:rsidRDefault="001D27C9" w:rsidP="0036080A">
            <w:pPr>
              <w:pStyle w:val="Bullet1"/>
              <w:numPr>
                <w:ilvl w:val="0"/>
                <w:numId w:val="15"/>
              </w:numPr>
              <w:rPr>
                <w:sz w:val="16"/>
                <w:szCs w:val="16"/>
              </w:rPr>
            </w:pPr>
            <w:r w:rsidRPr="00E25547">
              <w:rPr>
                <w:sz w:val="16"/>
                <w:szCs w:val="16"/>
              </w:rPr>
              <w:t xml:space="preserve">The Bay of Islands Coastal Park; </w:t>
            </w:r>
          </w:p>
          <w:p w14:paraId="41473A73" w14:textId="77777777" w:rsidR="001D27C9" w:rsidRPr="00E25547" w:rsidRDefault="001D27C9" w:rsidP="0036080A">
            <w:pPr>
              <w:pStyle w:val="Bullet1"/>
              <w:numPr>
                <w:ilvl w:val="0"/>
                <w:numId w:val="15"/>
              </w:numPr>
              <w:rPr>
                <w:sz w:val="16"/>
                <w:szCs w:val="16"/>
              </w:rPr>
            </w:pPr>
            <w:r w:rsidRPr="00E25547">
              <w:rPr>
                <w:sz w:val="16"/>
                <w:szCs w:val="16"/>
              </w:rPr>
              <w:t>Merri Marine Sanctuary;</w:t>
            </w:r>
          </w:p>
          <w:p w14:paraId="649A2A89" w14:textId="77777777" w:rsidR="001D27C9" w:rsidRPr="00E25547" w:rsidRDefault="001D27C9" w:rsidP="0036080A">
            <w:pPr>
              <w:pStyle w:val="Bullet1"/>
              <w:numPr>
                <w:ilvl w:val="0"/>
                <w:numId w:val="15"/>
              </w:numPr>
              <w:rPr>
                <w:sz w:val="16"/>
                <w:szCs w:val="16"/>
              </w:rPr>
            </w:pPr>
            <w:r w:rsidRPr="00E25547">
              <w:rPr>
                <w:sz w:val="16"/>
                <w:szCs w:val="16"/>
              </w:rPr>
              <w:t>Marengo Reef Marine Sanctuary;</w:t>
            </w:r>
          </w:p>
          <w:p w14:paraId="67D3564C" w14:textId="5D600814" w:rsidR="001D27C9" w:rsidRPr="002220BA" w:rsidRDefault="001D27C9" w:rsidP="0036080A">
            <w:pPr>
              <w:pStyle w:val="BodyText"/>
              <w:numPr>
                <w:ilvl w:val="0"/>
                <w:numId w:val="15"/>
              </w:numPr>
              <w:rPr>
                <w:rFonts w:cs="Arial"/>
                <w:sz w:val="16"/>
                <w:szCs w:val="16"/>
                <w:lang w:eastAsia="en-US"/>
              </w:rPr>
            </w:pPr>
            <w:r w:rsidRPr="002220BA">
              <w:rPr>
                <w:sz w:val="16"/>
                <w:szCs w:val="16"/>
              </w:rPr>
              <w:t>Eagle Rock Marine Sanctuary</w:t>
            </w:r>
          </w:p>
          <w:p w14:paraId="50D182AC" w14:textId="1E28AF8E" w:rsidR="00310DCD" w:rsidRPr="0028614B" w:rsidRDefault="001D27C9" w:rsidP="00DE5614">
            <w:pPr>
              <w:pStyle w:val="BodyText"/>
              <w:ind w:left="0"/>
              <w:rPr>
                <w:rFonts w:cs="Arial"/>
                <w:sz w:val="16"/>
                <w:szCs w:val="16"/>
                <w:lang w:eastAsia="en-US"/>
              </w:rPr>
            </w:pPr>
            <w:r w:rsidRPr="002220BA">
              <w:rPr>
                <w:rFonts w:cs="Arial"/>
                <w:sz w:val="16"/>
                <w:szCs w:val="16"/>
                <w:lang w:eastAsia="en-US"/>
              </w:rPr>
              <w:t xml:space="preserve">Reserve </w:t>
            </w:r>
            <w:r w:rsidR="00310DCD" w:rsidRPr="002220BA">
              <w:rPr>
                <w:rFonts w:cs="Arial"/>
                <w:sz w:val="16"/>
                <w:szCs w:val="16"/>
                <w:lang w:eastAsia="en-US"/>
              </w:rPr>
              <w:t xml:space="preserve">values will not be impacted by </w:t>
            </w:r>
            <w:r w:rsidRPr="002220BA">
              <w:rPr>
                <w:rFonts w:cs="Arial"/>
                <w:sz w:val="16"/>
                <w:szCs w:val="16"/>
                <w:lang w:eastAsia="en-US"/>
              </w:rPr>
              <w:t xml:space="preserve">the temporary and low level hydrocarbon exposures predicted (refer to Appendix </w:t>
            </w:r>
            <w:r w:rsidR="00DE5614" w:rsidRPr="002220BA">
              <w:rPr>
                <w:rFonts w:cs="Arial"/>
                <w:sz w:val="16"/>
                <w:szCs w:val="16"/>
                <w:lang w:eastAsia="en-US"/>
              </w:rPr>
              <w:t>4</w:t>
            </w:r>
            <w:r w:rsidRPr="002220BA">
              <w:rPr>
                <w:rFonts w:cs="Arial"/>
                <w:sz w:val="16"/>
                <w:szCs w:val="16"/>
                <w:lang w:eastAsia="en-US"/>
              </w:rPr>
              <w:t xml:space="preserve"> for assessment).</w:t>
            </w:r>
          </w:p>
        </w:tc>
        <w:tc>
          <w:tcPr>
            <w:tcW w:w="1559" w:type="dxa"/>
            <w:shd w:val="clear" w:color="auto" w:fill="F2F2F2"/>
          </w:tcPr>
          <w:p w14:paraId="108EEEC8" w14:textId="77777777" w:rsidR="00310DCD" w:rsidRPr="00840C44" w:rsidRDefault="00310DCD" w:rsidP="00310DCD">
            <w:pPr>
              <w:pStyle w:val="BodyText"/>
              <w:ind w:left="0"/>
              <w:rPr>
                <w:rFonts w:cs="Arial"/>
                <w:sz w:val="16"/>
                <w:szCs w:val="16"/>
                <w:lang w:eastAsia="en-US"/>
              </w:rPr>
            </w:pPr>
            <w:r w:rsidRPr="00840C44">
              <w:rPr>
                <w:rFonts w:cs="Arial"/>
                <w:sz w:val="16"/>
                <w:szCs w:val="16"/>
                <w:lang w:eastAsia="en-US"/>
              </w:rPr>
              <w:t>Coastal protected areas are outside the EMBA.</w:t>
            </w:r>
          </w:p>
        </w:tc>
      </w:tr>
    </w:tbl>
    <w:p w14:paraId="69312B31" w14:textId="21CA455A" w:rsidR="00310DCD" w:rsidRDefault="00310DCD" w:rsidP="00310DCD">
      <w:pPr>
        <w:pStyle w:val="BodyText"/>
        <w:rPr>
          <w:lang w:eastAsia="en-US"/>
        </w:rPr>
      </w:pPr>
    </w:p>
    <w:p w14:paraId="1E52DE94" w14:textId="27971699" w:rsidR="00310DCD" w:rsidRDefault="0025202E" w:rsidP="001371AD">
      <w:pPr>
        <w:pStyle w:val="Heading3"/>
      </w:pPr>
      <w:r>
        <w:t xml:space="preserve">Risk </w:t>
      </w:r>
      <w:r w:rsidR="00310DCD">
        <w:t>Assessment</w:t>
      </w:r>
    </w:p>
    <w:p w14:paraId="6C319D31" w14:textId="70407A6B" w:rsidR="00310DCD" w:rsidRPr="0025202E" w:rsidRDefault="0025202E" w:rsidP="007451AA">
      <w:pPr>
        <w:pStyle w:val="BodyText"/>
        <w:ind w:left="720"/>
        <w:rPr>
          <w:lang w:eastAsia="en-US"/>
        </w:rPr>
      </w:pPr>
      <w:r>
        <w:rPr>
          <w:color w:val="FF0000"/>
          <w:lang w:eastAsia="en-US"/>
        </w:rPr>
        <w:fldChar w:fldCharType="begin"/>
      </w:r>
      <w:r>
        <w:rPr>
          <w:lang w:eastAsia="en-US"/>
        </w:rPr>
        <w:instrText xml:space="preserve"> REF _Ref473463967 \h </w:instrText>
      </w:r>
      <w:r>
        <w:rPr>
          <w:color w:val="FF0000"/>
          <w:lang w:eastAsia="en-US"/>
        </w:rPr>
      </w:r>
      <w:r>
        <w:rPr>
          <w:color w:val="FF0000"/>
          <w:lang w:eastAsia="en-US"/>
        </w:rPr>
        <w:fldChar w:fldCharType="separate"/>
      </w:r>
      <w:r w:rsidR="00CC4C35" w:rsidRPr="0025202E">
        <w:rPr>
          <w:szCs w:val="20"/>
        </w:rPr>
        <w:t xml:space="preserve">Table </w:t>
      </w:r>
      <w:r w:rsidR="00CC4C35">
        <w:rPr>
          <w:noProof/>
          <w:szCs w:val="20"/>
        </w:rPr>
        <w:t>5</w:t>
      </w:r>
      <w:r w:rsidR="00CC4C35">
        <w:rPr>
          <w:szCs w:val="20"/>
        </w:rPr>
        <w:noBreakHyphen/>
      </w:r>
      <w:r w:rsidR="00CC4C35">
        <w:rPr>
          <w:noProof/>
          <w:szCs w:val="20"/>
        </w:rPr>
        <w:t>38</w:t>
      </w:r>
      <w:r>
        <w:rPr>
          <w:color w:val="FF0000"/>
          <w:lang w:eastAsia="en-US"/>
        </w:rPr>
        <w:fldChar w:fldCharType="end"/>
      </w:r>
      <w:r>
        <w:rPr>
          <w:color w:val="FF0000"/>
          <w:lang w:eastAsia="en-US"/>
        </w:rPr>
        <w:t xml:space="preserve"> </w:t>
      </w:r>
      <w:r w:rsidR="00310DCD" w:rsidRPr="0025202E">
        <w:rPr>
          <w:lang w:eastAsia="en-US"/>
        </w:rPr>
        <w:t>presents the risk assessment for a spill of MDO.</w:t>
      </w:r>
    </w:p>
    <w:p w14:paraId="4668614E" w14:textId="1F3C3DC8" w:rsidR="00310DCD" w:rsidRPr="00ED5388" w:rsidRDefault="0025202E" w:rsidP="00024BA3">
      <w:pPr>
        <w:pStyle w:val="Caption"/>
        <w:outlineLvl w:val="9"/>
        <w:rPr>
          <w:sz w:val="20"/>
          <w:szCs w:val="20"/>
        </w:rPr>
      </w:pPr>
      <w:bookmarkStart w:id="296" w:name="_Ref473463967"/>
      <w:bookmarkStart w:id="297" w:name="_Toc511032629"/>
      <w:r w:rsidRPr="0025202E">
        <w:rPr>
          <w:sz w:val="20"/>
          <w:szCs w:val="20"/>
        </w:rPr>
        <w:t xml:space="preserve">Table </w:t>
      </w:r>
      <w:r w:rsidR="00103328">
        <w:rPr>
          <w:sz w:val="20"/>
          <w:szCs w:val="20"/>
        </w:rPr>
        <w:fldChar w:fldCharType="begin"/>
      </w:r>
      <w:r w:rsidR="00103328">
        <w:rPr>
          <w:sz w:val="20"/>
          <w:szCs w:val="20"/>
        </w:rPr>
        <w:instrText xml:space="preserve"> STYLEREF 1 \s </w:instrText>
      </w:r>
      <w:r w:rsidR="00103328">
        <w:rPr>
          <w:sz w:val="20"/>
          <w:szCs w:val="20"/>
        </w:rPr>
        <w:fldChar w:fldCharType="separate"/>
      </w:r>
      <w:r w:rsidR="00CC4C35">
        <w:rPr>
          <w:noProof/>
          <w:sz w:val="20"/>
          <w:szCs w:val="20"/>
        </w:rPr>
        <w:t>5</w:t>
      </w:r>
      <w:r w:rsidR="00103328">
        <w:rPr>
          <w:sz w:val="20"/>
          <w:szCs w:val="20"/>
        </w:rPr>
        <w:fldChar w:fldCharType="end"/>
      </w:r>
      <w:r w:rsidR="00103328">
        <w:rPr>
          <w:sz w:val="20"/>
          <w:szCs w:val="20"/>
        </w:rPr>
        <w:noBreakHyphen/>
      </w:r>
      <w:r w:rsidR="00103328">
        <w:rPr>
          <w:sz w:val="20"/>
          <w:szCs w:val="20"/>
        </w:rPr>
        <w:fldChar w:fldCharType="begin"/>
      </w:r>
      <w:r w:rsidR="00103328">
        <w:rPr>
          <w:sz w:val="20"/>
          <w:szCs w:val="20"/>
        </w:rPr>
        <w:instrText xml:space="preserve"> SEQ Table \* ARABIC \s 1 </w:instrText>
      </w:r>
      <w:r w:rsidR="00103328">
        <w:rPr>
          <w:sz w:val="20"/>
          <w:szCs w:val="20"/>
        </w:rPr>
        <w:fldChar w:fldCharType="separate"/>
      </w:r>
      <w:r w:rsidR="00CC4C35">
        <w:rPr>
          <w:noProof/>
          <w:sz w:val="20"/>
          <w:szCs w:val="20"/>
        </w:rPr>
        <w:t>38</w:t>
      </w:r>
      <w:r w:rsidR="00103328">
        <w:rPr>
          <w:sz w:val="20"/>
          <w:szCs w:val="20"/>
        </w:rPr>
        <w:fldChar w:fldCharType="end"/>
      </w:r>
      <w:bookmarkEnd w:id="296"/>
      <w:r w:rsidRPr="0025202E">
        <w:rPr>
          <w:sz w:val="20"/>
          <w:szCs w:val="20"/>
        </w:rPr>
        <w:t>: ERA for MDO spill</w:t>
      </w:r>
      <w:bookmarkEnd w:id="297"/>
      <w:r w:rsidRPr="0025202E">
        <w:rPr>
          <w:sz w:val="20"/>
          <w:szCs w:val="20"/>
        </w:rPr>
        <w:t xml:space="preserve"> </w:t>
      </w:r>
    </w:p>
    <w:tbl>
      <w:tblPr>
        <w:tblW w:w="9072" w:type="dxa"/>
        <w:tblInd w:w="1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121"/>
        <w:gridCol w:w="6951"/>
      </w:tblGrid>
      <w:tr w:rsidR="00D41DDF" w:rsidRPr="0025202E" w14:paraId="3231A464" w14:textId="77777777" w:rsidTr="008419D4">
        <w:trPr>
          <w:cantSplit/>
        </w:trPr>
        <w:tc>
          <w:tcPr>
            <w:tcW w:w="2121" w:type="dxa"/>
            <w:shd w:val="clear" w:color="auto" w:fill="BFBFBF" w:themeFill="background1" w:themeFillShade="BF"/>
          </w:tcPr>
          <w:p w14:paraId="7BEB5396" w14:textId="357C6C0B" w:rsidR="00D41DDF" w:rsidRPr="0025202E" w:rsidRDefault="00D41DDF" w:rsidP="00310DCD">
            <w:pPr>
              <w:pStyle w:val="Tabletext"/>
              <w:rPr>
                <w:rFonts w:ascii="Arial" w:hAnsi="Arial" w:cs="Arial"/>
                <w:b/>
                <w:sz w:val="16"/>
                <w:szCs w:val="16"/>
              </w:rPr>
            </w:pPr>
            <w:r>
              <w:rPr>
                <w:rFonts w:ascii="Arial" w:hAnsi="Arial" w:cs="Arial"/>
                <w:b/>
                <w:sz w:val="16"/>
                <w:szCs w:val="16"/>
              </w:rPr>
              <w:t>Aspect:</w:t>
            </w:r>
          </w:p>
        </w:tc>
        <w:tc>
          <w:tcPr>
            <w:tcW w:w="6951" w:type="dxa"/>
          </w:tcPr>
          <w:p w14:paraId="0DF2AF09" w14:textId="62335C87" w:rsidR="00D41DDF" w:rsidRPr="0025202E" w:rsidRDefault="00D41DDF" w:rsidP="00D41DDF">
            <w:pPr>
              <w:pStyle w:val="Tabletext"/>
              <w:spacing w:line="240" w:lineRule="auto"/>
              <w:jc w:val="left"/>
              <w:rPr>
                <w:rFonts w:ascii="Arial" w:hAnsi="Arial" w:cs="Arial"/>
                <w:sz w:val="16"/>
                <w:szCs w:val="16"/>
              </w:rPr>
            </w:pPr>
            <w:r>
              <w:rPr>
                <w:rFonts w:ascii="Arial" w:hAnsi="Arial" w:cs="Arial"/>
                <w:sz w:val="16"/>
                <w:szCs w:val="16"/>
              </w:rPr>
              <w:t>Vessel MDO Loss of Containment (Fuel Tank)</w:t>
            </w:r>
          </w:p>
        </w:tc>
      </w:tr>
      <w:tr w:rsidR="00310DCD" w:rsidRPr="0025202E" w14:paraId="71029531" w14:textId="77777777" w:rsidTr="008419D4">
        <w:trPr>
          <w:cantSplit/>
        </w:trPr>
        <w:tc>
          <w:tcPr>
            <w:tcW w:w="2121" w:type="dxa"/>
            <w:shd w:val="clear" w:color="auto" w:fill="BFBFBF" w:themeFill="background1" w:themeFillShade="BF"/>
          </w:tcPr>
          <w:p w14:paraId="2D69B498" w14:textId="77777777" w:rsidR="00310DCD" w:rsidRPr="0025202E" w:rsidRDefault="00310DCD" w:rsidP="00310DCD">
            <w:pPr>
              <w:pStyle w:val="Tabletext"/>
              <w:rPr>
                <w:rFonts w:ascii="Arial" w:hAnsi="Arial" w:cs="Arial"/>
                <w:b/>
                <w:sz w:val="16"/>
                <w:szCs w:val="16"/>
              </w:rPr>
            </w:pPr>
            <w:r w:rsidRPr="0025202E">
              <w:rPr>
                <w:rFonts w:ascii="Arial" w:hAnsi="Arial" w:cs="Arial"/>
                <w:b/>
                <w:sz w:val="16"/>
                <w:szCs w:val="16"/>
              </w:rPr>
              <w:t xml:space="preserve">Impact summary </w:t>
            </w:r>
          </w:p>
        </w:tc>
        <w:tc>
          <w:tcPr>
            <w:tcW w:w="6951" w:type="dxa"/>
          </w:tcPr>
          <w:p w14:paraId="4B41FB18" w14:textId="77777777" w:rsidR="00310DCD" w:rsidRPr="0025202E" w:rsidRDefault="00310DCD" w:rsidP="00310DCD">
            <w:pPr>
              <w:pStyle w:val="Tabletext"/>
              <w:spacing w:line="240" w:lineRule="auto"/>
              <w:jc w:val="left"/>
              <w:rPr>
                <w:rFonts w:ascii="Arial" w:hAnsi="Arial" w:cs="Arial"/>
                <w:sz w:val="16"/>
                <w:szCs w:val="16"/>
              </w:rPr>
            </w:pPr>
            <w:r w:rsidRPr="0025202E">
              <w:rPr>
                <w:rFonts w:ascii="Arial" w:hAnsi="Arial" w:cs="Arial"/>
                <w:sz w:val="16"/>
                <w:szCs w:val="16"/>
              </w:rPr>
              <w:t xml:space="preserve">Pollution of surface waters and/or shoreline. </w:t>
            </w:r>
          </w:p>
          <w:p w14:paraId="3D4A9352" w14:textId="77777777" w:rsidR="00310DCD" w:rsidRPr="0025202E" w:rsidRDefault="00310DCD" w:rsidP="00310DCD">
            <w:pPr>
              <w:pStyle w:val="Tabletext"/>
              <w:spacing w:line="240" w:lineRule="auto"/>
              <w:jc w:val="left"/>
              <w:rPr>
                <w:rFonts w:ascii="Arial" w:hAnsi="Arial" w:cs="Arial"/>
                <w:sz w:val="16"/>
                <w:szCs w:val="16"/>
              </w:rPr>
            </w:pPr>
            <w:r w:rsidRPr="0025202E">
              <w:rPr>
                <w:rFonts w:ascii="Arial" w:hAnsi="Arial" w:cs="Arial"/>
                <w:sz w:val="16"/>
                <w:szCs w:val="16"/>
              </w:rPr>
              <w:t xml:space="preserve">Injury or death of marine fauna and seabirds through ingestion or contact.  </w:t>
            </w:r>
          </w:p>
        </w:tc>
      </w:tr>
      <w:tr w:rsidR="00310DCD" w:rsidRPr="0025202E" w14:paraId="2745C535" w14:textId="77777777" w:rsidTr="008419D4">
        <w:trPr>
          <w:cantSplit/>
        </w:trPr>
        <w:tc>
          <w:tcPr>
            <w:tcW w:w="2121" w:type="dxa"/>
            <w:shd w:val="clear" w:color="auto" w:fill="BFBFBF" w:themeFill="background1" w:themeFillShade="BF"/>
          </w:tcPr>
          <w:p w14:paraId="0B2261EE" w14:textId="77777777" w:rsidR="00310DCD" w:rsidRPr="0025202E" w:rsidRDefault="00310DCD" w:rsidP="00310DCD">
            <w:pPr>
              <w:pStyle w:val="Tabletext"/>
              <w:jc w:val="left"/>
              <w:rPr>
                <w:rFonts w:ascii="Arial" w:hAnsi="Arial" w:cs="Arial"/>
                <w:b/>
                <w:sz w:val="16"/>
                <w:szCs w:val="16"/>
              </w:rPr>
            </w:pPr>
            <w:r w:rsidRPr="0025202E">
              <w:rPr>
                <w:rFonts w:ascii="Arial" w:hAnsi="Arial" w:cs="Arial"/>
                <w:b/>
                <w:sz w:val="16"/>
                <w:szCs w:val="16"/>
              </w:rPr>
              <w:t xml:space="preserve">Extent of impact </w:t>
            </w:r>
          </w:p>
        </w:tc>
        <w:tc>
          <w:tcPr>
            <w:tcW w:w="6951" w:type="dxa"/>
          </w:tcPr>
          <w:p w14:paraId="411394F1" w14:textId="3036B943" w:rsidR="00310DCD" w:rsidRPr="0025202E" w:rsidRDefault="0025202E" w:rsidP="0025202E">
            <w:pPr>
              <w:pStyle w:val="Tabletext"/>
              <w:spacing w:line="240" w:lineRule="auto"/>
              <w:jc w:val="left"/>
              <w:rPr>
                <w:rFonts w:ascii="Arial" w:hAnsi="Arial" w:cs="Arial"/>
                <w:sz w:val="16"/>
                <w:szCs w:val="16"/>
              </w:rPr>
            </w:pPr>
            <w:r w:rsidRPr="0025202E">
              <w:rPr>
                <w:rFonts w:ascii="Arial" w:hAnsi="Arial" w:cs="Arial"/>
                <w:sz w:val="16"/>
                <w:szCs w:val="16"/>
              </w:rPr>
              <w:t>Extends from Cape Bridgewater in the west to Anglesea in the east (based upon entrained phase concentration at 7ppb for 96hrs)</w:t>
            </w:r>
            <w:r w:rsidR="00310DCD" w:rsidRPr="0025202E">
              <w:rPr>
                <w:rFonts w:ascii="Arial" w:hAnsi="Arial" w:cs="Arial"/>
                <w:sz w:val="16"/>
                <w:szCs w:val="16"/>
              </w:rPr>
              <w:t>.</w:t>
            </w:r>
          </w:p>
        </w:tc>
      </w:tr>
      <w:tr w:rsidR="00310DCD" w:rsidRPr="0025202E" w14:paraId="68690F1D" w14:textId="77777777" w:rsidTr="008419D4">
        <w:trPr>
          <w:cantSplit/>
        </w:trPr>
        <w:tc>
          <w:tcPr>
            <w:tcW w:w="2121" w:type="dxa"/>
            <w:shd w:val="clear" w:color="auto" w:fill="BFBFBF" w:themeFill="background1" w:themeFillShade="BF"/>
          </w:tcPr>
          <w:p w14:paraId="3AAB4C0F" w14:textId="77777777" w:rsidR="00310DCD" w:rsidRPr="0025202E" w:rsidRDefault="00310DCD" w:rsidP="00310DCD">
            <w:pPr>
              <w:pStyle w:val="Tabletext"/>
              <w:jc w:val="left"/>
              <w:rPr>
                <w:rFonts w:ascii="Arial" w:hAnsi="Arial" w:cs="Arial"/>
                <w:b/>
                <w:sz w:val="16"/>
                <w:szCs w:val="16"/>
              </w:rPr>
            </w:pPr>
            <w:r w:rsidRPr="0025202E">
              <w:rPr>
                <w:rFonts w:ascii="Arial" w:hAnsi="Arial" w:cs="Arial"/>
                <w:b/>
                <w:sz w:val="16"/>
                <w:szCs w:val="16"/>
              </w:rPr>
              <w:t xml:space="preserve">Duration of impact </w:t>
            </w:r>
          </w:p>
        </w:tc>
        <w:tc>
          <w:tcPr>
            <w:tcW w:w="6951" w:type="dxa"/>
          </w:tcPr>
          <w:p w14:paraId="5891B211" w14:textId="66756507" w:rsidR="00310DCD" w:rsidRPr="0025202E" w:rsidRDefault="00310DCD" w:rsidP="0025202E">
            <w:pPr>
              <w:pStyle w:val="Tabletext"/>
              <w:spacing w:line="240" w:lineRule="auto"/>
              <w:jc w:val="left"/>
              <w:rPr>
                <w:rFonts w:ascii="Arial" w:hAnsi="Arial" w:cs="Arial"/>
                <w:sz w:val="16"/>
                <w:szCs w:val="16"/>
              </w:rPr>
            </w:pPr>
            <w:r w:rsidRPr="0025202E">
              <w:rPr>
                <w:rFonts w:ascii="Arial" w:hAnsi="Arial" w:cs="Arial"/>
                <w:sz w:val="16"/>
                <w:szCs w:val="16"/>
              </w:rPr>
              <w:t xml:space="preserve">Short-term </w:t>
            </w:r>
            <w:r w:rsidR="0025202E">
              <w:rPr>
                <w:rFonts w:ascii="Arial" w:hAnsi="Arial" w:cs="Arial"/>
                <w:sz w:val="16"/>
                <w:szCs w:val="16"/>
              </w:rPr>
              <w:t>and recoverable</w:t>
            </w:r>
            <w:r w:rsidRPr="0025202E">
              <w:rPr>
                <w:rFonts w:ascii="Arial" w:hAnsi="Arial" w:cs="Arial"/>
                <w:sz w:val="16"/>
                <w:szCs w:val="16"/>
              </w:rPr>
              <w:t xml:space="preserve"> </w:t>
            </w:r>
          </w:p>
        </w:tc>
      </w:tr>
      <w:tr w:rsidR="00310DCD" w:rsidRPr="0025202E" w14:paraId="3075E93F" w14:textId="77777777" w:rsidTr="008419D4">
        <w:trPr>
          <w:cantSplit/>
        </w:trPr>
        <w:tc>
          <w:tcPr>
            <w:tcW w:w="2121" w:type="dxa"/>
            <w:shd w:val="clear" w:color="auto" w:fill="BFBFBF" w:themeFill="background1" w:themeFillShade="BF"/>
          </w:tcPr>
          <w:p w14:paraId="2175BCAE" w14:textId="77777777" w:rsidR="00310DCD" w:rsidRPr="0025202E" w:rsidRDefault="00310DCD" w:rsidP="00310DCD">
            <w:pPr>
              <w:pStyle w:val="Tabletext"/>
              <w:jc w:val="left"/>
              <w:rPr>
                <w:rFonts w:ascii="Arial" w:hAnsi="Arial" w:cs="Arial"/>
                <w:b/>
                <w:sz w:val="16"/>
                <w:szCs w:val="16"/>
              </w:rPr>
            </w:pPr>
            <w:r w:rsidRPr="0025202E">
              <w:rPr>
                <w:rFonts w:ascii="Arial" w:hAnsi="Arial" w:cs="Arial"/>
                <w:b/>
                <w:sz w:val="16"/>
                <w:szCs w:val="16"/>
              </w:rPr>
              <w:lastRenderedPageBreak/>
              <w:t>Level of certainty of impact</w:t>
            </w:r>
          </w:p>
        </w:tc>
        <w:tc>
          <w:tcPr>
            <w:tcW w:w="6951" w:type="dxa"/>
          </w:tcPr>
          <w:p w14:paraId="2714EE35" w14:textId="77777777" w:rsidR="00A07E90" w:rsidRDefault="00553CD4" w:rsidP="00553CD4">
            <w:pPr>
              <w:pStyle w:val="Tabletext"/>
              <w:spacing w:line="240" w:lineRule="auto"/>
              <w:jc w:val="left"/>
              <w:rPr>
                <w:rFonts w:ascii="Arial" w:hAnsi="Arial" w:cs="Arial"/>
                <w:sz w:val="16"/>
                <w:szCs w:val="16"/>
              </w:rPr>
            </w:pPr>
            <w:r w:rsidRPr="0025202E">
              <w:rPr>
                <w:rFonts w:ascii="Arial" w:hAnsi="Arial" w:cs="Arial"/>
                <w:sz w:val="16"/>
                <w:szCs w:val="16"/>
              </w:rPr>
              <w:t>HIGH</w:t>
            </w:r>
            <w:r w:rsidR="00310DCD" w:rsidRPr="0025202E">
              <w:rPr>
                <w:rFonts w:ascii="Arial" w:hAnsi="Arial" w:cs="Arial"/>
                <w:sz w:val="16"/>
                <w:szCs w:val="16"/>
              </w:rPr>
              <w:t xml:space="preserve">. </w:t>
            </w:r>
          </w:p>
          <w:p w14:paraId="5D873B93" w14:textId="77777777" w:rsidR="00A07E90" w:rsidRDefault="00A07E90" w:rsidP="00A07E90">
            <w:pPr>
              <w:pStyle w:val="Tabletext"/>
              <w:spacing w:after="0" w:line="240" w:lineRule="auto"/>
              <w:jc w:val="left"/>
              <w:rPr>
                <w:rFonts w:ascii="Arial" w:hAnsi="Arial" w:cs="Arial"/>
                <w:sz w:val="16"/>
                <w:szCs w:val="16"/>
              </w:rPr>
            </w:pPr>
            <w:r>
              <w:rPr>
                <w:rFonts w:ascii="Arial" w:hAnsi="Arial" w:cs="Arial"/>
                <w:sz w:val="16"/>
                <w:szCs w:val="16"/>
              </w:rPr>
              <w:t>All parameters provided for spill modelling have been conservatively estimated to provide the largest credible spill footprint. Conservative thresholds have also been utilised to define this footprint.</w:t>
            </w:r>
          </w:p>
          <w:p w14:paraId="28057196" w14:textId="77777777" w:rsidR="00A07E90" w:rsidRDefault="00A07E90" w:rsidP="00A07E90">
            <w:pPr>
              <w:pStyle w:val="Tabletext"/>
              <w:spacing w:after="0" w:line="240" w:lineRule="auto"/>
              <w:jc w:val="left"/>
              <w:rPr>
                <w:rFonts w:ascii="Arial" w:hAnsi="Arial" w:cs="Arial"/>
                <w:sz w:val="16"/>
                <w:szCs w:val="16"/>
              </w:rPr>
            </w:pPr>
            <w:r>
              <w:rPr>
                <w:rFonts w:ascii="Arial" w:hAnsi="Arial" w:cs="Arial"/>
                <w:sz w:val="16"/>
                <w:szCs w:val="16"/>
              </w:rPr>
              <w:t>Modelling parameters are also conservative on the following basis:</w:t>
            </w:r>
          </w:p>
          <w:p w14:paraId="73E352A4" w14:textId="77777777" w:rsidR="00A07E90" w:rsidRDefault="00A07E90" w:rsidP="0036080A">
            <w:pPr>
              <w:pStyle w:val="Tabletext"/>
              <w:numPr>
                <w:ilvl w:val="0"/>
                <w:numId w:val="27"/>
              </w:numPr>
              <w:spacing w:after="0" w:line="240" w:lineRule="auto"/>
              <w:jc w:val="left"/>
              <w:rPr>
                <w:rFonts w:ascii="Arial" w:hAnsi="Arial" w:cs="Arial"/>
                <w:sz w:val="16"/>
                <w:szCs w:val="16"/>
              </w:rPr>
            </w:pPr>
            <w:r>
              <w:rPr>
                <w:rFonts w:ascii="Arial" w:hAnsi="Arial" w:cs="Arial"/>
                <w:sz w:val="16"/>
                <w:szCs w:val="16"/>
              </w:rPr>
              <w:t>Models used are best practice and industry standard conforming to quality standards  (ASTM Standard F267-07);</w:t>
            </w:r>
          </w:p>
          <w:p w14:paraId="72E664E5" w14:textId="77777777" w:rsidR="00A07E90" w:rsidRDefault="00A07E90" w:rsidP="0036080A">
            <w:pPr>
              <w:pStyle w:val="Tabletext"/>
              <w:numPr>
                <w:ilvl w:val="0"/>
                <w:numId w:val="27"/>
              </w:numPr>
              <w:spacing w:after="0" w:line="240" w:lineRule="auto"/>
              <w:jc w:val="left"/>
              <w:rPr>
                <w:rFonts w:ascii="Arial" w:hAnsi="Arial" w:cs="Arial"/>
                <w:sz w:val="16"/>
                <w:szCs w:val="16"/>
              </w:rPr>
            </w:pPr>
            <w:r>
              <w:rPr>
                <w:rFonts w:ascii="Arial" w:hAnsi="Arial" w:cs="Arial"/>
                <w:sz w:val="16"/>
                <w:szCs w:val="16"/>
              </w:rPr>
              <w:t>Modelled tides and currents have been validated against actual tides and currents;</w:t>
            </w:r>
          </w:p>
          <w:p w14:paraId="0BB9A70C" w14:textId="3BB5CA3B" w:rsidR="00A07E90" w:rsidRDefault="00A07E90" w:rsidP="0036080A">
            <w:pPr>
              <w:pStyle w:val="Tabletext"/>
              <w:numPr>
                <w:ilvl w:val="0"/>
                <w:numId w:val="27"/>
              </w:numPr>
              <w:spacing w:after="0" w:line="240" w:lineRule="auto"/>
              <w:jc w:val="left"/>
              <w:rPr>
                <w:rFonts w:ascii="Arial" w:hAnsi="Arial" w:cs="Arial"/>
                <w:sz w:val="16"/>
                <w:szCs w:val="16"/>
              </w:rPr>
            </w:pPr>
            <w:r>
              <w:rPr>
                <w:rFonts w:ascii="Arial" w:hAnsi="Arial" w:cs="Arial"/>
                <w:sz w:val="16"/>
                <w:szCs w:val="16"/>
              </w:rPr>
              <w:t>Weathering characteristics of MDO have been based upon scientific studies and the degree of confidence is high;</w:t>
            </w:r>
          </w:p>
          <w:p w14:paraId="3CD41D54" w14:textId="16A89C3D" w:rsidR="00310DCD" w:rsidRPr="0025202E" w:rsidRDefault="00A07E90" w:rsidP="0036080A">
            <w:pPr>
              <w:pStyle w:val="Tabletext"/>
              <w:numPr>
                <w:ilvl w:val="0"/>
                <w:numId w:val="27"/>
              </w:numPr>
              <w:spacing w:after="0" w:line="240" w:lineRule="auto"/>
              <w:jc w:val="left"/>
              <w:rPr>
                <w:rFonts w:ascii="Arial" w:hAnsi="Arial" w:cs="Arial"/>
                <w:sz w:val="16"/>
                <w:szCs w:val="16"/>
              </w:rPr>
            </w:pPr>
            <w:r>
              <w:rPr>
                <w:rFonts w:ascii="Arial" w:hAnsi="Arial" w:cs="Arial"/>
                <w:sz w:val="16"/>
                <w:szCs w:val="16"/>
              </w:rPr>
              <w:t>Sample size has been studied by RPS-APASA and shown that variation can occur between 50 and 100 simulation runs however the variation between 100 and 200 simulations results in minimal variation.</w:t>
            </w:r>
            <w:r w:rsidR="00553CD4" w:rsidRPr="0025202E">
              <w:rPr>
                <w:rFonts w:ascii="Arial" w:hAnsi="Arial" w:cs="Arial"/>
                <w:sz w:val="16"/>
                <w:szCs w:val="16"/>
              </w:rPr>
              <w:t xml:space="preserve"> </w:t>
            </w:r>
          </w:p>
        </w:tc>
      </w:tr>
      <w:tr w:rsidR="00310DCD" w:rsidRPr="0025202E" w14:paraId="7833D6C8" w14:textId="77777777" w:rsidTr="008419D4">
        <w:trPr>
          <w:cantSplit/>
        </w:trPr>
        <w:tc>
          <w:tcPr>
            <w:tcW w:w="2121" w:type="dxa"/>
            <w:shd w:val="clear" w:color="auto" w:fill="BFBFBF" w:themeFill="background1" w:themeFillShade="BF"/>
          </w:tcPr>
          <w:p w14:paraId="3681E589" w14:textId="77777777" w:rsidR="00310DCD" w:rsidRPr="0025202E" w:rsidRDefault="00310DCD" w:rsidP="00310DCD">
            <w:pPr>
              <w:pStyle w:val="Tabletext"/>
              <w:spacing w:line="240" w:lineRule="auto"/>
              <w:jc w:val="left"/>
              <w:rPr>
                <w:rFonts w:ascii="Arial" w:hAnsi="Arial" w:cs="Arial"/>
                <w:b/>
                <w:sz w:val="16"/>
                <w:szCs w:val="16"/>
              </w:rPr>
            </w:pPr>
            <w:r w:rsidRPr="0025202E">
              <w:rPr>
                <w:rFonts w:ascii="Arial" w:hAnsi="Arial" w:cs="Arial"/>
                <w:b/>
                <w:sz w:val="16"/>
                <w:szCs w:val="16"/>
              </w:rPr>
              <w:t>Impact decision framework context</w:t>
            </w:r>
          </w:p>
        </w:tc>
        <w:tc>
          <w:tcPr>
            <w:tcW w:w="6951" w:type="dxa"/>
          </w:tcPr>
          <w:p w14:paraId="304F95D5" w14:textId="035C3AEA" w:rsidR="00310DCD" w:rsidRPr="0025202E" w:rsidRDefault="00553CD4" w:rsidP="00553CD4">
            <w:pPr>
              <w:pStyle w:val="Tabletext"/>
              <w:spacing w:line="240" w:lineRule="auto"/>
              <w:jc w:val="left"/>
              <w:rPr>
                <w:rFonts w:ascii="Arial" w:hAnsi="Arial" w:cs="Arial"/>
                <w:sz w:val="16"/>
                <w:szCs w:val="16"/>
              </w:rPr>
            </w:pPr>
            <w:r w:rsidRPr="0025202E">
              <w:rPr>
                <w:rFonts w:ascii="Arial" w:hAnsi="Arial" w:cs="Arial"/>
                <w:sz w:val="16"/>
                <w:szCs w:val="16"/>
              </w:rPr>
              <w:t xml:space="preserve">B. The activity is a standard operation and well understood, it is not new to the area and good practice is well defined. </w:t>
            </w:r>
            <w:r w:rsidR="00D41DDF" w:rsidRPr="00B62FA1">
              <w:rPr>
                <w:rFonts w:ascii="Arial" w:hAnsi="Arial" w:cs="Arial"/>
                <w:i/>
                <w:sz w:val="16"/>
                <w:szCs w:val="16"/>
              </w:rPr>
              <w:t>ALARP demonstrated through use of probabilistic modelling has been performed to assess potential impacts</w:t>
            </w:r>
            <w:r w:rsidRPr="0025202E">
              <w:rPr>
                <w:rFonts w:ascii="Arial" w:hAnsi="Arial" w:cs="Arial"/>
                <w:sz w:val="16"/>
                <w:szCs w:val="16"/>
              </w:rPr>
              <w:t>.</w:t>
            </w:r>
          </w:p>
        </w:tc>
      </w:tr>
    </w:tbl>
    <w:p w14:paraId="5A3ED2CC" w14:textId="77777777" w:rsidR="002813FF" w:rsidRDefault="002813FF" w:rsidP="007451AA">
      <w:pPr>
        <w:pStyle w:val="BodyText"/>
      </w:pPr>
      <w:bookmarkStart w:id="298" w:name="_Ref476496553"/>
      <w:bookmarkStart w:id="299" w:name="_Ref476496589"/>
    </w:p>
    <w:p w14:paraId="69C58CD7" w14:textId="466F4521" w:rsidR="00552B8C" w:rsidRDefault="00552B8C" w:rsidP="00E439A6">
      <w:pPr>
        <w:autoSpaceDE w:val="0"/>
        <w:autoSpaceDN w:val="0"/>
        <w:adjustRightInd w:val="0"/>
        <w:outlineLvl w:val="9"/>
        <w:rPr>
          <w:rFonts w:ascii="ArialMT" w:eastAsia="Calibri" w:hAnsi="ArialMT" w:cs="ArialMT"/>
          <w:kern w:val="0"/>
          <w:sz w:val="20"/>
          <w:szCs w:val="20"/>
          <w:lang w:eastAsia="en-US"/>
        </w:rPr>
      </w:pPr>
      <w:r>
        <w:rPr>
          <w:rFonts w:ascii="ArialMT" w:eastAsia="Calibri" w:hAnsi="ArialMT" w:cs="ArialMT"/>
          <w:kern w:val="0"/>
          <w:sz w:val="20"/>
          <w:szCs w:val="20"/>
          <w:lang w:eastAsia="en-US"/>
        </w:rPr>
        <w:t>Control measures for this hazard should be read in conjunction with the prevention of displacement of third party vessels (refer Section 6.16).</w:t>
      </w:r>
    </w:p>
    <w:p w14:paraId="5AB8FD14" w14:textId="77777777" w:rsidR="00552B8C" w:rsidRDefault="00552B8C" w:rsidP="00E439A6">
      <w:pPr>
        <w:autoSpaceDE w:val="0"/>
        <w:autoSpaceDN w:val="0"/>
        <w:adjustRightInd w:val="0"/>
        <w:outlineLvl w:val="9"/>
        <w:rPr>
          <w:rFonts w:ascii="ArialMT" w:eastAsia="Calibri" w:hAnsi="ArialMT" w:cs="ArialMT"/>
          <w:kern w:val="0"/>
          <w:sz w:val="20"/>
          <w:szCs w:val="20"/>
          <w:lang w:eastAsia="en-US"/>
        </w:rPr>
      </w:pPr>
      <w:r>
        <w:rPr>
          <w:rFonts w:ascii="ArialMT" w:eastAsia="Calibri" w:hAnsi="ArialMT" w:cs="ArialMT"/>
          <w:kern w:val="0"/>
          <w:sz w:val="20"/>
          <w:szCs w:val="20"/>
          <w:lang w:eastAsia="en-US"/>
        </w:rPr>
        <w:t>Additional control measures to be implemented to eliminate or mitigate spills to the environment</w:t>
      </w:r>
    </w:p>
    <w:p w14:paraId="05D1D477" w14:textId="77777777" w:rsidR="00552B8C" w:rsidRDefault="00552B8C" w:rsidP="00E439A6">
      <w:pPr>
        <w:autoSpaceDE w:val="0"/>
        <w:autoSpaceDN w:val="0"/>
        <w:adjustRightInd w:val="0"/>
        <w:outlineLvl w:val="9"/>
        <w:rPr>
          <w:rFonts w:ascii="ArialMT" w:eastAsia="Calibri" w:hAnsi="ArialMT" w:cs="ArialMT"/>
          <w:kern w:val="0"/>
          <w:sz w:val="20"/>
          <w:szCs w:val="20"/>
          <w:lang w:eastAsia="en-US"/>
        </w:rPr>
      </w:pPr>
      <w:r>
        <w:rPr>
          <w:rFonts w:ascii="ArialMT" w:eastAsia="Calibri" w:hAnsi="ArialMT" w:cs="ArialMT"/>
          <w:kern w:val="0"/>
          <w:sz w:val="20"/>
          <w:szCs w:val="20"/>
          <w:lang w:eastAsia="en-US"/>
        </w:rPr>
        <w:t>include:</w:t>
      </w:r>
    </w:p>
    <w:p w14:paraId="5DD097CB" w14:textId="03D3FE94" w:rsidR="00552B8C" w:rsidRPr="00552B8C" w:rsidRDefault="00552B8C" w:rsidP="00E439A6">
      <w:pPr>
        <w:pStyle w:val="ListParagraph"/>
        <w:numPr>
          <w:ilvl w:val="0"/>
          <w:numId w:val="44"/>
        </w:numPr>
        <w:autoSpaceDE w:val="0"/>
        <w:autoSpaceDN w:val="0"/>
        <w:adjustRightInd w:val="0"/>
        <w:contextualSpacing w:val="0"/>
        <w:outlineLvl w:val="9"/>
        <w:rPr>
          <w:rFonts w:ascii="ArialMT" w:eastAsia="Calibri" w:hAnsi="ArialMT" w:cs="ArialMT"/>
          <w:kern w:val="0"/>
          <w:sz w:val="20"/>
          <w:szCs w:val="20"/>
          <w:lang w:eastAsia="en-US"/>
        </w:rPr>
      </w:pPr>
      <w:r w:rsidRPr="00552B8C">
        <w:rPr>
          <w:rFonts w:ascii="Arial-ItalicMT" w:eastAsia="Calibri" w:hAnsi="Arial-ItalicMT" w:cs="Arial-ItalicMT"/>
          <w:i/>
          <w:iCs/>
          <w:kern w:val="0"/>
          <w:sz w:val="20"/>
          <w:szCs w:val="20"/>
          <w:lang w:eastAsia="en-US"/>
        </w:rPr>
        <w:t xml:space="preserve">Fuel Selection: </w:t>
      </w:r>
      <w:r w:rsidRPr="00552B8C">
        <w:rPr>
          <w:rFonts w:ascii="ArialMT" w:eastAsia="Calibri" w:hAnsi="ArialMT" w:cs="ArialMT"/>
          <w:kern w:val="0"/>
          <w:sz w:val="20"/>
          <w:szCs w:val="20"/>
          <w:lang w:eastAsia="en-US"/>
        </w:rPr>
        <w:t>Fuel use on-board is marine diesel.</w:t>
      </w:r>
    </w:p>
    <w:p w14:paraId="265C3A4A" w14:textId="7B49C061" w:rsidR="00552B8C" w:rsidRPr="00552B8C" w:rsidRDefault="00552B8C" w:rsidP="00E439A6">
      <w:pPr>
        <w:pStyle w:val="ListParagraph"/>
        <w:numPr>
          <w:ilvl w:val="0"/>
          <w:numId w:val="44"/>
        </w:numPr>
        <w:autoSpaceDE w:val="0"/>
        <w:autoSpaceDN w:val="0"/>
        <w:adjustRightInd w:val="0"/>
        <w:contextualSpacing w:val="0"/>
        <w:outlineLvl w:val="9"/>
        <w:rPr>
          <w:rFonts w:ascii="ArialMT" w:eastAsia="Calibri" w:hAnsi="ArialMT" w:cs="ArialMT"/>
          <w:kern w:val="0"/>
          <w:sz w:val="20"/>
          <w:szCs w:val="20"/>
          <w:lang w:eastAsia="en-US"/>
        </w:rPr>
      </w:pPr>
      <w:r w:rsidRPr="00552B8C">
        <w:rPr>
          <w:rFonts w:ascii="Arial-ItalicMT" w:eastAsia="Calibri" w:hAnsi="Arial-ItalicMT" w:cs="Arial-ItalicMT"/>
          <w:i/>
          <w:iCs/>
          <w:kern w:val="0"/>
          <w:sz w:val="20"/>
          <w:szCs w:val="20"/>
          <w:lang w:eastAsia="en-US"/>
        </w:rPr>
        <w:t xml:space="preserve">Refuelling: </w:t>
      </w:r>
      <w:r w:rsidRPr="00552B8C">
        <w:rPr>
          <w:rFonts w:ascii="ArialMT" w:eastAsia="Calibri" w:hAnsi="ArialMT" w:cs="ArialMT"/>
          <w:kern w:val="0"/>
          <w:sz w:val="20"/>
          <w:szCs w:val="20"/>
          <w:lang w:eastAsia="en-US"/>
        </w:rPr>
        <w:t>No refuelling will be undertaken at sea (this will be done in port).</w:t>
      </w:r>
    </w:p>
    <w:p w14:paraId="3B34DFCE" w14:textId="03C3B2E5" w:rsidR="00552B8C" w:rsidRPr="00552B8C" w:rsidRDefault="00552B8C" w:rsidP="00E439A6">
      <w:pPr>
        <w:pStyle w:val="ListParagraph"/>
        <w:numPr>
          <w:ilvl w:val="0"/>
          <w:numId w:val="44"/>
        </w:numPr>
        <w:autoSpaceDE w:val="0"/>
        <w:autoSpaceDN w:val="0"/>
        <w:adjustRightInd w:val="0"/>
        <w:contextualSpacing w:val="0"/>
        <w:outlineLvl w:val="9"/>
        <w:rPr>
          <w:rFonts w:ascii="ArialMT" w:eastAsia="Calibri" w:hAnsi="ArialMT" w:cs="ArialMT"/>
          <w:kern w:val="0"/>
          <w:sz w:val="20"/>
          <w:szCs w:val="20"/>
          <w:lang w:eastAsia="en-US"/>
        </w:rPr>
      </w:pPr>
      <w:r w:rsidRPr="00552B8C">
        <w:rPr>
          <w:rFonts w:ascii="Arial-ItalicMT" w:eastAsia="Calibri" w:hAnsi="Arial-ItalicMT" w:cs="Arial-ItalicMT"/>
          <w:i/>
          <w:iCs/>
          <w:kern w:val="0"/>
          <w:sz w:val="20"/>
          <w:szCs w:val="20"/>
          <w:lang w:eastAsia="en-US"/>
        </w:rPr>
        <w:t xml:space="preserve">Vessel Selection: </w:t>
      </w:r>
      <w:r w:rsidRPr="00552B8C">
        <w:rPr>
          <w:rFonts w:ascii="ArialMT" w:eastAsia="Calibri" w:hAnsi="ArialMT" w:cs="ArialMT"/>
          <w:kern w:val="0"/>
          <w:sz w:val="20"/>
          <w:szCs w:val="20"/>
          <w:lang w:eastAsia="en-US"/>
        </w:rPr>
        <w:t>The vessel selected for IMR activities will meet:</w:t>
      </w:r>
    </w:p>
    <w:p w14:paraId="767AC124" w14:textId="384C2940" w:rsidR="00552B8C" w:rsidRPr="00552B8C" w:rsidRDefault="00552B8C" w:rsidP="00E439A6">
      <w:pPr>
        <w:pStyle w:val="ListParagraph"/>
        <w:numPr>
          <w:ilvl w:val="1"/>
          <w:numId w:val="44"/>
        </w:numPr>
        <w:autoSpaceDE w:val="0"/>
        <w:autoSpaceDN w:val="0"/>
        <w:adjustRightInd w:val="0"/>
        <w:contextualSpacing w:val="0"/>
        <w:outlineLvl w:val="9"/>
        <w:rPr>
          <w:rFonts w:ascii="ArialMT" w:eastAsia="Calibri" w:hAnsi="ArialMT" w:cs="ArialMT"/>
          <w:kern w:val="0"/>
          <w:sz w:val="20"/>
          <w:szCs w:val="20"/>
          <w:lang w:eastAsia="en-US"/>
        </w:rPr>
      </w:pPr>
      <w:r w:rsidRPr="00552B8C">
        <w:rPr>
          <w:rFonts w:ascii="ArialMT" w:eastAsia="Calibri" w:hAnsi="ArialMT" w:cs="ArialMT"/>
          <w:kern w:val="0"/>
          <w:sz w:val="20"/>
          <w:szCs w:val="20"/>
          <w:lang w:eastAsia="en-US"/>
        </w:rPr>
        <w:t>Class certification requirements under the Navigation Act 2012;</w:t>
      </w:r>
    </w:p>
    <w:p w14:paraId="5E508414" w14:textId="2290295D" w:rsidR="00552B8C" w:rsidRPr="00552B8C" w:rsidRDefault="00552B8C" w:rsidP="00E439A6">
      <w:pPr>
        <w:pStyle w:val="ListParagraph"/>
        <w:numPr>
          <w:ilvl w:val="1"/>
          <w:numId w:val="44"/>
        </w:numPr>
        <w:autoSpaceDE w:val="0"/>
        <w:autoSpaceDN w:val="0"/>
        <w:adjustRightInd w:val="0"/>
        <w:contextualSpacing w:val="0"/>
        <w:outlineLvl w:val="9"/>
        <w:rPr>
          <w:rFonts w:ascii="ArialMT" w:eastAsia="Calibri" w:hAnsi="ArialMT" w:cs="ArialMT"/>
          <w:kern w:val="0"/>
          <w:sz w:val="20"/>
          <w:szCs w:val="20"/>
          <w:lang w:eastAsia="en-US"/>
        </w:rPr>
      </w:pPr>
      <w:r w:rsidRPr="00552B8C">
        <w:rPr>
          <w:rFonts w:ascii="ArialMT" w:eastAsia="Calibri" w:hAnsi="ArialMT" w:cs="ArialMT"/>
          <w:kern w:val="0"/>
          <w:sz w:val="20"/>
          <w:szCs w:val="20"/>
          <w:lang w:eastAsia="en-US"/>
        </w:rPr>
        <w:t>Relevant crew shall hold valid STCW certificates (or equivalent to class);</w:t>
      </w:r>
    </w:p>
    <w:p w14:paraId="458ECCA7" w14:textId="174236DA" w:rsidR="00552B8C" w:rsidRPr="00552B8C" w:rsidRDefault="00552B8C" w:rsidP="00E439A6">
      <w:pPr>
        <w:pStyle w:val="ListParagraph"/>
        <w:numPr>
          <w:ilvl w:val="1"/>
          <w:numId w:val="44"/>
        </w:numPr>
        <w:autoSpaceDE w:val="0"/>
        <w:autoSpaceDN w:val="0"/>
        <w:adjustRightInd w:val="0"/>
        <w:contextualSpacing w:val="0"/>
        <w:outlineLvl w:val="9"/>
        <w:rPr>
          <w:rFonts w:ascii="ArialMT" w:eastAsia="Calibri" w:hAnsi="ArialMT" w:cs="ArialMT"/>
          <w:kern w:val="0"/>
          <w:sz w:val="20"/>
          <w:szCs w:val="20"/>
          <w:lang w:eastAsia="en-US"/>
        </w:rPr>
      </w:pPr>
      <w:r w:rsidRPr="00552B8C">
        <w:rPr>
          <w:rFonts w:ascii="ArialMT" w:eastAsia="Calibri" w:hAnsi="ArialMT" w:cs="ArialMT"/>
          <w:kern w:val="0"/>
          <w:sz w:val="20"/>
          <w:szCs w:val="20"/>
          <w:lang w:eastAsia="en-US"/>
        </w:rPr>
        <w:t>Marine Inspection for Small Workboats IMCA audit shows vessel safety and integrity requirements are met.</w:t>
      </w:r>
    </w:p>
    <w:p w14:paraId="53DA2489" w14:textId="724ECDDB" w:rsidR="00552B8C" w:rsidRPr="00552B8C" w:rsidRDefault="00552B8C" w:rsidP="00E439A6">
      <w:pPr>
        <w:pStyle w:val="ListParagraph"/>
        <w:numPr>
          <w:ilvl w:val="0"/>
          <w:numId w:val="44"/>
        </w:numPr>
        <w:autoSpaceDE w:val="0"/>
        <w:autoSpaceDN w:val="0"/>
        <w:adjustRightInd w:val="0"/>
        <w:ind w:left="714" w:hanging="357"/>
        <w:contextualSpacing w:val="0"/>
        <w:outlineLvl w:val="9"/>
        <w:rPr>
          <w:rFonts w:ascii="ArialMT" w:eastAsia="Calibri" w:hAnsi="ArialMT" w:cs="ArialMT"/>
          <w:kern w:val="0"/>
          <w:sz w:val="20"/>
          <w:szCs w:val="20"/>
          <w:lang w:eastAsia="en-US"/>
        </w:rPr>
      </w:pPr>
      <w:r w:rsidRPr="00552B8C">
        <w:rPr>
          <w:rFonts w:ascii="Arial-ItalicMT" w:eastAsia="Calibri" w:hAnsi="Arial-ItalicMT" w:cs="Arial-ItalicMT"/>
          <w:i/>
          <w:iCs/>
          <w:kern w:val="0"/>
          <w:sz w:val="20"/>
          <w:szCs w:val="20"/>
          <w:lang w:eastAsia="en-US"/>
        </w:rPr>
        <w:t xml:space="preserve">SMPEP Implementation: </w:t>
      </w:r>
      <w:r w:rsidRPr="00552B8C">
        <w:rPr>
          <w:rFonts w:ascii="ArialMT" w:eastAsia="Calibri" w:hAnsi="ArialMT" w:cs="ArialMT"/>
          <w:kern w:val="0"/>
          <w:sz w:val="20"/>
          <w:szCs w:val="20"/>
          <w:lang w:eastAsia="en-US"/>
        </w:rPr>
        <w:t>Vessels have a current approved SMPEP (or equivalent appropriate to class) that is implemented in a spill event.</w:t>
      </w:r>
    </w:p>
    <w:p w14:paraId="2D4A87E4" w14:textId="79026537" w:rsidR="00552B8C" w:rsidRPr="00552B8C" w:rsidRDefault="00552B8C" w:rsidP="00E439A6">
      <w:pPr>
        <w:pStyle w:val="ListParagraph"/>
        <w:numPr>
          <w:ilvl w:val="0"/>
          <w:numId w:val="44"/>
        </w:numPr>
        <w:autoSpaceDE w:val="0"/>
        <w:autoSpaceDN w:val="0"/>
        <w:adjustRightInd w:val="0"/>
        <w:ind w:left="714" w:hanging="357"/>
        <w:contextualSpacing w:val="0"/>
        <w:outlineLvl w:val="9"/>
        <w:rPr>
          <w:rFonts w:ascii="ArialMT" w:eastAsia="Calibri" w:hAnsi="ArialMT" w:cs="ArialMT"/>
          <w:kern w:val="0"/>
          <w:sz w:val="20"/>
          <w:szCs w:val="20"/>
          <w:lang w:eastAsia="en-US"/>
        </w:rPr>
      </w:pPr>
      <w:r w:rsidRPr="00552B8C">
        <w:rPr>
          <w:rFonts w:ascii="Arial-ItalicMT" w:eastAsia="Calibri" w:hAnsi="Arial-ItalicMT" w:cs="Arial-ItalicMT"/>
          <w:i/>
          <w:iCs/>
          <w:kern w:val="0"/>
          <w:sz w:val="20"/>
          <w:szCs w:val="20"/>
          <w:lang w:eastAsia="en-US"/>
        </w:rPr>
        <w:t>SMPEP Crew Induction</w:t>
      </w:r>
      <w:r w:rsidRPr="00552B8C">
        <w:rPr>
          <w:rFonts w:ascii="ArialMT" w:eastAsia="Calibri" w:hAnsi="ArialMT" w:cs="ArialMT"/>
          <w:kern w:val="0"/>
          <w:sz w:val="20"/>
          <w:szCs w:val="20"/>
          <w:lang w:eastAsia="en-US"/>
        </w:rPr>
        <w:t>: Vessel crew members are inducted and trained into vessel spill response procedures.</w:t>
      </w:r>
    </w:p>
    <w:p w14:paraId="436C6B85" w14:textId="78FB3C1B" w:rsidR="00552B8C" w:rsidRPr="00552B8C" w:rsidRDefault="00552B8C" w:rsidP="00E439A6">
      <w:pPr>
        <w:pStyle w:val="ListParagraph"/>
        <w:numPr>
          <w:ilvl w:val="0"/>
          <w:numId w:val="44"/>
        </w:numPr>
        <w:autoSpaceDE w:val="0"/>
        <w:autoSpaceDN w:val="0"/>
        <w:adjustRightInd w:val="0"/>
        <w:ind w:left="714" w:hanging="357"/>
        <w:contextualSpacing w:val="0"/>
        <w:outlineLvl w:val="9"/>
        <w:rPr>
          <w:rFonts w:ascii="ArialMT" w:eastAsia="Calibri" w:hAnsi="ArialMT" w:cs="ArialMT"/>
          <w:kern w:val="0"/>
          <w:sz w:val="20"/>
          <w:szCs w:val="20"/>
          <w:lang w:eastAsia="en-US"/>
        </w:rPr>
      </w:pPr>
      <w:r w:rsidRPr="00552B8C">
        <w:rPr>
          <w:rFonts w:ascii="Arial-ItalicMT" w:eastAsia="Calibri" w:hAnsi="Arial-ItalicMT" w:cs="Arial-ItalicMT"/>
          <w:i/>
          <w:iCs/>
          <w:kern w:val="0"/>
          <w:sz w:val="20"/>
          <w:szCs w:val="20"/>
          <w:lang w:eastAsia="en-US"/>
        </w:rPr>
        <w:t>Vessel SMPEP Exercises/Drills</w:t>
      </w:r>
      <w:r w:rsidRPr="00552B8C">
        <w:rPr>
          <w:rFonts w:ascii="ArialMT" w:eastAsia="Calibri" w:hAnsi="ArialMT" w:cs="ArialMT"/>
          <w:kern w:val="0"/>
          <w:sz w:val="20"/>
          <w:szCs w:val="20"/>
          <w:lang w:eastAsia="en-US"/>
        </w:rPr>
        <w:t>: Vessel implements routine emergency exercises (including spills) as part of its drills matrix.</w:t>
      </w:r>
    </w:p>
    <w:p w14:paraId="2157D766" w14:textId="57D7455E" w:rsidR="00552B8C" w:rsidRPr="00552B8C" w:rsidRDefault="00552B8C" w:rsidP="00E439A6">
      <w:pPr>
        <w:pStyle w:val="ListParagraph"/>
        <w:numPr>
          <w:ilvl w:val="0"/>
          <w:numId w:val="44"/>
        </w:numPr>
        <w:autoSpaceDE w:val="0"/>
        <w:autoSpaceDN w:val="0"/>
        <w:adjustRightInd w:val="0"/>
        <w:ind w:left="714" w:hanging="357"/>
        <w:contextualSpacing w:val="0"/>
        <w:outlineLvl w:val="9"/>
        <w:rPr>
          <w:rFonts w:ascii="ArialMT" w:eastAsia="Calibri" w:hAnsi="ArialMT" w:cs="ArialMT"/>
          <w:kern w:val="0"/>
          <w:sz w:val="20"/>
          <w:szCs w:val="20"/>
          <w:lang w:eastAsia="en-US"/>
        </w:rPr>
      </w:pPr>
      <w:r w:rsidRPr="00552B8C">
        <w:rPr>
          <w:rFonts w:ascii="Arial-ItalicMT" w:eastAsia="Calibri" w:hAnsi="Arial-ItalicMT" w:cs="Arial-ItalicMT"/>
          <w:i/>
          <w:iCs/>
          <w:kern w:val="0"/>
          <w:sz w:val="20"/>
          <w:szCs w:val="20"/>
          <w:lang w:eastAsia="en-US"/>
        </w:rPr>
        <w:t>OPEP Exercise</w:t>
      </w:r>
      <w:r w:rsidRPr="00552B8C">
        <w:rPr>
          <w:rFonts w:ascii="ArialMT" w:eastAsia="Calibri" w:hAnsi="ArialMT" w:cs="ArialMT"/>
          <w:kern w:val="0"/>
          <w:sz w:val="20"/>
          <w:szCs w:val="20"/>
          <w:lang w:eastAsia="en-US"/>
        </w:rPr>
        <w:t>: Prior to IMR activities an oil spill response exercise will be conducted to test interfaces between the SMPEP, OPEP, the National Plan for Maritime</w:t>
      </w:r>
    </w:p>
    <w:p w14:paraId="0EBC732F" w14:textId="53CD0553" w:rsidR="00552B8C" w:rsidRPr="00552B8C" w:rsidRDefault="00552B8C" w:rsidP="00E439A6">
      <w:pPr>
        <w:pStyle w:val="ListParagraph"/>
        <w:numPr>
          <w:ilvl w:val="0"/>
          <w:numId w:val="44"/>
        </w:numPr>
        <w:autoSpaceDE w:val="0"/>
        <w:autoSpaceDN w:val="0"/>
        <w:adjustRightInd w:val="0"/>
        <w:ind w:left="714" w:hanging="357"/>
        <w:contextualSpacing w:val="0"/>
        <w:outlineLvl w:val="9"/>
        <w:rPr>
          <w:rFonts w:ascii="ArialMT" w:eastAsia="Calibri" w:hAnsi="ArialMT" w:cs="ArialMT"/>
          <w:kern w:val="0"/>
          <w:sz w:val="16"/>
          <w:szCs w:val="16"/>
          <w:lang w:eastAsia="en-US"/>
        </w:rPr>
      </w:pPr>
      <w:r w:rsidRPr="00552B8C">
        <w:rPr>
          <w:rFonts w:ascii="ArialMT" w:eastAsia="Calibri" w:hAnsi="ArialMT" w:cs="ArialMT"/>
          <w:kern w:val="0"/>
          <w:sz w:val="20"/>
          <w:szCs w:val="20"/>
          <w:lang w:eastAsia="en-US"/>
        </w:rPr>
        <w:t>Environmental Emergencies (NATPLAN) and Victorian Maritime Emergency (Non search and Rescue) Plan</w:t>
      </w:r>
      <w:r w:rsidRPr="00552B8C">
        <w:rPr>
          <w:rFonts w:ascii="ArialMT" w:eastAsia="Calibri" w:hAnsi="ArialMT" w:cs="ArialMT"/>
          <w:kern w:val="0"/>
          <w:sz w:val="16"/>
          <w:szCs w:val="16"/>
          <w:lang w:eastAsia="en-US"/>
        </w:rPr>
        <w:t>.</w:t>
      </w:r>
    </w:p>
    <w:p w14:paraId="5D541B6E" w14:textId="084195B8" w:rsidR="00552B8C" w:rsidRPr="00552B8C" w:rsidRDefault="00552B8C" w:rsidP="00E439A6">
      <w:pPr>
        <w:pStyle w:val="ListParagraph"/>
        <w:numPr>
          <w:ilvl w:val="0"/>
          <w:numId w:val="44"/>
        </w:numPr>
        <w:autoSpaceDE w:val="0"/>
        <w:autoSpaceDN w:val="0"/>
        <w:adjustRightInd w:val="0"/>
        <w:ind w:left="714" w:hanging="357"/>
        <w:contextualSpacing w:val="0"/>
        <w:outlineLvl w:val="9"/>
        <w:rPr>
          <w:rFonts w:ascii="ArialMT" w:eastAsia="Calibri" w:hAnsi="ArialMT" w:cs="ArialMT"/>
          <w:kern w:val="0"/>
          <w:sz w:val="20"/>
          <w:szCs w:val="20"/>
          <w:lang w:eastAsia="en-US"/>
        </w:rPr>
      </w:pPr>
      <w:r w:rsidRPr="00552B8C">
        <w:rPr>
          <w:rFonts w:ascii="Arial-ItalicMT" w:eastAsia="Calibri" w:hAnsi="Arial-ItalicMT" w:cs="Arial-ItalicMT"/>
          <w:i/>
          <w:iCs/>
          <w:kern w:val="0"/>
          <w:sz w:val="20"/>
          <w:szCs w:val="20"/>
          <w:lang w:eastAsia="en-US"/>
        </w:rPr>
        <w:t>Spill Reporting</w:t>
      </w:r>
      <w:r w:rsidRPr="00552B8C">
        <w:rPr>
          <w:rFonts w:ascii="ArialMT" w:eastAsia="Calibri" w:hAnsi="ArialMT" w:cs="ArialMT"/>
          <w:kern w:val="0"/>
          <w:sz w:val="20"/>
          <w:szCs w:val="20"/>
          <w:lang w:eastAsia="en-US"/>
        </w:rPr>
        <w:t>: Cooper will report the spill to regulatory authorities within 2 hours of becomes aware of the spill.</w:t>
      </w:r>
    </w:p>
    <w:p w14:paraId="5682FA73" w14:textId="6F7F22AB" w:rsidR="00552B8C" w:rsidRDefault="00552B8C" w:rsidP="00E439A6">
      <w:pPr>
        <w:pStyle w:val="ListParagraph"/>
        <w:numPr>
          <w:ilvl w:val="0"/>
          <w:numId w:val="44"/>
        </w:numPr>
        <w:autoSpaceDE w:val="0"/>
        <w:autoSpaceDN w:val="0"/>
        <w:adjustRightInd w:val="0"/>
        <w:ind w:left="714" w:hanging="357"/>
        <w:contextualSpacing w:val="0"/>
        <w:outlineLvl w:val="9"/>
        <w:rPr>
          <w:rFonts w:ascii="ArialMT" w:eastAsia="Calibri" w:hAnsi="ArialMT" w:cs="ArialMT"/>
          <w:kern w:val="0"/>
          <w:sz w:val="20"/>
          <w:szCs w:val="20"/>
          <w:lang w:eastAsia="en-US"/>
        </w:rPr>
      </w:pPr>
      <w:r w:rsidRPr="00552B8C">
        <w:rPr>
          <w:rFonts w:ascii="Arial-ItalicMT" w:eastAsia="Calibri" w:hAnsi="Arial-ItalicMT" w:cs="Arial-ItalicMT"/>
          <w:i/>
          <w:iCs/>
          <w:kern w:val="0"/>
          <w:sz w:val="20"/>
          <w:szCs w:val="20"/>
          <w:lang w:eastAsia="en-US"/>
        </w:rPr>
        <w:t>OPEP Implementation</w:t>
      </w:r>
      <w:r w:rsidRPr="00552B8C">
        <w:rPr>
          <w:rFonts w:ascii="ArialMT" w:eastAsia="Calibri" w:hAnsi="ArialMT" w:cs="ArialMT"/>
          <w:kern w:val="0"/>
          <w:sz w:val="20"/>
          <w:szCs w:val="20"/>
          <w:lang w:eastAsia="en-US"/>
        </w:rPr>
        <w:t>: The Cooper Offshore Victoria OPEP is implemented in response to a spill during IMR activities;</w:t>
      </w:r>
    </w:p>
    <w:p w14:paraId="4A88C72A" w14:textId="76136485" w:rsidR="00432387" w:rsidRDefault="00552B8C" w:rsidP="00E439A6">
      <w:pPr>
        <w:pStyle w:val="ListParagraph"/>
        <w:numPr>
          <w:ilvl w:val="0"/>
          <w:numId w:val="44"/>
        </w:numPr>
        <w:autoSpaceDE w:val="0"/>
        <w:autoSpaceDN w:val="0"/>
        <w:adjustRightInd w:val="0"/>
        <w:ind w:left="714" w:hanging="357"/>
        <w:contextualSpacing w:val="0"/>
        <w:outlineLvl w:val="9"/>
      </w:pPr>
      <w:r w:rsidRPr="00552B8C">
        <w:rPr>
          <w:rFonts w:ascii="Arial-ItalicMT" w:eastAsia="Calibri" w:hAnsi="Arial-ItalicMT" w:cs="Arial-ItalicMT"/>
          <w:i/>
          <w:iCs/>
          <w:kern w:val="0"/>
          <w:sz w:val="20"/>
          <w:szCs w:val="20"/>
          <w:lang w:eastAsia="en-US"/>
        </w:rPr>
        <w:t>Operational and Scientific Monitoring Plan (OSMP) Implementation</w:t>
      </w:r>
      <w:r w:rsidRPr="00552B8C">
        <w:rPr>
          <w:rFonts w:ascii="ArialMT" w:eastAsia="Calibri" w:hAnsi="ArialMT" w:cs="ArialMT"/>
          <w:kern w:val="0"/>
          <w:sz w:val="20"/>
          <w:szCs w:val="20"/>
          <w:lang w:eastAsia="en-US"/>
        </w:rPr>
        <w:t>: Cooper will undertake operational and scientific monitoring in accordance with the Offshore Victorian OSMP.</w:t>
      </w:r>
      <w:r w:rsidR="007451AA">
        <w:br w:type="page"/>
      </w:r>
      <w:bookmarkEnd w:id="298"/>
      <w:bookmarkEnd w:id="299"/>
    </w:p>
    <w:p w14:paraId="3A736B84" w14:textId="731E2345" w:rsidR="0083668A" w:rsidRDefault="00EC6F7A" w:rsidP="004705DB">
      <w:pPr>
        <w:pStyle w:val="Heading1"/>
      </w:pPr>
      <w:bookmarkStart w:id="300" w:name="_Toc512862492"/>
      <w:r>
        <w:lastRenderedPageBreak/>
        <w:t>Environmental Performance Monitoring</w:t>
      </w:r>
      <w:bookmarkEnd w:id="300"/>
      <w:r w:rsidR="00FA6764">
        <w:t xml:space="preserve"> </w:t>
      </w:r>
    </w:p>
    <w:p w14:paraId="1CDE9674" w14:textId="7B2F931E" w:rsidR="00EC6F7A" w:rsidRDefault="00EC6F7A" w:rsidP="0036080A">
      <w:pPr>
        <w:pStyle w:val="Heading2"/>
        <w:numPr>
          <w:ilvl w:val="1"/>
          <w:numId w:val="24"/>
        </w:numPr>
      </w:pPr>
      <w:bookmarkStart w:id="301" w:name="_Ref474321698"/>
      <w:bookmarkStart w:id="302" w:name="_Toc512862493"/>
      <w:r>
        <w:t>Implementation</w:t>
      </w:r>
      <w:bookmarkEnd w:id="302"/>
    </w:p>
    <w:p w14:paraId="6BA41F3B" w14:textId="47490BA5" w:rsidR="00EC6F7A" w:rsidRPr="00DF53BC" w:rsidRDefault="00EC6F7A" w:rsidP="00DF53BC">
      <w:pPr>
        <w:pStyle w:val="BodyText"/>
        <w:ind w:left="720"/>
        <w:rPr>
          <w:lang w:eastAsia="en-US"/>
        </w:rPr>
      </w:pPr>
      <w:r w:rsidRPr="00DF53BC">
        <w:rPr>
          <w:lang w:eastAsia="en-US"/>
        </w:rPr>
        <w:t>Cooper manages the environmental impacts and risks associated with the CHN operational</w:t>
      </w:r>
      <w:r w:rsidR="00DF53BC" w:rsidRPr="00DF53BC">
        <w:rPr>
          <w:lang w:eastAsia="en-US"/>
        </w:rPr>
        <w:t xml:space="preserve"> </w:t>
      </w:r>
      <w:r w:rsidRPr="00DF53BC">
        <w:rPr>
          <w:lang w:eastAsia="en-US"/>
        </w:rPr>
        <w:t>activity to ALARP and acceptable levels through the implementation of the Cooper Health,</w:t>
      </w:r>
      <w:r w:rsidR="00DF53BC" w:rsidRPr="00DF53BC">
        <w:rPr>
          <w:lang w:eastAsia="en-US"/>
        </w:rPr>
        <w:t xml:space="preserve"> </w:t>
      </w:r>
      <w:r w:rsidRPr="00DF53BC">
        <w:rPr>
          <w:lang w:eastAsia="en-US"/>
        </w:rPr>
        <w:t>Safety, Environment and Community (HSEC) Management System (MS). The HSEC MS is a</w:t>
      </w:r>
      <w:r w:rsidR="00DF53BC" w:rsidRPr="00DF53BC">
        <w:rPr>
          <w:lang w:eastAsia="en-US"/>
        </w:rPr>
        <w:t xml:space="preserve"> </w:t>
      </w:r>
      <w:r w:rsidRPr="00DF53BC">
        <w:rPr>
          <w:lang w:eastAsia="en-US"/>
        </w:rPr>
        <w:t xml:space="preserve">formal and consistent </w:t>
      </w:r>
      <w:r w:rsidR="00DF53BC" w:rsidRPr="00DF53BC">
        <w:rPr>
          <w:lang w:eastAsia="en-US"/>
        </w:rPr>
        <w:t>f</w:t>
      </w:r>
      <w:r w:rsidRPr="00DF53BC">
        <w:rPr>
          <w:lang w:eastAsia="en-US"/>
        </w:rPr>
        <w:t>ramework for all activities performed by Cooper and contracted</w:t>
      </w:r>
      <w:r w:rsidR="00DF53BC">
        <w:rPr>
          <w:lang w:eastAsia="en-US"/>
        </w:rPr>
        <w:t xml:space="preserve"> </w:t>
      </w:r>
      <w:r w:rsidRPr="00DF53BC">
        <w:rPr>
          <w:lang w:eastAsia="en-US"/>
        </w:rPr>
        <w:t>resources.</w:t>
      </w:r>
    </w:p>
    <w:p w14:paraId="762D0880" w14:textId="7DCB25DA" w:rsidR="00EC6F7A" w:rsidRPr="00DF53BC" w:rsidRDefault="00EC6F7A" w:rsidP="00DF53BC">
      <w:pPr>
        <w:pStyle w:val="BodyText"/>
        <w:ind w:left="720"/>
        <w:rPr>
          <w:lang w:eastAsia="en-US"/>
        </w:rPr>
      </w:pPr>
      <w:r w:rsidRPr="00DF53BC">
        <w:rPr>
          <w:lang w:eastAsia="en-US"/>
        </w:rPr>
        <w:t xml:space="preserve">This EP details a number of Environmental Performance Outcomes (EPOs) and </w:t>
      </w:r>
      <w:r w:rsidR="00DF53BC">
        <w:rPr>
          <w:lang w:eastAsia="en-US"/>
        </w:rPr>
        <w:t>E</w:t>
      </w:r>
      <w:r w:rsidRPr="00DF53BC">
        <w:rPr>
          <w:lang w:eastAsia="en-US"/>
        </w:rPr>
        <w:t>nvironmental</w:t>
      </w:r>
      <w:r w:rsidR="00DF53BC" w:rsidRPr="00DF53BC">
        <w:rPr>
          <w:lang w:eastAsia="en-US"/>
        </w:rPr>
        <w:t xml:space="preserve"> </w:t>
      </w:r>
      <w:r w:rsidRPr="00DF53BC">
        <w:rPr>
          <w:lang w:eastAsia="en-US"/>
        </w:rPr>
        <w:t>Performance Standards (EPSs) for the activity. To achieve these performance outcomes, the</w:t>
      </w:r>
      <w:r w:rsidR="00DF53BC" w:rsidRPr="00DF53BC">
        <w:rPr>
          <w:lang w:eastAsia="en-US"/>
        </w:rPr>
        <w:t xml:space="preserve"> </w:t>
      </w:r>
      <w:r w:rsidRPr="00DF53BC">
        <w:rPr>
          <w:lang w:eastAsia="en-US"/>
        </w:rPr>
        <w:t>EP’s implementation strategy incorporates the following key HSEC MS processes:</w:t>
      </w:r>
    </w:p>
    <w:p w14:paraId="38AC161B" w14:textId="0A79DFF7" w:rsidR="00EC6F7A" w:rsidRPr="00DF53BC" w:rsidRDefault="00EC6F7A" w:rsidP="00E439A6">
      <w:pPr>
        <w:pStyle w:val="ListParagraph"/>
        <w:numPr>
          <w:ilvl w:val="0"/>
          <w:numId w:val="45"/>
        </w:numPr>
        <w:autoSpaceDE w:val="0"/>
        <w:autoSpaceDN w:val="0"/>
        <w:adjustRightInd w:val="0"/>
        <w:ind w:left="1077"/>
        <w:contextualSpacing w:val="0"/>
        <w:outlineLvl w:val="9"/>
        <w:rPr>
          <w:rFonts w:ascii="ArialMT" w:eastAsia="Calibri" w:hAnsi="ArialMT" w:cs="ArialMT"/>
          <w:kern w:val="0"/>
          <w:sz w:val="20"/>
          <w:szCs w:val="20"/>
          <w:lang w:eastAsia="en-US"/>
        </w:rPr>
      </w:pPr>
      <w:r w:rsidRPr="00DF53BC">
        <w:rPr>
          <w:rFonts w:ascii="ArialMT" w:eastAsia="Calibri" w:hAnsi="ArialMT" w:cs="ArialMT"/>
          <w:kern w:val="0"/>
          <w:sz w:val="20"/>
          <w:szCs w:val="20"/>
          <w:lang w:eastAsia="en-US"/>
        </w:rPr>
        <w:t>Position definition (roles and responsibilities);</w:t>
      </w:r>
    </w:p>
    <w:p w14:paraId="3CD8CA2C" w14:textId="610DC9C1" w:rsidR="00EC6F7A" w:rsidRPr="00DF53BC" w:rsidRDefault="00EC6F7A" w:rsidP="00E439A6">
      <w:pPr>
        <w:pStyle w:val="ListParagraph"/>
        <w:numPr>
          <w:ilvl w:val="0"/>
          <w:numId w:val="45"/>
        </w:numPr>
        <w:autoSpaceDE w:val="0"/>
        <w:autoSpaceDN w:val="0"/>
        <w:adjustRightInd w:val="0"/>
        <w:ind w:left="1077"/>
        <w:contextualSpacing w:val="0"/>
        <w:outlineLvl w:val="9"/>
        <w:rPr>
          <w:rFonts w:ascii="ArialMT" w:eastAsia="Calibri" w:hAnsi="ArialMT" w:cs="ArialMT"/>
          <w:kern w:val="0"/>
          <w:sz w:val="20"/>
          <w:szCs w:val="20"/>
          <w:lang w:eastAsia="en-US"/>
        </w:rPr>
      </w:pPr>
      <w:r w:rsidRPr="00DF53BC">
        <w:rPr>
          <w:rFonts w:ascii="ArialMT" w:eastAsia="Calibri" w:hAnsi="ArialMT" w:cs="ArialMT"/>
          <w:kern w:val="0"/>
          <w:sz w:val="20"/>
          <w:szCs w:val="20"/>
          <w:lang w:eastAsia="en-US"/>
        </w:rPr>
        <w:t>Training and awareness (Inductions, competency and training requirements);</w:t>
      </w:r>
    </w:p>
    <w:p w14:paraId="63D0D4F2" w14:textId="22DD3461" w:rsidR="00EC6F7A" w:rsidRPr="00DF53BC" w:rsidRDefault="00EC6F7A" w:rsidP="00E439A6">
      <w:pPr>
        <w:pStyle w:val="ListParagraph"/>
        <w:numPr>
          <w:ilvl w:val="0"/>
          <w:numId w:val="45"/>
        </w:numPr>
        <w:autoSpaceDE w:val="0"/>
        <w:autoSpaceDN w:val="0"/>
        <w:adjustRightInd w:val="0"/>
        <w:ind w:left="1077"/>
        <w:contextualSpacing w:val="0"/>
        <w:outlineLvl w:val="9"/>
        <w:rPr>
          <w:rFonts w:ascii="ArialMT" w:eastAsia="Calibri" w:hAnsi="ArialMT" w:cs="ArialMT"/>
          <w:kern w:val="0"/>
          <w:sz w:val="20"/>
          <w:szCs w:val="20"/>
          <w:lang w:eastAsia="en-US"/>
        </w:rPr>
      </w:pPr>
      <w:r w:rsidRPr="00DF53BC">
        <w:rPr>
          <w:rFonts w:ascii="ArialMT" w:eastAsia="Calibri" w:hAnsi="ArialMT" w:cs="ArialMT"/>
          <w:kern w:val="0"/>
          <w:sz w:val="20"/>
          <w:szCs w:val="20"/>
          <w:lang w:eastAsia="en-US"/>
        </w:rPr>
        <w:t>Emergency response (planning, testing, training and competency);</w:t>
      </w:r>
    </w:p>
    <w:p w14:paraId="5D863562" w14:textId="7E496E50" w:rsidR="00EC6F7A" w:rsidRPr="00DF53BC" w:rsidRDefault="00EC6F7A" w:rsidP="00E439A6">
      <w:pPr>
        <w:pStyle w:val="ListParagraph"/>
        <w:numPr>
          <w:ilvl w:val="0"/>
          <w:numId w:val="45"/>
        </w:numPr>
        <w:autoSpaceDE w:val="0"/>
        <w:autoSpaceDN w:val="0"/>
        <w:adjustRightInd w:val="0"/>
        <w:ind w:left="1077"/>
        <w:contextualSpacing w:val="0"/>
        <w:outlineLvl w:val="9"/>
        <w:rPr>
          <w:rFonts w:ascii="ArialMT" w:eastAsia="Calibri" w:hAnsi="ArialMT" w:cs="ArialMT"/>
          <w:kern w:val="0"/>
          <w:sz w:val="20"/>
          <w:szCs w:val="20"/>
          <w:lang w:eastAsia="en-US"/>
        </w:rPr>
      </w:pPr>
      <w:r w:rsidRPr="00DF53BC">
        <w:rPr>
          <w:rFonts w:ascii="ArialMT" w:eastAsia="Calibri" w:hAnsi="ArialMT" w:cs="ArialMT"/>
          <w:kern w:val="0"/>
          <w:sz w:val="20"/>
          <w:szCs w:val="20"/>
          <w:lang w:eastAsia="en-US"/>
        </w:rPr>
        <w:t>Communications (workforce participation, communication forums);</w:t>
      </w:r>
    </w:p>
    <w:p w14:paraId="1B1FE9C4" w14:textId="1D396C6D" w:rsidR="00EC6F7A" w:rsidRPr="00DF53BC" w:rsidRDefault="00EC6F7A" w:rsidP="00E439A6">
      <w:pPr>
        <w:pStyle w:val="ListParagraph"/>
        <w:numPr>
          <w:ilvl w:val="0"/>
          <w:numId w:val="45"/>
        </w:numPr>
        <w:autoSpaceDE w:val="0"/>
        <w:autoSpaceDN w:val="0"/>
        <w:adjustRightInd w:val="0"/>
        <w:ind w:left="1077"/>
        <w:contextualSpacing w:val="0"/>
        <w:outlineLvl w:val="9"/>
        <w:rPr>
          <w:rFonts w:ascii="ArialMT" w:eastAsia="Calibri" w:hAnsi="ArialMT" w:cs="ArialMT"/>
          <w:kern w:val="0"/>
          <w:sz w:val="20"/>
          <w:szCs w:val="20"/>
          <w:lang w:eastAsia="en-US"/>
        </w:rPr>
      </w:pPr>
      <w:r w:rsidRPr="00DF53BC">
        <w:rPr>
          <w:rFonts w:ascii="ArialMT" w:eastAsia="Calibri" w:hAnsi="ArialMT" w:cs="ArialMT"/>
          <w:kern w:val="0"/>
          <w:sz w:val="20"/>
          <w:szCs w:val="20"/>
          <w:lang w:eastAsia="en-US"/>
        </w:rPr>
        <w:t>Contractor and supplier management (pre-qualification assessment, ongoing performance</w:t>
      </w:r>
      <w:r w:rsidR="00DF53BC">
        <w:rPr>
          <w:rFonts w:ascii="ArialMT" w:eastAsia="Calibri" w:hAnsi="ArialMT" w:cs="ArialMT"/>
          <w:kern w:val="0"/>
          <w:sz w:val="20"/>
          <w:szCs w:val="20"/>
          <w:lang w:eastAsia="en-US"/>
        </w:rPr>
        <w:t xml:space="preserve"> </w:t>
      </w:r>
      <w:r w:rsidRPr="00DF53BC">
        <w:rPr>
          <w:rFonts w:ascii="ArialMT" w:eastAsia="Calibri" w:hAnsi="ArialMT" w:cs="ArialMT"/>
          <w:kern w:val="0"/>
          <w:sz w:val="20"/>
          <w:szCs w:val="20"/>
          <w:lang w:eastAsia="en-US"/>
        </w:rPr>
        <w:t>management, campaign-specific requirements);</w:t>
      </w:r>
    </w:p>
    <w:p w14:paraId="6BA6FA71" w14:textId="19EA89DD" w:rsidR="00EC6F7A" w:rsidRPr="00DF53BC" w:rsidRDefault="00EC6F7A" w:rsidP="00E439A6">
      <w:pPr>
        <w:pStyle w:val="ListParagraph"/>
        <w:numPr>
          <w:ilvl w:val="0"/>
          <w:numId w:val="45"/>
        </w:numPr>
        <w:autoSpaceDE w:val="0"/>
        <w:autoSpaceDN w:val="0"/>
        <w:adjustRightInd w:val="0"/>
        <w:ind w:left="1077"/>
        <w:contextualSpacing w:val="0"/>
        <w:outlineLvl w:val="9"/>
        <w:rPr>
          <w:rFonts w:ascii="ArialMT" w:eastAsia="Calibri" w:hAnsi="ArialMT" w:cs="ArialMT"/>
          <w:kern w:val="0"/>
          <w:sz w:val="20"/>
          <w:szCs w:val="20"/>
          <w:lang w:eastAsia="en-US"/>
        </w:rPr>
      </w:pPr>
      <w:r w:rsidRPr="00DF53BC">
        <w:rPr>
          <w:rFonts w:ascii="ArialMT" w:eastAsia="Calibri" w:hAnsi="ArialMT" w:cs="ArialMT"/>
          <w:kern w:val="0"/>
          <w:sz w:val="20"/>
          <w:szCs w:val="20"/>
          <w:lang w:eastAsia="en-US"/>
        </w:rPr>
        <w:t>Impact and risk management (campaign-specific risk assessments, job hazard</w:t>
      </w:r>
      <w:r w:rsidR="00DF53BC">
        <w:rPr>
          <w:rFonts w:ascii="ArialMT" w:eastAsia="Calibri" w:hAnsi="ArialMT" w:cs="ArialMT"/>
          <w:kern w:val="0"/>
          <w:sz w:val="20"/>
          <w:szCs w:val="20"/>
          <w:lang w:eastAsia="en-US"/>
        </w:rPr>
        <w:t xml:space="preserve"> </w:t>
      </w:r>
      <w:r w:rsidRPr="00DF53BC">
        <w:rPr>
          <w:rFonts w:ascii="ArialMT" w:eastAsia="Calibri" w:hAnsi="ArialMT" w:cs="ArialMT"/>
          <w:kern w:val="0"/>
          <w:sz w:val="20"/>
          <w:szCs w:val="20"/>
          <w:lang w:eastAsia="en-US"/>
        </w:rPr>
        <w:t>assessments);</w:t>
      </w:r>
    </w:p>
    <w:p w14:paraId="7FE2A650" w14:textId="0763ADE7" w:rsidR="00EC6F7A" w:rsidRPr="00DF53BC" w:rsidRDefault="00EC6F7A" w:rsidP="00E439A6">
      <w:pPr>
        <w:pStyle w:val="ListParagraph"/>
        <w:numPr>
          <w:ilvl w:val="0"/>
          <w:numId w:val="45"/>
        </w:numPr>
        <w:autoSpaceDE w:val="0"/>
        <w:autoSpaceDN w:val="0"/>
        <w:adjustRightInd w:val="0"/>
        <w:ind w:left="1077"/>
        <w:contextualSpacing w:val="0"/>
        <w:outlineLvl w:val="9"/>
        <w:rPr>
          <w:rFonts w:ascii="ArialMT" w:eastAsia="Calibri" w:hAnsi="ArialMT" w:cs="ArialMT"/>
          <w:kern w:val="0"/>
          <w:sz w:val="20"/>
          <w:szCs w:val="20"/>
          <w:lang w:eastAsia="en-US"/>
        </w:rPr>
      </w:pPr>
      <w:r w:rsidRPr="00DF53BC">
        <w:rPr>
          <w:rFonts w:ascii="ArialMT" w:eastAsia="Calibri" w:hAnsi="ArialMT" w:cs="ArialMT"/>
          <w:kern w:val="0"/>
          <w:sz w:val="20"/>
          <w:szCs w:val="20"/>
          <w:lang w:eastAsia="en-US"/>
        </w:rPr>
        <w:t>Operational Controls (permit-to-work, management of change, chemical selection</w:t>
      </w:r>
      <w:r w:rsidR="00DF53BC">
        <w:rPr>
          <w:rFonts w:ascii="ArialMT" w:eastAsia="Calibri" w:hAnsi="ArialMT" w:cs="ArialMT"/>
          <w:kern w:val="0"/>
          <w:sz w:val="20"/>
          <w:szCs w:val="20"/>
          <w:lang w:eastAsia="en-US"/>
        </w:rPr>
        <w:t xml:space="preserve"> and </w:t>
      </w:r>
      <w:r w:rsidRPr="00DF53BC">
        <w:rPr>
          <w:rFonts w:ascii="ArialMT" w:eastAsia="Calibri" w:hAnsi="ArialMT" w:cs="ArialMT"/>
          <w:kern w:val="0"/>
          <w:sz w:val="20"/>
          <w:szCs w:val="20"/>
          <w:lang w:eastAsia="en-US"/>
        </w:rPr>
        <w:t>use);</w:t>
      </w:r>
    </w:p>
    <w:p w14:paraId="35134AD1" w14:textId="7E261266" w:rsidR="00EC6F7A" w:rsidRPr="00DF53BC" w:rsidRDefault="00EC6F7A" w:rsidP="00E439A6">
      <w:pPr>
        <w:pStyle w:val="ListParagraph"/>
        <w:numPr>
          <w:ilvl w:val="0"/>
          <w:numId w:val="45"/>
        </w:numPr>
        <w:autoSpaceDE w:val="0"/>
        <w:autoSpaceDN w:val="0"/>
        <w:adjustRightInd w:val="0"/>
        <w:ind w:left="1077"/>
        <w:contextualSpacing w:val="0"/>
        <w:outlineLvl w:val="9"/>
        <w:rPr>
          <w:rFonts w:ascii="ArialMT" w:eastAsia="Calibri" w:hAnsi="ArialMT" w:cs="ArialMT"/>
          <w:kern w:val="0"/>
          <w:sz w:val="20"/>
          <w:szCs w:val="20"/>
          <w:lang w:eastAsia="en-US"/>
        </w:rPr>
      </w:pPr>
      <w:r w:rsidRPr="00DF53BC">
        <w:rPr>
          <w:rFonts w:ascii="ArialMT" w:eastAsia="Calibri" w:hAnsi="ArialMT" w:cs="ArialMT"/>
          <w:kern w:val="0"/>
          <w:sz w:val="20"/>
          <w:szCs w:val="20"/>
          <w:lang w:eastAsia="en-US"/>
        </w:rPr>
        <w:t>Performance Reporting (operational reports, annual reports, incident reporting, emissions</w:t>
      </w:r>
    </w:p>
    <w:p w14:paraId="402A023A" w14:textId="77777777" w:rsidR="00EC6F7A" w:rsidRPr="00DF53BC" w:rsidRDefault="00EC6F7A" w:rsidP="00E439A6">
      <w:pPr>
        <w:pStyle w:val="ListParagraph"/>
        <w:autoSpaceDE w:val="0"/>
        <w:autoSpaceDN w:val="0"/>
        <w:adjustRightInd w:val="0"/>
        <w:ind w:left="1077"/>
        <w:contextualSpacing w:val="0"/>
        <w:outlineLvl w:val="9"/>
        <w:rPr>
          <w:rFonts w:ascii="ArialMT" w:eastAsia="Calibri" w:hAnsi="ArialMT" w:cs="ArialMT"/>
          <w:kern w:val="0"/>
          <w:sz w:val="20"/>
          <w:szCs w:val="20"/>
          <w:lang w:eastAsia="en-US"/>
        </w:rPr>
      </w:pPr>
      <w:r w:rsidRPr="00DF53BC">
        <w:rPr>
          <w:rFonts w:ascii="ArialMT" w:eastAsia="Calibri" w:hAnsi="ArialMT" w:cs="ArialMT"/>
          <w:kern w:val="0"/>
          <w:sz w:val="20"/>
          <w:szCs w:val="20"/>
          <w:lang w:eastAsia="en-US"/>
        </w:rPr>
        <w:t>monitoring);</w:t>
      </w:r>
    </w:p>
    <w:p w14:paraId="26A43DCB" w14:textId="31C80539" w:rsidR="00EC6F7A" w:rsidRPr="00DF53BC" w:rsidRDefault="00EC6F7A" w:rsidP="00E439A6">
      <w:pPr>
        <w:pStyle w:val="ListParagraph"/>
        <w:numPr>
          <w:ilvl w:val="0"/>
          <w:numId w:val="45"/>
        </w:numPr>
        <w:autoSpaceDE w:val="0"/>
        <w:autoSpaceDN w:val="0"/>
        <w:adjustRightInd w:val="0"/>
        <w:ind w:left="1077"/>
        <w:contextualSpacing w:val="0"/>
        <w:outlineLvl w:val="9"/>
        <w:rPr>
          <w:rFonts w:ascii="ArialMT" w:eastAsia="Calibri" w:hAnsi="ArialMT" w:cs="ArialMT"/>
          <w:kern w:val="0"/>
          <w:sz w:val="20"/>
          <w:szCs w:val="20"/>
          <w:lang w:eastAsia="en-US"/>
        </w:rPr>
      </w:pPr>
      <w:r w:rsidRPr="00DF53BC">
        <w:rPr>
          <w:rFonts w:ascii="ArialMT" w:eastAsia="Calibri" w:hAnsi="ArialMT" w:cs="ArialMT"/>
          <w:kern w:val="0"/>
          <w:sz w:val="20"/>
          <w:szCs w:val="20"/>
          <w:lang w:eastAsia="en-US"/>
        </w:rPr>
        <w:t>Audit and inspection; and</w:t>
      </w:r>
    </w:p>
    <w:p w14:paraId="05E35C9B" w14:textId="3B43553C" w:rsidR="00EC6F7A" w:rsidRPr="00DF53BC" w:rsidRDefault="00EC6F7A" w:rsidP="00E439A6">
      <w:pPr>
        <w:pStyle w:val="ListParagraph"/>
        <w:numPr>
          <w:ilvl w:val="0"/>
          <w:numId w:val="45"/>
        </w:numPr>
        <w:autoSpaceDE w:val="0"/>
        <w:autoSpaceDN w:val="0"/>
        <w:adjustRightInd w:val="0"/>
        <w:ind w:left="1077"/>
        <w:contextualSpacing w:val="0"/>
        <w:outlineLvl w:val="9"/>
        <w:rPr>
          <w:rFonts w:ascii="ArialMT" w:eastAsia="Calibri" w:hAnsi="ArialMT" w:cs="ArialMT"/>
          <w:kern w:val="0"/>
          <w:sz w:val="20"/>
          <w:szCs w:val="20"/>
          <w:lang w:eastAsia="en-US"/>
        </w:rPr>
      </w:pPr>
      <w:r w:rsidRPr="00DF53BC">
        <w:rPr>
          <w:rFonts w:ascii="ArialMT" w:eastAsia="Calibri" w:hAnsi="ArialMT" w:cs="ArialMT"/>
          <w:kern w:val="0"/>
          <w:sz w:val="20"/>
          <w:szCs w:val="20"/>
          <w:lang w:eastAsia="en-US"/>
        </w:rPr>
        <w:t>Management of non-conformance.</w:t>
      </w:r>
    </w:p>
    <w:p w14:paraId="6778E88B" w14:textId="0A2371A3" w:rsidR="00EC6F7A" w:rsidRPr="00DF53BC" w:rsidRDefault="00EC6F7A" w:rsidP="00DF53BC">
      <w:pPr>
        <w:pStyle w:val="BodyText"/>
        <w:ind w:left="720"/>
        <w:rPr>
          <w:lang w:eastAsia="en-US"/>
        </w:rPr>
      </w:pPr>
      <w:r w:rsidRPr="00DF53BC">
        <w:rPr>
          <w:lang w:eastAsia="en-US"/>
        </w:rPr>
        <w:t>Key roles within the Cooper organisation structure are allocated the responsibility for the</w:t>
      </w:r>
      <w:r w:rsidR="00DF53BC" w:rsidRPr="00DF53BC">
        <w:rPr>
          <w:lang w:eastAsia="en-US"/>
        </w:rPr>
        <w:t xml:space="preserve"> </w:t>
      </w:r>
      <w:r w:rsidRPr="00DF53BC">
        <w:rPr>
          <w:lang w:eastAsia="en-US"/>
        </w:rPr>
        <w:t>implementation or compliance monitoring of EP commitments. All Cooper positions have</w:t>
      </w:r>
      <w:r w:rsidR="00DF53BC" w:rsidRPr="00DF53BC">
        <w:rPr>
          <w:lang w:eastAsia="en-US"/>
        </w:rPr>
        <w:t xml:space="preserve"> </w:t>
      </w:r>
      <w:r w:rsidRPr="00DF53BC">
        <w:rPr>
          <w:lang w:eastAsia="en-US"/>
        </w:rPr>
        <w:t>position descriptions outlining their HSEC role, responsibilities, accountabilities and authorities</w:t>
      </w:r>
      <w:r w:rsidR="00DF53BC" w:rsidRPr="00DF53BC">
        <w:rPr>
          <w:lang w:eastAsia="en-US"/>
        </w:rPr>
        <w:t xml:space="preserve"> </w:t>
      </w:r>
      <w:r w:rsidRPr="00DF53BC">
        <w:rPr>
          <w:lang w:eastAsia="en-US"/>
        </w:rPr>
        <w:t>and where relevant the specific competency requirements.</w:t>
      </w:r>
    </w:p>
    <w:p w14:paraId="12B7D061" w14:textId="6C91D0F3" w:rsidR="00EC6F7A" w:rsidRPr="00DF53BC" w:rsidRDefault="00EC6F7A" w:rsidP="00DF53BC">
      <w:pPr>
        <w:pStyle w:val="BodyText"/>
        <w:ind w:left="720"/>
        <w:rPr>
          <w:lang w:eastAsia="en-US"/>
        </w:rPr>
      </w:pPr>
      <w:r w:rsidRPr="00DF53BC">
        <w:rPr>
          <w:lang w:eastAsia="en-US"/>
        </w:rPr>
        <w:t>Lochard Energy, Cooper Energy’s contract operator, operate the CHN pipeline facilities and</w:t>
      </w:r>
      <w:r w:rsidR="00DF53BC" w:rsidRPr="00DF53BC">
        <w:rPr>
          <w:lang w:eastAsia="en-US"/>
        </w:rPr>
        <w:t xml:space="preserve"> </w:t>
      </w:r>
      <w:r w:rsidRPr="00DF53BC">
        <w:rPr>
          <w:lang w:eastAsia="en-US"/>
        </w:rPr>
        <w:t>wells on behalf of Cooper Energy from the Iona Gas Plant control room. The Iona Gas Plant is</w:t>
      </w:r>
      <w:r w:rsidR="00DF53BC" w:rsidRPr="00DF53BC">
        <w:rPr>
          <w:lang w:eastAsia="en-US"/>
        </w:rPr>
        <w:t xml:space="preserve"> </w:t>
      </w:r>
      <w:r w:rsidRPr="00DF53BC">
        <w:rPr>
          <w:lang w:eastAsia="en-US"/>
        </w:rPr>
        <w:t>continuously manned—Production Technicians work a 12-hour shift on a two week on/off roster.</w:t>
      </w:r>
      <w:r w:rsidR="00DF53BC" w:rsidRPr="00DF53BC">
        <w:rPr>
          <w:lang w:eastAsia="en-US"/>
        </w:rPr>
        <w:t xml:space="preserve"> </w:t>
      </w:r>
      <w:r w:rsidRPr="00DF53BC">
        <w:rPr>
          <w:lang w:eastAsia="en-US"/>
        </w:rPr>
        <w:t>Each shift comprises an Operations Shift Leader, a Responsible Officer and two additional</w:t>
      </w:r>
      <w:r w:rsidR="00DF53BC" w:rsidRPr="00DF53BC">
        <w:rPr>
          <w:lang w:eastAsia="en-US"/>
        </w:rPr>
        <w:t xml:space="preserve"> </w:t>
      </w:r>
      <w:r w:rsidRPr="00DF53BC">
        <w:rPr>
          <w:lang w:eastAsia="en-US"/>
        </w:rPr>
        <w:t>operations personnel.</w:t>
      </w:r>
    </w:p>
    <w:p w14:paraId="249C8ACA" w14:textId="2E29FDAD" w:rsidR="00DF53BC" w:rsidRPr="00DF53BC" w:rsidRDefault="00EC6F7A" w:rsidP="00DF53BC">
      <w:pPr>
        <w:pStyle w:val="BodyText"/>
        <w:ind w:left="720"/>
        <w:rPr>
          <w:lang w:eastAsia="en-US"/>
        </w:rPr>
      </w:pPr>
      <w:r w:rsidRPr="00DF53BC">
        <w:rPr>
          <w:lang w:eastAsia="en-US"/>
        </w:rPr>
        <w:t>All contractors engaged on CHN operational activities undergo prequalification prior to contract</w:t>
      </w:r>
      <w:r w:rsidR="00DF53BC">
        <w:rPr>
          <w:lang w:eastAsia="en-US"/>
        </w:rPr>
        <w:t xml:space="preserve"> </w:t>
      </w:r>
      <w:r w:rsidRPr="00DF53BC">
        <w:rPr>
          <w:lang w:eastAsia="en-US"/>
        </w:rPr>
        <w:t>award to ensure they have equivalent resource management systems to ensure personnel</w:t>
      </w:r>
      <w:r w:rsidR="00DF53BC" w:rsidRPr="00DF53BC">
        <w:rPr>
          <w:lang w:eastAsia="en-US"/>
        </w:rPr>
        <w:t xml:space="preserve"> </w:t>
      </w:r>
      <w:r w:rsidRPr="00DF53BC">
        <w:rPr>
          <w:lang w:eastAsia="en-US"/>
        </w:rPr>
        <w:t>competencies and training and their procedures meet the requirements of this EP.</w:t>
      </w:r>
      <w:r w:rsidR="00DF53BC" w:rsidRPr="00DF53BC">
        <w:rPr>
          <w:lang w:eastAsia="en-US"/>
        </w:rPr>
        <w:t xml:space="preserve"> </w:t>
      </w:r>
    </w:p>
    <w:p w14:paraId="23892DB6" w14:textId="272253BB" w:rsidR="00EC6F7A" w:rsidRDefault="00EC6F7A" w:rsidP="00DF53BC">
      <w:pPr>
        <w:pStyle w:val="BodyText"/>
        <w:ind w:left="720"/>
        <w:rPr>
          <w:lang w:eastAsia="en-US"/>
        </w:rPr>
      </w:pPr>
      <w:r w:rsidRPr="00DF53BC">
        <w:rPr>
          <w:lang w:eastAsia="en-US"/>
        </w:rPr>
        <w:t>A key implementation activity is the induction of offshore personnel in a campaign-specific</w:t>
      </w:r>
      <w:r w:rsidR="00DF53BC">
        <w:rPr>
          <w:lang w:eastAsia="en-US"/>
        </w:rPr>
        <w:t xml:space="preserve"> </w:t>
      </w:r>
      <w:r w:rsidRPr="00DF53BC">
        <w:rPr>
          <w:lang w:eastAsia="en-US"/>
        </w:rPr>
        <w:t>induction prior to activity commencement to ensure personnel understand the environmental</w:t>
      </w:r>
      <w:r w:rsidR="00DF53BC">
        <w:rPr>
          <w:lang w:eastAsia="en-US"/>
        </w:rPr>
        <w:t xml:space="preserve"> </w:t>
      </w:r>
      <w:r w:rsidRPr="00DF53BC">
        <w:rPr>
          <w:lang w:eastAsia="en-US"/>
        </w:rPr>
        <w:t>requirements of the activity EP and their specific responsibilities in the EP.</w:t>
      </w:r>
    </w:p>
    <w:p w14:paraId="3AA10DC0" w14:textId="571CBA61" w:rsidR="00DF53BC" w:rsidRDefault="00DF53BC" w:rsidP="0036080A">
      <w:pPr>
        <w:pStyle w:val="Heading2"/>
        <w:numPr>
          <w:ilvl w:val="1"/>
          <w:numId w:val="24"/>
        </w:numPr>
      </w:pPr>
      <w:bookmarkStart w:id="303" w:name="_Toc512862494"/>
      <w:r>
        <w:t>Ongoing Monitoring of Environmental Performance</w:t>
      </w:r>
      <w:bookmarkEnd w:id="303"/>
    </w:p>
    <w:p w14:paraId="5B391D46" w14:textId="77777777" w:rsidR="00DF53BC" w:rsidRPr="00E439A6" w:rsidRDefault="00DF53BC" w:rsidP="00E439A6">
      <w:pPr>
        <w:pStyle w:val="BodyText"/>
        <w:ind w:left="720"/>
        <w:rPr>
          <w:lang w:eastAsia="en-US"/>
        </w:rPr>
      </w:pPr>
      <w:r w:rsidRPr="00E439A6">
        <w:rPr>
          <w:lang w:eastAsia="en-US"/>
        </w:rPr>
        <w:t>Environmental performance is monitored via a range of management system processes as</w:t>
      </w:r>
    </w:p>
    <w:p w14:paraId="5F837336" w14:textId="1558FD0F" w:rsidR="00EC6F7A" w:rsidRPr="00E439A6" w:rsidRDefault="00DF53BC" w:rsidP="00E439A6">
      <w:pPr>
        <w:pStyle w:val="BodyText"/>
        <w:ind w:left="720"/>
        <w:rPr>
          <w:lang w:eastAsia="en-US"/>
        </w:rPr>
      </w:pPr>
      <w:r w:rsidRPr="00E439A6">
        <w:rPr>
          <w:lang w:eastAsia="en-US"/>
        </w:rPr>
        <w:t>detailed below.</w:t>
      </w:r>
    </w:p>
    <w:p w14:paraId="3F3CAD8D" w14:textId="188B0E8B" w:rsidR="00DF53BC" w:rsidRDefault="00DF53BC" w:rsidP="00DF53BC">
      <w:pPr>
        <w:pStyle w:val="Heading3"/>
      </w:pPr>
      <w:r>
        <w:lastRenderedPageBreak/>
        <w:t>Contractor Management</w:t>
      </w:r>
    </w:p>
    <w:p w14:paraId="1642B823" w14:textId="3E38240B" w:rsidR="00DF53BC" w:rsidRPr="00DF53BC" w:rsidRDefault="00DF53BC" w:rsidP="00DF53BC">
      <w:pPr>
        <w:pStyle w:val="BodyText"/>
        <w:ind w:left="720"/>
        <w:rPr>
          <w:lang w:eastAsia="en-US"/>
        </w:rPr>
      </w:pPr>
      <w:r w:rsidRPr="00DF53BC">
        <w:rPr>
          <w:lang w:eastAsia="en-US"/>
        </w:rPr>
        <w:t>Cooper has a contractor management system that provides a systematic approach for the</w:t>
      </w:r>
      <w:r>
        <w:rPr>
          <w:lang w:eastAsia="en-US"/>
        </w:rPr>
        <w:t xml:space="preserve"> s</w:t>
      </w:r>
      <w:r w:rsidRPr="00DF53BC">
        <w:rPr>
          <w:lang w:eastAsia="en-US"/>
        </w:rPr>
        <w:t>election and management of contractors to ensure any third party has the appropriate</w:t>
      </w:r>
      <w:r>
        <w:rPr>
          <w:lang w:eastAsia="en-US"/>
        </w:rPr>
        <w:t xml:space="preserve"> </w:t>
      </w:r>
      <w:r w:rsidRPr="00DF53BC">
        <w:rPr>
          <w:lang w:eastAsia="en-US"/>
        </w:rPr>
        <w:t>management system and structures in place to achieve HSEC performance in accordance with</w:t>
      </w:r>
      <w:r>
        <w:rPr>
          <w:lang w:eastAsia="en-US"/>
        </w:rPr>
        <w:t xml:space="preserve"> </w:t>
      </w:r>
      <w:r w:rsidRPr="00DF53BC">
        <w:rPr>
          <w:lang w:eastAsia="en-US"/>
        </w:rPr>
        <w:t>Cooper’s expectations. These requirements are contained within the Cooper Contractor and</w:t>
      </w:r>
      <w:r>
        <w:rPr>
          <w:lang w:eastAsia="en-US"/>
        </w:rPr>
        <w:t xml:space="preserve"> </w:t>
      </w:r>
      <w:r w:rsidRPr="00DF53BC">
        <w:rPr>
          <w:lang w:eastAsia="en-US"/>
        </w:rPr>
        <w:t>Supplier Management Standard Instruction.</w:t>
      </w:r>
    </w:p>
    <w:p w14:paraId="11D21686" w14:textId="026F8A4B" w:rsidR="00DF53BC" w:rsidRPr="00DF53BC" w:rsidRDefault="00DF53BC" w:rsidP="005409C9">
      <w:pPr>
        <w:pStyle w:val="BodyText"/>
        <w:ind w:left="720"/>
        <w:rPr>
          <w:lang w:eastAsia="en-US"/>
        </w:rPr>
      </w:pPr>
      <w:r w:rsidRPr="00DF53BC">
        <w:rPr>
          <w:lang w:eastAsia="en-US"/>
        </w:rPr>
        <w:t>The procedure applies to sub-contractors, Third Party Co</w:t>
      </w:r>
      <w:r>
        <w:rPr>
          <w:lang w:eastAsia="en-US"/>
        </w:rPr>
        <w:t xml:space="preserve">ntractors (TPCs) and suppliers, </w:t>
      </w:r>
      <w:r w:rsidRPr="00DF53BC">
        <w:rPr>
          <w:lang w:eastAsia="en-US"/>
        </w:rPr>
        <w:t>attending, conducting work at Cooper sites or providing services for Cooper and its operations.</w:t>
      </w:r>
      <w:r>
        <w:rPr>
          <w:lang w:eastAsia="en-US"/>
        </w:rPr>
        <w:t xml:space="preserve"> </w:t>
      </w:r>
      <w:r w:rsidRPr="00DF53BC">
        <w:rPr>
          <w:lang w:eastAsia="en-US"/>
        </w:rPr>
        <w:t>It addresses operational HSEC</w:t>
      </w:r>
      <w:r w:rsidR="005409C9">
        <w:rPr>
          <w:lang w:eastAsia="en-US"/>
        </w:rPr>
        <w:t xml:space="preserve"> performance of all contractors.</w:t>
      </w:r>
    </w:p>
    <w:p w14:paraId="5B82703C" w14:textId="77777777" w:rsidR="00DF53BC" w:rsidRPr="005409C9" w:rsidRDefault="00DF53BC" w:rsidP="00DF53BC">
      <w:pPr>
        <w:pStyle w:val="BodyText"/>
        <w:ind w:left="720"/>
        <w:rPr>
          <w:b/>
          <w:lang w:eastAsia="en-US"/>
        </w:rPr>
      </w:pPr>
      <w:r w:rsidRPr="005409C9">
        <w:rPr>
          <w:b/>
          <w:lang w:eastAsia="en-US"/>
        </w:rPr>
        <w:t>Implementation and monitoring contractor performance:</w:t>
      </w:r>
    </w:p>
    <w:p w14:paraId="65CF31E5" w14:textId="3A311C47" w:rsidR="00DF53BC" w:rsidRPr="00DF53BC" w:rsidRDefault="00DF53BC" w:rsidP="00DF53BC">
      <w:pPr>
        <w:pStyle w:val="BodyText"/>
        <w:ind w:left="720"/>
        <w:rPr>
          <w:lang w:eastAsia="en-US"/>
        </w:rPr>
      </w:pPr>
      <w:r w:rsidRPr="00DF53BC">
        <w:rPr>
          <w:lang w:eastAsia="en-US"/>
        </w:rPr>
        <w:t>As part of any work scope, Cooper reviews and approves contractor procedures to be utilised in</w:t>
      </w:r>
      <w:r w:rsidR="005409C9">
        <w:rPr>
          <w:lang w:eastAsia="en-US"/>
        </w:rPr>
        <w:t xml:space="preserve"> </w:t>
      </w:r>
      <w:r w:rsidRPr="00DF53BC">
        <w:rPr>
          <w:lang w:eastAsia="en-US"/>
        </w:rPr>
        <w:t xml:space="preserve">asset activities. These procedures will be included in the work plan for the asset and </w:t>
      </w:r>
      <w:r w:rsidR="005409C9">
        <w:rPr>
          <w:lang w:eastAsia="en-US"/>
        </w:rPr>
        <w:t>m</w:t>
      </w:r>
      <w:r w:rsidRPr="00DF53BC">
        <w:rPr>
          <w:lang w:eastAsia="en-US"/>
        </w:rPr>
        <w:t>onitored</w:t>
      </w:r>
      <w:r w:rsidR="005409C9">
        <w:rPr>
          <w:lang w:eastAsia="en-US"/>
        </w:rPr>
        <w:t xml:space="preserve"> </w:t>
      </w:r>
      <w:r w:rsidRPr="00DF53BC">
        <w:rPr>
          <w:lang w:eastAsia="en-US"/>
        </w:rPr>
        <w:t>by the Cooper Offshore representative.</w:t>
      </w:r>
    </w:p>
    <w:p w14:paraId="42CEF6F6" w14:textId="284593B9" w:rsidR="00DF53BC" w:rsidRDefault="00DF53BC" w:rsidP="00DF53BC">
      <w:pPr>
        <w:pStyle w:val="BodyText"/>
        <w:ind w:left="720"/>
        <w:rPr>
          <w:lang w:eastAsia="en-US"/>
        </w:rPr>
      </w:pPr>
      <w:r w:rsidRPr="00DF53BC">
        <w:rPr>
          <w:lang w:eastAsia="en-US"/>
        </w:rPr>
        <w:t>Cooper ensures that all works undertaken by contractors are aligned to Cooper’s HSEC</w:t>
      </w:r>
      <w:r w:rsidR="005409C9">
        <w:rPr>
          <w:lang w:eastAsia="en-US"/>
        </w:rPr>
        <w:t xml:space="preserve"> </w:t>
      </w:r>
      <w:r w:rsidRPr="00DF53BC">
        <w:rPr>
          <w:lang w:eastAsia="en-US"/>
        </w:rPr>
        <w:t>requirements which include adhering to environmental compliance items. Ongoing contractor</w:t>
      </w:r>
      <w:r w:rsidR="005409C9">
        <w:rPr>
          <w:lang w:eastAsia="en-US"/>
        </w:rPr>
        <w:t xml:space="preserve"> </w:t>
      </w:r>
      <w:r w:rsidRPr="00DF53BC">
        <w:rPr>
          <w:lang w:eastAsia="en-US"/>
        </w:rPr>
        <w:t>performance against these requirements is monitored by both the contractor and Cooper.</w:t>
      </w:r>
    </w:p>
    <w:p w14:paraId="1040FB06" w14:textId="20FBE458" w:rsidR="005409C9" w:rsidRPr="005409C9" w:rsidRDefault="005409C9" w:rsidP="00DF53BC">
      <w:pPr>
        <w:pStyle w:val="BodyText"/>
        <w:ind w:left="720"/>
        <w:rPr>
          <w:b/>
          <w:lang w:eastAsia="en-US"/>
        </w:rPr>
      </w:pPr>
      <w:r w:rsidRPr="005409C9">
        <w:rPr>
          <w:b/>
          <w:lang w:eastAsia="en-US"/>
        </w:rPr>
        <w:t>Vessels:</w:t>
      </w:r>
    </w:p>
    <w:p w14:paraId="15A2A601" w14:textId="1C70707C" w:rsidR="005409C9" w:rsidRPr="005409C9" w:rsidRDefault="005409C9" w:rsidP="005409C9">
      <w:pPr>
        <w:pStyle w:val="BodyText"/>
        <w:ind w:left="720"/>
        <w:rPr>
          <w:lang w:eastAsia="en-US"/>
        </w:rPr>
      </w:pPr>
      <w:r w:rsidRPr="005409C9">
        <w:rPr>
          <w:lang w:eastAsia="en-US"/>
        </w:rPr>
        <w:t>Cooper, as part of contractor pre-qualification and selection, assess vessel compliance with the</w:t>
      </w:r>
      <w:r>
        <w:rPr>
          <w:lang w:eastAsia="en-US"/>
        </w:rPr>
        <w:t xml:space="preserve"> </w:t>
      </w:r>
      <w:r w:rsidRPr="005409C9">
        <w:rPr>
          <w:lang w:eastAsia="en-US"/>
        </w:rPr>
        <w:t>requirements of this Environment Plan. This covers aspects including, but not limited to:</w:t>
      </w:r>
    </w:p>
    <w:p w14:paraId="1BC72C30" w14:textId="3DADF7BC" w:rsidR="005409C9" w:rsidRPr="005409C9" w:rsidRDefault="005409C9" w:rsidP="0036080A">
      <w:pPr>
        <w:pStyle w:val="BodyText"/>
        <w:numPr>
          <w:ilvl w:val="0"/>
          <w:numId w:val="45"/>
        </w:numPr>
        <w:rPr>
          <w:lang w:eastAsia="en-US"/>
        </w:rPr>
      </w:pPr>
      <w:r w:rsidRPr="005409C9">
        <w:rPr>
          <w:lang w:eastAsia="en-US"/>
        </w:rPr>
        <w:t>Vessel pollution control equipment;</w:t>
      </w:r>
    </w:p>
    <w:p w14:paraId="42F6ED47" w14:textId="39D81682" w:rsidR="005409C9" w:rsidRPr="005409C9" w:rsidRDefault="005409C9" w:rsidP="0036080A">
      <w:pPr>
        <w:pStyle w:val="BodyText"/>
        <w:numPr>
          <w:ilvl w:val="0"/>
          <w:numId w:val="45"/>
        </w:numPr>
        <w:rPr>
          <w:lang w:eastAsia="en-US"/>
        </w:rPr>
      </w:pPr>
      <w:r w:rsidRPr="005409C9">
        <w:rPr>
          <w:lang w:eastAsia="en-US"/>
        </w:rPr>
        <w:t>Assessment of IMS risk:</w:t>
      </w:r>
    </w:p>
    <w:p w14:paraId="15F98D58" w14:textId="7B110A54" w:rsidR="005409C9" w:rsidRPr="005409C9" w:rsidRDefault="005409C9" w:rsidP="0036080A">
      <w:pPr>
        <w:pStyle w:val="BodyText"/>
        <w:numPr>
          <w:ilvl w:val="0"/>
          <w:numId w:val="45"/>
        </w:numPr>
        <w:rPr>
          <w:lang w:eastAsia="en-US"/>
        </w:rPr>
      </w:pPr>
      <w:r w:rsidRPr="005409C9">
        <w:rPr>
          <w:lang w:eastAsia="en-US"/>
        </w:rPr>
        <w:t>Navigational safety (vessel lighting and navigation equipment);</w:t>
      </w:r>
    </w:p>
    <w:p w14:paraId="21B02690" w14:textId="6F939540" w:rsidR="005409C9" w:rsidRPr="005409C9" w:rsidRDefault="005409C9" w:rsidP="0036080A">
      <w:pPr>
        <w:pStyle w:val="BodyText"/>
        <w:numPr>
          <w:ilvl w:val="0"/>
          <w:numId w:val="45"/>
        </w:numPr>
        <w:rPr>
          <w:lang w:eastAsia="en-US"/>
        </w:rPr>
      </w:pPr>
      <w:r w:rsidRPr="005409C9">
        <w:rPr>
          <w:lang w:eastAsia="en-US"/>
        </w:rPr>
        <w:t>Crew competencies and training; and</w:t>
      </w:r>
    </w:p>
    <w:p w14:paraId="7A73B591" w14:textId="5E5CD9A9" w:rsidR="005409C9" w:rsidRDefault="005409C9" w:rsidP="0036080A">
      <w:pPr>
        <w:pStyle w:val="BodyText"/>
        <w:numPr>
          <w:ilvl w:val="0"/>
          <w:numId w:val="45"/>
        </w:numPr>
        <w:rPr>
          <w:lang w:eastAsia="en-US"/>
        </w:rPr>
      </w:pPr>
      <w:r w:rsidRPr="005409C9">
        <w:rPr>
          <w:lang w:eastAsia="en-US"/>
        </w:rPr>
        <w:t>Emergency/spill response.</w:t>
      </w:r>
    </w:p>
    <w:p w14:paraId="71096B40" w14:textId="2E6813B6" w:rsidR="005409C9" w:rsidRDefault="005409C9" w:rsidP="005409C9">
      <w:pPr>
        <w:pStyle w:val="Heading3"/>
      </w:pPr>
      <w:r>
        <w:t>Management of Change</w:t>
      </w:r>
    </w:p>
    <w:p w14:paraId="32396765" w14:textId="1DBDDEB3" w:rsidR="005409C9" w:rsidRPr="005409C9" w:rsidRDefault="005409C9" w:rsidP="00E439A6">
      <w:pPr>
        <w:pStyle w:val="Bullet1"/>
        <w:numPr>
          <w:ilvl w:val="0"/>
          <w:numId w:val="0"/>
        </w:numPr>
        <w:ind w:left="720"/>
      </w:pPr>
      <w:r w:rsidRPr="005409C9">
        <w:t>The Cooper Management of Change (MOC) process describes the requirements for dealing</w:t>
      </w:r>
      <w:r>
        <w:t xml:space="preserve"> </w:t>
      </w:r>
      <w:r w:rsidRPr="005409C9">
        <w:t>with change and requires all changes to engineering activiti</w:t>
      </w:r>
      <w:r>
        <w:t xml:space="preserve">es, safety critical procedures, </w:t>
      </w:r>
      <w:r w:rsidRPr="005409C9">
        <w:t>operations, facilities, processes, equipment, plant, materia</w:t>
      </w:r>
      <w:r>
        <w:t xml:space="preserve">ls and/or controlled management </w:t>
      </w:r>
      <w:r w:rsidRPr="005409C9">
        <w:t>system documentation changes to be assessed and managed.</w:t>
      </w:r>
    </w:p>
    <w:p w14:paraId="4D8DF013" w14:textId="0470041A" w:rsidR="005409C9" w:rsidRDefault="005409C9" w:rsidP="00E439A6">
      <w:pPr>
        <w:pStyle w:val="Bullet1"/>
        <w:numPr>
          <w:ilvl w:val="0"/>
          <w:numId w:val="0"/>
        </w:numPr>
        <w:ind w:left="720"/>
      </w:pPr>
      <w:r w:rsidRPr="005409C9">
        <w:t>An impact/risk assessment will accompany any MOC with iden</w:t>
      </w:r>
      <w:r>
        <w:t xml:space="preserve">tified environmental impacts or </w:t>
      </w:r>
      <w:r w:rsidRPr="005409C9">
        <w:t>risks in accordance with the Cooper Risk Manageme</w:t>
      </w:r>
      <w:r>
        <w:t xml:space="preserve">nt Standard. The impact or risk </w:t>
      </w:r>
      <w:r w:rsidRPr="005409C9">
        <w:t>assessment will consider the impact of the propo</w:t>
      </w:r>
      <w:r>
        <w:t xml:space="preserve">sed change on the environmental </w:t>
      </w:r>
      <w:r w:rsidRPr="005409C9">
        <w:t>impacts/risks and adopted control measures. It will als</w:t>
      </w:r>
      <w:r>
        <w:t xml:space="preserve">o consider impacts and risks to </w:t>
      </w:r>
      <w:r w:rsidRPr="005409C9">
        <w:t>stakeholders and seek their feedback on proposed changes if thei</w:t>
      </w:r>
      <w:r>
        <w:t xml:space="preserve">r interests are affected by the </w:t>
      </w:r>
      <w:r w:rsidRPr="005409C9">
        <w:t>change.</w:t>
      </w:r>
    </w:p>
    <w:p w14:paraId="4B1D0608" w14:textId="6B61C79F" w:rsidR="005409C9" w:rsidRDefault="005409C9" w:rsidP="00E439A6">
      <w:pPr>
        <w:pStyle w:val="Bullet1"/>
        <w:numPr>
          <w:ilvl w:val="0"/>
          <w:numId w:val="0"/>
        </w:numPr>
        <w:ind w:left="720"/>
      </w:pPr>
      <w:r w:rsidRPr="005409C9">
        <w:t>In the event that the proposed change introduces a signific</w:t>
      </w:r>
      <w:r>
        <w:t xml:space="preserve">ant new environmental impact or </w:t>
      </w:r>
      <w:r w:rsidRPr="005409C9">
        <w:t xml:space="preserve">risk, results in a significant increase to an existing risk, or </w:t>
      </w:r>
      <w:r>
        <w:t xml:space="preserve">through a cumulative effect of  </w:t>
      </w:r>
      <w:r w:rsidRPr="005409C9">
        <w:t>series of changes there is a significant increase in environmental risk, this EP will be revised for</w:t>
      </w:r>
      <w:r>
        <w:t xml:space="preserve"> </w:t>
      </w:r>
      <w:r w:rsidRPr="005409C9">
        <w:t xml:space="preserve">re-submission to </w:t>
      </w:r>
      <w:r>
        <w:t>DEDJTR.</w:t>
      </w:r>
    </w:p>
    <w:p w14:paraId="577D09A0" w14:textId="20FB9975" w:rsidR="00215C91" w:rsidRDefault="00215C91" w:rsidP="00215C91">
      <w:pPr>
        <w:pStyle w:val="Heading3"/>
      </w:pPr>
      <w:r>
        <w:t>Performance Reporting</w:t>
      </w:r>
    </w:p>
    <w:p w14:paraId="21341A9F" w14:textId="450ED0B2" w:rsidR="00215C91" w:rsidRDefault="00215C91" w:rsidP="00E439A6">
      <w:pPr>
        <w:pStyle w:val="Bullet1"/>
        <w:numPr>
          <w:ilvl w:val="0"/>
          <w:numId w:val="0"/>
        </w:numPr>
        <w:ind w:left="720"/>
      </w:pPr>
      <w:r>
        <w:t>Cooper undertake various forms of reporting, both internally and externally to track performance including:</w:t>
      </w:r>
    </w:p>
    <w:p w14:paraId="6110C97B" w14:textId="3B15C655" w:rsidR="00215C91" w:rsidRDefault="00215C91" w:rsidP="0036080A">
      <w:pPr>
        <w:pStyle w:val="BodyText"/>
        <w:numPr>
          <w:ilvl w:val="0"/>
          <w:numId w:val="46"/>
        </w:numPr>
        <w:rPr>
          <w:lang w:eastAsia="en-US"/>
        </w:rPr>
      </w:pPr>
      <w:r>
        <w:rPr>
          <w:lang w:eastAsia="en-US"/>
        </w:rPr>
        <w:t>Routine internal reporting of HSE matters</w:t>
      </w:r>
    </w:p>
    <w:p w14:paraId="4D667429" w14:textId="4F25BF88" w:rsidR="00FE20D4" w:rsidRDefault="00FE20D4" w:rsidP="0036080A">
      <w:pPr>
        <w:pStyle w:val="BodyText"/>
        <w:numPr>
          <w:ilvl w:val="0"/>
          <w:numId w:val="46"/>
        </w:numPr>
        <w:rPr>
          <w:lang w:eastAsia="en-US"/>
        </w:rPr>
      </w:pPr>
      <w:r>
        <w:rPr>
          <w:lang w:eastAsia="en-US"/>
        </w:rPr>
        <w:t>Quantitative record of emissions and discharges</w:t>
      </w:r>
    </w:p>
    <w:p w14:paraId="4C4B0E91" w14:textId="78C4E77C" w:rsidR="00215C91" w:rsidRDefault="00215C91" w:rsidP="0036080A">
      <w:pPr>
        <w:pStyle w:val="BodyText"/>
        <w:numPr>
          <w:ilvl w:val="0"/>
          <w:numId w:val="46"/>
        </w:numPr>
        <w:rPr>
          <w:lang w:eastAsia="en-US"/>
        </w:rPr>
      </w:pPr>
      <w:r>
        <w:rPr>
          <w:lang w:eastAsia="en-US"/>
        </w:rPr>
        <w:t xml:space="preserve">Annual Environmental Performance report to be submitted to DEDJTR </w:t>
      </w:r>
    </w:p>
    <w:p w14:paraId="6A77B711" w14:textId="320DFC55" w:rsidR="00215C91" w:rsidRDefault="00215C91" w:rsidP="00215C91">
      <w:pPr>
        <w:pStyle w:val="Heading3"/>
      </w:pPr>
      <w:r>
        <w:lastRenderedPageBreak/>
        <w:t>Incident Recording and Reporting</w:t>
      </w:r>
    </w:p>
    <w:p w14:paraId="53C0BD4F" w14:textId="67899D41" w:rsidR="00215C91" w:rsidRDefault="00215C91" w:rsidP="00E439A6">
      <w:pPr>
        <w:pStyle w:val="Bullet1"/>
        <w:numPr>
          <w:ilvl w:val="0"/>
          <w:numId w:val="0"/>
        </w:numPr>
        <w:ind w:left="720"/>
      </w:pPr>
      <w:r w:rsidRPr="00D45C9A">
        <w:t>All environmental incidents are recorded and investigated in accordance with Coopers Incident Management process. Recording and close out of corrective actions are tracked to closure in the Cooper’s incident action tracking system. Incident investigations are initiated and closed out in some timely manner and learnings associated with incidents and near misses are communicated</w:t>
      </w:r>
      <w:r w:rsidRPr="00215C91">
        <w:t xml:space="preserve"> across the organisation. </w:t>
      </w:r>
    </w:p>
    <w:p w14:paraId="2562B369" w14:textId="34897145" w:rsidR="00FE20D4" w:rsidRDefault="00FE20D4" w:rsidP="00FE20D4">
      <w:pPr>
        <w:pStyle w:val="Heading3"/>
      </w:pPr>
      <w:r>
        <w:t>Audits and Inspections</w:t>
      </w:r>
    </w:p>
    <w:p w14:paraId="17CB3059" w14:textId="469A2307" w:rsidR="00FE20D4" w:rsidRDefault="00FE20D4" w:rsidP="00E439A6">
      <w:pPr>
        <w:pStyle w:val="Bullet1"/>
        <w:numPr>
          <w:ilvl w:val="0"/>
          <w:numId w:val="0"/>
        </w:numPr>
        <w:ind w:left="720"/>
      </w:pPr>
      <w:r>
        <w:t>Cooper will undertake audits and inspections on assets and vessels undertaking IMR activities to ensure environmental performance is being achieved,</w:t>
      </w:r>
      <w:r w:rsidRPr="007C6470">
        <w:t xml:space="preserve"> </w:t>
      </w:r>
      <w:r w:rsidRPr="00FE20D4">
        <w:t>potential non-compliances and opportunities for continuous improvement are</w:t>
      </w:r>
      <w:r>
        <w:t xml:space="preserve"> </w:t>
      </w:r>
      <w:r w:rsidRPr="00FE20D4">
        <w:t>identified; and all environmental monitoring requirements are being met.</w:t>
      </w:r>
      <w:r>
        <w:t xml:space="preserve"> </w:t>
      </w:r>
    </w:p>
    <w:p w14:paraId="223E90A5" w14:textId="2C1C9CAA" w:rsidR="007C6470" w:rsidRPr="007C6470" w:rsidRDefault="007C6470" w:rsidP="00E439A6">
      <w:pPr>
        <w:pStyle w:val="Bullet1"/>
        <w:numPr>
          <w:ilvl w:val="0"/>
          <w:numId w:val="0"/>
        </w:numPr>
        <w:ind w:left="720"/>
      </w:pPr>
      <w:r w:rsidRPr="007C6470">
        <w:t>Any non-compliance with the environmental performance standa</w:t>
      </w:r>
      <w:r>
        <w:t xml:space="preserve">rds outlined in this EP will be </w:t>
      </w:r>
      <w:r w:rsidRPr="007C6470">
        <w:t>subject to investigation and follow-up action as per ‘management of non-conformance’ requirements.</w:t>
      </w:r>
    </w:p>
    <w:p w14:paraId="3118B3DF" w14:textId="41B70CBC" w:rsidR="00FE20D4" w:rsidRDefault="007C6470" w:rsidP="00E439A6">
      <w:pPr>
        <w:pStyle w:val="Bullet1"/>
        <w:numPr>
          <w:ilvl w:val="0"/>
          <w:numId w:val="0"/>
        </w:numPr>
        <w:ind w:left="720"/>
      </w:pPr>
      <w:r w:rsidRPr="007C6470">
        <w:t>The findings and recommendations of inspections an</w:t>
      </w:r>
      <w:r>
        <w:t xml:space="preserve">d audits will be documented and </w:t>
      </w:r>
      <w:r w:rsidRPr="007C6470">
        <w:t xml:space="preserve">opportunities for improvement or non-compliances noted will </w:t>
      </w:r>
      <w:r>
        <w:t xml:space="preserve">be communicated to all relevant </w:t>
      </w:r>
      <w:r w:rsidRPr="007C6470">
        <w:t>personnel at the time of the audit to ensure adequate time t</w:t>
      </w:r>
      <w:r>
        <w:t xml:space="preserve">o implement corrective actions. </w:t>
      </w:r>
      <w:r w:rsidRPr="007C6470">
        <w:t>Results from the environmental inspections and audits will</w:t>
      </w:r>
      <w:r>
        <w:t xml:space="preserve"> be summarised in the annual EP </w:t>
      </w:r>
      <w:r w:rsidRPr="007C6470">
        <w:t>performance report submitted to the DEDJTR.</w:t>
      </w:r>
    </w:p>
    <w:p w14:paraId="0935752E" w14:textId="1D7F4664" w:rsidR="007C6470" w:rsidRPr="007C6470" w:rsidRDefault="007C6470" w:rsidP="007C6470">
      <w:pPr>
        <w:pStyle w:val="Heading3"/>
      </w:pPr>
      <w:r w:rsidRPr="007C6470">
        <w:t>Management of non-conformance</w:t>
      </w:r>
    </w:p>
    <w:p w14:paraId="26706549" w14:textId="0826E3E6" w:rsidR="007C6470" w:rsidRDefault="007C6470" w:rsidP="00E439A6">
      <w:pPr>
        <w:pStyle w:val="Bullet1"/>
        <w:numPr>
          <w:ilvl w:val="0"/>
          <w:numId w:val="0"/>
        </w:numPr>
        <w:ind w:left="720"/>
      </w:pPr>
      <w:r w:rsidRPr="007C6470">
        <w:t>In response to any EP non-compliances, corrective actions w</w:t>
      </w:r>
      <w:r>
        <w:t xml:space="preserve">ill be issued which specify the </w:t>
      </w:r>
      <w:r w:rsidRPr="007C6470">
        <w:t>remedial action required to fix the breach and prevent its reoccurrence. The corrective action is</w:t>
      </w:r>
      <w:r>
        <w:t xml:space="preserve"> </w:t>
      </w:r>
      <w:r w:rsidRPr="007C6470">
        <w:t>closed out only when the remedial action has been verified by the appropriate manager and</w:t>
      </w:r>
      <w:r>
        <w:t xml:space="preserve"> </w:t>
      </w:r>
      <w:r w:rsidRPr="007C6470">
        <w:t>signed off. The status of the corrective action is monitored through the Cooper corrective action</w:t>
      </w:r>
      <w:r>
        <w:t xml:space="preserve"> </w:t>
      </w:r>
      <w:r w:rsidRPr="007C6470">
        <w:t>tracking system.</w:t>
      </w:r>
    </w:p>
    <w:p w14:paraId="13F52430" w14:textId="1D7B8E0C" w:rsidR="00FA6764" w:rsidRPr="00215C91" w:rsidRDefault="007C6470" w:rsidP="0036080A">
      <w:pPr>
        <w:pStyle w:val="Heading2"/>
        <w:numPr>
          <w:ilvl w:val="1"/>
          <w:numId w:val="24"/>
        </w:numPr>
      </w:pPr>
      <w:bookmarkStart w:id="304" w:name="_Toc512862495"/>
      <w:bookmarkEnd w:id="301"/>
      <w:r>
        <w:t>Oil Pollution Emergency Plan</w:t>
      </w:r>
      <w:bookmarkEnd w:id="304"/>
    </w:p>
    <w:p w14:paraId="3E79FDA2" w14:textId="6198F24B" w:rsidR="00FA6764" w:rsidRPr="007E2771" w:rsidRDefault="00C93825" w:rsidP="00083759">
      <w:pPr>
        <w:pStyle w:val="Heading3"/>
      </w:pPr>
      <w:r>
        <w:t>E</w:t>
      </w:r>
      <w:r w:rsidR="00FA6764" w:rsidRPr="007E2771">
        <w:t xml:space="preserve">mergency </w:t>
      </w:r>
      <w:r w:rsidR="0058644F">
        <w:t xml:space="preserve">(Oil Spill) </w:t>
      </w:r>
      <w:r w:rsidR="00FA6764" w:rsidRPr="007E2771">
        <w:t xml:space="preserve">Response </w:t>
      </w:r>
      <w:r w:rsidR="007C6470">
        <w:t>Strategies</w:t>
      </w:r>
    </w:p>
    <w:p w14:paraId="28BD6C52" w14:textId="16FF0634" w:rsidR="007C6470" w:rsidRPr="007C6470" w:rsidRDefault="007C6470" w:rsidP="00E439A6">
      <w:pPr>
        <w:pStyle w:val="Bullet1"/>
        <w:numPr>
          <w:ilvl w:val="0"/>
          <w:numId w:val="0"/>
        </w:numPr>
        <w:ind w:left="720"/>
      </w:pPr>
      <w:bookmarkStart w:id="305" w:name="_Ref472510811"/>
      <w:r w:rsidRPr="007C6470">
        <w:t>The Offshore Victoria Oil Pollution Emergency Plan (OPEP) i</w:t>
      </w:r>
      <w:r>
        <w:t xml:space="preserve">s Cooper’s response strategy in </w:t>
      </w:r>
      <w:r w:rsidRPr="007C6470">
        <w:t>the event of a hydrocarbon spill during CHN operational activities. The OPEP has been</w:t>
      </w:r>
      <w:r>
        <w:t xml:space="preserve"> </w:t>
      </w:r>
      <w:r w:rsidRPr="007C6470">
        <w:t>accepted by NOPSEMA and DEDJTR as compliant with the Commonwealth OPGGSER and</w:t>
      </w:r>
      <w:r>
        <w:t xml:space="preserve"> </w:t>
      </w:r>
      <w:r w:rsidRPr="007C6470">
        <w:t>Victorian Offshore Petroleum and Greenhouse Gas Storage Regulations 2011(OPGGSR).</w:t>
      </w:r>
    </w:p>
    <w:p w14:paraId="6BE5D57C" w14:textId="34E080DC" w:rsidR="007C6470" w:rsidRPr="007C6470" w:rsidRDefault="007C6470" w:rsidP="00E439A6">
      <w:pPr>
        <w:pStyle w:val="Bullet1"/>
        <w:numPr>
          <w:ilvl w:val="0"/>
          <w:numId w:val="0"/>
        </w:numPr>
        <w:ind w:left="720"/>
      </w:pPr>
      <w:r w:rsidRPr="007C6470">
        <w:t>Cooper has reviewed the oil spill risks, hydrocarbon types and</w:t>
      </w:r>
      <w:r>
        <w:t xml:space="preserve"> spill impact results which may </w:t>
      </w:r>
      <w:r w:rsidRPr="007C6470">
        <w:t>occur as part of the CHN operational activities. Oil spill response options have been assessed</w:t>
      </w:r>
      <w:r>
        <w:t xml:space="preserve"> </w:t>
      </w:r>
      <w:r w:rsidRPr="007C6470">
        <w:t>for their suitability and effectiveness in reducing oil spill impacts to ALARP.</w:t>
      </w:r>
    </w:p>
    <w:p w14:paraId="20032714" w14:textId="21B7312D" w:rsidR="007C6470" w:rsidRPr="007C6470" w:rsidRDefault="007C6470" w:rsidP="00E439A6">
      <w:pPr>
        <w:pStyle w:val="Bullet1"/>
        <w:numPr>
          <w:ilvl w:val="0"/>
          <w:numId w:val="0"/>
        </w:numPr>
        <w:ind w:left="720"/>
      </w:pPr>
      <w:r w:rsidRPr="007C6470">
        <w:t>Cooper have utilised a Net Environmental Benefit A</w:t>
      </w:r>
      <w:r>
        <w:t xml:space="preserve">ssessment (NEBA) methodology to identify </w:t>
      </w:r>
      <w:r w:rsidRPr="007C6470">
        <w:t>the appropriate response strategies for hydrocarbon spill scenarios possible during CHN</w:t>
      </w:r>
      <w:r>
        <w:t xml:space="preserve"> </w:t>
      </w:r>
      <w:r w:rsidRPr="007C6470">
        <w:t>operational activities. A planning NEBA was conducted</w:t>
      </w:r>
      <w:r>
        <w:t xml:space="preserve"> to determine the spill respons</w:t>
      </w:r>
      <w:r w:rsidR="00607EE1">
        <w:t>e</w:t>
      </w:r>
      <w:r>
        <w:t xml:space="preserve"> </w:t>
      </w:r>
      <w:r w:rsidRPr="007C6470">
        <w:t>strategies considered viable and expected to offer net benefit to sensitivities within the EMBA.</w:t>
      </w:r>
    </w:p>
    <w:p w14:paraId="72C5BD15" w14:textId="02BB381E" w:rsidR="007C6470" w:rsidRPr="007C6470" w:rsidRDefault="007C6470" w:rsidP="00E439A6">
      <w:pPr>
        <w:pStyle w:val="Bullet1"/>
        <w:numPr>
          <w:ilvl w:val="0"/>
          <w:numId w:val="0"/>
        </w:numPr>
        <w:ind w:left="720"/>
      </w:pPr>
      <w:r w:rsidRPr="007C6470">
        <w:t>Given the rapid evaporation/volatilisation of hydrocarbons whe</w:t>
      </w:r>
      <w:r>
        <w:t xml:space="preserve">n released, the rapid spreading </w:t>
      </w:r>
      <w:r w:rsidRPr="007C6470">
        <w:t>rate of MDO and condensate, and the potential for shoreline residue impacts associated with</w:t>
      </w:r>
      <w:r>
        <w:t xml:space="preserve"> </w:t>
      </w:r>
      <w:r w:rsidRPr="007C6470">
        <w:t>MDO spills, the response strategy would include the following according to the specific</w:t>
      </w:r>
      <w:r>
        <w:t xml:space="preserve"> </w:t>
      </w:r>
      <w:r w:rsidRPr="007C6470">
        <w:t>scenario:</w:t>
      </w:r>
    </w:p>
    <w:p w14:paraId="26F3C910" w14:textId="69291D7C" w:rsidR="007C6470" w:rsidRPr="007C6470" w:rsidRDefault="007C6470" w:rsidP="0036080A">
      <w:pPr>
        <w:pStyle w:val="BodyText"/>
        <w:numPr>
          <w:ilvl w:val="0"/>
          <w:numId w:val="46"/>
        </w:numPr>
        <w:rPr>
          <w:lang w:eastAsia="en-US"/>
        </w:rPr>
      </w:pPr>
      <w:r w:rsidRPr="007C6470">
        <w:rPr>
          <w:lang w:eastAsia="en-US"/>
        </w:rPr>
        <w:t xml:space="preserve">Initiate </w:t>
      </w:r>
      <w:r w:rsidRPr="007C6470">
        <w:rPr>
          <w:b/>
          <w:bCs/>
          <w:lang w:eastAsia="en-US"/>
        </w:rPr>
        <w:t>source control</w:t>
      </w:r>
      <w:r w:rsidRPr="007C6470">
        <w:rPr>
          <w:lang w:eastAsia="en-US"/>
        </w:rPr>
        <w:t>:</w:t>
      </w:r>
    </w:p>
    <w:p w14:paraId="39B81946" w14:textId="48AA61E5" w:rsidR="007C6470" w:rsidRPr="007C6470" w:rsidRDefault="007C6470" w:rsidP="00E439A6">
      <w:pPr>
        <w:pStyle w:val="BodyText"/>
        <w:numPr>
          <w:ilvl w:val="0"/>
          <w:numId w:val="58"/>
        </w:numPr>
        <w:ind w:left="1701" w:hanging="425"/>
        <w:rPr>
          <w:lang w:eastAsia="en-US"/>
        </w:rPr>
      </w:pPr>
      <w:r w:rsidRPr="007C6470">
        <w:rPr>
          <w:lang w:eastAsia="en-US"/>
        </w:rPr>
        <w:t>For vessels, this includes the implementation</w:t>
      </w:r>
      <w:r>
        <w:rPr>
          <w:lang w:eastAsia="en-US"/>
        </w:rPr>
        <w:t xml:space="preserve"> of SMPEP actions to reduce the </w:t>
      </w:r>
      <w:r w:rsidRPr="007C6470">
        <w:rPr>
          <w:lang w:eastAsia="en-US"/>
        </w:rPr>
        <w:t>leak;</w:t>
      </w:r>
    </w:p>
    <w:p w14:paraId="66AE6214" w14:textId="73D3E84C" w:rsidR="007C6470" w:rsidRPr="007C6470" w:rsidRDefault="007C6470" w:rsidP="00E439A6">
      <w:pPr>
        <w:pStyle w:val="BodyText"/>
        <w:numPr>
          <w:ilvl w:val="0"/>
          <w:numId w:val="58"/>
        </w:numPr>
        <w:ind w:left="1701" w:hanging="425"/>
        <w:rPr>
          <w:lang w:eastAsia="en-US"/>
        </w:rPr>
      </w:pPr>
      <w:r w:rsidRPr="007C6470">
        <w:rPr>
          <w:lang w:eastAsia="en-US"/>
        </w:rPr>
        <w:t>For pipelines this includes operator response and ESD systems;</w:t>
      </w:r>
    </w:p>
    <w:p w14:paraId="4AF57654" w14:textId="0E3FE628" w:rsidR="007C6470" w:rsidRPr="007C6470" w:rsidRDefault="007C6470" w:rsidP="00E439A6">
      <w:pPr>
        <w:pStyle w:val="BodyText"/>
        <w:ind w:left="709"/>
        <w:rPr>
          <w:lang w:eastAsia="en-US"/>
        </w:rPr>
      </w:pPr>
      <w:r w:rsidRPr="007C6470">
        <w:rPr>
          <w:lang w:eastAsia="en-US"/>
        </w:rPr>
        <w:t>For CHN well releases this may include:</w:t>
      </w:r>
    </w:p>
    <w:p w14:paraId="45C93EEB" w14:textId="695D08AB" w:rsidR="007C6470" w:rsidRPr="007C6470" w:rsidRDefault="007C6470" w:rsidP="00E439A6">
      <w:pPr>
        <w:pStyle w:val="BodyText"/>
        <w:numPr>
          <w:ilvl w:val="0"/>
          <w:numId w:val="58"/>
        </w:numPr>
        <w:ind w:left="1701" w:hanging="425"/>
        <w:rPr>
          <w:lang w:eastAsia="en-US"/>
        </w:rPr>
      </w:pPr>
      <w:r w:rsidRPr="007C6470">
        <w:rPr>
          <w:lang w:eastAsia="en-US"/>
        </w:rPr>
        <w:lastRenderedPageBreak/>
        <w:t>Vessel-based intervention via a work-class ROV; or</w:t>
      </w:r>
    </w:p>
    <w:p w14:paraId="598BD59B" w14:textId="7312F224" w:rsidR="007C6470" w:rsidRPr="007C6470" w:rsidRDefault="007C6470" w:rsidP="00E439A6">
      <w:pPr>
        <w:pStyle w:val="BodyText"/>
        <w:numPr>
          <w:ilvl w:val="0"/>
          <w:numId w:val="58"/>
        </w:numPr>
        <w:ind w:left="1701" w:hanging="425"/>
        <w:rPr>
          <w:lang w:eastAsia="en-US"/>
        </w:rPr>
      </w:pPr>
      <w:r w:rsidRPr="007C6470">
        <w:rPr>
          <w:lang w:eastAsia="en-US"/>
        </w:rPr>
        <w:t>Well capping and/or relief well installation;</w:t>
      </w:r>
    </w:p>
    <w:p w14:paraId="43A695FA" w14:textId="11CF6C9E" w:rsidR="007C6470" w:rsidRPr="007C6470" w:rsidRDefault="007C6470" w:rsidP="00607EE1">
      <w:pPr>
        <w:pStyle w:val="BodyText"/>
        <w:numPr>
          <w:ilvl w:val="0"/>
          <w:numId w:val="47"/>
        </w:numPr>
        <w:ind w:left="1418" w:hanging="425"/>
        <w:rPr>
          <w:lang w:eastAsia="en-US"/>
        </w:rPr>
      </w:pPr>
      <w:r w:rsidRPr="007C6470">
        <w:rPr>
          <w:b/>
          <w:bCs/>
          <w:lang w:eastAsia="en-US"/>
        </w:rPr>
        <w:t xml:space="preserve">Monitor and evaluate </w:t>
      </w:r>
      <w:r w:rsidRPr="007C6470">
        <w:rPr>
          <w:lang w:eastAsia="en-US"/>
        </w:rPr>
        <w:t>the spill via aerial and/or ma</w:t>
      </w:r>
      <w:r>
        <w:rPr>
          <w:lang w:eastAsia="en-US"/>
        </w:rPr>
        <w:t xml:space="preserve">rine surveillance and oil spill </w:t>
      </w:r>
      <w:r w:rsidRPr="007C6470">
        <w:rPr>
          <w:lang w:eastAsia="en-US"/>
        </w:rPr>
        <w:t>trajectory modelling (all spill types) and via oil spill tracking buoys (for IMR vessel MDO</w:t>
      </w:r>
      <w:r>
        <w:rPr>
          <w:lang w:eastAsia="en-US"/>
        </w:rPr>
        <w:t xml:space="preserve"> </w:t>
      </w:r>
      <w:r w:rsidRPr="007C6470">
        <w:rPr>
          <w:lang w:eastAsia="en-US"/>
        </w:rPr>
        <w:t>spills);</w:t>
      </w:r>
    </w:p>
    <w:p w14:paraId="3AB9FF51" w14:textId="5D869874" w:rsidR="007C6470" w:rsidRPr="007C6470" w:rsidRDefault="007C6470" w:rsidP="0036080A">
      <w:pPr>
        <w:pStyle w:val="BodyText"/>
        <w:numPr>
          <w:ilvl w:val="0"/>
          <w:numId w:val="47"/>
        </w:numPr>
        <w:ind w:left="1418" w:hanging="425"/>
        <w:rPr>
          <w:lang w:eastAsia="en-US"/>
        </w:rPr>
      </w:pPr>
      <w:r w:rsidRPr="007C6470">
        <w:rPr>
          <w:lang w:eastAsia="en-US"/>
        </w:rPr>
        <w:t xml:space="preserve">Initiate </w:t>
      </w:r>
      <w:r w:rsidRPr="007C6470">
        <w:rPr>
          <w:b/>
          <w:bCs/>
          <w:lang w:eastAsia="en-US"/>
        </w:rPr>
        <w:t xml:space="preserve">protection and deflection </w:t>
      </w:r>
      <w:r w:rsidRPr="007C6470">
        <w:rPr>
          <w:lang w:eastAsia="en-US"/>
        </w:rPr>
        <w:t>booming within estu</w:t>
      </w:r>
      <w:r>
        <w:rPr>
          <w:lang w:eastAsia="en-US"/>
        </w:rPr>
        <w:t xml:space="preserve">aries which may be at risk (for </w:t>
      </w:r>
      <w:r w:rsidRPr="007C6470">
        <w:rPr>
          <w:lang w:eastAsia="en-US"/>
        </w:rPr>
        <w:t>nearshore IMR vessel MDO spills);</w:t>
      </w:r>
    </w:p>
    <w:p w14:paraId="53A3E94D" w14:textId="0F9376AE" w:rsidR="007C6470" w:rsidRPr="007C6470" w:rsidRDefault="007C6470" w:rsidP="0036080A">
      <w:pPr>
        <w:pStyle w:val="BodyText"/>
        <w:numPr>
          <w:ilvl w:val="0"/>
          <w:numId w:val="47"/>
        </w:numPr>
        <w:ind w:left="1418" w:hanging="425"/>
        <w:rPr>
          <w:lang w:eastAsia="en-US"/>
        </w:rPr>
      </w:pPr>
      <w:r w:rsidRPr="007C6470">
        <w:rPr>
          <w:lang w:eastAsia="en-US"/>
        </w:rPr>
        <w:t xml:space="preserve">Initiate </w:t>
      </w:r>
      <w:r w:rsidRPr="007C6470">
        <w:rPr>
          <w:b/>
          <w:bCs/>
          <w:lang w:eastAsia="en-US"/>
        </w:rPr>
        <w:t xml:space="preserve">shoreline assessment and clean-up </w:t>
      </w:r>
      <w:r w:rsidRPr="007C6470">
        <w:rPr>
          <w:lang w:eastAsia="en-US"/>
        </w:rPr>
        <w:t>(MD</w:t>
      </w:r>
      <w:r>
        <w:rPr>
          <w:lang w:eastAsia="en-US"/>
        </w:rPr>
        <w:t xml:space="preserve">O and condensate spills) (where </w:t>
      </w:r>
      <w:r w:rsidRPr="007C6470">
        <w:rPr>
          <w:lang w:eastAsia="en-US"/>
        </w:rPr>
        <w:t>access is possible); and</w:t>
      </w:r>
    </w:p>
    <w:p w14:paraId="194B2FE6" w14:textId="273CB134" w:rsidR="007C6470" w:rsidRPr="007C6470" w:rsidRDefault="007C6470" w:rsidP="0036080A">
      <w:pPr>
        <w:pStyle w:val="BodyText"/>
        <w:numPr>
          <w:ilvl w:val="0"/>
          <w:numId w:val="47"/>
        </w:numPr>
        <w:ind w:left="1418" w:hanging="425"/>
        <w:rPr>
          <w:lang w:eastAsia="en-US"/>
        </w:rPr>
      </w:pPr>
      <w:r w:rsidRPr="007C6470">
        <w:rPr>
          <w:lang w:eastAsia="en-US"/>
        </w:rPr>
        <w:t xml:space="preserve">Initiate </w:t>
      </w:r>
      <w:r w:rsidRPr="007C6470">
        <w:rPr>
          <w:b/>
          <w:bCs/>
          <w:lang w:eastAsia="en-US"/>
        </w:rPr>
        <w:t xml:space="preserve">oiled wildlife response </w:t>
      </w:r>
      <w:r w:rsidRPr="007C6470">
        <w:rPr>
          <w:lang w:eastAsia="en-US"/>
        </w:rPr>
        <w:t>where oiled wildlife a</w:t>
      </w:r>
      <w:r>
        <w:rPr>
          <w:lang w:eastAsia="en-US"/>
        </w:rPr>
        <w:t xml:space="preserve">re observed (MDO and condensate </w:t>
      </w:r>
      <w:r w:rsidRPr="007C6470">
        <w:rPr>
          <w:lang w:eastAsia="en-US"/>
        </w:rPr>
        <w:t>spills).</w:t>
      </w:r>
    </w:p>
    <w:p w14:paraId="31822831" w14:textId="1FEAC174" w:rsidR="002B6A94" w:rsidRDefault="007C6470" w:rsidP="00E439A6">
      <w:pPr>
        <w:pStyle w:val="Bullet1"/>
        <w:numPr>
          <w:ilvl w:val="0"/>
          <w:numId w:val="0"/>
        </w:numPr>
        <w:ind w:left="720"/>
      </w:pPr>
      <w:r w:rsidRPr="007C6470">
        <w:t>In the event of a spill, an operational NEBA will be unde</w:t>
      </w:r>
      <w:r>
        <w:t xml:space="preserve">rtaken to review and verify the </w:t>
      </w:r>
      <w:r w:rsidRPr="007C6470">
        <w:t>response option and assess for additional factors which may affect the implementation of these</w:t>
      </w:r>
      <w:r>
        <w:t xml:space="preserve"> </w:t>
      </w:r>
      <w:r w:rsidRPr="007C6470">
        <w:t>options.</w:t>
      </w:r>
    </w:p>
    <w:p w14:paraId="1FE333A9" w14:textId="7D0FB38E" w:rsidR="00FA6764" w:rsidRDefault="000439F5" w:rsidP="000439F5">
      <w:pPr>
        <w:pStyle w:val="Heading2"/>
      </w:pPr>
      <w:bookmarkStart w:id="306" w:name="_Toc512862496"/>
      <w:bookmarkEnd w:id="305"/>
      <w:r>
        <w:t>Oil Spill Response Arrangements</w:t>
      </w:r>
      <w:bookmarkEnd w:id="306"/>
    </w:p>
    <w:p w14:paraId="48F8D4BF" w14:textId="77777777" w:rsidR="000439F5" w:rsidRDefault="000439F5" w:rsidP="00E439A6">
      <w:pPr>
        <w:pStyle w:val="Bullet1"/>
        <w:numPr>
          <w:ilvl w:val="0"/>
          <w:numId w:val="0"/>
        </w:numPr>
        <w:ind w:left="720"/>
        <w:rPr>
          <w:rFonts w:ascii="ArialMT" w:eastAsia="Calibri" w:hAnsi="ArialMT" w:cs="ArialMT"/>
          <w:kern w:val="0"/>
        </w:rPr>
      </w:pPr>
      <w:r>
        <w:rPr>
          <w:rFonts w:ascii="ArialMT" w:eastAsia="Calibri" w:hAnsi="ArialMT" w:cs="ArialMT"/>
          <w:kern w:val="0"/>
        </w:rPr>
        <w:t>Cooper has the following oil spill response arrangements in place:</w:t>
      </w:r>
    </w:p>
    <w:p w14:paraId="03BD9D91" w14:textId="41EACF07" w:rsidR="000439F5" w:rsidRPr="000439F5" w:rsidRDefault="000439F5" w:rsidP="0036080A">
      <w:pPr>
        <w:pStyle w:val="BodyText"/>
        <w:numPr>
          <w:ilvl w:val="0"/>
          <w:numId w:val="47"/>
        </w:numPr>
        <w:ind w:left="1418" w:hanging="425"/>
        <w:rPr>
          <w:lang w:eastAsia="en-US"/>
        </w:rPr>
      </w:pPr>
      <w:r w:rsidRPr="000439F5">
        <w:rPr>
          <w:lang w:eastAsia="en-US"/>
        </w:rPr>
        <w:t>Associate membership (standing agreement and service contract) with the Australian</w:t>
      </w:r>
      <w:r>
        <w:rPr>
          <w:lang w:eastAsia="en-US"/>
        </w:rPr>
        <w:t xml:space="preserve"> </w:t>
      </w:r>
      <w:r w:rsidRPr="000439F5">
        <w:rPr>
          <w:lang w:eastAsia="en-US"/>
        </w:rPr>
        <w:t>Marine Oil Spill Centre (AMOSC) for the supply of experienced personnel, equipment</w:t>
      </w:r>
      <w:r>
        <w:rPr>
          <w:lang w:eastAsia="en-US"/>
        </w:rPr>
        <w:t xml:space="preserve"> </w:t>
      </w:r>
      <w:r w:rsidRPr="000439F5">
        <w:rPr>
          <w:lang w:eastAsia="en-US"/>
        </w:rPr>
        <w:t>and oil spill trajectory modelling services;</w:t>
      </w:r>
    </w:p>
    <w:p w14:paraId="3CCDD529" w14:textId="55C6156B" w:rsidR="000439F5" w:rsidRPr="000439F5" w:rsidRDefault="000439F5" w:rsidP="0036080A">
      <w:pPr>
        <w:pStyle w:val="BodyText"/>
        <w:numPr>
          <w:ilvl w:val="0"/>
          <w:numId w:val="47"/>
        </w:numPr>
        <w:ind w:left="1418" w:hanging="425"/>
        <w:rPr>
          <w:lang w:eastAsia="en-US"/>
        </w:rPr>
      </w:pPr>
      <w:r w:rsidRPr="000439F5">
        <w:rPr>
          <w:lang w:eastAsia="en-US"/>
        </w:rPr>
        <w:t>Memorandum of Understanding with the Australian Maritime Safety Authority (AMSA) as</w:t>
      </w:r>
      <w:r>
        <w:rPr>
          <w:lang w:eastAsia="en-US"/>
        </w:rPr>
        <w:t xml:space="preserve"> </w:t>
      </w:r>
      <w:r w:rsidRPr="000439F5">
        <w:rPr>
          <w:lang w:eastAsia="en-US"/>
        </w:rPr>
        <w:t>managers of the National Plan for Maritime Environmental Emergencies, will support and</w:t>
      </w:r>
      <w:r>
        <w:rPr>
          <w:lang w:eastAsia="en-US"/>
        </w:rPr>
        <w:t xml:space="preserve"> </w:t>
      </w:r>
      <w:r w:rsidRPr="000439F5">
        <w:rPr>
          <w:lang w:eastAsia="en-US"/>
        </w:rPr>
        <w:t>supply Cooper with response equipment from national stockpiles and trained personnel;</w:t>
      </w:r>
    </w:p>
    <w:p w14:paraId="5ED4C12B" w14:textId="68D11011" w:rsidR="000439F5" w:rsidRPr="000439F5" w:rsidRDefault="000439F5" w:rsidP="0036080A">
      <w:pPr>
        <w:pStyle w:val="BodyText"/>
        <w:numPr>
          <w:ilvl w:val="0"/>
          <w:numId w:val="47"/>
        </w:numPr>
        <w:ind w:left="1418" w:hanging="425"/>
        <w:rPr>
          <w:lang w:eastAsia="en-US"/>
        </w:rPr>
      </w:pPr>
      <w:r w:rsidRPr="000439F5">
        <w:rPr>
          <w:lang w:eastAsia="en-US"/>
        </w:rPr>
        <w:t>A service agreement to provide specialist resources for scientific monitoring, analytical</w:t>
      </w:r>
      <w:r>
        <w:rPr>
          <w:lang w:eastAsia="en-US"/>
        </w:rPr>
        <w:t xml:space="preserve"> </w:t>
      </w:r>
      <w:r w:rsidRPr="000439F5">
        <w:rPr>
          <w:lang w:eastAsia="en-US"/>
        </w:rPr>
        <w:t>services, scientific monitoring vessels and sampling equipment;</w:t>
      </w:r>
    </w:p>
    <w:p w14:paraId="5906F7C8" w14:textId="1F1BDD19" w:rsidR="000439F5" w:rsidRPr="000439F5" w:rsidRDefault="000439F5" w:rsidP="0036080A">
      <w:pPr>
        <w:pStyle w:val="BodyText"/>
        <w:numPr>
          <w:ilvl w:val="0"/>
          <w:numId w:val="47"/>
        </w:numPr>
        <w:ind w:left="1418" w:hanging="425"/>
        <w:rPr>
          <w:lang w:eastAsia="en-US"/>
        </w:rPr>
      </w:pPr>
      <w:r w:rsidRPr="000439F5">
        <w:rPr>
          <w:lang w:eastAsia="en-US"/>
        </w:rPr>
        <w:t>Contract pre-qualification with an aviation supplier for provision of surveillance aircraft</w:t>
      </w:r>
      <w:r>
        <w:rPr>
          <w:lang w:eastAsia="en-US"/>
        </w:rPr>
        <w:t xml:space="preserve"> </w:t>
      </w:r>
      <w:r w:rsidRPr="000439F5">
        <w:rPr>
          <w:lang w:eastAsia="en-US"/>
        </w:rPr>
        <w:t>and pilots; and</w:t>
      </w:r>
    </w:p>
    <w:p w14:paraId="7B5CA04D" w14:textId="1FB30093" w:rsidR="000439F5" w:rsidRDefault="000439F5" w:rsidP="0036080A">
      <w:pPr>
        <w:pStyle w:val="BodyText"/>
        <w:numPr>
          <w:ilvl w:val="0"/>
          <w:numId w:val="47"/>
        </w:numPr>
        <w:ind w:left="1418" w:hanging="425"/>
        <w:rPr>
          <w:rFonts w:ascii="ArialMT" w:eastAsia="Calibri" w:hAnsi="ArialMT" w:cs="ArialMT"/>
          <w:kern w:val="0"/>
          <w:szCs w:val="20"/>
          <w:lang w:eastAsia="en-US"/>
        </w:rPr>
      </w:pPr>
      <w:r w:rsidRPr="000439F5">
        <w:rPr>
          <w:lang w:eastAsia="en-US"/>
        </w:rPr>
        <w:t>Contract with</w:t>
      </w:r>
      <w:r>
        <w:rPr>
          <w:rFonts w:ascii="ArialMT" w:eastAsia="Calibri" w:hAnsi="ArialMT" w:cs="ArialMT"/>
          <w:kern w:val="0"/>
          <w:szCs w:val="20"/>
          <w:lang w:eastAsia="en-US"/>
        </w:rPr>
        <w:t xml:space="preserve"> a vessel contractor for marine vessel support during an oil spill.</w:t>
      </w:r>
    </w:p>
    <w:p w14:paraId="58063B36" w14:textId="39BD9CFF" w:rsidR="00FA6764" w:rsidRPr="00E439A6" w:rsidRDefault="000439F5" w:rsidP="00E439A6">
      <w:pPr>
        <w:pStyle w:val="Bullet1"/>
        <w:numPr>
          <w:ilvl w:val="0"/>
          <w:numId w:val="0"/>
        </w:numPr>
        <w:ind w:left="720"/>
        <w:rPr>
          <w:rFonts w:eastAsia="SimSun"/>
          <w:szCs w:val="24"/>
        </w:rPr>
      </w:pPr>
      <w:r w:rsidRPr="00E439A6">
        <w:t>Source control arrangements for well incidents include an agreement with well control specialists (including capping stack capability), well engineering company, casing material suppliers and the APPEA Mutual Assistance Agreement for rig provision</w:t>
      </w:r>
      <w:r w:rsidRPr="00E439A6">
        <w:rPr>
          <w:rFonts w:eastAsia="SimSun"/>
          <w:szCs w:val="24"/>
        </w:rPr>
        <w:t>.</w:t>
      </w:r>
    </w:p>
    <w:p w14:paraId="240BAF79" w14:textId="3EC09512" w:rsidR="000439F5" w:rsidRDefault="000439F5" w:rsidP="000439F5">
      <w:pPr>
        <w:pStyle w:val="Heading2"/>
      </w:pPr>
      <w:bookmarkStart w:id="307" w:name="_Toc512862497"/>
      <w:r>
        <w:t>Preparedness</w:t>
      </w:r>
      <w:bookmarkEnd w:id="307"/>
    </w:p>
    <w:p w14:paraId="441BD61B" w14:textId="77777777" w:rsidR="000439F5" w:rsidRPr="000439F5" w:rsidRDefault="000439F5" w:rsidP="000439F5">
      <w:pPr>
        <w:pStyle w:val="Heading3"/>
      </w:pPr>
      <w:r w:rsidRPr="000439F5">
        <w:t>Emergency Response</w:t>
      </w:r>
    </w:p>
    <w:p w14:paraId="7219DF01" w14:textId="41F9D69E" w:rsidR="000439F5" w:rsidRPr="000439F5" w:rsidRDefault="000439F5" w:rsidP="00E439A6">
      <w:pPr>
        <w:pStyle w:val="Bullet1"/>
        <w:numPr>
          <w:ilvl w:val="0"/>
          <w:numId w:val="0"/>
        </w:numPr>
        <w:ind w:left="720"/>
      </w:pPr>
      <w:r w:rsidRPr="000439F5">
        <w:t>For CHN infrastructure emergencies, first response to an emergency is by Lochard Energy personnel as per the Iona Gas Plant Emergency Response Plan (ERP) who notifies Cooper of emergency incidents. Cooper Energy operates under the Victorian Emergency Management Plan (VEMP) to ensure timely response and effective management of any emergency. This includes environmental incidents and any incidents arising as a result of a hydrocarbon spill. For hydrocarbon spills, the response is managed by the Cooper Offshore Victoria OPEP.</w:t>
      </w:r>
    </w:p>
    <w:p w14:paraId="0AC859B5" w14:textId="47F3BC9B" w:rsidR="000439F5" w:rsidRPr="000439F5" w:rsidRDefault="000439F5" w:rsidP="00E439A6">
      <w:pPr>
        <w:pStyle w:val="Bullet1"/>
        <w:numPr>
          <w:ilvl w:val="0"/>
          <w:numId w:val="0"/>
        </w:numPr>
        <w:ind w:left="720"/>
      </w:pPr>
      <w:r w:rsidRPr="000439F5">
        <w:t>During IMR activities, general vessel emergencies are handled under the contract vessel’s Emergency Response Procedures which are supported by the contractor vessel’s Shore-side Emergency Management System. The Cooper Emergency Management Team (</w:t>
      </w:r>
      <w:r w:rsidR="00C91BDF">
        <w:t>C</w:t>
      </w:r>
      <w:r w:rsidRPr="000439F5">
        <w:t>EMT) provides shore-side support to the contract vessel as necessary in the event of an emergency. This information is detailed in the project-specific interface documentation for IMR activities.</w:t>
      </w:r>
    </w:p>
    <w:p w14:paraId="4D3DE4C5" w14:textId="3C799911" w:rsidR="000439F5" w:rsidRPr="000439F5" w:rsidRDefault="000439F5" w:rsidP="00E439A6">
      <w:pPr>
        <w:pStyle w:val="Bullet1"/>
        <w:numPr>
          <w:ilvl w:val="0"/>
          <w:numId w:val="0"/>
        </w:numPr>
        <w:ind w:left="720"/>
      </w:pPr>
      <w:r w:rsidRPr="000439F5">
        <w:lastRenderedPageBreak/>
        <w:t xml:space="preserve">Vessel activities will also operate under the vessel’s SMPEP (as appropriate) or approved spill clean-up procedures/equipment by qualified personnel to ensure timely response and effective management of any vessel-sourced oil spills. The SMPEP (or equivalent appropriate to class) is routinely tested with exercise drills are conducted regularly. The SMPEP is designed to ensure a rapid and appropriate response to any oil spill and provides guidance on practical </w:t>
      </w:r>
      <w:r w:rsidR="00100E5C">
        <w:t>information that is</w:t>
      </w:r>
      <w:r w:rsidRPr="000439F5">
        <w:t xml:space="preserve"> required to undertake an effective response; and reporting procedures in the event of a spill.</w:t>
      </w:r>
    </w:p>
    <w:p w14:paraId="5A7E47DC" w14:textId="0E331B5E" w:rsidR="000439F5" w:rsidRPr="000439F5" w:rsidRDefault="000439F5" w:rsidP="000439F5">
      <w:pPr>
        <w:pStyle w:val="Heading3"/>
        <w:rPr>
          <w:rFonts w:eastAsia="Calibri" w:cs="Arial"/>
          <w:bCs/>
          <w:kern w:val="0"/>
        </w:rPr>
      </w:pPr>
      <w:r w:rsidRPr="000439F5">
        <w:rPr>
          <w:rFonts w:eastAsia="Calibri" w:cs="Arial"/>
          <w:bCs/>
          <w:kern w:val="0"/>
        </w:rPr>
        <w:t>Training</w:t>
      </w:r>
    </w:p>
    <w:p w14:paraId="3A90CA57" w14:textId="0536A031" w:rsidR="000439F5" w:rsidRPr="000439F5" w:rsidRDefault="000439F5" w:rsidP="00E439A6">
      <w:pPr>
        <w:pStyle w:val="Bullet1"/>
        <w:numPr>
          <w:ilvl w:val="0"/>
          <w:numId w:val="0"/>
        </w:numPr>
        <w:ind w:left="720"/>
      </w:pPr>
      <w:r w:rsidRPr="000439F5">
        <w:t>Key Cooper and vessel positions to initiate and manage spill res</w:t>
      </w:r>
      <w:r>
        <w:t xml:space="preserve">ponse are identified within the </w:t>
      </w:r>
      <w:r w:rsidRPr="000439F5">
        <w:t>Cooper Offshore Victoria OPEP. Cooper position descriptions identify responsibilities for</w:t>
      </w:r>
      <w:r>
        <w:t xml:space="preserve"> </w:t>
      </w:r>
      <w:r w:rsidRPr="000439F5">
        <w:t>maintaining oil spill response capability and preparedness. Persons fulfilling Cooper’s</w:t>
      </w:r>
      <w:r>
        <w:t xml:space="preserve"> </w:t>
      </w:r>
      <w:r w:rsidRPr="000439F5">
        <w:t>operational/emergency roles outline the necessary qualifications required to undertake the role.</w:t>
      </w:r>
    </w:p>
    <w:p w14:paraId="2992664A" w14:textId="6684C27C" w:rsidR="000439F5" w:rsidRDefault="000439F5" w:rsidP="00E439A6">
      <w:pPr>
        <w:pStyle w:val="Bullet1"/>
        <w:numPr>
          <w:ilvl w:val="0"/>
          <w:numId w:val="0"/>
        </w:numPr>
        <w:ind w:left="720"/>
      </w:pPr>
      <w:r w:rsidRPr="000439F5">
        <w:t>All contractors engaged on CHN asset activities have</w:t>
      </w:r>
      <w:r>
        <w:t xml:space="preserve"> equivalent resource management </w:t>
      </w:r>
      <w:r w:rsidRPr="000439F5">
        <w:t>systems to ensure equivalent levels of personnel competency and training as required.</w:t>
      </w:r>
      <w:r>
        <w:t xml:space="preserve"> </w:t>
      </w:r>
      <w:r w:rsidRPr="000439F5">
        <w:t>All IMR vessel personnel have full inductions into the CHN operations EP and OPEP</w:t>
      </w:r>
      <w:r>
        <w:t xml:space="preserve"> </w:t>
      </w:r>
      <w:r w:rsidRPr="000439F5">
        <w:t>requirements prior to the co</w:t>
      </w:r>
      <w:r w:rsidR="00100E5C">
        <w:t>mmencement of vessel activities.</w:t>
      </w:r>
    </w:p>
    <w:p w14:paraId="6D1133E8" w14:textId="7B8216F4" w:rsidR="000439F5" w:rsidRPr="000439F5" w:rsidRDefault="000439F5" w:rsidP="000439F5">
      <w:pPr>
        <w:pStyle w:val="Heading3"/>
        <w:rPr>
          <w:rFonts w:eastAsia="Calibri" w:cs="Arial"/>
          <w:bCs/>
          <w:kern w:val="0"/>
        </w:rPr>
      </w:pPr>
      <w:r w:rsidRPr="000439F5">
        <w:rPr>
          <w:rFonts w:eastAsia="Calibri" w:cs="Arial"/>
          <w:bCs/>
          <w:kern w:val="0"/>
        </w:rPr>
        <w:t>Testing of Response Arrangements</w:t>
      </w:r>
    </w:p>
    <w:p w14:paraId="48B799EF" w14:textId="7ED81CA8" w:rsidR="000439F5" w:rsidRDefault="000439F5" w:rsidP="00E439A6">
      <w:pPr>
        <w:pStyle w:val="Bullet1"/>
        <w:numPr>
          <w:ilvl w:val="0"/>
          <w:numId w:val="0"/>
        </w:numPr>
        <w:ind w:left="720"/>
      </w:pPr>
      <w:r w:rsidRPr="00D45C9A">
        <w:t>To ensure readiness, oil spill response exercises are conducted in accordance with the exercise schedule contained in the CHN Environment Plan. Testing is undertaken when arrangements are first introduced, prior to the commencement of an IMR campaign, when the oil spill response</w:t>
      </w:r>
      <w:r w:rsidRPr="000439F5">
        <w:t xml:space="preserve"> arrangements are significantly altered or at least, on an annual basis.</w:t>
      </w:r>
    </w:p>
    <w:p w14:paraId="3E09AFAD" w14:textId="77777777" w:rsidR="00100E5C" w:rsidRDefault="00100E5C" w:rsidP="00100E5C">
      <w:pPr>
        <w:pStyle w:val="Heading1"/>
      </w:pPr>
      <w:bookmarkStart w:id="308" w:name="_Toc512862498"/>
      <w:r>
        <w:lastRenderedPageBreak/>
        <w:t>Stakeholder Consultation</w:t>
      </w:r>
      <w:bookmarkEnd w:id="308"/>
    </w:p>
    <w:p w14:paraId="1FE586C2" w14:textId="77777777" w:rsidR="00100E5C" w:rsidRPr="00100E5C" w:rsidRDefault="00100E5C" w:rsidP="00E439A6">
      <w:pPr>
        <w:pStyle w:val="Bullet1"/>
        <w:numPr>
          <w:ilvl w:val="0"/>
          <w:numId w:val="0"/>
        </w:numPr>
        <w:ind w:left="720"/>
      </w:pPr>
      <w:r w:rsidRPr="00100E5C">
        <w:t>Cooper has consulted with stakeholders in the preparation of the CHN Environment Plan. Cooper has contacted stakeholders known through reviewing the previous titleholder’s consultation records, review of Commonwealth and State fishing information and other identified contacts to establish working relationships with stakeholders that have functions, interest or activities in the CHN asset areas.</w:t>
      </w:r>
    </w:p>
    <w:p w14:paraId="40246AE3" w14:textId="242740CA" w:rsidR="00100E5C" w:rsidRPr="00072144" w:rsidRDefault="00100E5C" w:rsidP="00E439A6">
      <w:pPr>
        <w:pStyle w:val="Bullet1"/>
        <w:numPr>
          <w:ilvl w:val="0"/>
          <w:numId w:val="0"/>
        </w:numPr>
        <w:ind w:left="720"/>
      </w:pPr>
      <w:r w:rsidRPr="00100E5C">
        <w:t xml:space="preserve">Stakeholders identified for the CHN assets are listed in </w:t>
      </w:r>
      <w:r w:rsidRPr="00100E5C">
        <w:fldChar w:fldCharType="begin"/>
      </w:r>
      <w:r w:rsidRPr="00100E5C">
        <w:instrText xml:space="preserve"> REF _Ref473303264 \h </w:instrText>
      </w:r>
      <w:r>
        <w:instrText xml:space="preserve"> \* MERGEFORMAT </w:instrText>
      </w:r>
      <w:r w:rsidRPr="00100E5C">
        <w:fldChar w:fldCharType="separate"/>
      </w:r>
      <w:r w:rsidR="00CC4C35" w:rsidRPr="0029717B">
        <w:t xml:space="preserve">Table </w:t>
      </w:r>
      <w:r w:rsidR="00CC4C35">
        <w:t>7</w:t>
      </w:r>
      <w:r w:rsidR="00CC4C35">
        <w:noBreakHyphen/>
        <w:t>1</w:t>
      </w:r>
      <w:r w:rsidRPr="00100E5C">
        <w:fldChar w:fldCharType="end"/>
      </w:r>
      <w:r w:rsidRPr="00072144">
        <w:t xml:space="preserve">. </w:t>
      </w:r>
    </w:p>
    <w:p w14:paraId="5025555D" w14:textId="5FADF34D" w:rsidR="00100E5C" w:rsidRPr="0029717B" w:rsidRDefault="00100E5C" w:rsidP="00100E5C">
      <w:pPr>
        <w:pStyle w:val="Caption"/>
        <w:outlineLvl w:val="9"/>
        <w:rPr>
          <w:rFonts w:cs="Arial"/>
          <w:sz w:val="20"/>
          <w:szCs w:val="20"/>
        </w:rPr>
      </w:pPr>
      <w:r w:rsidRPr="00F34EDA">
        <w:rPr>
          <w:rFonts w:cs="Arial"/>
          <w:sz w:val="20"/>
          <w:szCs w:val="20"/>
        </w:rPr>
        <w:tab/>
      </w:r>
      <w:bookmarkStart w:id="309" w:name="_Ref473303264"/>
      <w:bookmarkStart w:id="310" w:name="_Toc511032630"/>
      <w:r w:rsidRPr="0029717B">
        <w:rPr>
          <w:sz w:val="20"/>
          <w:szCs w:val="20"/>
        </w:rPr>
        <w:t xml:space="preserve">Table </w:t>
      </w:r>
      <w:r>
        <w:rPr>
          <w:sz w:val="20"/>
          <w:szCs w:val="20"/>
        </w:rPr>
        <w:fldChar w:fldCharType="begin"/>
      </w:r>
      <w:r>
        <w:rPr>
          <w:sz w:val="20"/>
          <w:szCs w:val="20"/>
        </w:rPr>
        <w:instrText xml:space="preserve"> STYLEREF 1 \s </w:instrText>
      </w:r>
      <w:r>
        <w:rPr>
          <w:sz w:val="20"/>
          <w:szCs w:val="20"/>
        </w:rPr>
        <w:fldChar w:fldCharType="separate"/>
      </w:r>
      <w:r w:rsidR="00CC4C35">
        <w:rPr>
          <w:noProof/>
          <w:sz w:val="20"/>
          <w:szCs w:val="20"/>
        </w:rPr>
        <w:t>7</w:t>
      </w:r>
      <w:r>
        <w:rPr>
          <w:sz w:val="20"/>
          <w:szCs w:val="20"/>
        </w:rPr>
        <w:fldChar w:fldCharType="end"/>
      </w:r>
      <w:r>
        <w:rPr>
          <w:sz w:val="20"/>
          <w:szCs w:val="20"/>
        </w:rPr>
        <w:noBreakHyphen/>
      </w:r>
      <w:r>
        <w:rPr>
          <w:sz w:val="20"/>
          <w:szCs w:val="20"/>
        </w:rPr>
        <w:fldChar w:fldCharType="begin"/>
      </w:r>
      <w:r>
        <w:rPr>
          <w:sz w:val="20"/>
          <w:szCs w:val="20"/>
        </w:rPr>
        <w:instrText xml:space="preserve"> SEQ Table \* ARABIC \s 1 </w:instrText>
      </w:r>
      <w:r>
        <w:rPr>
          <w:sz w:val="20"/>
          <w:szCs w:val="20"/>
        </w:rPr>
        <w:fldChar w:fldCharType="separate"/>
      </w:r>
      <w:r w:rsidR="00CC4C35">
        <w:rPr>
          <w:noProof/>
          <w:sz w:val="20"/>
          <w:szCs w:val="20"/>
        </w:rPr>
        <w:t>1</w:t>
      </w:r>
      <w:r>
        <w:rPr>
          <w:sz w:val="20"/>
          <w:szCs w:val="20"/>
        </w:rPr>
        <w:fldChar w:fldCharType="end"/>
      </w:r>
      <w:bookmarkEnd w:id="309"/>
      <w:r w:rsidRPr="0029717B">
        <w:rPr>
          <w:sz w:val="20"/>
          <w:szCs w:val="20"/>
        </w:rPr>
        <w:t xml:space="preserve">: </w:t>
      </w:r>
      <w:r w:rsidRPr="0029717B">
        <w:rPr>
          <w:rFonts w:cs="Arial"/>
          <w:sz w:val="20"/>
          <w:szCs w:val="20"/>
        </w:rPr>
        <w:t xml:space="preserve">Stakeholders for the </w:t>
      </w:r>
      <w:r>
        <w:rPr>
          <w:rFonts w:cs="Arial"/>
          <w:sz w:val="20"/>
          <w:szCs w:val="20"/>
        </w:rPr>
        <w:t>CHN</w:t>
      </w:r>
      <w:r w:rsidRPr="0029717B">
        <w:rPr>
          <w:rFonts w:cs="Arial"/>
          <w:sz w:val="20"/>
          <w:szCs w:val="20"/>
        </w:rPr>
        <w:t xml:space="preserve"> assets</w:t>
      </w:r>
      <w:bookmarkEnd w:id="310"/>
    </w:p>
    <w:tbl>
      <w:tblPr>
        <w:tblW w:w="0" w:type="auto"/>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4306"/>
        <w:gridCol w:w="4620"/>
      </w:tblGrid>
      <w:tr w:rsidR="00100E5C" w:rsidRPr="00072144" w14:paraId="57505C14" w14:textId="77777777" w:rsidTr="00100E5C">
        <w:trPr>
          <w:tblHeader/>
        </w:trPr>
        <w:tc>
          <w:tcPr>
            <w:tcW w:w="9112" w:type="dxa"/>
            <w:gridSpan w:val="2"/>
            <w:shd w:val="clear" w:color="auto" w:fill="A6A6A6"/>
            <w:tcMar>
              <w:top w:w="142" w:type="dxa"/>
            </w:tcMar>
          </w:tcPr>
          <w:p w14:paraId="4348B4E4" w14:textId="77777777" w:rsidR="00100E5C" w:rsidRPr="00043B66" w:rsidRDefault="00100E5C" w:rsidP="00100E5C">
            <w:pPr>
              <w:spacing w:before="60" w:after="60"/>
              <w:rPr>
                <w:rFonts w:cs="Arial"/>
                <w:b/>
                <w:sz w:val="16"/>
                <w:szCs w:val="16"/>
                <w:highlight w:val="yellow"/>
              </w:rPr>
            </w:pPr>
            <w:r w:rsidRPr="004705DB">
              <w:rPr>
                <w:rFonts w:cs="Arial"/>
                <w:b/>
                <w:sz w:val="16"/>
                <w:szCs w:val="16"/>
              </w:rPr>
              <w:t>Department or agency of the Commonwealth to which the activities to be carried out under the EP may be relevant</w:t>
            </w:r>
          </w:p>
        </w:tc>
      </w:tr>
      <w:tr w:rsidR="00100E5C" w:rsidRPr="00072144" w14:paraId="7B613CDF" w14:textId="77777777" w:rsidTr="00100E5C">
        <w:tc>
          <w:tcPr>
            <w:tcW w:w="4395" w:type="dxa"/>
            <w:shd w:val="clear" w:color="auto" w:fill="auto"/>
          </w:tcPr>
          <w:p w14:paraId="40E94F85" w14:textId="77777777" w:rsidR="00100E5C" w:rsidRPr="00043B66" w:rsidRDefault="00100E5C" w:rsidP="00100E5C">
            <w:pPr>
              <w:spacing w:before="60" w:after="60"/>
              <w:rPr>
                <w:rFonts w:cs="Arial"/>
                <w:sz w:val="16"/>
                <w:szCs w:val="16"/>
                <w:highlight w:val="yellow"/>
              </w:rPr>
            </w:pPr>
            <w:r w:rsidRPr="004705DB">
              <w:rPr>
                <w:rFonts w:cs="Arial"/>
                <w:sz w:val="16"/>
                <w:szCs w:val="16"/>
                <w:lang w:val="en-GB"/>
              </w:rPr>
              <w:t>Department of the Environment (DoE) - Parks Australia</w:t>
            </w:r>
          </w:p>
        </w:tc>
        <w:tc>
          <w:tcPr>
            <w:tcW w:w="4717" w:type="dxa"/>
            <w:shd w:val="clear" w:color="auto" w:fill="auto"/>
          </w:tcPr>
          <w:p w14:paraId="519C7C81" w14:textId="77777777" w:rsidR="00100E5C" w:rsidRPr="004705DB" w:rsidRDefault="00100E5C" w:rsidP="00100E5C">
            <w:pPr>
              <w:spacing w:before="60" w:after="60"/>
              <w:rPr>
                <w:rFonts w:cs="Arial"/>
                <w:sz w:val="16"/>
                <w:szCs w:val="16"/>
              </w:rPr>
            </w:pPr>
            <w:r w:rsidRPr="004705DB">
              <w:rPr>
                <w:rFonts w:cs="Arial"/>
                <w:sz w:val="16"/>
                <w:szCs w:val="16"/>
                <w:lang w:val="en-GB"/>
              </w:rPr>
              <w:t>Australian Fisheries Management Authority (AFMA)</w:t>
            </w:r>
          </w:p>
        </w:tc>
      </w:tr>
      <w:tr w:rsidR="00100E5C" w:rsidRPr="00072144" w14:paraId="66F3F6DD" w14:textId="77777777" w:rsidTr="00100E5C">
        <w:tc>
          <w:tcPr>
            <w:tcW w:w="4395" w:type="dxa"/>
            <w:shd w:val="clear" w:color="auto" w:fill="F2F2F2"/>
          </w:tcPr>
          <w:p w14:paraId="5C693950" w14:textId="77777777" w:rsidR="00100E5C" w:rsidRPr="004705DB" w:rsidRDefault="00100E5C" w:rsidP="00100E5C">
            <w:pPr>
              <w:spacing w:before="60" w:after="60"/>
              <w:rPr>
                <w:rFonts w:cs="Arial"/>
                <w:sz w:val="16"/>
                <w:szCs w:val="16"/>
              </w:rPr>
            </w:pPr>
            <w:r w:rsidRPr="004705DB">
              <w:rPr>
                <w:rFonts w:cs="Arial"/>
                <w:sz w:val="16"/>
                <w:szCs w:val="16"/>
                <w:lang w:val="en-GB"/>
              </w:rPr>
              <w:t>National Offshore Petroleum Titles Administrator (NOPTA)</w:t>
            </w:r>
          </w:p>
        </w:tc>
        <w:tc>
          <w:tcPr>
            <w:tcW w:w="4717" w:type="dxa"/>
            <w:shd w:val="clear" w:color="auto" w:fill="F2F2F2"/>
          </w:tcPr>
          <w:p w14:paraId="4BC8871B" w14:textId="77777777" w:rsidR="00100E5C" w:rsidRPr="004705DB" w:rsidRDefault="00100E5C" w:rsidP="00100E5C">
            <w:pPr>
              <w:spacing w:before="60" w:after="60"/>
              <w:rPr>
                <w:rFonts w:cs="Arial"/>
                <w:sz w:val="16"/>
                <w:szCs w:val="16"/>
              </w:rPr>
            </w:pPr>
            <w:r w:rsidRPr="004705DB">
              <w:rPr>
                <w:rFonts w:cs="Arial"/>
                <w:sz w:val="16"/>
                <w:szCs w:val="16"/>
                <w:lang w:val="en-GB"/>
              </w:rPr>
              <w:t>Department of Innovation, Industry and Science (DIIS)</w:t>
            </w:r>
          </w:p>
        </w:tc>
      </w:tr>
      <w:tr w:rsidR="00100E5C" w:rsidRPr="00072144" w14:paraId="1F829FAD" w14:textId="77777777" w:rsidTr="00100E5C">
        <w:tc>
          <w:tcPr>
            <w:tcW w:w="4395" w:type="dxa"/>
            <w:shd w:val="clear" w:color="auto" w:fill="auto"/>
          </w:tcPr>
          <w:p w14:paraId="3852773E" w14:textId="77777777" w:rsidR="00100E5C" w:rsidRPr="004705DB" w:rsidRDefault="00100E5C" w:rsidP="00100E5C">
            <w:pPr>
              <w:spacing w:before="60" w:after="60"/>
              <w:rPr>
                <w:rFonts w:cs="Arial"/>
                <w:sz w:val="16"/>
                <w:szCs w:val="16"/>
              </w:rPr>
            </w:pPr>
            <w:r w:rsidRPr="004705DB">
              <w:rPr>
                <w:rFonts w:cs="Arial"/>
                <w:sz w:val="16"/>
                <w:szCs w:val="16"/>
                <w:lang w:val="en-GB"/>
              </w:rPr>
              <w:t>Australian Maritime Safety Authority (AMSA)</w:t>
            </w:r>
          </w:p>
        </w:tc>
        <w:tc>
          <w:tcPr>
            <w:tcW w:w="4717" w:type="dxa"/>
            <w:shd w:val="clear" w:color="auto" w:fill="auto"/>
          </w:tcPr>
          <w:p w14:paraId="4EB56222" w14:textId="77777777" w:rsidR="00100E5C" w:rsidRPr="004705DB" w:rsidRDefault="00100E5C" w:rsidP="00100E5C">
            <w:pPr>
              <w:spacing w:before="60" w:after="60"/>
              <w:rPr>
                <w:rFonts w:cs="Arial"/>
                <w:sz w:val="16"/>
                <w:szCs w:val="16"/>
              </w:rPr>
            </w:pPr>
            <w:r w:rsidRPr="004705DB">
              <w:rPr>
                <w:rFonts w:cs="Arial"/>
                <w:sz w:val="16"/>
                <w:szCs w:val="16"/>
                <w:lang w:val="en-GB"/>
              </w:rPr>
              <w:t>Department of Defence (DoD)</w:t>
            </w:r>
          </w:p>
        </w:tc>
      </w:tr>
      <w:tr w:rsidR="00100E5C" w:rsidRPr="00072144" w14:paraId="2324B55A" w14:textId="77777777" w:rsidTr="00100E5C">
        <w:tc>
          <w:tcPr>
            <w:tcW w:w="4395" w:type="dxa"/>
            <w:shd w:val="clear" w:color="auto" w:fill="F2F2F2"/>
          </w:tcPr>
          <w:p w14:paraId="713463D8" w14:textId="77777777" w:rsidR="00100E5C" w:rsidRPr="004705DB" w:rsidRDefault="00100E5C" w:rsidP="00100E5C">
            <w:pPr>
              <w:spacing w:before="60" w:after="60"/>
              <w:rPr>
                <w:rFonts w:cs="Arial"/>
                <w:sz w:val="16"/>
                <w:szCs w:val="16"/>
              </w:rPr>
            </w:pPr>
            <w:r w:rsidRPr="004705DB">
              <w:rPr>
                <w:rFonts w:cs="Arial"/>
                <w:sz w:val="16"/>
                <w:szCs w:val="16"/>
                <w:lang w:val="en-GB"/>
              </w:rPr>
              <w:t>Maritime Border Command (MBC)</w:t>
            </w:r>
          </w:p>
        </w:tc>
        <w:tc>
          <w:tcPr>
            <w:tcW w:w="4717" w:type="dxa"/>
            <w:shd w:val="clear" w:color="auto" w:fill="F2F2F2"/>
          </w:tcPr>
          <w:p w14:paraId="01E757EC" w14:textId="77777777" w:rsidR="00100E5C" w:rsidRPr="004705DB" w:rsidRDefault="00100E5C" w:rsidP="00100E5C">
            <w:pPr>
              <w:spacing w:before="60" w:after="60"/>
              <w:rPr>
                <w:rFonts w:cs="Arial"/>
                <w:sz w:val="16"/>
                <w:szCs w:val="16"/>
              </w:rPr>
            </w:pPr>
            <w:r w:rsidRPr="004705DB">
              <w:rPr>
                <w:rFonts w:cs="Arial"/>
                <w:sz w:val="16"/>
                <w:szCs w:val="16"/>
                <w:lang w:val="en-GB"/>
              </w:rPr>
              <w:t>Australian Hydrological Service (AHS)</w:t>
            </w:r>
          </w:p>
        </w:tc>
      </w:tr>
      <w:tr w:rsidR="00100E5C" w:rsidRPr="00072144" w14:paraId="3AC179B1" w14:textId="77777777" w:rsidTr="00100E5C">
        <w:tc>
          <w:tcPr>
            <w:tcW w:w="4395" w:type="dxa"/>
            <w:shd w:val="clear" w:color="auto" w:fill="auto"/>
          </w:tcPr>
          <w:p w14:paraId="524E1583" w14:textId="77777777" w:rsidR="00100E5C" w:rsidRPr="004705DB" w:rsidRDefault="00100E5C" w:rsidP="00100E5C">
            <w:pPr>
              <w:spacing w:before="60" w:after="60"/>
              <w:rPr>
                <w:rFonts w:cs="Arial"/>
                <w:sz w:val="16"/>
                <w:szCs w:val="16"/>
              </w:rPr>
            </w:pPr>
            <w:r>
              <w:rPr>
                <w:rFonts w:cs="Arial"/>
                <w:sz w:val="16"/>
                <w:szCs w:val="16"/>
                <w:lang w:val="en-GB"/>
              </w:rPr>
              <w:t>Department of Agriculture and Water Resources (DAWR)</w:t>
            </w:r>
          </w:p>
        </w:tc>
        <w:tc>
          <w:tcPr>
            <w:tcW w:w="4717" w:type="dxa"/>
            <w:shd w:val="clear" w:color="auto" w:fill="auto"/>
          </w:tcPr>
          <w:p w14:paraId="189C2EF0" w14:textId="77777777" w:rsidR="00100E5C" w:rsidRPr="004705DB" w:rsidRDefault="00100E5C" w:rsidP="00100E5C">
            <w:pPr>
              <w:spacing w:before="60" w:after="60"/>
              <w:rPr>
                <w:rFonts w:cs="Arial"/>
                <w:sz w:val="16"/>
                <w:szCs w:val="16"/>
              </w:rPr>
            </w:pPr>
          </w:p>
        </w:tc>
      </w:tr>
    </w:tbl>
    <w:p w14:paraId="2B66403D" w14:textId="77777777" w:rsidR="00100E5C" w:rsidRPr="00163DB7" w:rsidRDefault="00100E5C" w:rsidP="00100E5C">
      <w:pPr>
        <w:pStyle w:val="BodyText"/>
        <w:rPr>
          <w:sz w:val="14"/>
        </w:rPr>
      </w:pPr>
    </w:p>
    <w:tbl>
      <w:tblPr>
        <w:tblW w:w="0" w:type="auto"/>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4308"/>
        <w:gridCol w:w="4618"/>
      </w:tblGrid>
      <w:tr w:rsidR="00100E5C" w:rsidRPr="00043B66" w14:paraId="012792A6" w14:textId="77777777" w:rsidTr="00100E5C">
        <w:trPr>
          <w:tblHeader/>
        </w:trPr>
        <w:tc>
          <w:tcPr>
            <w:tcW w:w="9112" w:type="dxa"/>
            <w:gridSpan w:val="2"/>
            <w:shd w:val="clear" w:color="auto" w:fill="A6A6A6"/>
            <w:tcMar>
              <w:top w:w="142" w:type="dxa"/>
            </w:tcMar>
          </w:tcPr>
          <w:p w14:paraId="0CBB1BD6" w14:textId="77777777" w:rsidR="00100E5C" w:rsidRPr="00043B66" w:rsidRDefault="00100E5C" w:rsidP="00100E5C">
            <w:pPr>
              <w:spacing w:before="60" w:after="60"/>
              <w:rPr>
                <w:rFonts w:cs="Arial"/>
                <w:b/>
                <w:sz w:val="16"/>
                <w:szCs w:val="16"/>
                <w:highlight w:val="yellow"/>
              </w:rPr>
            </w:pPr>
            <w:r w:rsidRPr="004705DB">
              <w:rPr>
                <w:rFonts w:cs="Arial"/>
                <w:b/>
                <w:sz w:val="16"/>
                <w:szCs w:val="16"/>
              </w:rPr>
              <w:t>Each Department or agency of a State or the Northern Territory to which the activities to be carried out under the EP may be relevant</w:t>
            </w:r>
          </w:p>
        </w:tc>
      </w:tr>
      <w:tr w:rsidR="00100E5C" w:rsidRPr="00043B66" w14:paraId="4CA457E6" w14:textId="77777777" w:rsidTr="00100E5C">
        <w:tc>
          <w:tcPr>
            <w:tcW w:w="4395" w:type="dxa"/>
            <w:shd w:val="clear" w:color="auto" w:fill="auto"/>
          </w:tcPr>
          <w:p w14:paraId="66319CBB" w14:textId="77777777" w:rsidR="00100E5C" w:rsidRPr="004705DB" w:rsidRDefault="00100E5C" w:rsidP="00100E5C">
            <w:pPr>
              <w:spacing w:before="60" w:after="60"/>
              <w:rPr>
                <w:rFonts w:cs="Arial"/>
                <w:sz w:val="16"/>
                <w:szCs w:val="16"/>
              </w:rPr>
            </w:pPr>
            <w:r w:rsidRPr="004705DB">
              <w:rPr>
                <w:rFonts w:cs="Arial"/>
                <w:sz w:val="16"/>
                <w:szCs w:val="16"/>
              </w:rPr>
              <w:t>DEDJTR – Earth Resources Regulation (ERR)</w:t>
            </w:r>
          </w:p>
        </w:tc>
        <w:tc>
          <w:tcPr>
            <w:tcW w:w="4717" w:type="dxa"/>
            <w:shd w:val="clear" w:color="auto" w:fill="auto"/>
          </w:tcPr>
          <w:p w14:paraId="18569524" w14:textId="77777777" w:rsidR="00100E5C" w:rsidRPr="004705DB" w:rsidRDefault="00100E5C" w:rsidP="00100E5C">
            <w:pPr>
              <w:spacing w:before="60" w:after="60"/>
              <w:rPr>
                <w:rFonts w:cs="Arial"/>
                <w:sz w:val="16"/>
                <w:szCs w:val="16"/>
              </w:rPr>
            </w:pPr>
            <w:r w:rsidRPr="004705DB">
              <w:rPr>
                <w:rFonts w:cs="Arial"/>
                <w:sz w:val="16"/>
                <w:szCs w:val="16"/>
              </w:rPr>
              <w:t>DEDJTR – Fisheries Victoria</w:t>
            </w:r>
          </w:p>
        </w:tc>
      </w:tr>
      <w:tr w:rsidR="00100E5C" w:rsidRPr="00043B66" w14:paraId="721E2D7E" w14:textId="77777777" w:rsidTr="00100E5C">
        <w:tc>
          <w:tcPr>
            <w:tcW w:w="4395" w:type="dxa"/>
            <w:shd w:val="clear" w:color="auto" w:fill="F2F2F2"/>
          </w:tcPr>
          <w:p w14:paraId="57CCF9E1" w14:textId="77777777" w:rsidR="00100E5C" w:rsidRPr="004705DB" w:rsidRDefault="00100E5C" w:rsidP="00100E5C">
            <w:pPr>
              <w:spacing w:before="60" w:after="60"/>
              <w:rPr>
                <w:rFonts w:cs="Arial"/>
                <w:sz w:val="16"/>
                <w:szCs w:val="16"/>
              </w:rPr>
            </w:pPr>
            <w:r w:rsidRPr="004705DB">
              <w:rPr>
                <w:rFonts w:cs="Arial"/>
                <w:sz w:val="16"/>
                <w:szCs w:val="16"/>
              </w:rPr>
              <w:t>Transport Safety Victoria (Maritime Safety)</w:t>
            </w:r>
          </w:p>
        </w:tc>
        <w:tc>
          <w:tcPr>
            <w:tcW w:w="4717" w:type="dxa"/>
            <w:shd w:val="clear" w:color="auto" w:fill="F2F2F2"/>
          </w:tcPr>
          <w:p w14:paraId="6D9B1915" w14:textId="77777777" w:rsidR="00100E5C" w:rsidRPr="004705DB" w:rsidRDefault="00100E5C" w:rsidP="00100E5C">
            <w:pPr>
              <w:spacing w:before="60" w:after="60"/>
              <w:rPr>
                <w:rFonts w:cs="Arial"/>
                <w:sz w:val="16"/>
                <w:szCs w:val="16"/>
              </w:rPr>
            </w:pPr>
          </w:p>
        </w:tc>
      </w:tr>
    </w:tbl>
    <w:p w14:paraId="0AC42626" w14:textId="77777777" w:rsidR="00100E5C" w:rsidRPr="00163DB7" w:rsidRDefault="00100E5C" w:rsidP="00100E5C">
      <w:pPr>
        <w:pStyle w:val="BodyText"/>
        <w:rPr>
          <w:sz w:val="14"/>
          <w:highlight w:val="yellow"/>
        </w:rPr>
      </w:pPr>
    </w:p>
    <w:tbl>
      <w:tblPr>
        <w:tblW w:w="0" w:type="auto"/>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4315"/>
        <w:gridCol w:w="4611"/>
      </w:tblGrid>
      <w:tr w:rsidR="00100E5C" w:rsidRPr="00043B66" w14:paraId="4B834F6E" w14:textId="77777777" w:rsidTr="00100E5C">
        <w:trPr>
          <w:tblHeader/>
        </w:trPr>
        <w:tc>
          <w:tcPr>
            <w:tcW w:w="9112" w:type="dxa"/>
            <w:gridSpan w:val="2"/>
            <w:shd w:val="clear" w:color="auto" w:fill="A6A6A6"/>
            <w:tcMar>
              <w:top w:w="142" w:type="dxa"/>
            </w:tcMar>
          </w:tcPr>
          <w:p w14:paraId="21F83E86" w14:textId="77777777" w:rsidR="00100E5C" w:rsidRPr="004705DB" w:rsidRDefault="00100E5C" w:rsidP="00100E5C">
            <w:pPr>
              <w:spacing w:before="60" w:after="60"/>
              <w:rPr>
                <w:rFonts w:cs="Arial"/>
                <w:b/>
                <w:sz w:val="16"/>
                <w:szCs w:val="16"/>
              </w:rPr>
            </w:pPr>
            <w:r w:rsidRPr="004705DB">
              <w:rPr>
                <w:rFonts w:cs="Arial"/>
                <w:b/>
                <w:sz w:val="16"/>
                <w:szCs w:val="16"/>
              </w:rPr>
              <w:t>The Department of the responsible State Minister, or the responsible Northern Territory Minister</w:t>
            </w:r>
          </w:p>
        </w:tc>
      </w:tr>
      <w:tr w:rsidR="00100E5C" w:rsidRPr="00043B66" w14:paraId="67D655D4" w14:textId="77777777" w:rsidTr="00100E5C">
        <w:tc>
          <w:tcPr>
            <w:tcW w:w="4395" w:type="dxa"/>
            <w:shd w:val="clear" w:color="auto" w:fill="auto"/>
          </w:tcPr>
          <w:p w14:paraId="078B0402" w14:textId="77777777" w:rsidR="00100E5C" w:rsidRPr="004705DB" w:rsidRDefault="00100E5C" w:rsidP="00100E5C">
            <w:pPr>
              <w:spacing w:before="60" w:after="60"/>
              <w:rPr>
                <w:rFonts w:cs="Arial"/>
                <w:sz w:val="16"/>
                <w:szCs w:val="16"/>
              </w:rPr>
            </w:pPr>
            <w:r w:rsidRPr="004705DB">
              <w:rPr>
                <w:rFonts w:cs="Arial"/>
                <w:sz w:val="16"/>
                <w:szCs w:val="16"/>
              </w:rPr>
              <w:t xml:space="preserve">DEDJTR </w:t>
            </w:r>
            <w:r>
              <w:rPr>
                <w:rFonts w:cs="Arial"/>
                <w:sz w:val="16"/>
                <w:szCs w:val="16"/>
              </w:rPr>
              <w:t>–</w:t>
            </w:r>
            <w:r w:rsidRPr="004705DB">
              <w:rPr>
                <w:rFonts w:cs="Arial"/>
                <w:sz w:val="16"/>
                <w:szCs w:val="16"/>
              </w:rPr>
              <w:t xml:space="preserve"> </w:t>
            </w:r>
            <w:r>
              <w:rPr>
                <w:rFonts w:cs="Arial"/>
                <w:sz w:val="16"/>
                <w:szCs w:val="16"/>
              </w:rPr>
              <w:t>Earth Resources Regulation (</w:t>
            </w:r>
            <w:r w:rsidRPr="004705DB">
              <w:rPr>
                <w:rFonts w:cs="Arial"/>
                <w:sz w:val="16"/>
                <w:szCs w:val="16"/>
              </w:rPr>
              <w:t>ERR</w:t>
            </w:r>
            <w:r>
              <w:rPr>
                <w:rFonts w:cs="Arial"/>
                <w:sz w:val="16"/>
                <w:szCs w:val="16"/>
              </w:rPr>
              <w:t>)</w:t>
            </w:r>
          </w:p>
        </w:tc>
        <w:tc>
          <w:tcPr>
            <w:tcW w:w="4717" w:type="dxa"/>
            <w:shd w:val="clear" w:color="auto" w:fill="auto"/>
          </w:tcPr>
          <w:p w14:paraId="7B257A6B" w14:textId="77777777" w:rsidR="00100E5C" w:rsidRPr="00043B66" w:rsidRDefault="00100E5C" w:rsidP="00100E5C">
            <w:pPr>
              <w:spacing w:before="60" w:after="60"/>
              <w:rPr>
                <w:rFonts w:cs="Arial"/>
                <w:sz w:val="16"/>
                <w:szCs w:val="16"/>
                <w:highlight w:val="yellow"/>
              </w:rPr>
            </w:pPr>
          </w:p>
        </w:tc>
      </w:tr>
    </w:tbl>
    <w:p w14:paraId="24A782B4" w14:textId="77777777" w:rsidR="00100E5C" w:rsidRPr="00163DB7" w:rsidRDefault="00100E5C" w:rsidP="00100E5C">
      <w:pPr>
        <w:pStyle w:val="BodyText"/>
        <w:rPr>
          <w:sz w:val="14"/>
          <w:highlight w:val="yellow"/>
        </w:rPr>
      </w:pPr>
    </w:p>
    <w:tbl>
      <w:tblPr>
        <w:tblW w:w="0" w:type="auto"/>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4309"/>
        <w:gridCol w:w="4617"/>
      </w:tblGrid>
      <w:tr w:rsidR="00100E5C" w:rsidRPr="00043B66" w14:paraId="509556AB" w14:textId="77777777" w:rsidTr="00100E5C">
        <w:trPr>
          <w:tblHeader/>
        </w:trPr>
        <w:tc>
          <w:tcPr>
            <w:tcW w:w="9112" w:type="dxa"/>
            <w:gridSpan w:val="2"/>
            <w:shd w:val="clear" w:color="auto" w:fill="A6A6A6"/>
            <w:tcMar>
              <w:top w:w="142" w:type="dxa"/>
            </w:tcMar>
          </w:tcPr>
          <w:p w14:paraId="494E0151" w14:textId="77777777" w:rsidR="00100E5C" w:rsidRPr="00043B66" w:rsidRDefault="00100E5C" w:rsidP="00100E5C">
            <w:pPr>
              <w:spacing w:before="60" w:after="60"/>
              <w:rPr>
                <w:rFonts w:cs="Arial"/>
                <w:b/>
                <w:sz w:val="16"/>
                <w:szCs w:val="16"/>
                <w:highlight w:val="yellow"/>
              </w:rPr>
            </w:pPr>
            <w:r w:rsidRPr="004705DB">
              <w:rPr>
                <w:rFonts w:cs="Arial"/>
                <w:b/>
                <w:sz w:val="16"/>
                <w:szCs w:val="16"/>
              </w:rPr>
              <w:t>A person or organisation whose functions, interests or activities may be affected by the activities to be carried out under the EP</w:t>
            </w:r>
          </w:p>
        </w:tc>
      </w:tr>
      <w:tr w:rsidR="00100E5C" w:rsidRPr="00043B66" w14:paraId="5E44C583" w14:textId="77777777" w:rsidTr="00100E5C">
        <w:tc>
          <w:tcPr>
            <w:tcW w:w="9112" w:type="dxa"/>
            <w:gridSpan w:val="2"/>
            <w:shd w:val="clear" w:color="auto" w:fill="auto"/>
          </w:tcPr>
          <w:p w14:paraId="0C2ABA96" w14:textId="77777777" w:rsidR="00100E5C" w:rsidRPr="004705DB" w:rsidRDefault="00100E5C" w:rsidP="00100E5C">
            <w:pPr>
              <w:spacing w:before="60" w:after="60"/>
              <w:rPr>
                <w:rFonts w:cs="Arial"/>
                <w:sz w:val="16"/>
                <w:szCs w:val="16"/>
              </w:rPr>
            </w:pPr>
            <w:r w:rsidRPr="004705DB">
              <w:rPr>
                <w:rFonts w:cs="Arial"/>
                <w:i/>
                <w:sz w:val="16"/>
                <w:szCs w:val="16"/>
              </w:rPr>
              <w:t>Fisheries:</w:t>
            </w:r>
          </w:p>
        </w:tc>
      </w:tr>
      <w:tr w:rsidR="00100E5C" w:rsidRPr="00043B66" w14:paraId="30F5EA73" w14:textId="77777777" w:rsidTr="00100E5C">
        <w:tc>
          <w:tcPr>
            <w:tcW w:w="4395" w:type="dxa"/>
            <w:shd w:val="clear" w:color="auto" w:fill="F2F2F2"/>
          </w:tcPr>
          <w:p w14:paraId="0F5A1533" w14:textId="77777777" w:rsidR="00100E5C" w:rsidRPr="004705DB" w:rsidRDefault="00100E5C" w:rsidP="00100E5C">
            <w:pPr>
              <w:spacing w:before="60" w:after="60"/>
              <w:rPr>
                <w:rFonts w:cs="Arial"/>
                <w:sz w:val="16"/>
                <w:szCs w:val="16"/>
              </w:rPr>
            </w:pPr>
            <w:r w:rsidRPr="004705DB">
              <w:rPr>
                <w:rFonts w:cs="Arial"/>
                <w:sz w:val="16"/>
                <w:szCs w:val="16"/>
              </w:rPr>
              <w:t>Commonwealth Fisheries Authority</w:t>
            </w:r>
          </w:p>
        </w:tc>
        <w:tc>
          <w:tcPr>
            <w:tcW w:w="4717" w:type="dxa"/>
            <w:shd w:val="clear" w:color="auto" w:fill="F2F2F2"/>
          </w:tcPr>
          <w:p w14:paraId="0DEBFA81" w14:textId="77777777" w:rsidR="00100E5C" w:rsidRPr="004705DB" w:rsidRDefault="00100E5C" w:rsidP="00100E5C">
            <w:pPr>
              <w:spacing w:before="60" w:after="60"/>
              <w:rPr>
                <w:rFonts w:cs="Arial"/>
                <w:sz w:val="16"/>
                <w:szCs w:val="16"/>
              </w:rPr>
            </w:pPr>
            <w:r w:rsidRPr="004705DB">
              <w:rPr>
                <w:rFonts w:cs="Arial"/>
                <w:sz w:val="16"/>
                <w:szCs w:val="16"/>
              </w:rPr>
              <w:t>Apollo Bay Fisherman’s Cooperative</w:t>
            </w:r>
          </w:p>
        </w:tc>
      </w:tr>
      <w:tr w:rsidR="00100E5C" w:rsidRPr="00043B66" w14:paraId="2C5AD2E5" w14:textId="77777777" w:rsidTr="00100E5C">
        <w:tc>
          <w:tcPr>
            <w:tcW w:w="4395" w:type="dxa"/>
            <w:shd w:val="clear" w:color="auto" w:fill="auto"/>
          </w:tcPr>
          <w:p w14:paraId="65301178" w14:textId="77777777" w:rsidR="00100E5C" w:rsidRPr="004705DB" w:rsidRDefault="00100E5C" w:rsidP="00100E5C">
            <w:pPr>
              <w:spacing w:before="60" w:after="60"/>
              <w:rPr>
                <w:rFonts w:cs="Arial"/>
                <w:sz w:val="16"/>
                <w:szCs w:val="16"/>
              </w:rPr>
            </w:pPr>
            <w:r w:rsidRPr="004705DB">
              <w:rPr>
                <w:rFonts w:cs="Arial"/>
                <w:sz w:val="16"/>
                <w:szCs w:val="16"/>
              </w:rPr>
              <w:t>Seafood Indust</w:t>
            </w:r>
            <w:r>
              <w:rPr>
                <w:rFonts w:cs="Arial"/>
                <w:sz w:val="16"/>
                <w:szCs w:val="16"/>
              </w:rPr>
              <w:t>ry</w:t>
            </w:r>
            <w:r w:rsidRPr="004705DB">
              <w:rPr>
                <w:rFonts w:cs="Arial"/>
                <w:sz w:val="16"/>
                <w:szCs w:val="16"/>
              </w:rPr>
              <w:t xml:space="preserve"> Victoria (SIV)</w:t>
            </w:r>
          </w:p>
        </w:tc>
        <w:tc>
          <w:tcPr>
            <w:tcW w:w="4717" w:type="dxa"/>
            <w:shd w:val="clear" w:color="auto" w:fill="auto"/>
          </w:tcPr>
          <w:p w14:paraId="001B24AE" w14:textId="77777777" w:rsidR="00100E5C" w:rsidRPr="004705DB" w:rsidRDefault="00100E5C" w:rsidP="00100E5C">
            <w:pPr>
              <w:spacing w:before="60" w:after="60"/>
              <w:rPr>
                <w:rFonts w:cs="Arial"/>
                <w:sz w:val="16"/>
                <w:szCs w:val="16"/>
              </w:rPr>
            </w:pPr>
            <w:r w:rsidRPr="004705DB">
              <w:rPr>
                <w:rFonts w:cs="Arial"/>
                <w:sz w:val="16"/>
                <w:szCs w:val="16"/>
              </w:rPr>
              <w:t>Port Campbell Professional Fisherman’s Association</w:t>
            </w:r>
          </w:p>
        </w:tc>
      </w:tr>
      <w:tr w:rsidR="00100E5C" w:rsidRPr="00043B66" w14:paraId="5904531E" w14:textId="77777777" w:rsidTr="00100E5C">
        <w:tc>
          <w:tcPr>
            <w:tcW w:w="4395" w:type="dxa"/>
            <w:shd w:val="clear" w:color="auto" w:fill="F2F2F2"/>
          </w:tcPr>
          <w:p w14:paraId="33597110" w14:textId="77777777" w:rsidR="00100E5C" w:rsidRPr="004705DB" w:rsidRDefault="00100E5C" w:rsidP="00100E5C">
            <w:pPr>
              <w:spacing w:before="60" w:after="60"/>
              <w:rPr>
                <w:rFonts w:cs="Arial"/>
                <w:sz w:val="16"/>
                <w:szCs w:val="16"/>
              </w:rPr>
            </w:pPr>
            <w:r w:rsidRPr="004705DB">
              <w:rPr>
                <w:rFonts w:cs="Arial"/>
                <w:sz w:val="16"/>
                <w:szCs w:val="16"/>
              </w:rPr>
              <w:t>Warrnambool Professional Fisher</w:t>
            </w:r>
            <w:r>
              <w:rPr>
                <w:rFonts w:cs="Arial"/>
                <w:sz w:val="16"/>
                <w:szCs w:val="16"/>
              </w:rPr>
              <w:t>nan’</w:t>
            </w:r>
            <w:r w:rsidRPr="004705DB">
              <w:rPr>
                <w:rFonts w:cs="Arial"/>
                <w:sz w:val="16"/>
                <w:szCs w:val="16"/>
              </w:rPr>
              <w:t>s Association</w:t>
            </w:r>
          </w:p>
        </w:tc>
        <w:tc>
          <w:tcPr>
            <w:tcW w:w="4717" w:type="dxa"/>
            <w:shd w:val="clear" w:color="auto" w:fill="F2F2F2"/>
          </w:tcPr>
          <w:p w14:paraId="09533AD2" w14:textId="77777777" w:rsidR="00100E5C" w:rsidRPr="004705DB" w:rsidRDefault="00100E5C" w:rsidP="00100E5C">
            <w:pPr>
              <w:spacing w:before="60" w:after="60"/>
              <w:rPr>
                <w:rFonts w:cs="Arial"/>
                <w:sz w:val="16"/>
                <w:szCs w:val="16"/>
              </w:rPr>
            </w:pPr>
            <w:r w:rsidRPr="004705DB">
              <w:rPr>
                <w:rFonts w:cs="Arial"/>
                <w:sz w:val="16"/>
                <w:szCs w:val="16"/>
              </w:rPr>
              <w:t>V</w:t>
            </w:r>
            <w:r>
              <w:rPr>
                <w:rFonts w:cs="Arial"/>
                <w:sz w:val="16"/>
                <w:szCs w:val="16"/>
              </w:rPr>
              <w:t>ictorian Recreational Fishers Association (VRFish)</w:t>
            </w:r>
          </w:p>
        </w:tc>
      </w:tr>
      <w:tr w:rsidR="00100E5C" w:rsidRPr="00043B66" w14:paraId="2804DA38" w14:textId="77777777" w:rsidTr="00100E5C">
        <w:tc>
          <w:tcPr>
            <w:tcW w:w="4395" w:type="dxa"/>
            <w:shd w:val="clear" w:color="auto" w:fill="auto"/>
          </w:tcPr>
          <w:p w14:paraId="15F59505" w14:textId="77777777" w:rsidR="00100E5C" w:rsidRPr="004705DB" w:rsidRDefault="00100E5C" w:rsidP="00100E5C">
            <w:pPr>
              <w:spacing w:before="60" w:after="60"/>
              <w:rPr>
                <w:rFonts w:cs="Arial"/>
                <w:sz w:val="16"/>
                <w:szCs w:val="16"/>
              </w:rPr>
            </w:pPr>
            <w:r w:rsidRPr="004705DB">
              <w:rPr>
                <w:rFonts w:cs="Arial"/>
                <w:sz w:val="16"/>
                <w:szCs w:val="16"/>
              </w:rPr>
              <w:t>Victorian Rock Lobster Association (VRLA)</w:t>
            </w:r>
          </w:p>
        </w:tc>
        <w:tc>
          <w:tcPr>
            <w:tcW w:w="4717" w:type="dxa"/>
            <w:shd w:val="clear" w:color="auto" w:fill="auto"/>
          </w:tcPr>
          <w:p w14:paraId="0962A29B" w14:textId="77777777" w:rsidR="00100E5C" w:rsidRPr="004705DB" w:rsidRDefault="00100E5C" w:rsidP="00100E5C">
            <w:pPr>
              <w:spacing w:before="60" w:after="60"/>
              <w:rPr>
                <w:rFonts w:cs="Arial"/>
                <w:sz w:val="16"/>
                <w:szCs w:val="16"/>
              </w:rPr>
            </w:pPr>
            <w:r w:rsidRPr="004705DB">
              <w:rPr>
                <w:rFonts w:cs="Arial"/>
                <w:sz w:val="16"/>
                <w:szCs w:val="16"/>
              </w:rPr>
              <w:t>Portland Professional Fisherman’s Association</w:t>
            </w:r>
          </w:p>
        </w:tc>
      </w:tr>
      <w:tr w:rsidR="00100E5C" w:rsidRPr="00072144" w14:paraId="1C5A3C69" w14:textId="77777777" w:rsidTr="00100E5C">
        <w:tc>
          <w:tcPr>
            <w:tcW w:w="4395" w:type="dxa"/>
            <w:shd w:val="clear" w:color="auto" w:fill="F2F2F2"/>
          </w:tcPr>
          <w:p w14:paraId="5D345BE0" w14:textId="77777777" w:rsidR="00100E5C" w:rsidRPr="00613897" w:rsidRDefault="00100E5C" w:rsidP="00100E5C">
            <w:pPr>
              <w:spacing w:before="60" w:after="60"/>
              <w:rPr>
                <w:rFonts w:cs="Arial"/>
                <w:sz w:val="16"/>
                <w:szCs w:val="16"/>
              </w:rPr>
            </w:pPr>
            <w:r w:rsidRPr="004705DB">
              <w:rPr>
                <w:rFonts w:cs="Arial"/>
                <w:sz w:val="16"/>
                <w:szCs w:val="16"/>
              </w:rPr>
              <w:t>Victorian Abalone Divers Association (VADA)</w:t>
            </w:r>
          </w:p>
        </w:tc>
        <w:tc>
          <w:tcPr>
            <w:tcW w:w="4717" w:type="dxa"/>
            <w:shd w:val="clear" w:color="auto" w:fill="F2F2F2"/>
          </w:tcPr>
          <w:p w14:paraId="3CB58FCB" w14:textId="77777777" w:rsidR="00100E5C" w:rsidRPr="00613897" w:rsidRDefault="00100E5C" w:rsidP="00100E5C">
            <w:pPr>
              <w:spacing w:before="60" w:after="60"/>
              <w:rPr>
                <w:rFonts w:cs="Arial"/>
                <w:sz w:val="16"/>
                <w:szCs w:val="16"/>
              </w:rPr>
            </w:pPr>
            <w:r>
              <w:rPr>
                <w:rFonts w:cs="Arial"/>
                <w:sz w:val="16"/>
                <w:szCs w:val="16"/>
              </w:rPr>
              <w:t>Western Abalone Divers Association (WADA)</w:t>
            </w:r>
          </w:p>
        </w:tc>
      </w:tr>
      <w:tr w:rsidR="00100E5C" w:rsidRPr="00072144" w14:paraId="33FB80DF" w14:textId="77777777" w:rsidTr="00100E5C">
        <w:tc>
          <w:tcPr>
            <w:tcW w:w="4395" w:type="dxa"/>
            <w:shd w:val="clear" w:color="auto" w:fill="FFFFFF" w:themeFill="background1"/>
          </w:tcPr>
          <w:p w14:paraId="4CCC3D91" w14:textId="77777777" w:rsidR="00100E5C" w:rsidRPr="00613897" w:rsidRDefault="00100E5C" w:rsidP="00100E5C">
            <w:pPr>
              <w:spacing w:before="60" w:after="60"/>
              <w:rPr>
                <w:rFonts w:cs="Arial"/>
                <w:sz w:val="16"/>
                <w:szCs w:val="16"/>
              </w:rPr>
            </w:pPr>
            <w:r>
              <w:rPr>
                <w:rFonts w:cs="Arial"/>
                <w:sz w:val="16"/>
                <w:szCs w:val="16"/>
              </w:rPr>
              <w:t>Central Zone Abalone Association (AVCZ)</w:t>
            </w:r>
          </w:p>
        </w:tc>
        <w:tc>
          <w:tcPr>
            <w:tcW w:w="4717" w:type="dxa"/>
            <w:shd w:val="clear" w:color="auto" w:fill="FFFFFF" w:themeFill="background1"/>
          </w:tcPr>
          <w:p w14:paraId="5262D112" w14:textId="77777777" w:rsidR="00100E5C" w:rsidRDefault="00100E5C" w:rsidP="00100E5C">
            <w:pPr>
              <w:spacing w:before="60" w:after="60"/>
              <w:rPr>
                <w:rFonts w:cs="Arial"/>
                <w:sz w:val="16"/>
                <w:szCs w:val="16"/>
              </w:rPr>
            </w:pPr>
            <w:r>
              <w:rPr>
                <w:rFonts w:cs="Arial"/>
                <w:sz w:val="16"/>
                <w:szCs w:val="16"/>
              </w:rPr>
              <w:t>South-east Fishing Trawl Industry Association (SETFIA)</w:t>
            </w:r>
          </w:p>
        </w:tc>
      </w:tr>
      <w:tr w:rsidR="00100E5C" w:rsidRPr="00072144" w14:paraId="31ACB6C6" w14:textId="77777777" w:rsidTr="00100E5C">
        <w:tc>
          <w:tcPr>
            <w:tcW w:w="4395" w:type="dxa"/>
            <w:shd w:val="clear" w:color="auto" w:fill="F2F2F2"/>
          </w:tcPr>
          <w:p w14:paraId="528BC2FA" w14:textId="77777777" w:rsidR="00100E5C" w:rsidRDefault="00100E5C" w:rsidP="00100E5C">
            <w:pPr>
              <w:spacing w:before="60" w:after="60"/>
              <w:rPr>
                <w:rFonts w:cs="Arial"/>
                <w:sz w:val="16"/>
                <w:szCs w:val="16"/>
              </w:rPr>
            </w:pPr>
            <w:r>
              <w:rPr>
                <w:rFonts w:cs="Arial"/>
                <w:sz w:val="16"/>
                <w:szCs w:val="16"/>
              </w:rPr>
              <w:t>Southern Shark Industry Alliance</w:t>
            </w:r>
          </w:p>
        </w:tc>
        <w:tc>
          <w:tcPr>
            <w:tcW w:w="4717" w:type="dxa"/>
            <w:shd w:val="clear" w:color="auto" w:fill="F2F2F2"/>
          </w:tcPr>
          <w:p w14:paraId="56C3D419" w14:textId="77777777" w:rsidR="00100E5C" w:rsidRDefault="00100E5C" w:rsidP="00100E5C">
            <w:pPr>
              <w:spacing w:before="60" w:after="60"/>
              <w:rPr>
                <w:rFonts w:cs="Arial"/>
                <w:sz w:val="16"/>
                <w:szCs w:val="16"/>
              </w:rPr>
            </w:pPr>
            <w:r>
              <w:rPr>
                <w:rFonts w:cs="Arial"/>
                <w:sz w:val="16"/>
                <w:szCs w:val="16"/>
              </w:rPr>
              <w:t>Sustainable Shark Fishing Inc. (SSF)</w:t>
            </w:r>
          </w:p>
        </w:tc>
      </w:tr>
      <w:tr w:rsidR="00100E5C" w:rsidRPr="00072144" w14:paraId="132EB274" w14:textId="77777777" w:rsidTr="00100E5C">
        <w:tc>
          <w:tcPr>
            <w:tcW w:w="9112" w:type="dxa"/>
            <w:gridSpan w:val="2"/>
            <w:shd w:val="clear" w:color="auto" w:fill="auto"/>
          </w:tcPr>
          <w:p w14:paraId="49EC8ECA" w14:textId="77777777" w:rsidR="00100E5C" w:rsidRPr="004705DB" w:rsidRDefault="00100E5C" w:rsidP="00100E5C">
            <w:pPr>
              <w:spacing w:before="60" w:after="60"/>
              <w:rPr>
                <w:rFonts w:cs="Arial"/>
                <w:sz w:val="16"/>
                <w:szCs w:val="16"/>
              </w:rPr>
            </w:pPr>
            <w:r w:rsidRPr="004705DB">
              <w:rPr>
                <w:rFonts w:cs="Arial"/>
                <w:i/>
                <w:sz w:val="16"/>
                <w:szCs w:val="16"/>
              </w:rPr>
              <w:t>Oil spill preparedness and response agencies:</w:t>
            </w:r>
          </w:p>
        </w:tc>
      </w:tr>
      <w:tr w:rsidR="00100E5C" w:rsidRPr="00072144" w14:paraId="439EB636" w14:textId="77777777" w:rsidTr="00100E5C">
        <w:tc>
          <w:tcPr>
            <w:tcW w:w="4395" w:type="dxa"/>
            <w:shd w:val="clear" w:color="auto" w:fill="F2F2F2"/>
          </w:tcPr>
          <w:p w14:paraId="0180C22B" w14:textId="77777777" w:rsidR="00100E5C" w:rsidRPr="004705DB" w:rsidRDefault="00100E5C" w:rsidP="00100E5C">
            <w:pPr>
              <w:spacing w:before="60" w:after="60"/>
              <w:rPr>
                <w:rFonts w:cs="Arial"/>
                <w:sz w:val="16"/>
                <w:szCs w:val="16"/>
              </w:rPr>
            </w:pPr>
            <w:r w:rsidRPr="004705DB">
              <w:rPr>
                <w:rFonts w:cs="Arial"/>
                <w:sz w:val="16"/>
                <w:szCs w:val="16"/>
              </w:rPr>
              <w:t>Australian Marine Oil Spill Centre (AMOSC)</w:t>
            </w:r>
          </w:p>
        </w:tc>
        <w:tc>
          <w:tcPr>
            <w:tcW w:w="4717" w:type="dxa"/>
            <w:shd w:val="clear" w:color="auto" w:fill="F2F2F2"/>
          </w:tcPr>
          <w:p w14:paraId="43A59DAC" w14:textId="77777777" w:rsidR="00100E5C" w:rsidRPr="004705DB" w:rsidRDefault="00100E5C" w:rsidP="00100E5C">
            <w:pPr>
              <w:spacing w:before="60" w:after="60"/>
              <w:rPr>
                <w:rFonts w:cs="Arial"/>
                <w:sz w:val="16"/>
                <w:szCs w:val="16"/>
              </w:rPr>
            </w:pPr>
            <w:r w:rsidRPr="004705DB">
              <w:rPr>
                <w:rFonts w:cs="Arial"/>
                <w:sz w:val="16"/>
                <w:szCs w:val="16"/>
              </w:rPr>
              <w:t>DEDJTR – Marine Pollution Branch</w:t>
            </w:r>
          </w:p>
        </w:tc>
      </w:tr>
      <w:tr w:rsidR="00100E5C" w:rsidRPr="00072144" w14:paraId="2F538E5F" w14:textId="77777777" w:rsidTr="00100E5C">
        <w:tc>
          <w:tcPr>
            <w:tcW w:w="4395" w:type="dxa"/>
            <w:shd w:val="clear" w:color="auto" w:fill="auto"/>
          </w:tcPr>
          <w:p w14:paraId="3AC11C0B" w14:textId="77777777" w:rsidR="00100E5C" w:rsidRPr="004705DB" w:rsidRDefault="00100E5C" w:rsidP="00100E5C">
            <w:pPr>
              <w:spacing w:before="60" w:after="60"/>
              <w:rPr>
                <w:rFonts w:cs="Arial"/>
                <w:sz w:val="16"/>
                <w:szCs w:val="16"/>
              </w:rPr>
            </w:pPr>
            <w:r w:rsidRPr="004705DB">
              <w:rPr>
                <w:rFonts w:cs="Arial"/>
                <w:sz w:val="16"/>
                <w:szCs w:val="16"/>
              </w:rPr>
              <w:t>Parks Victoria – Port Campbell</w:t>
            </w:r>
          </w:p>
        </w:tc>
        <w:tc>
          <w:tcPr>
            <w:tcW w:w="4717" w:type="dxa"/>
            <w:shd w:val="clear" w:color="auto" w:fill="auto"/>
          </w:tcPr>
          <w:p w14:paraId="1D5DB774" w14:textId="77777777" w:rsidR="00100E5C" w:rsidRPr="004705DB" w:rsidRDefault="00100E5C" w:rsidP="00100E5C">
            <w:pPr>
              <w:rPr>
                <w:rFonts w:cs="Arial"/>
                <w:sz w:val="16"/>
                <w:szCs w:val="16"/>
              </w:rPr>
            </w:pPr>
            <w:r w:rsidRPr="004705DB">
              <w:rPr>
                <w:rFonts w:cs="Arial"/>
                <w:sz w:val="16"/>
                <w:szCs w:val="16"/>
              </w:rPr>
              <w:t xml:space="preserve">Department of Environment, Land, Water and Planning </w:t>
            </w:r>
            <w:r w:rsidRPr="008D13C0">
              <w:rPr>
                <w:rFonts w:cs="Arial"/>
                <w:i/>
                <w:sz w:val="14"/>
                <w:szCs w:val="16"/>
              </w:rPr>
              <w:t>(DELWP)</w:t>
            </w:r>
          </w:p>
        </w:tc>
      </w:tr>
      <w:tr w:rsidR="00100E5C" w:rsidRPr="00072144" w14:paraId="4313189A" w14:textId="77777777" w:rsidTr="00100E5C">
        <w:tc>
          <w:tcPr>
            <w:tcW w:w="4395" w:type="dxa"/>
            <w:shd w:val="clear" w:color="auto" w:fill="F2F2F2" w:themeFill="background1" w:themeFillShade="F2"/>
          </w:tcPr>
          <w:p w14:paraId="338992F3" w14:textId="77777777" w:rsidR="00100E5C" w:rsidRPr="00911EB6" w:rsidRDefault="00100E5C" w:rsidP="00100E5C">
            <w:pPr>
              <w:spacing w:before="60" w:after="60"/>
              <w:rPr>
                <w:rFonts w:cs="Arial"/>
                <w:sz w:val="16"/>
                <w:szCs w:val="16"/>
              </w:rPr>
            </w:pPr>
            <w:r w:rsidRPr="00911EB6">
              <w:rPr>
                <w:rFonts w:cs="Arial"/>
                <w:sz w:val="16"/>
                <w:szCs w:val="16"/>
              </w:rPr>
              <w:t>Lochard Energy Incorporated</w:t>
            </w:r>
          </w:p>
        </w:tc>
        <w:tc>
          <w:tcPr>
            <w:tcW w:w="4717" w:type="dxa"/>
            <w:shd w:val="clear" w:color="auto" w:fill="F2F2F2" w:themeFill="background1" w:themeFillShade="F2"/>
          </w:tcPr>
          <w:p w14:paraId="3FD75635" w14:textId="77777777" w:rsidR="00100E5C" w:rsidRPr="00911EB6" w:rsidRDefault="00100E5C" w:rsidP="00100E5C">
            <w:pPr>
              <w:spacing w:before="60" w:after="60"/>
              <w:rPr>
                <w:rFonts w:cs="Arial"/>
                <w:sz w:val="16"/>
                <w:szCs w:val="16"/>
              </w:rPr>
            </w:pPr>
          </w:p>
        </w:tc>
      </w:tr>
      <w:tr w:rsidR="00100E5C" w:rsidRPr="00072144" w14:paraId="79550815" w14:textId="77777777" w:rsidTr="00100E5C">
        <w:tc>
          <w:tcPr>
            <w:tcW w:w="9112" w:type="dxa"/>
            <w:gridSpan w:val="2"/>
            <w:shd w:val="clear" w:color="auto" w:fill="auto"/>
          </w:tcPr>
          <w:p w14:paraId="4EA3B49F" w14:textId="77777777" w:rsidR="00100E5C" w:rsidRPr="00911EB6" w:rsidRDefault="00100E5C" w:rsidP="00100E5C">
            <w:pPr>
              <w:spacing w:before="60" w:after="60"/>
              <w:rPr>
                <w:rFonts w:cs="Arial"/>
                <w:sz w:val="16"/>
                <w:szCs w:val="16"/>
              </w:rPr>
            </w:pPr>
            <w:r w:rsidRPr="00911EB6">
              <w:rPr>
                <w:rFonts w:cs="Arial"/>
                <w:i/>
                <w:sz w:val="16"/>
                <w:szCs w:val="16"/>
              </w:rPr>
              <w:t>Nearby Petroleum Titleholders:</w:t>
            </w:r>
          </w:p>
        </w:tc>
      </w:tr>
      <w:tr w:rsidR="00100E5C" w:rsidRPr="00072144" w14:paraId="41ABF9BA" w14:textId="77777777" w:rsidTr="00100E5C">
        <w:tc>
          <w:tcPr>
            <w:tcW w:w="4395" w:type="dxa"/>
            <w:shd w:val="clear" w:color="auto" w:fill="F2F2F2" w:themeFill="background1" w:themeFillShade="F2"/>
          </w:tcPr>
          <w:p w14:paraId="4E24030A" w14:textId="77777777" w:rsidR="00100E5C" w:rsidRPr="00911EB6" w:rsidRDefault="00100E5C" w:rsidP="00100E5C">
            <w:pPr>
              <w:spacing w:before="60" w:after="60"/>
              <w:rPr>
                <w:rFonts w:cs="Arial"/>
                <w:sz w:val="16"/>
                <w:szCs w:val="16"/>
              </w:rPr>
            </w:pPr>
            <w:r w:rsidRPr="00911EB6">
              <w:rPr>
                <w:rFonts w:cs="Arial"/>
                <w:sz w:val="16"/>
                <w:szCs w:val="16"/>
              </w:rPr>
              <w:t>Origin Energy Resources Ltd</w:t>
            </w:r>
          </w:p>
        </w:tc>
        <w:tc>
          <w:tcPr>
            <w:tcW w:w="4717" w:type="dxa"/>
            <w:shd w:val="clear" w:color="auto" w:fill="F2F2F2" w:themeFill="background1" w:themeFillShade="F2"/>
          </w:tcPr>
          <w:p w14:paraId="569588BF" w14:textId="77777777" w:rsidR="00100E5C" w:rsidRPr="00911EB6" w:rsidRDefault="00100E5C" w:rsidP="00100E5C">
            <w:pPr>
              <w:spacing w:before="60" w:after="60"/>
              <w:rPr>
                <w:rFonts w:cs="Arial"/>
                <w:sz w:val="16"/>
                <w:szCs w:val="16"/>
              </w:rPr>
            </w:pPr>
            <w:r w:rsidRPr="00911EB6">
              <w:rPr>
                <w:rFonts w:cs="Arial"/>
                <w:sz w:val="16"/>
                <w:szCs w:val="16"/>
              </w:rPr>
              <w:t>BHP Billiton Petroleum (Victoria) Pty Ltd</w:t>
            </w:r>
          </w:p>
        </w:tc>
      </w:tr>
      <w:tr w:rsidR="00100E5C" w:rsidRPr="00072144" w14:paraId="77C66409" w14:textId="77777777" w:rsidTr="00100E5C">
        <w:tc>
          <w:tcPr>
            <w:tcW w:w="4395" w:type="dxa"/>
            <w:shd w:val="clear" w:color="auto" w:fill="auto"/>
          </w:tcPr>
          <w:p w14:paraId="7D983573" w14:textId="77777777" w:rsidR="00100E5C" w:rsidRPr="00911EB6" w:rsidRDefault="00100E5C" w:rsidP="00100E5C">
            <w:pPr>
              <w:spacing w:before="60" w:after="60"/>
              <w:rPr>
                <w:rFonts w:cs="Arial"/>
                <w:sz w:val="16"/>
                <w:szCs w:val="16"/>
              </w:rPr>
            </w:pPr>
            <w:r w:rsidRPr="00911EB6">
              <w:rPr>
                <w:rFonts w:cs="Arial"/>
                <w:sz w:val="16"/>
                <w:szCs w:val="16"/>
              </w:rPr>
              <w:t>WHL Limited</w:t>
            </w:r>
          </w:p>
        </w:tc>
        <w:tc>
          <w:tcPr>
            <w:tcW w:w="4717" w:type="dxa"/>
            <w:shd w:val="clear" w:color="auto" w:fill="auto"/>
          </w:tcPr>
          <w:p w14:paraId="534777A9" w14:textId="77777777" w:rsidR="00100E5C" w:rsidRPr="00911EB6" w:rsidRDefault="00100E5C" w:rsidP="00100E5C">
            <w:pPr>
              <w:spacing w:before="60" w:after="60"/>
              <w:rPr>
                <w:rFonts w:cs="Arial"/>
                <w:sz w:val="16"/>
                <w:szCs w:val="16"/>
              </w:rPr>
            </w:pPr>
            <w:r w:rsidRPr="00911EB6">
              <w:rPr>
                <w:rFonts w:cs="Arial"/>
                <w:sz w:val="16"/>
                <w:szCs w:val="16"/>
              </w:rPr>
              <w:t>3D Oil T49P Pty Ltd</w:t>
            </w:r>
          </w:p>
        </w:tc>
      </w:tr>
      <w:tr w:rsidR="00100E5C" w:rsidRPr="00072144" w14:paraId="2F445929" w14:textId="77777777" w:rsidTr="00100E5C">
        <w:tc>
          <w:tcPr>
            <w:tcW w:w="4395" w:type="dxa"/>
            <w:shd w:val="clear" w:color="auto" w:fill="auto"/>
          </w:tcPr>
          <w:p w14:paraId="10F89EB7" w14:textId="77777777" w:rsidR="00100E5C" w:rsidRPr="00911EB6" w:rsidRDefault="00100E5C" w:rsidP="00100E5C">
            <w:pPr>
              <w:spacing w:before="60" w:after="60"/>
              <w:rPr>
                <w:rFonts w:cs="Arial"/>
                <w:i/>
                <w:sz w:val="16"/>
                <w:szCs w:val="16"/>
              </w:rPr>
            </w:pPr>
            <w:r w:rsidRPr="00911EB6">
              <w:rPr>
                <w:rFonts w:cs="Arial"/>
                <w:i/>
                <w:sz w:val="16"/>
                <w:szCs w:val="16"/>
              </w:rPr>
              <w:t>Local Government Associations:</w:t>
            </w:r>
          </w:p>
        </w:tc>
        <w:tc>
          <w:tcPr>
            <w:tcW w:w="4717" w:type="dxa"/>
            <w:shd w:val="clear" w:color="auto" w:fill="auto"/>
          </w:tcPr>
          <w:p w14:paraId="2CED8642" w14:textId="77777777" w:rsidR="00100E5C" w:rsidRPr="00911EB6" w:rsidRDefault="00100E5C" w:rsidP="00100E5C">
            <w:pPr>
              <w:spacing w:before="60" w:after="60"/>
              <w:rPr>
                <w:rFonts w:cs="Arial"/>
                <w:sz w:val="16"/>
                <w:szCs w:val="16"/>
              </w:rPr>
            </w:pPr>
          </w:p>
        </w:tc>
      </w:tr>
      <w:tr w:rsidR="00100E5C" w:rsidRPr="00072144" w14:paraId="2AC79C32" w14:textId="77777777" w:rsidTr="00100E5C">
        <w:tc>
          <w:tcPr>
            <w:tcW w:w="4395" w:type="dxa"/>
            <w:shd w:val="clear" w:color="auto" w:fill="F2F2F2" w:themeFill="background1" w:themeFillShade="F2"/>
          </w:tcPr>
          <w:p w14:paraId="6C1D42CC" w14:textId="77777777" w:rsidR="00100E5C" w:rsidRPr="00911EB6" w:rsidRDefault="00100E5C" w:rsidP="00100E5C">
            <w:pPr>
              <w:spacing w:before="60" w:after="60"/>
              <w:rPr>
                <w:rFonts w:cs="Arial"/>
                <w:sz w:val="16"/>
                <w:szCs w:val="16"/>
              </w:rPr>
            </w:pPr>
            <w:r w:rsidRPr="00911EB6">
              <w:rPr>
                <w:rFonts w:cs="Arial"/>
                <w:sz w:val="16"/>
                <w:szCs w:val="16"/>
              </w:rPr>
              <w:lastRenderedPageBreak/>
              <w:t>Corangamite Shire Council</w:t>
            </w:r>
          </w:p>
        </w:tc>
        <w:tc>
          <w:tcPr>
            <w:tcW w:w="4717" w:type="dxa"/>
            <w:shd w:val="clear" w:color="auto" w:fill="F2F2F2" w:themeFill="background1" w:themeFillShade="F2"/>
          </w:tcPr>
          <w:p w14:paraId="39988232" w14:textId="77777777" w:rsidR="00100E5C" w:rsidRPr="00911EB6" w:rsidRDefault="00100E5C" w:rsidP="00100E5C">
            <w:pPr>
              <w:spacing w:before="60" w:after="60"/>
              <w:rPr>
                <w:rFonts w:cs="Arial"/>
                <w:sz w:val="16"/>
                <w:szCs w:val="16"/>
              </w:rPr>
            </w:pPr>
          </w:p>
        </w:tc>
      </w:tr>
    </w:tbl>
    <w:p w14:paraId="46BFF072" w14:textId="77777777" w:rsidR="00100E5C" w:rsidRPr="00163DB7" w:rsidRDefault="00100E5C" w:rsidP="00100E5C">
      <w:pPr>
        <w:pStyle w:val="BodyText"/>
        <w:rPr>
          <w:sz w:val="14"/>
        </w:rPr>
      </w:pPr>
    </w:p>
    <w:tbl>
      <w:tblPr>
        <w:tblW w:w="0" w:type="auto"/>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4471"/>
        <w:gridCol w:w="4455"/>
      </w:tblGrid>
      <w:tr w:rsidR="00100E5C" w:rsidRPr="00072144" w14:paraId="39817932" w14:textId="77777777" w:rsidTr="00100E5C">
        <w:trPr>
          <w:tblHeader/>
        </w:trPr>
        <w:tc>
          <w:tcPr>
            <w:tcW w:w="9112" w:type="dxa"/>
            <w:gridSpan w:val="2"/>
            <w:shd w:val="clear" w:color="auto" w:fill="A6A6A6"/>
            <w:tcMar>
              <w:top w:w="142" w:type="dxa"/>
            </w:tcMar>
          </w:tcPr>
          <w:p w14:paraId="4C782DCA" w14:textId="77777777" w:rsidR="00100E5C" w:rsidRPr="00043B66" w:rsidRDefault="00100E5C" w:rsidP="00100E5C">
            <w:pPr>
              <w:spacing w:before="60" w:after="60"/>
              <w:rPr>
                <w:rFonts w:cs="Arial"/>
                <w:b/>
                <w:sz w:val="16"/>
                <w:szCs w:val="16"/>
                <w:highlight w:val="yellow"/>
              </w:rPr>
            </w:pPr>
            <w:r w:rsidRPr="004705DB">
              <w:rPr>
                <w:rFonts w:cs="Arial"/>
                <w:b/>
                <w:sz w:val="16"/>
                <w:szCs w:val="16"/>
              </w:rPr>
              <w:t>Any other person or organisation that the Titleholder considers relevant</w:t>
            </w:r>
          </w:p>
        </w:tc>
      </w:tr>
      <w:tr w:rsidR="00100E5C" w:rsidRPr="00072144" w14:paraId="7B586734" w14:textId="77777777" w:rsidTr="00100E5C">
        <w:tc>
          <w:tcPr>
            <w:tcW w:w="9112" w:type="dxa"/>
            <w:gridSpan w:val="2"/>
            <w:shd w:val="clear" w:color="auto" w:fill="auto"/>
          </w:tcPr>
          <w:p w14:paraId="371352B3" w14:textId="77777777" w:rsidR="00100E5C" w:rsidRPr="00163DB7" w:rsidRDefault="00100E5C" w:rsidP="00100E5C">
            <w:pPr>
              <w:spacing w:before="60" w:after="60"/>
              <w:rPr>
                <w:rFonts w:cs="Arial"/>
                <w:sz w:val="16"/>
                <w:szCs w:val="16"/>
              </w:rPr>
            </w:pPr>
            <w:r w:rsidRPr="00163DB7">
              <w:rPr>
                <w:rFonts w:cs="Arial"/>
                <w:i/>
                <w:sz w:val="16"/>
                <w:szCs w:val="16"/>
              </w:rPr>
              <w:t xml:space="preserve">Community interests: </w:t>
            </w:r>
          </w:p>
        </w:tc>
      </w:tr>
      <w:tr w:rsidR="00100E5C" w:rsidRPr="00072144" w14:paraId="0B74636F" w14:textId="77777777" w:rsidTr="00100E5C">
        <w:tc>
          <w:tcPr>
            <w:tcW w:w="4566" w:type="dxa"/>
            <w:shd w:val="clear" w:color="auto" w:fill="F2F2F2"/>
          </w:tcPr>
          <w:p w14:paraId="097C2F5A" w14:textId="77777777" w:rsidR="00100E5C" w:rsidRPr="00163DB7" w:rsidRDefault="00100E5C" w:rsidP="00100E5C">
            <w:pPr>
              <w:spacing w:before="60" w:after="60"/>
              <w:rPr>
                <w:rFonts w:cs="Arial"/>
                <w:sz w:val="16"/>
                <w:szCs w:val="16"/>
              </w:rPr>
            </w:pPr>
            <w:r w:rsidRPr="00163DB7">
              <w:rPr>
                <w:rFonts w:cs="Arial"/>
                <w:sz w:val="16"/>
                <w:szCs w:val="16"/>
              </w:rPr>
              <w:t>Parks Victoria (Port Campbell office)</w:t>
            </w:r>
          </w:p>
        </w:tc>
        <w:tc>
          <w:tcPr>
            <w:tcW w:w="4546" w:type="dxa"/>
            <w:shd w:val="clear" w:color="auto" w:fill="F2F2F2"/>
          </w:tcPr>
          <w:p w14:paraId="7C31541A" w14:textId="77777777" w:rsidR="00100E5C" w:rsidRPr="00163DB7" w:rsidRDefault="00100E5C" w:rsidP="00100E5C">
            <w:pPr>
              <w:spacing w:before="60" w:after="60"/>
              <w:rPr>
                <w:rFonts w:cs="Arial"/>
                <w:sz w:val="16"/>
                <w:szCs w:val="16"/>
              </w:rPr>
            </w:pPr>
            <w:r w:rsidRPr="00163DB7">
              <w:rPr>
                <w:rFonts w:cs="Arial"/>
                <w:sz w:val="16"/>
                <w:szCs w:val="16"/>
              </w:rPr>
              <w:t>Port Campbell Tourism and Information Centre</w:t>
            </w:r>
          </w:p>
        </w:tc>
      </w:tr>
      <w:tr w:rsidR="00100E5C" w:rsidRPr="00072144" w14:paraId="4C10FB03" w14:textId="77777777" w:rsidTr="00100E5C">
        <w:tc>
          <w:tcPr>
            <w:tcW w:w="4566" w:type="dxa"/>
            <w:shd w:val="clear" w:color="auto" w:fill="auto"/>
          </w:tcPr>
          <w:p w14:paraId="0B1741B7" w14:textId="77777777" w:rsidR="00100E5C" w:rsidRPr="00163DB7" w:rsidRDefault="00100E5C" w:rsidP="00100E5C">
            <w:pPr>
              <w:spacing w:before="60" w:after="60"/>
              <w:rPr>
                <w:rFonts w:cs="Arial"/>
                <w:sz w:val="16"/>
                <w:szCs w:val="16"/>
              </w:rPr>
            </w:pPr>
            <w:r>
              <w:rPr>
                <w:rFonts w:cs="Arial"/>
                <w:sz w:val="16"/>
                <w:szCs w:val="16"/>
              </w:rPr>
              <w:t>Port Campbell Boat Charters</w:t>
            </w:r>
          </w:p>
        </w:tc>
        <w:tc>
          <w:tcPr>
            <w:tcW w:w="4546" w:type="dxa"/>
            <w:shd w:val="clear" w:color="auto" w:fill="auto"/>
          </w:tcPr>
          <w:p w14:paraId="1640B94A" w14:textId="77777777" w:rsidR="00100E5C" w:rsidRPr="00163DB7" w:rsidRDefault="00100E5C" w:rsidP="00100E5C">
            <w:pPr>
              <w:spacing w:before="60" w:after="60"/>
              <w:rPr>
                <w:rFonts w:cs="Arial"/>
                <w:sz w:val="16"/>
                <w:szCs w:val="16"/>
              </w:rPr>
            </w:pPr>
            <w:r w:rsidRPr="00163DB7">
              <w:rPr>
                <w:rFonts w:cs="Arial"/>
                <w:sz w:val="16"/>
                <w:szCs w:val="16"/>
              </w:rPr>
              <w:t>Scuba Divers Federation of Victoria</w:t>
            </w:r>
            <w:r>
              <w:rPr>
                <w:rFonts w:cs="Arial"/>
                <w:sz w:val="16"/>
                <w:szCs w:val="16"/>
              </w:rPr>
              <w:t xml:space="preserve"> (SDFV)</w:t>
            </w:r>
          </w:p>
        </w:tc>
      </w:tr>
      <w:tr w:rsidR="00100E5C" w:rsidRPr="00072144" w14:paraId="7163FA72" w14:textId="77777777" w:rsidTr="00100E5C">
        <w:tc>
          <w:tcPr>
            <w:tcW w:w="9112" w:type="dxa"/>
            <w:gridSpan w:val="2"/>
            <w:shd w:val="clear" w:color="auto" w:fill="auto"/>
          </w:tcPr>
          <w:p w14:paraId="427A8598" w14:textId="77777777" w:rsidR="00100E5C" w:rsidRPr="00163DB7" w:rsidRDefault="00100E5C" w:rsidP="00100E5C">
            <w:pPr>
              <w:spacing w:before="60" w:after="60"/>
              <w:rPr>
                <w:rFonts w:cs="Arial"/>
                <w:i/>
                <w:sz w:val="16"/>
                <w:szCs w:val="16"/>
              </w:rPr>
            </w:pPr>
            <w:r w:rsidRPr="00163DB7">
              <w:rPr>
                <w:rFonts w:cs="Arial"/>
                <w:i/>
                <w:sz w:val="16"/>
                <w:szCs w:val="16"/>
              </w:rPr>
              <w:t>Conservation interests:</w:t>
            </w:r>
          </w:p>
        </w:tc>
      </w:tr>
      <w:tr w:rsidR="00100E5C" w:rsidRPr="00072144" w14:paraId="4A028458" w14:textId="77777777" w:rsidTr="00100E5C">
        <w:tc>
          <w:tcPr>
            <w:tcW w:w="4566" w:type="dxa"/>
            <w:shd w:val="clear" w:color="auto" w:fill="F2F2F2"/>
          </w:tcPr>
          <w:p w14:paraId="238BECA3" w14:textId="77777777" w:rsidR="00100E5C" w:rsidRPr="00043B66" w:rsidRDefault="00100E5C" w:rsidP="00100E5C">
            <w:pPr>
              <w:spacing w:before="60" w:after="60"/>
              <w:rPr>
                <w:rFonts w:cs="Arial"/>
                <w:sz w:val="16"/>
                <w:szCs w:val="16"/>
                <w:highlight w:val="yellow"/>
              </w:rPr>
            </w:pPr>
            <w:r w:rsidRPr="00A819E0">
              <w:rPr>
                <w:sz w:val="16"/>
              </w:rPr>
              <w:t>Bay of Islands Co</w:t>
            </w:r>
            <w:r>
              <w:rPr>
                <w:sz w:val="16"/>
              </w:rPr>
              <w:t>a</w:t>
            </w:r>
            <w:r w:rsidRPr="00A819E0">
              <w:rPr>
                <w:sz w:val="16"/>
              </w:rPr>
              <w:t>stal Park</w:t>
            </w:r>
          </w:p>
        </w:tc>
        <w:tc>
          <w:tcPr>
            <w:tcW w:w="4546" w:type="dxa"/>
            <w:shd w:val="clear" w:color="auto" w:fill="F2F2F2"/>
          </w:tcPr>
          <w:p w14:paraId="4A02018E" w14:textId="77777777" w:rsidR="00100E5C" w:rsidRPr="00043B66" w:rsidRDefault="00100E5C" w:rsidP="00100E5C">
            <w:pPr>
              <w:spacing w:before="60" w:after="60"/>
              <w:rPr>
                <w:rFonts w:cs="Arial"/>
                <w:sz w:val="16"/>
                <w:szCs w:val="16"/>
                <w:highlight w:val="yellow"/>
              </w:rPr>
            </w:pPr>
          </w:p>
        </w:tc>
      </w:tr>
    </w:tbl>
    <w:p w14:paraId="5D9C030D" w14:textId="77777777" w:rsidR="00100E5C" w:rsidRDefault="00100E5C" w:rsidP="00100E5C">
      <w:pPr>
        <w:pStyle w:val="BodyText"/>
      </w:pPr>
    </w:p>
    <w:p w14:paraId="0214D836" w14:textId="42547E13" w:rsidR="00AC4873" w:rsidRPr="00AC4873" w:rsidRDefault="00AC4873" w:rsidP="00AC4873">
      <w:pPr>
        <w:pStyle w:val="Heading2"/>
      </w:pPr>
      <w:bookmarkStart w:id="311" w:name="_Toc512862499"/>
      <w:r w:rsidRPr="00AC4873">
        <w:t>Consultation (Environment Plan Collation)</w:t>
      </w:r>
      <w:bookmarkEnd w:id="311"/>
    </w:p>
    <w:p w14:paraId="0BB25676" w14:textId="684D52DF" w:rsidR="00AC4873" w:rsidRPr="00D45C9A" w:rsidRDefault="00AC4873" w:rsidP="00E439A6">
      <w:pPr>
        <w:pStyle w:val="Bullet1"/>
        <w:numPr>
          <w:ilvl w:val="0"/>
          <w:numId w:val="0"/>
        </w:numPr>
        <w:ind w:left="720"/>
      </w:pPr>
      <w:r w:rsidRPr="00D45C9A">
        <w:t>Stakeholders identified above were engaged during the collation of this Environment Plan. Stakeholders were contacted directly by phone as an introductory activity to confirm stakeholder relevance to the asset, activities and interests in relation to CHN activities; to identify further opportunities for engagement; and confirm contact details were correct for the delivery of future correspondence. A letter formally introducing Cooper, the acquisition of the CHN assets, a brief description of the assets and Cooper contact details was sent by email in December 2016.</w:t>
      </w:r>
    </w:p>
    <w:p w14:paraId="143DFC54" w14:textId="584368B8" w:rsidR="00AC4873" w:rsidRPr="00D45C9A" w:rsidRDefault="00AC4873" w:rsidP="00E439A6">
      <w:pPr>
        <w:pStyle w:val="Bullet1"/>
        <w:numPr>
          <w:ilvl w:val="0"/>
          <w:numId w:val="0"/>
        </w:numPr>
        <w:ind w:left="720"/>
      </w:pPr>
      <w:r w:rsidRPr="00D45C9A">
        <w:t>No concerns or objections have been raised with regard to the continued operation of the CHN assets. Cooper believes that the low rate of feedback (i.e., replies to initial and follow up emails and return phone calls) and the low level of concern from stakeholders expressed to date is due to the fact that the assets have been operating for over 10 years without any major incidents.</w:t>
      </w:r>
    </w:p>
    <w:p w14:paraId="4361BE06" w14:textId="00397E07" w:rsidR="00AC4873" w:rsidRPr="00D45C9A" w:rsidRDefault="00AC4873" w:rsidP="00E439A6">
      <w:pPr>
        <w:pStyle w:val="Bullet1"/>
        <w:numPr>
          <w:ilvl w:val="0"/>
          <w:numId w:val="0"/>
        </w:numPr>
        <w:ind w:left="720"/>
      </w:pPr>
      <w:r w:rsidRPr="00D45C9A">
        <w:t>For those stakeholders which responded, the key theme emerging was that Cooper maintains ongoing engagement and conversation on future activities (Fishing Associations) and ensuring that Cooper has an awareness of the abalone fishery when undertaking activities (abalone associations).</w:t>
      </w:r>
    </w:p>
    <w:p w14:paraId="573F0C0B" w14:textId="570C9790" w:rsidR="00100E5C" w:rsidRPr="00D45C9A" w:rsidRDefault="00AC4873" w:rsidP="00E439A6">
      <w:pPr>
        <w:pStyle w:val="Bullet1"/>
        <w:numPr>
          <w:ilvl w:val="0"/>
          <w:numId w:val="0"/>
        </w:numPr>
        <w:ind w:left="720"/>
      </w:pPr>
      <w:r w:rsidRPr="00D45C9A">
        <w:t xml:space="preserve">A stakeholder consultation summary undertaken to date, together with Cooper’s responses and assessment of merits and feedback is included in Table </w:t>
      </w:r>
      <w:r w:rsidR="00410A04">
        <w:t>7</w:t>
      </w:r>
      <w:r w:rsidRPr="00D45C9A">
        <w:t>-2. This table focuses on stakeholders who have been identified as ‘relevant persons’ whose functions, interests or activities may be affected by the assets’ operations. It also includes key stakeholders with whom engagement has taken place to enable Cooper to determine whether they are ‘relevant persons’ for the CHN activity.</w:t>
      </w:r>
    </w:p>
    <w:p w14:paraId="1497F48B" w14:textId="77777777" w:rsidR="006F7282" w:rsidRDefault="006F7282" w:rsidP="00100E5C">
      <w:pPr>
        <w:pStyle w:val="BodyText"/>
        <w:keepNext/>
        <w:ind w:left="0"/>
        <w:rPr>
          <w:szCs w:val="20"/>
        </w:rPr>
        <w:sectPr w:rsidR="006F7282" w:rsidSect="00E439A6">
          <w:headerReference w:type="first" r:id="rId28"/>
          <w:footerReference w:type="first" r:id="rId29"/>
          <w:pgSz w:w="11907" w:h="16840" w:code="9"/>
          <w:pgMar w:top="1854" w:right="1440" w:bottom="1440" w:left="1440" w:header="680" w:footer="284" w:gutter="0"/>
          <w:cols w:space="720"/>
          <w:docGrid w:linePitch="299"/>
        </w:sectPr>
      </w:pPr>
    </w:p>
    <w:p w14:paraId="6DE1AED6" w14:textId="725542AF" w:rsidR="006F7282" w:rsidRDefault="006F7282" w:rsidP="00100E5C">
      <w:pPr>
        <w:pStyle w:val="BodyText"/>
        <w:keepNext/>
        <w:ind w:left="0"/>
        <w:rPr>
          <w:szCs w:val="20"/>
        </w:rPr>
      </w:pPr>
    </w:p>
    <w:p w14:paraId="5D83A387" w14:textId="40194193" w:rsidR="006F7282" w:rsidRPr="00202DC4" w:rsidRDefault="00D57411" w:rsidP="006F7282">
      <w:pPr>
        <w:pStyle w:val="BodyText"/>
        <w:jc w:val="center"/>
        <w:rPr>
          <w:b/>
        </w:rPr>
      </w:pPr>
      <w:bookmarkStart w:id="312" w:name="_Toc511032631"/>
      <w:r w:rsidRPr="00D57411">
        <w:rPr>
          <w:b/>
          <w:szCs w:val="20"/>
        </w:rPr>
        <w:t xml:space="preserve">Table </w:t>
      </w:r>
      <w:r w:rsidRPr="00D57411">
        <w:rPr>
          <w:b/>
          <w:szCs w:val="20"/>
        </w:rPr>
        <w:fldChar w:fldCharType="begin"/>
      </w:r>
      <w:r w:rsidRPr="00D57411">
        <w:rPr>
          <w:b/>
          <w:szCs w:val="20"/>
        </w:rPr>
        <w:instrText xml:space="preserve"> STYLEREF 1 \s </w:instrText>
      </w:r>
      <w:r w:rsidRPr="00D57411">
        <w:rPr>
          <w:b/>
          <w:szCs w:val="20"/>
        </w:rPr>
        <w:fldChar w:fldCharType="separate"/>
      </w:r>
      <w:r w:rsidR="00CC4C35">
        <w:rPr>
          <w:b/>
          <w:noProof/>
          <w:szCs w:val="20"/>
        </w:rPr>
        <w:t>7</w:t>
      </w:r>
      <w:r w:rsidRPr="00D57411">
        <w:rPr>
          <w:b/>
          <w:szCs w:val="20"/>
        </w:rPr>
        <w:fldChar w:fldCharType="end"/>
      </w:r>
      <w:r w:rsidRPr="00D57411">
        <w:rPr>
          <w:b/>
          <w:szCs w:val="20"/>
        </w:rPr>
        <w:noBreakHyphen/>
      </w:r>
      <w:r w:rsidRPr="00D57411">
        <w:rPr>
          <w:b/>
          <w:szCs w:val="20"/>
        </w:rPr>
        <w:fldChar w:fldCharType="begin"/>
      </w:r>
      <w:r w:rsidRPr="00D57411">
        <w:rPr>
          <w:b/>
          <w:szCs w:val="20"/>
        </w:rPr>
        <w:instrText xml:space="preserve"> SEQ Table \* ARABIC \s 1 </w:instrText>
      </w:r>
      <w:r w:rsidRPr="00D57411">
        <w:rPr>
          <w:b/>
          <w:szCs w:val="20"/>
        </w:rPr>
        <w:fldChar w:fldCharType="separate"/>
      </w:r>
      <w:r w:rsidR="00CC4C35">
        <w:rPr>
          <w:b/>
          <w:noProof/>
          <w:szCs w:val="20"/>
        </w:rPr>
        <w:t>2</w:t>
      </w:r>
      <w:r w:rsidRPr="00D57411">
        <w:rPr>
          <w:b/>
          <w:szCs w:val="20"/>
        </w:rPr>
        <w:fldChar w:fldCharType="end"/>
      </w:r>
      <w:r w:rsidRPr="00D57411">
        <w:rPr>
          <w:b/>
          <w:szCs w:val="20"/>
        </w:rPr>
        <w:t>:</w:t>
      </w:r>
      <w:r w:rsidR="006F7282" w:rsidRPr="00202DC4">
        <w:rPr>
          <w:b/>
        </w:rPr>
        <w:t xml:space="preserve"> </w:t>
      </w:r>
      <w:r w:rsidR="006F7282" w:rsidRPr="001F18A9">
        <w:rPr>
          <w:b/>
        </w:rPr>
        <w:t>Casino Henry Netherby</w:t>
      </w:r>
      <w:r w:rsidR="006F7282" w:rsidRPr="00202DC4">
        <w:rPr>
          <w:b/>
        </w:rPr>
        <w:t xml:space="preserve"> Environmental Plan - Stakeholder </w:t>
      </w:r>
      <w:r w:rsidR="006F7282">
        <w:rPr>
          <w:b/>
        </w:rPr>
        <w:t>C</w:t>
      </w:r>
      <w:r w:rsidR="006F7282" w:rsidRPr="00202DC4">
        <w:rPr>
          <w:b/>
        </w:rPr>
        <w:t>onsultation Log</w:t>
      </w:r>
      <w:bookmarkEnd w:id="312"/>
    </w:p>
    <w:p w14:paraId="4BEC36A0" w14:textId="77777777" w:rsidR="006F7282" w:rsidRDefault="006F7282" w:rsidP="00100E5C">
      <w:pPr>
        <w:pStyle w:val="BodyText"/>
        <w:keepNext/>
        <w:ind w:left="0"/>
        <w:rPr>
          <w:szCs w:val="20"/>
        </w:rPr>
      </w:pPr>
    </w:p>
    <w:tbl>
      <w:tblPr>
        <w:tblStyle w:val="TableGrid"/>
        <w:tblW w:w="13274" w:type="dxa"/>
        <w:tblLook w:val="04A0" w:firstRow="1" w:lastRow="0" w:firstColumn="1" w:lastColumn="0" w:noHBand="0" w:noVBand="1"/>
      </w:tblPr>
      <w:tblGrid>
        <w:gridCol w:w="1162"/>
        <w:gridCol w:w="2431"/>
        <w:gridCol w:w="3095"/>
        <w:gridCol w:w="2403"/>
        <w:gridCol w:w="2196"/>
        <w:gridCol w:w="1987"/>
      </w:tblGrid>
      <w:tr w:rsidR="006F7282" w14:paraId="5B6F30FF" w14:textId="77777777" w:rsidTr="006F7282">
        <w:trPr>
          <w:cnfStyle w:val="100000000000" w:firstRow="1" w:lastRow="0" w:firstColumn="0" w:lastColumn="0" w:oddVBand="0" w:evenVBand="0" w:oddHBand="0" w:evenHBand="0" w:firstRowFirstColumn="0" w:firstRowLastColumn="0" w:lastRowFirstColumn="0" w:lastRowLastColumn="0"/>
          <w:cantSplit/>
          <w:trHeight w:val="761"/>
        </w:trPr>
        <w:tc>
          <w:tcPr>
            <w:tcW w:w="1162" w:type="dxa"/>
          </w:tcPr>
          <w:p w14:paraId="53A322AC" w14:textId="77777777" w:rsidR="006F7282" w:rsidRPr="00D62A1E" w:rsidRDefault="006F7282" w:rsidP="00B55186">
            <w:pPr>
              <w:pStyle w:val="BodyText"/>
              <w:ind w:left="0"/>
              <w:rPr>
                <w:sz w:val="16"/>
                <w:szCs w:val="18"/>
              </w:rPr>
            </w:pPr>
            <w:r w:rsidRPr="00D62A1E">
              <w:rPr>
                <w:sz w:val="16"/>
                <w:szCs w:val="18"/>
              </w:rPr>
              <w:t>Stakeholder</w:t>
            </w:r>
          </w:p>
        </w:tc>
        <w:tc>
          <w:tcPr>
            <w:tcW w:w="2431" w:type="dxa"/>
          </w:tcPr>
          <w:p w14:paraId="3475F3E1" w14:textId="77777777" w:rsidR="006F7282" w:rsidRPr="00D62A1E" w:rsidRDefault="006F7282" w:rsidP="00B55186">
            <w:pPr>
              <w:pStyle w:val="BodyText"/>
              <w:ind w:left="0"/>
              <w:rPr>
                <w:sz w:val="16"/>
                <w:szCs w:val="18"/>
              </w:rPr>
            </w:pPr>
            <w:r w:rsidRPr="00D62A1E">
              <w:rPr>
                <w:sz w:val="16"/>
                <w:szCs w:val="18"/>
              </w:rPr>
              <w:t>Relevance to Activity</w:t>
            </w:r>
          </w:p>
        </w:tc>
        <w:tc>
          <w:tcPr>
            <w:tcW w:w="3095" w:type="dxa"/>
          </w:tcPr>
          <w:p w14:paraId="2C19DEF3" w14:textId="77777777" w:rsidR="006F7282" w:rsidRPr="00D62A1E" w:rsidRDefault="006F7282" w:rsidP="00B55186">
            <w:pPr>
              <w:pStyle w:val="BodyText"/>
              <w:ind w:left="0"/>
              <w:rPr>
                <w:sz w:val="16"/>
                <w:szCs w:val="18"/>
              </w:rPr>
            </w:pPr>
            <w:r w:rsidRPr="00D62A1E">
              <w:rPr>
                <w:sz w:val="16"/>
                <w:szCs w:val="18"/>
              </w:rPr>
              <w:t>Information provided (Date, Method, Record, Number)</w:t>
            </w:r>
          </w:p>
        </w:tc>
        <w:tc>
          <w:tcPr>
            <w:tcW w:w="2403" w:type="dxa"/>
          </w:tcPr>
          <w:p w14:paraId="778ACC71" w14:textId="77777777" w:rsidR="006F7282" w:rsidRPr="00D62A1E" w:rsidRDefault="006F7282" w:rsidP="00B55186">
            <w:pPr>
              <w:pStyle w:val="BodyText"/>
              <w:ind w:left="0"/>
              <w:rPr>
                <w:sz w:val="16"/>
                <w:szCs w:val="18"/>
              </w:rPr>
            </w:pPr>
            <w:r w:rsidRPr="00D62A1E">
              <w:rPr>
                <w:sz w:val="16"/>
                <w:szCs w:val="18"/>
              </w:rPr>
              <w:t>Summary of Response</w:t>
            </w:r>
          </w:p>
        </w:tc>
        <w:tc>
          <w:tcPr>
            <w:tcW w:w="2196" w:type="dxa"/>
          </w:tcPr>
          <w:p w14:paraId="22D205C9" w14:textId="77777777" w:rsidR="006F7282" w:rsidRPr="00D62A1E" w:rsidRDefault="006F7282" w:rsidP="00B55186">
            <w:pPr>
              <w:pStyle w:val="BodyText"/>
              <w:ind w:left="0"/>
              <w:rPr>
                <w:sz w:val="16"/>
                <w:szCs w:val="18"/>
              </w:rPr>
            </w:pPr>
            <w:r w:rsidRPr="00D62A1E">
              <w:rPr>
                <w:sz w:val="16"/>
                <w:szCs w:val="18"/>
              </w:rPr>
              <w:t>Assessment of Merits to Adverse Claim / Objection</w:t>
            </w:r>
          </w:p>
        </w:tc>
        <w:tc>
          <w:tcPr>
            <w:tcW w:w="1987" w:type="dxa"/>
          </w:tcPr>
          <w:p w14:paraId="6E34B7E0" w14:textId="77777777" w:rsidR="006F7282" w:rsidRPr="00D62A1E" w:rsidRDefault="006F7282" w:rsidP="00B55186">
            <w:pPr>
              <w:pStyle w:val="BodyText"/>
              <w:ind w:left="0"/>
              <w:rPr>
                <w:sz w:val="16"/>
                <w:szCs w:val="18"/>
              </w:rPr>
            </w:pPr>
            <w:r w:rsidRPr="00D62A1E">
              <w:rPr>
                <w:sz w:val="16"/>
                <w:szCs w:val="18"/>
              </w:rPr>
              <w:t xml:space="preserve">Operators Response </w:t>
            </w:r>
            <w:r>
              <w:rPr>
                <w:sz w:val="16"/>
                <w:szCs w:val="18"/>
              </w:rPr>
              <w:t>to e</w:t>
            </w:r>
            <w:r w:rsidRPr="00D62A1E">
              <w:rPr>
                <w:sz w:val="16"/>
                <w:szCs w:val="18"/>
              </w:rPr>
              <w:t>ach Claim / Objection</w:t>
            </w:r>
          </w:p>
        </w:tc>
      </w:tr>
      <w:tr w:rsidR="006F7282" w14:paraId="1B6C3B6A" w14:textId="77777777" w:rsidTr="006F7282">
        <w:trPr>
          <w:cantSplit/>
          <w:trHeight w:val="761"/>
        </w:trPr>
        <w:tc>
          <w:tcPr>
            <w:tcW w:w="1162" w:type="dxa"/>
            <w:shd w:val="clear" w:color="auto" w:fill="FFFFFF" w:themeFill="background1"/>
          </w:tcPr>
          <w:p w14:paraId="53B79C0C" w14:textId="77777777" w:rsidR="006F7282" w:rsidRPr="00F55F64" w:rsidRDefault="006F7282" w:rsidP="00B55186">
            <w:pPr>
              <w:pStyle w:val="BodyText"/>
              <w:ind w:left="0"/>
              <w:rPr>
                <w:sz w:val="14"/>
                <w:szCs w:val="14"/>
              </w:rPr>
            </w:pPr>
            <w:r w:rsidRPr="00F55F64">
              <w:rPr>
                <w:sz w:val="14"/>
                <w:szCs w:val="14"/>
              </w:rPr>
              <w:t>Australian Fisheries Management Authority</w:t>
            </w:r>
          </w:p>
        </w:tc>
        <w:tc>
          <w:tcPr>
            <w:tcW w:w="2431" w:type="dxa"/>
            <w:shd w:val="clear" w:color="auto" w:fill="FFFFFF" w:themeFill="background1"/>
          </w:tcPr>
          <w:p w14:paraId="45EA6A66" w14:textId="77777777" w:rsidR="006F7282" w:rsidRDefault="006F7282" w:rsidP="00B55186">
            <w:pPr>
              <w:pStyle w:val="BodyText"/>
              <w:ind w:left="0"/>
              <w:rPr>
                <w:sz w:val="14"/>
                <w:szCs w:val="14"/>
              </w:rPr>
            </w:pPr>
            <w:r w:rsidRPr="00F55F64">
              <w:rPr>
                <w:sz w:val="14"/>
                <w:szCs w:val="14"/>
              </w:rPr>
              <w:t xml:space="preserve">Management of </w:t>
            </w:r>
            <w:r>
              <w:rPr>
                <w:sz w:val="14"/>
                <w:szCs w:val="14"/>
              </w:rPr>
              <w:t xml:space="preserve">Commonwealth </w:t>
            </w:r>
            <w:r w:rsidRPr="00F55F64">
              <w:rPr>
                <w:sz w:val="14"/>
                <w:szCs w:val="14"/>
              </w:rPr>
              <w:t>Commercial Fisheries from 3nm to 200nm (EEZ)</w:t>
            </w:r>
          </w:p>
          <w:p w14:paraId="4D00B66D" w14:textId="77777777" w:rsidR="006F7282" w:rsidRPr="00F55F64" w:rsidRDefault="006F7282" w:rsidP="00B55186">
            <w:pPr>
              <w:pStyle w:val="BodyText"/>
              <w:ind w:left="0"/>
              <w:rPr>
                <w:sz w:val="14"/>
                <w:szCs w:val="14"/>
              </w:rPr>
            </w:pPr>
            <w:r>
              <w:rPr>
                <w:sz w:val="14"/>
                <w:szCs w:val="14"/>
              </w:rPr>
              <w:t>Interests:</w:t>
            </w:r>
          </w:p>
          <w:p w14:paraId="2F63589A" w14:textId="77777777" w:rsidR="006F7282" w:rsidRPr="00F55F64" w:rsidRDefault="006F7282" w:rsidP="00B55186">
            <w:pPr>
              <w:pStyle w:val="BodyText"/>
              <w:ind w:left="0"/>
              <w:rPr>
                <w:sz w:val="14"/>
                <w:szCs w:val="14"/>
              </w:rPr>
            </w:pPr>
            <w:r w:rsidRPr="00F55F64">
              <w:rPr>
                <w:sz w:val="14"/>
                <w:szCs w:val="14"/>
              </w:rPr>
              <w:t>New Facilities/expanded footprint which may impact commercial fisher</w:t>
            </w:r>
            <w:r>
              <w:rPr>
                <w:sz w:val="14"/>
                <w:szCs w:val="14"/>
              </w:rPr>
              <w:t>y access to seabed areas</w:t>
            </w:r>
          </w:p>
        </w:tc>
        <w:tc>
          <w:tcPr>
            <w:tcW w:w="3095" w:type="dxa"/>
            <w:shd w:val="clear" w:color="auto" w:fill="auto"/>
          </w:tcPr>
          <w:p w14:paraId="114AE018" w14:textId="77777777" w:rsidR="006F7282" w:rsidRPr="00F55F64" w:rsidRDefault="006F7282" w:rsidP="00B55186">
            <w:pPr>
              <w:pStyle w:val="BodyText"/>
              <w:ind w:left="0"/>
              <w:rPr>
                <w:sz w:val="14"/>
                <w:szCs w:val="14"/>
              </w:rPr>
            </w:pPr>
            <w:r>
              <w:rPr>
                <w:sz w:val="14"/>
                <w:szCs w:val="14"/>
              </w:rPr>
              <w:t>2017.01.16</w:t>
            </w:r>
            <w:r w:rsidRPr="000A23F2">
              <w:rPr>
                <w:sz w:val="14"/>
                <w:szCs w:val="14"/>
              </w:rPr>
              <w:t xml:space="preserve"> Email – </w:t>
            </w:r>
            <w:r w:rsidRPr="0079700B">
              <w:rPr>
                <w:sz w:val="14"/>
                <w:szCs w:val="14"/>
              </w:rPr>
              <w:t xml:space="preserve">Letter </w:t>
            </w:r>
            <w:r w:rsidRPr="00096DCA">
              <w:rPr>
                <w:sz w:val="14"/>
                <w:szCs w:val="14"/>
              </w:rPr>
              <w:t>Cooper Energy</w:t>
            </w:r>
            <w:r w:rsidRPr="0079700B">
              <w:rPr>
                <w:sz w:val="14"/>
                <w:szCs w:val="14"/>
              </w:rPr>
              <w:t xml:space="preserve"> provided information</w:t>
            </w:r>
            <w:r w:rsidRPr="000A23F2">
              <w:rPr>
                <w:sz w:val="14"/>
                <w:szCs w:val="14"/>
              </w:rPr>
              <w:t xml:space="preserve"> associated with the </w:t>
            </w:r>
            <w:r>
              <w:rPr>
                <w:sz w:val="14"/>
                <w:szCs w:val="14"/>
              </w:rPr>
              <w:t>CHN</w:t>
            </w:r>
            <w:r w:rsidRPr="000A23F2">
              <w:rPr>
                <w:sz w:val="14"/>
                <w:szCs w:val="14"/>
              </w:rPr>
              <w:t xml:space="preserve"> Environment Plan, changes in titleholder and requested feedback.</w:t>
            </w:r>
          </w:p>
        </w:tc>
        <w:tc>
          <w:tcPr>
            <w:tcW w:w="2403" w:type="dxa"/>
            <w:shd w:val="clear" w:color="auto" w:fill="FFFFFF" w:themeFill="background1"/>
          </w:tcPr>
          <w:p w14:paraId="0083AB86" w14:textId="77777777" w:rsidR="006F7282" w:rsidRPr="00F55F64" w:rsidRDefault="006F7282" w:rsidP="00B55186">
            <w:pPr>
              <w:pStyle w:val="BodyText"/>
              <w:ind w:left="0"/>
              <w:rPr>
                <w:sz w:val="14"/>
                <w:szCs w:val="14"/>
              </w:rPr>
            </w:pPr>
            <w:r w:rsidRPr="00F55F64">
              <w:rPr>
                <w:sz w:val="14"/>
                <w:szCs w:val="14"/>
              </w:rPr>
              <w:t>No Response to email dated 2017.0</w:t>
            </w:r>
            <w:r>
              <w:rPr>
                <w:sz w:val="14"/>
                <w:szCs w:val="14"/>
              </w:rPr>
              <w:t>1</w:t>
            </w:r>
            <w:r w:rsidRPr="00F55F64">
              <w:rPr>
                <w:sz w:val="14"/>
                <w:szCs w:val="14"/>
              </w:rPr>
              <w:t>.</w:t>
            </w:r>
            <w:r>
              <w:rPr>
                <w:sz w:val="14"/>
                <w:szCs w:val="14"/>
              </w:rPr>
              <w:t>1</w:t>
            </w:r>
            <w:r w:rsidRPr="00F55F64">
              <w:rPr>
                <w:sz w:val="14"/>
                <w:szCs w:val="14"/>
              </w:rPr>
              <w:t>6</w:t>
            </w:r>
          </w:p>
        </w:tc>
        <w:tc>
          <w:tcPr>
            <w:tcW w:w="2196" w:type="dxa"/>
            <w:shd w:val="clear" w:color="auto" w:fill="FFFFFF" w:themeFill="background1"/>
          </w:tcPr>
          <w:p w14:paraId="5657ED00" w14:textId="77777777" w:rsidR="006F7282" w:rsidRPr="00F55F64" w:rsidRDefault="006F7282" w:rsidP="00B55186">
            <w:pPr>
              <w:pStyle w:val="BodyText"/>
              <w:ind w:left="0"/>
              <w:rPr>
                <w:sz w:val="14"/>
                <w:szCs w:val="14"/>
              </w:rPr>
            </w:pPr>
            <w:r w:rsidRPr="00F55F64">
              <w:rPr>
                <w:sz w:val="14"/>
                <w:szCs w:val="14"/>
              </w:rPr>
              <w:t>Not Applicable</w:t>
            </w:r>
          </w:p>
        </w:tc>
        <w:tc>
          <w:tcPr>
            <w:tcW w:w="1987" w:type="dxa"/>
            <w:shd w:val="clear" w:color="auto" w:fill="FFFFFF" w:themeFill="background1"/>
          </w:tcPr>
          <w:p w14:paraId="062BF11F" w14:textId="77777777" w:rsidR="006F7282" w:rsidRPr="00F55F64" w:rsidRDefault="006F7282" w:rsidP="00B55186">
            <w:pPr>
              <w:pStyle w:val="BodyText"/>
              <w:ind w:left="0"/>
              <w:rPr>
                <w:sz w:val="14"/>
                <w:szCs w:val="14"/>
              </w:rPr>
            </w:pPr>
            <w:r w:rsidRPr="00F55F64">
              <w:rPr>
                <w:sz w:val="14"/>
                <w:szCs w:val="14"/>
              </w:rPr>
              <w:t>Not Applicable</w:t>
            </w:r>
          </w:p>
        </w:tc>
      </w:tr>
      <w:tr w:rsidR="006F7282" w14:paraId="7494E577" w14:textId="77777777" w:rsidTr="006F7282">
        <w:trPr>
          <w:cnfStyle w:val="000000010000" w:firstRow="0" w:lastRow="0" w:firstColumn="0" w:lastColumn="0" w:oddVBand="0" w:evenVBand="0" w:oddHBand="0" w:evenHBand="1" w:firstRowFirstColumn="0" w:firstRowLastColumn="0" w:lastRowFirstColumn="0" w:lastRowLastColumn="0"/>
          <w:cantSplit/>
          <w:trHeight w:val="761"/>
        </w:trPr>
        <w:tc>
          <w:tcPr>
            <w:tcW w:w="1162" w:type="dxa"/>
          </w:tcPr>
          <w:p w14:paraId="22300669" w14:textId="77777777" w:rsidR="006F7282" w:rsidRPr="00F55F64" w:rsidRDefault="006F7282" w:rsidP="00B55186">
            <w:pPr>
              <w:pStyle w:val="BodyText"/>
              <w:ind w:left="0"/>
              <w:rPr>
                <w:sz w:val="14"/>
                <w:szCs w:val="14"/>
              </w:rPr>
            </w:pPr>
            <w:r w:rsidRPr="00F55F64">
              <w:rPr>
                <w:sz w:val="14"/>
                <w:szCs w:val="14"/>
              </w:rPr>
              <w:t>Commonwealth Fisheries Association</w:t>
            </w:r>
          </w:p>
        </w:tc>
        <w:tc>
          <w:tcPr>
            <w:tcW w:w="2431" w:type="dxa"/>
          </w:tcPr>
          <w:p w14:paraId="2772A6C3" w14:textId="77777777" w:rsidR="006F7282" w:rsidRDefault="006F7282" w:rsidP="00B55186">
            <w:pPr>
              <w:pStyle w:val="BodyText"/>
              <w:ind w:left="0"/>
              <w:rPr>
                <w:sz w:val="14"/>
                <w:szCs w:val="14"/>
              </w:rPr>
            </w:pPr>
            <w:r w:rsidRPr="00F55F64">
              <w:rPr>
                <w:sz w:val="14"/>
                <w:szCs w:val="14"/>
              </w:rPr>
              <w:t>Peak Group for Commonwealth Fisheries</w:t>
            </w:r>
          </w:p>
          <w:p w14:paraId="74745EA7" w14:textId="77777777" w:rsidR="006F7282" w:rsidRPr="00F55F64" w:rsidRDefault="006F7282" w:rsidP="00B55186">
            <w:pPr>
              <w:pStyle w:val="BodyText"/>
              <w:ind w:left="0"/>
              <w:rPr>
                <w:sz w:val="14"/>
                <w:szCs w:val="14"/>
              </w:rPr>
            </w:pPr>
            <w:r>
              <w:rPr>
                <w:sz w:val="14"/>
                <w:szCs w:val="14"/>
              </w:rPr>
              <w:t>Interests:</w:t>
            </w:r>
          </w:p>
          <w:p w14:paraId="2F602860" w14:textId="77777777" w:rsidR="006F7282" w:rsidRPr="00F55F64" w:rsidRDefault="006F7282" w:rsidP="00B55186">
            <w:pPr>
              <w:pStyle w:val="BodyText"/>
              <w:ind w:left="0"/>
              <w:rPr>
                <w:sz w:val="14"/>
                <w:szCs w:val="14"/>
              </w:rPr>
            </w:pPr>
            <w:r w:rsidRPr="00F55F64">
              <w:rPr>
                <w:sz w:val="14"/>
                <w:szCs w:val="14"/>
              </w:rPr>
              <w:t>Increased footprint of activities</w:t>
            </w:r>
          </w:p>
          <w:p w14:paraId="16F9C085" w14:textId="77777777" w:rsidR="006F7282" w:rsidRPr="00F55F64" w:rsidRDefault="006F7282" w:rsidP="00B55186">
            <w:pPr>
              <w:pStyle w:val="BodyText"/>
              <w:ind w:left="0"/>
              <w:rPr>
                <w:sz w:val="14"/>
                <w:szCs w:val="14"/>
              </w:rPr>
            </w:pPr>
            <w:r w:rsidRPr="00F55F64">
              <w:rPr>
                <w:sz w:val="14"/>
                <w:szCs w:val="14"/>
              </w:rPr>
              <w:t>Activity notifications</w:t>
            </w:r>
          </w:p>
        </w:tc>
        <w:tc>
          <w:tcPr>
            <w:tcW w:w="3095" w:type="dxa"/>
          </w:tcPr>
          <w:p w14:paraId="065B7966" w14:textId="77777777" w:rsidR="006F7282" w:rsidRPr="00F55F64" w:rsidRDefault="006F7282" w:rsidP="00B55186">
            <w:pPr>
              <w:pStyle w:val="BodyText"/>
              <w:ind w:left="0"/>
              <w:rPr>
                <w:sz w:val="14"/>
                <w:szCs w:val="14"/>
              </w:rPr>
            </w:pPr>
            <w:r w:rsidRPr="00F55F64">
              <w:rPr>
                <w:sz w:val="14"/>
                <w:szCs w:val="14"/>
              </w:rPr>
              <w:t>2017.0</w:t>
            </w:r>
            <w:r>
              <w:rPr>
                <w:sz w:val="14"/>
                <w:szCs w:val="14"/>
              </w:rPr>
              <w:t>1.1</w:t>
            </w:r>
            <w:r w:rsidRPr="00F55F64">
              <w:rPr>
                <w:sz w:val="14"/>
                <w:szCs w:val="14"/>
              </w:rPr>
              <w:t xml:space="preserve">6 </w:t>
            </w:r>
            <w:r w:rsidRPr="000A23F2">
              <w:rPr>
                <w:sz w:val="14"/>
                <w:szCs w:val="14"/>
              </w:rPr>
              <w:t xml:space="preserve">Email – </w:t>
            </w:r>
            <w:r w:rsidRPr="0079700B">
              <w:rPr>
                <w:sz w:val="14"/>
                <w:szCs w:val="14"/>
              </w:rPr>
              <w:t xml:space="preserve">Letter </w:t>
            </w:r>
            <w:r w:rsidRPr="00096DCA">
              <w:rPr>
                <w:sz w:val="14"/>
                <w:szCs w:val="14"/>
              </w:rPr>
              <w:t>Cooper Energy</w:t>
            </w:r>
            <w:r w:rsidRPr="0079700B">
              <w:rPr>
                <w:sz w:val="14"/>
                <w:szCs w:val="14"/>
              </w:rPr>
              <w:t xml:space="preserve"> provided information</w:t>
            </w:r>
            <w:r w:rsidRPr="000A23F2">
              <w:rPr>
                <w:sz w:val="14"/>
                <w:szCs w:val="14"/>
              </w:rPr>
              <w:t xml:space="preserve"> associated with the </w:t>
            </w:r>
            <w:r>
              <w:rPr>
                <w:sz w:val="14"/>
                <w:szCs w:val="14"/>
              </w:rPr>
              <w:t>CHN</w:t>
            </w:r>
            <w:r w:rsidRPr="000A23F2">
              <w:rPr>
                <w:sz w:val="14"/>
                <w:szCs w:val="14"/>
              </w:rPr>
              <w:t xml:space="preserve"> Environment Plan, changes in titleholder and requested feedback.</w:t>
            </w:r>
          </w:p>
        </w:tc>
        <w:tc>
          <w:tcPr>
            <w:tcW w:w="2403" w:type="dxa"/>
          </w:tcPr>
          <w:p w14:paraId="7E4CF1AD" w14:textId="77777777" w:rsidR="006F7282" w:rsidRPr="00F55F64" w:rsidRDefault="006F7282" w:rsidP="00B55186">
            <w:pPr>
              <w:pStyle w:val="BodyText"/>
              <w:ind w:left="0"/>
              <w:rPr>
                <w:sz w:val="14"/>
                <w:szCs w:val="14"/>
              </w:rPr>
            </w:pPr>
            <w:r w:rsidRPr="00F55F64">
              <w:rPr>
                <w:sz w:val="14"/>
                <w:szCs w:val="14"/>
              </w:rPr>
              <w:t>No Response to email dated 2017.0</w:t>
            </w:r>
            <w:r>
              <w:rPr>
                <w:sz w:val="14"/>
                <w:szCs w:val="14"/>
              </w:rPr>
              <w:t>1</w:t>
            </w:r>
            <w:r w:rsidRPr="00F55F64">
              <w:rPr>
                <w:sz w:val="14"/>
                <w:szCs w:val="14"/>
              </w:rPr>
              <w:t>.</w:t>
            </w:r>
            <w:r>
              <w:rPr>
                <w:sz w:val="14"/>
                <w:szCs w:val="14"/>
              </w:rPr>
              <w:t>16</w:t>
            </w:r>
          </w:p>
        </w:tc>
        <w:tc>
          <w:tcPr>
            <w:tcW w:w="2196" w:type="dxa"/>
          </w:tcPr>
          <w:p w14:paraId="68E07FD1" w14:textId="77777777" w:rsidR="006F7282" w:rsidRPr="00F55F64" w:rsidRDefault="006F7282" w:rsidP="00B55186">
            <w:pPr>
              <w:pStyle w:val="BodyText"/>
              <w:ind w:left="0"/>
              <w:rPr>
                <w:sz w:val="14"/>
                <w:szCs w:val="14"/>
              </w:rPr>
            </w:pPr>
            <w:r w:rsidRPr="00F55F64">
              <w:rPr>
                <w:sz w:val="14"/>
                <w:szCs w:val="14"/>
              </w:rPr>
              <w:t>Not Applicable</w:t>
            </w:r>
          </w:p>
        </w:tc>
        <w:tc>
          <w:tcPr>
            <w:tcW w:w="1987" w:type="dxa"/>
          </w:tcPr>
          <w:p w14:paraId="07946C71" w14:textId="77777777" w:rsidR="006F7282" w:rsidRPr="00F55F64" w:rsidRDefault="006F7282" w:rsidP="00B55186">
            <w:pPr>
              <w:pStyle w:val="BodyText"/>
              <w:ind w:left="0"/>
              <w:rPr>
                <w:sz w:val="14"/>
                <w:szCs w:val="14"/>
              </w:rPr>
            </w:pPr>
            <w:r w:rsidRPr="00F55F64">
              <w:rPr>
                <w:sz w:val="14"/>
                <w:szCs w:val="14"/>
              </w:rPr>
              <w:t>Not Applicable</w:t>
            </w:r>
          </w:p>
        </w:tc>
      </w:tr>
      <w:tr w:rsidR="006F7282" w14:paraId="03B53B4C" w14:textId="77777777" w:rsidTr="006F7282">
        <w:trPr>
          <w:cantSplit/>
          <w:trHeight w:val="761"/>
        </w:trPr>
        <w:tc>
          <w:tcPr>
            <w:tcW w:w="1162" w:type="dxa"/>
            <w:shd w:val="clear" w:color="auto" w:fill="FFFFFF" w:themeFill="background1"/>
          </w:tcPr>
          <w:p w14:paraId="0F33F5BA" w14:textId="77777777" w:rsidR="006F7282" w:rsidRPr="00F55F64" w:rsidRDefault="006F7282" w:rsidP="00B55186">
            <w:pPr>
              <w:pStyle w:val="BodyText"/>
              <w:ind w:left="0"/>
              <w:rPr>
                <w:sz w:val="14"/>
                <w:szCs w:val="14"/>
              </w:rPr>
            </w:pPr>
            <w:r w:rsidRPr="00F55F64">
              <w:rPr>
                <w:sz w:val="14"/>
                <w:szCs w:val="14"/>
              </w:rPr>
              <w:t>Seafood Industry Victoria</w:t>
            </w:r>
          </w:p>
        </w:tc>
        <w:tc>
          <w:tcPr>
            <w:tcW w:w="2431" w:type="dxa"/>
            <w:shd w:val="clear" w:color="auto" w:fill="FFFFFF" w:themeFill="background1"/>
          </w:tcPr>
          <w:p w14:paraId="57669ED6" w14:textId="77777777" w:rsidR="006F7282" w:rsidRDefault="006F7282" w:rsidP="00B55186">
            <w:pPr>
              <w:pStyle w:val="BodyText"/>
              <w:ind w:left="0"/>
              <w:rPr>
                <w:sz w:val="14"/>
                <w:szCs w:val="14"/>
              </w:rPr>
            </w:pPr>
            <w:r w:rsidRPr="00F55F64">
              <w:rPr>
                <w:sz w:val="14"/>
                <w:szCs w:val="14"/>
              </w:rPr>
              <w:t>Peak Industry Body for Victorian seafood and fisheries</w:t>
            </w:r>
          </w:p>
          <w:p w14:paraId="16E84F69" w14:textId="77777777" w:rsidR="006F7282" w:rsidRPr="00F55F64" w:rsidRDefault="006F7282" w:rsidP="00B55186">
            <w:pPr>
              <w:pStyle w:val="BodyText"/>
              <w:ind w:left="0"/>
              <w:rPr>
                <w:sz w:val="14"/>
                <w:szCs w:val="14"/>
              </w:rPr>
            </w:pPr>
            <w:r>
              <w:rPr>
                <w:sz w:val="14"/>
                <w:szCs w:val="14"/>
              </w:rPr>
              <w:t>Interests:</w:t>
            </w:r>
          </w:p>
          <w:p w14:paraId="693B368D" w14:textId="77777777" w:rsidR="006F7282" w:rsidRPr="00F55F64" w:rsidRDefault="006F7282" w:rsidP="00B55186">
            <w:pPr>
              <w:pStyle w:val="BodyText"/>
              <w:ind w:left="0"/>
              <w:rPr>
                <w:sz w:val="14"/>
                <w:szCs w:val="14"/>
              </w:rPr>
            </w:pPr>
            <w:r w:rsidRPr="00F55F64">
              <w:rPr>
                <w:sz w:val="14"/>
                <w:szCs w:val="14"/>
              </w:rPr>
              <w:t>Increased footprint of activities</w:t>
            </w:r>
          </w:p>
          <w:p w14:paraId="1FA89D09" w14:textId="77777777" w:rsidR="006F7282" w:rsidRPr="00F55F64" w:rsidRDefault="006F7282" w:rsidP="00B55186">
            <w:pPr>
              <w:pStyle w:val="BodyText"/>
              <w:ind w:left="0"/>
              <w:rPr>
                <w:sz w:val="14"/>
                <w:szCs w:val="14"/>
              </w:rPr>
            </w:pPr>
            <w:r w:rsidRPr="00F55F64">
              <w:rPr>
                <w:sz w:val="14"/>
                <w:szCs w:val="14"/>
              </w:rPr>
              <w:t>Activity notifications</w:t>
            </w:r>
          </w:p>
        </w:tc>
        <w:tc>
          <w:tcPr>
            <w:tcW w:w="3095" w:type="dxa"/>
            <w:shd w:val="clear" w:color="auto" w:fill="FFFFFF" w:themeFill="background1"/>
          </w:tcPr>
          <w:p w14:paraId="229D25A2" w14:textId="77777777" w:rsidR="006F7282" w:rsidRPr="00F55F64" w:rsidRDefault="006F7282" w:rsidP="00B55186">
            <w:pPr>
              <w:pStyle w:val="BodyText"/>
              <w:ind w:left="0"/>
              <w:rPr>
                <w:sz w:val="14"/>
                <w:szCs w:val="14"/>
              </w:rPr>
            </w:pPr>
            <w:r>
              <w:rPr>
                <w:sz w:val="14"/>
                <w:szCs w:val="14"/>
              </w:rPr>
              <w:t>2016.12.28</w:t>
            </w:r>
            <w:r w:rsidRPr="00F55F64">
              <w:rPr>
                <w:sz w:val="14"/>
                <w:szCs w:val="14"/>
              </w:rPr>
              <w:t xml:space="preserve"> </w:t>
            </w:r>
            <w:r w:rsidRPr="00AD642C">
              <w:rPr>
                <w:sz w:val="14"/>
                <w:szCs w:val="14"/>
              </w:rPr>
              <w:t xml:space="preserve">Email – Letter </w:t>
            </w:r>
            <w:r w:rsidRPr="00EC22B6">
              <w:rPr>
                <w:sz w:val="14"/>
                <w:szCs w:val="14"/>
              </w:rPr>
              <w:t>Cooper Energy</w:t>
            </w:r>
            <w:r w:rsidRPr="00AD642C">
              <w:rPr>
                <w:sz w:val="14"/>
                <w:szCs w:val="14"/>
              </w:rPr>
              <w:t xml:space="preserve"> provided information associated with the </w:t>
            </w:r>
            <w:r>
              <w:rPr>
                <w:sz w:val="14"/>
                <w:szCs w:val="14"/>
              </w:rPr>
              <w:t xml:space="preserve">CHN </w:t>
            </w:r>
            <w:r w:rsidRPr="00AD642C">
              <w:rPr>
                <w:sz w:val="14"/>
                <w:szCs w:val="14"/>
              </w:rPr>
              <w:t>Environment Plan, changes in titleholder and requested feedback.</w:t>
            </w:r>
          </w:p>
        </w:tc>
        <w:tc>
          <w:tcPr>
            <w:tcW w:w="2403" w:type="dxa"/>
            <w:shd w:val="clear" w:color="auto" w:fill="FFFFFF" w:themeFill="background1"/>
          </w:tcPr>
          <w:p w14:paraId="01B976A5" w14:textId="77777777" w:rsidR="006F7282" w:rsidRPr="00F55F64" w:rsidRDefault="006F7282" w:rsidP="00B55186">
            <w:pPr>
              <w:pStyle w:val="BodyText"/>
              <w:ind w:left="0"/>
              <w:rPr>
                <w:sz w:val="14"/>
                <w:szCs w:val="14"/>
              </w:rPr>
            </w:pPr>
            <w:r w:rsidRPr="00F55F64">
              <w:rPr>
                <w:sz w:val="14"/>
                <w:szCs w:val="14"/>
              </w:rPr>
              <w:t>No R</w:t>
            </w:r>
            <w:r>
              <w:rPr>
                <w:sz w:val="14"/>
                <w:szCs w:val="14"/>
              </w:rPr>
              <w:t>esponse to email dated 2016.12.28</w:t>
            </w:r>
          </w:p>
        </w:tc>
        <w:tc>
          <w:tcPr>
            <w:tcW w:w="2196" w:type="dxa"/>
            <w:shd w:val="clear" w:color="auto" w:fill="FFFFFF" w:themeFill="background1"/>
          </w:tcPr>
          <w:p w14:paraId="430953A9" w14:textId="77777777" w:rsidR="006F7282" w:rsidRPr="00F55F64" w:rsidRDefault="006F7282" w:rsidP="00B55186">
            <w:pPr>
              <w:pStyle w:val="BodyText"/>
              <w:ind w:left="0"/>
              <w:rPr>
                <w:sz w:val="14"/>
                <w:szCs w:val="14"/>
              </w:rPr>
            </w:pPr>
            <w:r w:rsidRPr="00F55F64">
              <w:rPr>
                <w:sz w:val="14"/>
                <w:szCs w:val="14"/>
              </w:rPr>
              <w:t>Not Applicable</w:t>
            </w:r>
          </w:p>
        </w:tc>
        <w:tc>
          <w:tcPr>
            <w:tcW w:w="1987" w:type="dxa"/>
            <w:shd w:val="clear" w:color="auto" w:fill="FFFFFF" w:themeFill="background1"/>
          </w:tcPr>
          <w:p w14:paraId="57DB4B51" w14:textId="77777777" w:rsidR="006F7282" w:rsidRPr="00F55F64" w:rsidRDefault="006F7282" w:rsidP="00B55186">
            <w:pPr>
              <w:pStyle w:val="BodyText"/>
              <w:ind w:left="0"/>
              <w:rPr>
                <w:sz w:val="14"/>
                <w:szCs w:val="14"/>
              </w:rPr>
            </w:pPr>
            <w:r w:rsidRPr="00F55F64">
              <w:rPr>
                <w:color w:val="000000"/>
                <w:sz w:val="14"/>
                <w:szCs w:val="14"/>
              </w:rPr>
              <w:t xml:space="preserve">Not Applicable </w:t>
            </w:r>
          </w:p>
        </w:tc>
      </w:tr>
      <w:tr w:rsidR="006F7282" w14:paraId="1005784A" w14:textId="77777777" w:rsidTr="006F7282">
        <w:trPr>
          <w:cnfStyle w:val="000000010000" w:firstRow="0" w:lastRow="0" w:firstColumn="0" w:lastColumn="0" w:oddVBand="0" w:evenVBand="0" w:oddHBand="0" w:evenHBand="1" w:firstRowFirstColumn="0" w:firstRowLastColumn="0" w:lastRowFirstColumn="0" w:lastRowLastColumn="0"/>
          <w:cantSplit/>
          <w:trHeight w:val="761"/>
        </w:trPr>
        <w:tc>
          <w:tcPr>
            <w:tcW w:w="1162" w:type="dxa"/>
          </w:tcPr>
          <w:p w14:paraId="5AB07513" w14:textId="77777777" w:rsidR="006F7282" w:rsidRPr="00F55F64" w:rsidRDefault="006F7282" w:rsidP="00B55186">
            <w:pPr>
              <w:pStyle w:val="BodyText"/>
              <w:ind w:left="0"/>
              <w:rPr>
                <w:sz w:val="14"/>
                <w:szCs w:val="14"/>
              </w:rPr>
            </w:pPr>
            <w:r w:rsidRPr="008068D6">
              <w:rPr>
                <w:sz w:val="14"/>
                <w:szCs w:val="14"/>
              </w:rPr>
              <w:t>Victorian Rock Lobster Association</w:t>
            </w:r>
          </w:p>
        </w:tc>
        <w:tc>
          <w:tcPr>
            <w:tcW w:w="2431" w:type="dxa"/>
          </w:tcPr>
          <w:p w14:paraId="3E884905" w14:textId="77777777" w:rsidR="006F7282" w:rsidRDefault="006F7282" w:rsidP="00B55186">
            <w:pPr>
              <w:pStyle w:val="BodyText"/>
              <w:ind w:left="0"/>
              <w:rPr>
                <w:sz w:val="14"/>
                <w:szCs w:val="14"/>
              </w:rPr>
            </w:pPr>
            <w:r>
              <w:rPr>
                <w:sz w:val="14"/>
                <w:szCs w:val="14"/>
              </w:rPr>
              <w:t>Rock Lobster</w:t>
            </w:r>
          </w:p>
          <w:p w14:paraId="0D662CF8" w14:textId="77777777" w:rsidR="006F7282" w:rsidRDefault="006F7282" w:rsidP="00B55186">
            <w:pPr>
              <w:pStyle w:val="BodyText"/>
              <w:ind w:left="0"/>
              <w:rPr>
                <w:sz w:val="14"/>
                <w:szCs w:val="14"/>
              </w:rPr>
            </w:pPr>
            <w:r>
              <w:rPr>
                <w:sz w:val="14"/>
                <w:szCs w:val="14"/>
              </w:rPr>
              <w:t xml:space="preserve">Interests: </w:t>
            </w:r>
          </w:p>
          <w:p w14:paraId="23D7EC01" w14:textId="77777777" w:rsidR="006F7282" w:rsidRPr="00F55F64" w:rsidRDefault="006F7282" w:rsidP="00B55186">
            <w:pPr>
              <w:pStyle w:val="BodyText"/>
              <w:ind w:left="0"/>
              <w:rPr>
                <w:sz w:val="14"/>
                <w:szCs w:val="14"/>
              </w:rPr>
            </w:pPr>
            <w:r>
              <w:rPr>
                <w:sz w:val="14"/>
                <w:szCs w:val="14"/>
              </w:rPr>
              <w:t>Sound impacts to Lobsters Interference with fishing equipment deployed.</w:t>
            </w:r>
          </w:p>
        </w:tc>
        <w:tc>
          <w:tcPr>
            <w:tcW w:w="3095" w:type="dxa"/>
          </w:tcPr>
          <w:p w14:paraId="2D85A7E6" w14:textId="77777777" w:rsidR="006F7282" w:rsidRPr="00F55F64" w:rsidRDefault="006F7282" w:rsidP="00B55186">
            <w:pPr>
              <w:pStyle w:val="BodyText"/>
              <w:ind w:left="0"/>
              <w:rPr>
                <w:sz w:val="14"/>
                <w:szCs w:val="14"/>
              </w:rPr>
            </w:pPr>
            <w:r>
              <w:rPr>
                <w:sz w:val="14"/>
                <w:szCs w:val="14"/>
              </w:rPr>
              <w:t>2016.12.28</w:t>
            </w:r>
            <w:r w:rsidRPr="00F55F64">
              <w:rPr>
                <w:sz w:val="14"/>
                <w:szCs w:val="14"/>
              </w:rPr>
              <w:t xml:space="preserve"> </w:t>
            </w:r>
            <w:r w:rsidRPr="00AD642C">
              <w:rPr>
                <w:sz w:val="14"/>
                <w:szCs w:val="14"/>
              </w:rPr>
              <w:t xml:space="preserve">Email – Letter </w:t>
            </w:r>
            <w:r w:rsidRPr="00EC22B6">
              <w:rPr>
                <w:sz w:val="14"/>
                <w:szCs w:val="14"/>
              </w:rPr>
              <w:t>Cooper Energy</w:t>
            </w:r>
            <w:r w:rsidRPr="00AD642C">
              <w:rPr>
                <w:sz w:val="14"/>
                <w:szCs w:val="14"/>
              </w:rPr>
              <w:t xml:space="preserve"> provided information associated with the </w:t>
            </w:r>
            <w:r>
              <w:rPr>
                <w:sz w:val="14"/>
                <w:szCs w:val="14"/>
              </w:rPr>
              <w:t xml:space="preserve">CHN </w:t>
            </w:r>
            <w:r w:rsidRPr="00AD642C">
              <w:rPr>
                <w:sz w:val="14"/>
                <w:szCs w:val="14"/>
              </w:rPr>
              <w:t>Environment Plan, changes in titleholder and requested feedback</w:t>
            </w:r>
          </w:p>
        </w:tc>
        <w:tc>
          <w:tcPr>
            <w:tcW w:w="2403" w:type="dxa"/>
          </w:tcPr>
          <w:p w14:paraId="7B86EB9B" w14:textId="77777777" w:rsidR="006F7282" w:rsidRPr="00F55F64" w:rsidRDefault="006F7282" w:rsidP="00B55186">
            <w:pPr>
              <w:pStyle w:val="BodyText"/>
              <w:ind w:left="0"/>
              <w:rPr>
                <w:sz w:val="14"/>
                <w:szCs w:val="14"/>
              </w:rPr>
            </w:pPr>
            <w:r w:rsidRPr="00F55F64">
              <w:rPr>
                <w:sz w:val="14"/>
                <w:szCs w:val="14"/>
              </w:rPr>
              <w:t>No R</w:t>
            </w:r>
            <w:r>
              <w:rPr>
                <w:sz w:val="14"/>
                <w:szCs w:val="14"/>
              </w:rPr>
              <w:t>esponse to email dated 2016.12.28</w:t>
            </w:r>
          </w:p>
        </w:tc>
        <w:tc>
          <w:tcPr>
            <w:tcW w:w="2196" w:type="dxa"/>
          </w:tcPr>
          <w:p w14:paraId="02099D56" w14:textId="77777777" w:rsidR="006F7282" w:rsidRPr="00F55F64" w:rsidRDefault="006F7282" w:rsidP="00B55186">
            <w:pPr>
              <w:pStyle w:val="BodyText"/>
              <w:ind w:left="0"/>
              <w:rPr>
                <w:sz w:val="14"/>
                <w:szCs w:val="14"/>
              </w:rPr>
            </w:pPr>
            <w:r w:rsidRPr="00F55F64">
              <w:rPr>
                <w:sz w:val="14"/>
                <w:szCs w:val="14"/>
              </w:rPr>
              <w:t>Not Applicable</w:t>
            </w:r>
          </w:p>
        </w:tc>
        <w:tc>
          <w:tcPr>
            <w:tcW w:w="1987" w:type="dxa"/>
          </w:tcPr>
          <w:p w14:paraId="45E5A1D1" w14:textId="77777777" w:rsidR="006F7282" w:rsidRPr="00F55F64" w:rsidRDefault="006F7282" w:rsidP="00B55186">
            <w:pPr>
              <w:pStyle w:val="BodyText"/>
              <w:ind w:left="0"/>
              <w:rPr>
                <w:sz w:val="14"/>
                <w:szCs w:val="14"/>
              </w:rPr>
            </w:pPr>
            <w:r w:rsidRPr="00F55F64">
              <w:rPr>
                <w:color w:val="000000"/>
                <w:sz w:val="14"/>
                <w:szCs w:val="14"/>
              </w:rPr>
              <w:t>Not Applicable</w:t>
            </w:r>
          </w:p>
        </w:tc>
      </w:tr>
      <w:tr w:rsidR="006F7282" w14:paraId="7705ADBC" w14:textId="77777777" w:rsidTr="006F7282">
        <w:trPr>
          <w:cantSplit/>
          <w:trHeight w:val="761"/>
        </w:trPr>
        <w:tc>
          <w:tcPr>
            <w:tcW w:w="1162" w:type="dxa"/>
            <w:shd w:val="clear" w:color="auto" w:fill="FFFFFF" w:themeFill="background1"/>
          </w:tcPr>
          <w:p w14:paraId="3CE4582B" w14:textId="77777777" w:rsidR="006F7282" w:rsidRPr="00F55F64" w:rsidRDefault="006F7282" w:rsidP="00B55186">
            <w:pPr>
              <w:pStyle w:val="BodyText"/>
              <w:ind w:left="0"/>
              <w:rPr>
                <w:sz w:val="14"/>
                <w:szCs w:val="14"/>
              </w:rPr>
            </w:pPr>
            <w:r w:rsidRPr="00F55F64">
              <w:rPr>
                <w:sz w:val="14"/>
                <w:szCs w:val="14"/>
              </w:rPr>
              <w:t>Sustainable Shark Fishing Inc</w:t>
            </w:r>
            <w:r>
              <w:rPr>
                <w:sz w:val="14"/>
                <w:szCs w:val="14"/>
              </w:rPr>
              <w:t>.</w:t>
            </w:r>
          </w:p>
        </w:tc>
        <w:tc>
          <w:tcPr>
            <w:tcW w:w="2431" w:type="dxa"/>
            <w:shd w:val="clear" w:color="auto" w:fill="FFFFFF" w:themeFill="background1"/>
          </w:tcPr>
          <w:p w14:paraId="1F1746AF" w14:textId="77777777" w:rsidR="006F7282" w:rsidRDefault="006F7282" w:rsidP="00B55186">
            <w:pPr>
              <w:pStyle w:val="BodyText"/>
              <w:ind w:left="0"/>
              <w:rPr>
                <w:sz w:val="14"/>
                <w:szCs w:val="14"/>
              </w:rPr>
            </w:pPr>
            <w:r w:rsidRPr="00F55F64">
              <w:rPr>
                <w:sz w:val="14"/>
                <w:szCs w:val="14"/>
              </w:rPr>
              <w:t xml:space="preserve">Peak Group for Victorian Seafood - Shark fishing </w:t>
            </w:r>
          </w:p>
          <w:p w14:paraId="5AFF71FA" w14:textId="77777777" w:rsidR="006F7282" w:rsidRPr="00F55F64" w:rsidRDefault="006F7282" w:rsidP="00B55186">
            <w:pPr>
              <w:pStyle w:val="BodyText"/>
              <w:ind w:left="0"/>
              <w:rPr>
                <w:sz w:val="14"/>
                <w:szCs w:val="14"/>
              </w:rPr>
            </w:pPr>
            <w:r>
              <w:rPr>
                <w:sz w:val="14"/>
                <w:szCs w:val="14"/>
              </w:rPr>
              <w:t>Interests:</w:t>
            </w:r>
          </w:p>
          <w:p w14:paraId="14C46BD3" w14:textId="77777777" w:rsidR="006F7282" w:rsidRPr="00F55F64" w:rsidRDefault="006F7282" w:rsidP="00B55186">
            <w:pPr>
              <w:pStyle w:val="BodyText"/>
              <w:ind w:left="0"/>
              <w:rPr>
                <w:sz w:val="14"/>
                <w:szCs w:val="14"/>
              </w:rPr>
            </w:pPr>
            <w:r w:rsidRPr="00F55F64">
              <w:rPr>
                <w:sz w:val="14"/>
                <w:szCs w:val="14"/>
              </w:rPr>
              <w:t>Increased footprint of activities</w:t>
            </w:r>
          </w:p>
          <w:p w14:paraId="4E6935A0" w14:textId="77777777" w:rsidR="006F7282" w:rsidRPr="00F55F64" w:rsidRDefault="006F7282" w:rsidP="00B55186">
            <w:pPr>
              <w:pStyle w:val="BodyText"/>
              <w:ind w:left="0"/>
              <w:rPr>
                <w:sz w:val="14"/>
                <w:szCs w:val="14"/>
              </w:rPr>
            </w:pPr>
            <w:r w:rsidRPr="00F55F64">
              <w:rPr>
                <w:sz w:val="14"/>
                <w:szCs w:val="14"/>
              </w:rPr>
              <w:t>Activity notifications</w:t>
            </w:r>
          </w:p>
        </w:tc>
        <w:tc>
          <w:tcPr>
            <w:tcW w:w="3095" w:type="dxa"/>
            <w:shd w:val="clear" w:color="auto" w:fill="FFFFFF" w:themeFill="background1"/>
          </w:tcPr>
          <w:p w14:paraId="353B08E7" w14:textId="77777777" w:rsidR="006F7282" w:rsidRPr="00F55F64" w:rsidRDefault="006F7282" w:rsidP="00B55186">
            <w:pPr>
              <w:pStyle w:val="BodyText"/>
              <w:ind w:left="0"/>
              <w:rPr>
                <w:sz w:val="14"/>
                <w:szCs w:val="14"/>
              </w:rPr>
            </w:pPr>
            <w:r>
              <w:rPr>
                <w:sz w:val="14"/>
                <w:szCs w:val="14"/>
              </w:rPr>
              <w:t>2016.12.28</w:t>
            </w:r>
            <w:r w:rsidRPr="00F55F64">
              <w:rPr>
                <w:sz w:val="14"/>
                <w:szCs w:val="14"/>
              </w:rPr>
              <w:t xml:space="preserve"> </w:t>
            </w:r>
            <w:r w:rsidRPr="00AD642C">
              <w:rPr>
                <w:sz w:val="14"/>
                <w:szCs w:val="14"/>
              </w:rPr>
              <w:t xml:space="preserve">Email – Letter </w:t>
            </w:r>
            <w:r w:rsidRPr="00EC22B6">
              <w:rPr>
                <w:sz w:val="14"/>
                <w:szCs w:val="14"/>
              </w:rPr>
              <w:t>Cooper Energy</w:t>
            </w:r>
            <w:r w:rsidRPr="00AD642C">
              <w:rPr>
                <w:sz w:val="14"/>
                <w:szCs w:val="14"/>
              </w:rPr>
              <w:t xml:space="preserve"> provided information associated with the </w:t>
            </w:r>
            <w:r>
              <w:rPr>
                <w:sz w:val="14"/>
                <w:szCs w:val="14"/>
              </w:rPr>
              <w:t xml:space="preserve">CHN </w:t>
            </w:r>
            <w:r w:rsidRPr="00AD642C">
              <w:rPr>
                <w:sz w:val="14"/>
                <w:szCs w:val="14"/>
              </w:rPr>
              <w:t>Environment Plan, changes in titleholder and requested feedback</w:t>
            </w:r>
          </w:p>
        </w:tc>
        <w:tc>
          <w:tcPr>
            <w:tcW w:w="2403" w:type="dxa"/>
            <w:shd w:val="clear" w:color="auto" w:fill="FFFFFF" w:themeFill="background1"/>
          </w:tcPr>
          <w:p w14:paraId="34D14E3A" w14:textId="77777777" w:rsidR="006F7282" w:rsidRPr="00F55F64" w:rsidRDefault="006F7282" w:rsidP="00B55186">
            <w:pPr>
              <w:pStyle w:val="BodyText"/>
              <w:ind w:left="0"/>
              <w:rPr>
                <w:sz w:val="14"/>
                <w:szCs w:val="14"/>
              </w:rPr>
            </w:pPr>
            <w:r w:rsidRPr="00F55F64">
              <w:rPr>
                <w:sz w:val="14"/>
                <w:szCs w:val="14"/>
              </w:rPr>
              <w:t>No R</w:t>
            </w:r>
            <w:r>
              <w:rPr>
                <w:sz w:val="14"/>
                <w:szCs w:val="14"/>
              </w:rPr>
              <w:t>esponse to email dated 2016.12.28</w:t>
            </w:r>
          </w:p>
        </w:tc>
        <w:tc>
          <w:tcPr>
            <w:tcW w:w="2196" w:type="dxa"/>
            <w:shd w:val="clear" w:color="auto" w:fill="FFFFFF" w:themeFill="background1"/>
          </w:tcPr>
          <w:p w14:paraId="5CB2C569" w14:textId="77777777" w:rsidR="006F7282" w:rsidRPr="00F55F64" w:rsidRDefault="006F7282" w:rsidP="00B55186">
            <w:pPr>
              <w:pStyle w:val="BodyText"/>
              <w:ind w:left="0"/>
              <w:rPr>
                <w:sz w:val="14"/>
                <w:szCs w:val="14"/>
              </w:rPr>
            </w:pPr>
            <w:r w:rsidRPr="00F55F64">
              <w:rPr>
                <w:sz w:val="14"/>
                <w:szCs w:val="14"/>
              </w:rPr>
              <w:t>Not Applicable</w:t>
            </w:r>
          </w:p>
        </w:tc>
        <w:tc>
          <w:tcPr>
            <w:tcW w:w="1987" w:type="dxa"/>
            <w:shd w:val="clear" w:color="auto" w:fill="FFFFFF" w:themeFill="background1"/>
          </w:tcPr>
          <w:p w14:paraId="514C2BC7" w14:textId="77777777" w:rsidR="006F7282" w:rsidRPr="00F55F64" w:rsidRDefault="006F7282" w:rsidP="00B55186">
            <w:pPr>
              <w:rPr>
                <w:sz w:val="14"/>
                <w:szCs w:val="14"/>
              </w:rPr>
            </w:pPr>
            <w:r w:rsidRPr="00F55F64">
              <w:rPr>
                <w:sz w:val="14"/>
                <w:szCs w:val="14"/>
              </w:rPr>
              <w:t>Not Applicable</w:t>
            </w:r>
          </w:p>
        </w:tc>
      </w:tr>
      <w:tr w:rsidR="006F7282" w14:paraId="41FA50CD" w14:textId="77777777" w:rsidTr="006F7282">
        <w:trPr>
          <w:cnfStyle w:val="000000010000" w:firstRow="0" w:lastRow="0" w:firstColumn="0" w:lastColumn="0" w:oddVBand="0" w:evenVBand="0" w:oddHBand="0" w:evenHBand="1" w:firstRowFirstColumn="0" w:firstRowLastColumn="0" w:lastRowFirstColumn="0" w:lastRowLastColumn="0"/>
          <w:cantSplit/>
          <w:trHeight w:val="761"/>
        </w:trPr>
        <w:tc>
          <w:tcPr>
            <w:tcW w:w="1162" w:type="dxa"/>
          </w:tcPr>
          <w:p w14:paraId="2FE6EB93" w14:textId="77777777" w:rsidR="006F7282" w:rsidRPr="00F55F64" w:rsidRDefault="006F7282" w:rsidP="00B55186">
            <w:pPr>
              <w:pStyle w:val="BodyText"/>
              <w:ind w:left="0"/>
              <w:rPr>
                <w:sz w:val="14"/>
                <w:szCs w:val="14"/>
              </w:rPr>
            </w:pPr>
            <w:r w:rsidRPr="00F55F64">
              <w:rPr>
                <w:sz w:val="14"/>
                <w:szCs w:val="14"/>
              </w:rPr>
              <w:lastRenderedPageBreak/>
              <w:t>Australian Hydrographic Office</w:t>
            </w:r>
          </w:p>
        </w:tc>
        <w:tc>
          <w:tcPr>
            <w:tcW w:w="2431" w:type="dxa"/>
          </w:tcPr>
          <w:p w14:paraId="48E83DFE" w14:textId="77777777" w:rsidR="006F7282" w:rsidRPr="00F55F64" w:rsidRDefault="006F7282" w:rsidP="00B55186">
            <w:pPr>
              <w:pStyle w:val="BodyText"/>
              <w:ind w:left="0"/>
              <w:rPr>
                <w:sz w:val="14"/>
                <w:szCs w:val="14"/>
              </w:rPr>
            </w:pPr>
            <w:r w:rsidRPr="00F55F64">
              <w:rPr>
                <w:sz w:val="14"/>
                <w:szCs w:val="14"/>
              </w:rPr>
              <w:t>Commonwealth Agency responsible for Hydrographic Services such as Notice to Mariners</w:t>
            </w:r>
          </w:p>
          <w:p w14:paraId="109F2014" w14:textId="77777777" w:rsidR="006F7282" w:rsidRPr="00F55F64" w:rsidRDefault="006F7282" w:rsidP="00B55186">
            <w:pPr>
              <w:pStyle w:val="BodyText"/>
              <w:ind w:left="0"/>
              <w:rPr>
                <w:sz w:val="14"/>
                <w:szCs w:val="14"/>
              </w:rPr>
            </w:pPr>
            <w:r w:rsidRPr="00F55F64">
              <w:rPr>
                <w:sz w:val="14"/>
                <w:szCs w:val="14"/>
              </w:rPr>
              <w:t>Details of infrastructure placed on Navigation Charts   Charting and Information Management</w:t>
            </w:r>
          </w:p>
        </w:tc>
        <w:tc>
          <w:tcPr>
            <w:tcW w:w="3095" w:type="dxa"/>
          </w:tcPr>
          <w:p w14:paraId="439E5AD5" w14:textId="77777777" w:rsidR="006F7282" w:rsidRPr="00F55F64" w:rsidRDefault="006F7282" w:rsidP="00B55186">
            <w:pPr>
              <w:pStyle w:val="BodyText"/>
              <w:ind w:left="0"/>
              <w:rPr>
                <w:sz w:val="14"/>
                <w:szCs w:val="14"/>
              </w:rPr>
            </w:pPr>
            <w:r w:rsidRPr="00F55F64">
              <w:rPr>
                <w:sz w:val="14"/>
                <w:szCs w:val="14"/>
              </w:rPr>
              <w:t>2017.0</w:t>
            </w:r>
            <w:r>
              <w:rPr>
                <w:sz w:val="14"/>
                <w:szCs w:val="14"/>
              </w:rPr>
              <w:t>1.1</w:t>
            </w:r>
            <w:r w:rsidRPr="00F55F64">
              <w:rPr>
                <w:sz w:val="14"/>
                <w:szCs w:val="14"/>
              </w:rPr>
              <w:t xml:space="preserve">6 </w:t>
            </w:r>
            <w:r w:rsidRPr="000A23F2">
              <w:rPr>
                <w:sz w:val="14"/>
                <w:szCs w:val="14"/>
              </w:rPr>
              <w:t xml:space="preserve">Email – Letter </w:t>
            </w:r>
            <w:r w:rsidRPr="00EC22B6">
              <w:rPr>
                <w:sz w:val="14"/>
                <w:szCs w:val="14"/>
              </w:rPr>
              <w:t>Cooper Energy</w:t>
            </w:r>
            <w:r w:rsidRPr="000A23F2">
              <w:rPr>
                <w:sz w:val="14"/>
                <w:szCs w:val="14"/>
              </w:rPr>
              <w:t xml:space="preserve"> provided information associated with the </w:t>
            </w:r>
            <w:r>
              <w:rPr>
                <w:sz w:val="14"/>
                <w:szCs w:val="14"/>
              </w:rPr>
              <w:t>CHN</w:t>
            </w:r>
            <w:r w:rsidRPr="000A23F2">
              <w:rPr>
                <w:sz w:val="14"/>
                <w:szCs w:val="14"/>
              </w:rPr>
              <w:t xml:space="preserve"> Environment Plan, changes in titleholder and requested feedback.</w:t>
            </w:r>
          </w:p>
        </w:tc>
        <w:tc>
          <w:tcPr>
            <w:tcW w:w="2403" w:type="dxa"/>
          </w:tcPr>
          <w:p w14:paraId="2D0F86BB" w14:textId="77777777" w:rsidR="006F7282" w:rsidRPr="00F55F64" w:rsidRDefault="006F7282" w:rsidP="00B55186">
            <w:pPr>
              <w:pStyle w:val="BodyText"/>
              <w:ind w:left="0"/>
              <w:rPr>
                <w:sz w:val="14"/>
                <w:szCs w:val="14"/>
              </w:rPr>
            </w:pPr>
            <w:r w:rsidRPr="00F55F64">
              <w:rPr>
                <w:sz w:val="14"/>
                <w:szCs w:val="14"/>
              </w:rPr>
              <w:t>No Response to email dated 2017.0</w:t>
            </w:r>
            <w:r>
              <w:rPr>
                <w:sz w:val="14"/>
                <w:szCs w:val="14"/>
              </w:rPr>
              <w:t>1</w:t>
            </w:r>
            <w:r w:rsidRPr="00F55F64">
              <w:rPr>
                <w:sz w:val="14"/>
                <w:szCs w:val="14"/>
              </w:rPr>
              <w:t>.</w:t>
            </w:r>
            <w:r>
              <w:rPr>
                <w:sz w:val="14"/>
                <w:szCs w:val="14"/>
              </w:rPr>
              <w:t>16</w:t>
            </w:r>
          </w:p>
        </w:tc>
        <w:tc>
          <w:tcPr>
            <w:tcW w:w="2196" w:type="dxa"/>
          </w:tcPr>
          <w:p w14:paraId="47B0763F" w14:textId="77777777" w:rsidR="006F7282" w:rsidRPr="00F55F64" w:rsidRDefault="006F7282" w:rsidP="00B55186">
            <w:pPr>
              <w:pStyle w:val="BodyText"/>
              <w:ind w:left="0"/>
              <w:rPr>
                <w:sz w:val="14"/>
                <w:szCs w:val="14"/>
              </w:rPr>
            </w:pPr>
            <w:r w:rsidRPr="00F55F64">
              <w:rPr>
                <w:sz w:val="14"/>
                <w:szCs w:val="14"/>
              </w:rPr>
              <w:t>No objection to advice obtained.</w:t>
            </w:r>
          </w:p>
        </w:tc>
        <w:tc>
          <w:tcPr>
            <w:tcW w:w="1987" w:type="dxa"/>
          </w:tcPr>
          <w:p w14:paraId="57B51F35" w14:textId="77777777" w:rsidR="006F7282" w:rsidRPr="00F55F64" w:rsidRDefault="006F7282" w:rsidP="00B55186">
            <w:pPr>
              <w:pStyle w:val="BodyText"/>
              <w:ind w:left="0"/>
              <w:rPr>
                <w:sz w:val="14"/>
                <w:szCs w:val="14"/>
              </w:rPr>
            </w:pPr>
            <w:r>
              <w:rPr>
                <w:sz w:val="14"/>
                <w:szCs w:val="14"/>
              </w:rPr>
              <w:t>AHO have previously advised an updated email address, this i</w:t>
            </w:r>
            <w:r w:rsidRPr="00F55F64">
              <w:rPr>
                <w:sz w:val="14"/>
                <w:szCs w:val="14"/>
              </w:rPr>
              <w:t>nformation</w:t>
            </w:r>
            <w:r>
              <w:rPr>
                <w:sz w:val="14"/>
                <w:szCs w:val="14"/>
              </w:rPr>
              <w:t xml:space="preserve"> is</w:t>
            </w:r>
            <w:r w:rsidRPr="00F55F64">
              <w:rPr>
                <w:sz w:val="14"/>
                <w:szCs w:val="14"/>
              </w:rPr>
              <w:t xml:space="preserve"> incorporated into </w:t>
            </w:r>
            <w:r>
              <w:rPr>
                <w:sz w:val="14"/>
                <w:szCs w:val="14"/>
              </w:rPr>
              <w:t xml:space="preserve">the </w:t>
            </w:r>
            <w:r w:rsidRPr="00F55F64">
              <w:rPr>
                <w:sz w:val="14"/>
                <w:szCs w:val="14"/>
              </w:rPr>
              <w:t>including stakeholder engagement register</w:t>
            </w:r>
            <w:r>
              <w:rPr>
                <w:sz w:val="14"/>
                <w:szCs w:val="14"/>
              </w:rPr>
              <w:t xml:space="preserve"> and OPEP addendum Contacts directory (VIC-ER-EMP-0020)</w:t>
            </w:r>
            <w:r w:rsidRPr="00F55F64">
              <w:rPr>
                <w:sz w:val="14"/>
                <w:szCs w:val="14"/>
              </w:rPr>
              <w:t>.</w:t>
            </w:r>
          </w:p>
        </w:tc>
      </w:tr>
      <w:tr w:rsidR="006F7282" w14:paraId="278CCD18" w14:textId="77777777" w:rsidTr="006F7282">
        <w:trPr>
          <w:cantSplit/>
          <w:trHeight w:val="761"/>
        </w:trPr>
        <w:tc>
          <w:tcPr>
            <w:tcW w:w="1162" w:type="dxa"/>
            <w:shd w:val="clear" w:color="auto" w:fill="FFFFFF" w:themeFill="background1"/>
          </w:tcPr>
          <w:p w14:paraId="3AFA8D7B" w14:textId="77777777" w:rsidR="006F7282" w:rsidRPr="00F55F64" w:rsidRDefault="006F7282" w:rsidP="00B55186">
            <w:pPr>
              <w:pStyle w:val="BodyText"/>
              <w:ind w:left="0"/>
              <w:rPr>
                <w:sz w:val="14"/>
                <w:szCs w:val="14"/>
              </w:rPr>
            </w:pPr>
            <w:r w:rsidRPr="008068D6">
              <w:rPr>
                <w:sz w:val="14"/>
                <w:szCs w:val="14"/>
              </w:rPr>
              <w:t>Apollo Bay Fishermen’s Cooperative</w:t>
            </w:r>
          </w:p>
        </w:tc>
        <w:tc>
          <w:tcPr>
            <w:tcW w:w="2431" w:type="dxa"/>
            <w:shd w:val="clear" w:color="auto" w:fill="FFFFFF" w:themeFill="background1"/>
          </w:tcPr>
          <w:p w14:paraId="39128CB0" w14:textId="77777777" w:rsidR="006F7282" w:rsidRPr="00F55F64" w:rsidRDefault="006F7282" w:rsidP="00B55186">
            <w:pPr>
              <w:pStyle w:val="BodyText"/>
              <w:ind w:left="0"/>
              <w:rPr>
                <w:sz w:val="14"/>
                <w:szCs w:val="14"/>
              </w:rPr>
            </w:pPr>
            <w:r>
              <w:rPr>
                <w:sz w:val="14"/>
                <w:szCs w:val="14"/>
              </w:rPr>
              <w:t>Industry cooperative for Victorian fishery within offshore Otway region</w:t>
            </w:r>
          </w:p>
        </w:tc>
        <w:tc>
          <w:tcPr>
            <w:tcW w:w="3095" w:type="dxa"/>
            <w:shd w:val="clear" w:color="auto" w:fill="FFFFFF" w:themeFill="background1"/>
          </w:tcPr>
          <w:p w14:paraId="17AC1016" w14:textId="77777777" w:rsidR="006F7282" w:rsidRDefault="006F7282" w:rsidP="00B55186">
            <w:pPr>
              <w:pStyle w:val="BodyText"/>
              <w:ind w:left="0"/>
              <w:rPr>
                <w:sz w:val="14"/>
                <w:szCs w:val="14"/>
              </w:rPr>
            </w:pPr>
            <w:r>
              <w:rPr>
                <w:sz w:val="14"/>
                <w:szCs w:val="14"/>
              </w:rPr>
              <w:t>2016.12.23 Phone call – contact details check, Russell Frost stakeholder provided an updated email address.</w:t>
            </w:r>
          </w:p>
          <w:p w14:paraId="3EF1CECB" w14:textId="77777777" w:rsidR="006F7282" w:rsidRPr="00F55F64" w:rsidRDefault="006F7282" w:rsidP="00B55186">
            <w:pPr>
              <w:pStyle w:val="BodyText"/>
              <w:ind w:left="0"/>
              <w:rPr>
                <w:sz w:val="14"/>
                <w:szCs w:val="14"/>
              </w:rPr>
            </w:pPr>
            <w:r>
              <w:rPr>
                <w:sz w:val="14"/>
                <w:szCs w:val="14"/>
              </w:rPr>
              <w:t>2016.12.28</w:t>
            </w:r>
            <w:r w:rsidRPr="00F55F64">
              <w:rPr>
                <w:sz w:val="14"/>
                <w:szCs w:val="14"/>
              </w:rPr>
              <w:t xml:space="preserve"> </w:t>
            </w:r>
            <w:r w:rsidRPr="00AD642C">
              <w:rPr>
                <w:sz w:val="14"/>
                <w:szCs w:val="14"/>
              </w:rPr>
              <w:t xml:space="preserve">Email – Letter </w:t>
            </w:r>
            <w:r w:rsidRPr="00EC22B6">
              <w:rPr>
                <w:sz w:val="14"/>
                <w:szCs w:val="14"/>
              </w:rPr>
              <w:t>Cooper Energy</w:t>
            </w:r>
            <w:r w:rsidRPr="00AD642C">
              <w:rPr>
                <w:sz w:val="14"/>
                <w:szCs w:val="14"/>
              </w:rPr>
              <w:t xml:space="preserve"> provided information associated with the </w:t>
            </w:r>
            <w:r>
              <w:rPr>
                <w:sz w:val="14"/>
                <w:szCs w:val="14"/>
              </w:rPr>
              <w:t xml:space="preserve">CHN </w:t>
            </w:r>
            <w:r w:rsidRPr="00AD642C">
              <w:rPr>
                <w:sz w:val="14"/>
                <w:szCs w:val="14"/>
              </w:rPr>
              <w:t>Environment Plan, changes in titleholder and requested feedback</w:t>
            </w:r>
          </w:p>
        </w:tc>
        <w:tc>
          <w:tcPr>
            <w:tcW w:w="2403" w:type="dxa"/>
            <w:shd w:val="clear" w:color="auto" w:fill="FFFFFF" w:themeFill="background1"/>
          </w:tcPr>
          <w:p w14:paraId="5D97216E" w14:textId="77777777" w:rsidR="006F7282" w:rsidRPr="00F55F64" w:rsidRDefault="006F7282" w:rsidP="00B55186">
            <w:pPr>
              <w:pStyle w:val="BodyText"/>
              <w:ind w:left="0"/>
              <w:rPr>
                <w:sz w:val="14"/>
                <w:szCs w:val="14"/>
              </w:rPr>
            </w:pPr>
            <w:r w:rsidRPr="00F55F64">
              <w:rPr>
                <w:sz w:val="14"/>
                <w:szCs w:val="14"/>
              </w:rPr>
              <w:t>No Response to email dated 201</w:t>
            </w:r>
            <w:r>
              <w:rPr>
                <w:sz w:val="14"/>
                <w:szCs w:val="14"/>
              </w:rPr>
              <w:t>6</w:t>
            </w:r>
            <w:r w:rsidRPr="00F55F64">
              <w:rPr>
                <w:sz w:val="14"/>
                <w:szCs w:val="14"/>
              </w:rPr>
              <w:t>.</w:t>
            </w:r>
            <w:r>
              <w:rPr>
                <w:sz w:val="14"/>
                <w:szCs w:val="14"/>
              </w:rPr>
              <w:t>12</w:t>
            </w:r>
            <w:r w:rsidRPr="00F55F64">
              <w:rPr>
                <w:sz w:val="14"/>
                <w:szCs w:val="14"/>
              </w:rPr>
              <w:t>.</w:t>
            </w:r>
            <w:r>
              <w:rPr>
                <w:sz w:val="14"/>
                <w:szCs w:val="14"/>
              </w:rPr>
              <w:t>28</w:t>
            </w:r>
          </w:p>
        </w:tc>
        <w:tc>
          <w:tcPr>
            <w:tcW w:w="2196" w:type="dxa"/>
            <w:shd w:val="clear" w:color="auto" w:fill="FFFFFF" w:themeFill="background1"/>
          </w:tcPr>
          <w:p w14:paraId="09EA5115" w14:textId="77777777" w:rsidR="006F7282" w:rsidRPr="00F55F64" w:rsidRDefault="006F7282" w:rsidP="00B55186">
            <w:pPr>
              <w:pStyle w:val="BodyText"/>
              <w:ind w:left="0"/>
              <w:rPr>
                <w:sz w:val="14"/>
                <w:szCs w:val="14"/>
              </w:rPr>
            </w:pPr>
            <w:r w:rsidRPr="00F55F64">
              <w:rPr>
                <w:sz w:val="14"/>
                <w:szCs w:val="14"/>
              </w:rPr>
              <w:t>No objection to advice obtained.</w:t>
            </w:r>
          </w:p>
        </w:tc>
        <w:tc>
          <w:tcPr>
            <w:tcW w:w="1987" w:type="dxa"/>
            <w:shd w:val="clear" w:color="auto" w:fill="FFFFFF" w:themeFill="background1"/>
          </w:tcPr>
          <w:p w14:paraId="7D35371E" w14:textId="77777777" w:rsidR="006F7282" w:rsidRPr="00F55F64" w:rsidRDefault="006F7282" w:rsidP="00B55186">
            <w:pPr>
              <w:pStyle w:val="BodyText"/>
              <w:ind w:left="0"/>
              <w:rPr>
                <w:sz w:val="14"/>
                <w:szCs w:val="14"/>
              </w:rPr>
            </w:pPr>
            <w:r w:rsidRPr="00F55F64">
              <w:rPr>
                <w:sz w:val="14"/>
                <w:szCs w:val="14"/>
              </w:rPr>
              <w:t>Not Applicable</w:t>
            </w:r>
          </w:p>
        </w:tc>
      </w:tr>
      <w:tr w:rsidR="006F7282" w14:paraId="11BC9C47" w14:textId="77777777" w:rsidTr="006F7282">
        <w:trPr>
          <w:cnfStyle w:val="000000010000" w:firstRow="0" w:lastRow="0" w:firstColumn="0" w:lastColumn="0" w:oddVBand="0" w:evenVBand="0" w:oddHBand="0" w:evenHBand="1" w:firstRowFirstColumn="0" w:firstRowLastColumn="0" w:lastRowFirstColumn="0" w:lastRowLastColumn="0"/>
          <w:cantSplit/>
          <w:trHeight w:val="761"/>
        </w:trPr>
        <w:tc>
          <w:tcPr>
            <w:tcW w:w="1162" w:type="dxa"/>
          </w:tcPr>
          <w:p w14:paraId="5FA4C964" w14:textId="77777777" w:rsidR="006F7282" w:rsidRPr="00F55F64" w:rsidRDefault="006F7282" w:rsidP="00B55186">
            <w:pPr>
              <w:pStyle w:val="BodyText"/>
              <w:ind w:left="0"/>
              <w:rPr>
                <w:sz w:val="14"/>
                <w:szCs w:val="14"/>
              </w:rPr>
            </w:pPr>
            <w:r w:rsidRPr="00AC2AD7">
              <w:rPr>
                <w:sz w:val="14"/>
                <w:szCs w:val="14"/>
              </w:rPr>
              <w:t>Marine Border Command</w:t>
            </w:r>
          </w:p>
        </w:tc>
        <w:tc>
          <w:tcPr>
            <w:tcW w:w="2431" w:type="dxa"/>
          </w:tcPr>
          <w:p w14:paraId="4FCED998" w14:textId="77777777" w:rsidR="006F7282" w:rsidRPr="00AC0B98" w:rsidRDefault="006F7282" w:rsidP="00B55186">
            <w:pPr>
              <w:pStyle w:val="BodyText"/>
              <w:ind w:left="0"/>
              <w:rPr>
                <w:sz w:val="14"/>
                <w:szCs w:val="14"/>
              </w:rPr>
            </w:pPr>
            <w:r w:rsidRPr="00AC0B98">
              <w:rPr>
                <w:sz w:val="14"/>
                <w:szCs w:val="14"/>
              </w:rPr>
              <w:t>Integrated defence/customs organisation which provides security for offshore marine areas</w:t>
            </w:r>
          </w:p>
        </w:tc>
        <w:tc>
          <w:tcPr>
            <w:tcW w:w="3095" w:type="dxa"/>
          </w:tcPr>
          <w:p w14:paraId="4D7E7502" w14:textId="77777777" w:rsidR="006F7282" w:rsidRPr="00AC0B98" w:rsidRDefault="006F7282" w:rsidP="00B55186">
            <w:pPr>
              <w:pStyle w:val="BodyText"/>
              <w:ind w:left="0"/>
              <w:rPr>
                <w:sz w:val="14"/>
                <w:szCs w:val="14"/>
              </w:rPr>
            </w:pPr>
            <w:r w:rsidRPr="00AC0B98">
              <w:rPr>
                <w:sz w:val="14"/>
                <w:szCs w:val="14"/>
              </w:rPr>
              <w:t>2017.</w:t>
            </w:r>
            <w:r>
              <w:rPr>
                <w:sz w:val="14"/>
                <w:szCs w:val="14"/>
              </w:rPr>
              <w:t>03</w:t>
            </w:r>
            <w:r w:rsidRPr="00AC0B98">
              <w:rPr>
                <w:sz w:val="14"/>
                <w:szCs w:val="14"/>
              </w:rPr>
              <w:t>.</w:t>
            </w:r>
            <w:r>
              <w:rPr>
                <w:sz w:val="14"/>
                <w:szCs w:val="14"/>
              </w:rPr>
              <w:t>08</w:t>
            </w:r>
            <w:r w:rsidRPr="00AC0B98">
              <w:rPr>
                <w:sz w:val="14"/>
                <w:szCs w:val="14"/>
              </w:rPr>
              <w:t xml:space="preserve"> Email – Letter </w:t>
            </w:r>
            <w:r w:rsidRPr="00EC22B6">
              <w:rPr>
                <w:sz w:val="14"/>
                <w:szCs w:val="14"/>
              </w:rPr>
              <w:t>Cooper Energy</w:t>
            </w:r>
            <w:r w:rsidRPr="00AC0B98">
              <w:rPr>
                <w:sz w:val="14"/>
                <w:szCs w:val="14"/>
              </w:rPr>
              <w:t xml:space="preserve"> provided information associated with the </w:t>
            </w:r>
            <w:r>
              <w:rPr>
                <w:sz w:val="14"/>
                <w:szCs w:val="14"/>
              </w:rPr>
              <w:t>CHN</w:t>
            </w:r>
            <w:r w:rsidRPr="00AC0B98">
              <w:rPr>
                <w:sz w:val="14"/>
                <w:szCs w:val="14"/>
              </w:rPr>
              <w:t xml:space="preserve"> Environment Plan, changes in titleholder and requested feedback</w:t>
            </w:r>
          </w:p>
        </w:tc>
        <w:tc>
          <w:tcPr>
            <w:tcW w:w="2403" w:type="dxa"/>
          </w:tcPr>
          <w:p w14:paraId="075BB0EF" w14:textId="77777777" w:rsidR="006F7282" w:rsidRPr="00F55F64" w:rsidRDefault="006F7282" w:rsidP="00B55186">
            <w:pPr>
              <w:pStyle w:val="BodyText"/>
              <w:ind w:left="0"/>
              <w:rPr>
                <w:sz w:val="14"/>
                <w:szCs w:val="14"/>
              </w:rPr>
            </w:pPr>
            <w:r w:rsidRPr="00F55F64">
              <w:rPr>
                <w:sz w:val="14"/>
                <w:szCs w:val="14"/>
              </w:rPr>
              <w:t>No Response to email dated 201</w:t>
            </w:r>
            <w:r>
              <w:rPr>
                <w:sz w:val="14"/>
                <w:szCs w:val="14"/>
              </w:rPr>
              <w:t>7</w:t>
            </w:r>
            <w:r w:rsidRPr="00F55F64">
              <w:rPr>
                <w:sz w:val="14"/>
                <w:szCs w:val="14"/>
              </w:rPr>
              <w:t>.</w:t>
            </w:r>
            <w:r>
              <w:rPr>
                <w:sz w:val="14"/>
                <w:szCs w:val="14"/>
              </w:rPr>
              <w:t>03</w:t>
            </w:r>
            <w:r w:rsidRPr="00F55F64">
              <w:rPr>
                <w:sz w:val="14"/>
                <w:szCs w:val="14"/>
              </w:rPr>
              <w:t>.</w:t>
            </w:r>
            <w:r>
              <w:rPr>
                <w:sz w:val="14"/>
                <w:szCs w:val="14"/>
              </w:rPr>
              <w:t>08</w:t>
            </w:r>
          </w:p>
        </w:tc>
        <w:tc>
          <w:tcPr>
            <w:tcW w:w="2196" w:type="dxa"/>
          </w:tcPr>
          <w:p w14:paraId="639F872E" w14:textId="77777777" w:rsidR="006F7282" w:rsidRPr="00F55F64" w:rsidRDefault="006F7282" w:rsidP="00B55186">
            <w:pPr>
              <w:pStyle w:val="BodyText"/>
              <w:ind w:left="0"/>
              <w:rPr>
                <w:sz w:val="14"/>
                <w:szCs w:val="14"/>
              </w:rPr>
            </w:pPr>
            <w:r w:rsidRPr="00F55F64">
              <w:rPr>
                <w:sz w:val="14"/>
                <w:szCs w:val="14"/>
              </w:rPr>
              <w:t>No objection to advice obtained.</w:t>
            </w:r>
          </w:p>
        </w:tc>
        <w:tc>
          <w:tcPr>
            <w:tcW w:w="1987" w:type="dxa"/>
          </w:tcPr>
          <w:p w14:paraId="7A11DF0D" w14:textId="77777777" w:rsidR="006F7282" w:rsidRPr="00F55F64" w:rsidRDefault="006F7282" w:rsidP="00B55186">
            <w:pPr>
              <w:pStyle w:val="BodyText"/>
              <w:ind w:left="0"/>
              <w:rPr>
                <w:sz w:val="14"/>
                <w:szCs w:val="14"/>
              </w:rPr>
            </w:pPr>
            <w:r w:rsidRPr="00F55F64">
              <w:rPr>
                <w:sz w:val="14"/>
                <w:szCs w:val="14"/>
              </w:rPr>
              <w:t>Not Applicable</w:t>
            </w:r>
          </w:p>
        </w:tc>
      </w:tr>
      <w:tr w:rsidR="006F7282" w14:paraId="5F2729F8" w14:textId="77777777" w:rsidTr="006F7282">
        <w:trPr>
          <w:cantSplit/>
          <w:trHeight w:val="761"/>
        </w:trPr>
        <w:tc>
          <w:tcPr>
            <w:tcW w:w="1162" w:type="dxa"/>
            <w:shd w:val="clear" w:color="auto" w:fill="FFFFFF" w:themeFill="background1"/>
          </w:tcPr>
          <w:p w14:paraId="0BC41D6C" w14:textId="77777777" w:rsidR="006F7282" w:rsidRPr="00F55F64" w:rsidRDefault="006F7282" w:rsidP="00B55186">
            <w:pPr>
              <w:pStyle w:val="BodyText"/>
              <w:ind w:left="0"/>
              <w:rPr>
                <w:sz w:val="14"/>
                <w:szCs w:val="14"/>
              </w:rPr>
            </w:pPr>
            <w:r w:rsidRPr="00CA3798">
              <w:rPr>
                <w:sz w:val="14"/>
                <w:szCs w:val="14"/>
              </w:rPr>
              <w:t>Port Campbell Professional Fishermen’s Association</w:t>
            </w:r>
          </w:p>
        </w:tc>
        <w:tc>
          <w:tcPr>
            <w:tcW w:w="2431" w:type="dxa"/>
            <w:shd w:val="clear" w:color="auto" w:fill="FFFFFF" w:themeFill="background1"/>
          </w:tcPr>
          <w:p w14:paraId="7DA9729A" w14:textId="77777777" w:rsidR="006F7282" w:rsidRPr="00F55F64" w:rsidRDefault="006F7282" w:rsidP="00B55186">
            <w:pPr>
              <w:pStyle w:val="BodyText"/>
              <w:ind w:left="0"/>
              <w:rPr>
                <w:sz w:val="14"/>
                <w:szCs w:val="14"/>
              </w:rPr>
            </w:pPr>
            <w:r>
              <w:rPr>
                <w:sz w:val="14"/>
                <w:szCs w:val="14"/>
              </w:rPr>
              <w:t>Industry association for Victorian fishery within offshore Otway region</w:t>
            </w:r>
          </w:p>
        </w:tc>
        <w:tc>
          <w:tcPr>
            <w:tcW w:w="3095" w:type="dxa"/>
            <w:shd w:val="clear" w:color="auto" w:fill="FFFFFF" w:themeFill="background1"/>
          </w:tcPr>
          <w:p w14:paraId="689E6AE4" w14:textId="77777777" w:rsidR="006F7282" w:rsidRPr="00F55F64" w:rsidRDefault="006F7282" w:rsidP="00B55186">
            <w:pPr>
              <w:pStyle w:val="BodyText"/>
              <w:ind w:left="0"/>
              <w:rPr>
                <w:sz w:val="14"/>
                <w:szCs w:val="14"/>
              </w:rPr>
            </w:pPr>
            <w:r>
              <w:rPr>
                <w:sz w:val="14"/>
                <w:szCs w:val="14"/>
              </w:rPr>
              <w:t>2016.12.28</w:t>
            </w:r>
            <w:r w:rsidRPr="00F55F64">
              <w:rPr>
                <w:sz w:val="14"/>
                <w:szCs w:val="14"/>
              </w:rPr>
              <w:t xml:space="preserve"> </w:t>
            </w:r>
            <w:r w:rsidRPr="00AD642C">
              <w:rPr>
                <w:sz w:val="14"/>
                <w:szCs w:val="14"/>
              </w:rPr>
              <w:t xml:space="preserve">Email – Letter </w:t>
            </w:r>
            <w:r w:rsidRPr="00EC22B6">
              <w:rPr>
                <w:sz w:val="14"/>
                <w:szCs w:val="14"/>
              </w:rPr>
              <w:t>Cooper Energy</w:t>
            </w:r>
            <w:r w:rsidRPr="00AD642C">
              <w:rPr>
                <w:sz w:val="14"/>
                <w:szCs w:val="14"/>
              </w:rPr>
              <w:t xml:space="preserve"> provided information associated with the </w:t>
            </w:r>
            <w:r>
              <w:rPr>
                <w:sz w:val="14"/>
                <w:szCs w:val="14"/>
              </w:rPr>
              <w:t xml:space="preserve">CHN </w:t>
            </w:r>
            <w:r w:rsidRPr="00AD642C">
              <w:rPr>
                <w:sz w:val="14"/>
                <w:szCs w:val="14"/>
              </w:rPr>
              <w:t>Environment Plan, changes in titleholder and requested feedback</w:t>
            </w:r>
          </w:p>
        </w:tc>
        <w:tc>
          <w:tcPr>
            <w:tcW w:w="2403" w:type="dxa"/>
            <w:shd w:val="clear" w:color="auto" w:fill="FFFFFF" w:themeFill="background1"/>
          </w:tcPr>
          <w:p w14:paraId="20778ADE" w14:textId="77777777" w:rsidR="006F7282" w:rsidRPr="00F55F64" w:rsidRDefault="006F7282" w:rsidP="00B55186">
            <w:pPr>
              <w:pStyle w:val="BodyText"/>
              <w:ind w:left="0"/>
              <w:rPr>
                <w:sz w:val="14"/>
                <w:szCs w:val="14"/>
              </w:rPr>
            </w:pPr>
            <w:r w:rsidRPr="00F55F64">
              <w:rPr>
                <w:sz w:val="14"/>
                <w:szCs w:val="14"/>
              </w:rPr>
              <w:t>No Response to email dated 201</w:t>
            </w:r>
            <w:r>
              <w:rPr>
                <w:sz w:val="14"/>
                <w:szCs w:val="14"/>
              </w:rPr>
              <w:t>6</w:t>
            </w:r>
            <w:r w:rsidRPr="00F55F64">
              <w:rPr>
                <w:sz w:val="14"/>
                <w:szCs w:val="14"/>
              </w:rPr>
              <w:t>.</w:t>
            </w:r>
            <w:r>
              <w:rPr>
                <w:sz w:val="14"/>
                <w:szCs w:val="14"/>
              </w:rPr>
              <w:t>12</w:t>
            </w:r>
            <w:r w:rsidRPr="00F55F64">
              <w:rPr>
                <w:sz w:val="14"/>
                <w:szCs w:val="14"/>
              </w:rPr>
              <w:t>.</w:t>
            </w:r>
            <w:r>
              <w:rPr>
                <w:sz w:val="14"/>
                <w:szCs w:val="14"/>
              </w:rPr>
              <w:t>28</w:t>
            </w:r>
          </w:p>
        </w:tc>
        <w:tc>
          <w:tcPr>
            <w:tcW w:w="2196" w:type="dxa"/>
            <w:shd w:val="clear" w:color="auto" w:fill="FFFFFF" w:themeFill="background1"/>
          </w:tcPr>
          <w:p w14:paraId="2517188D" w14:textId="77777777" w:rsidR="006F7282" w:rsidRPr="00F55F64" w:rsidRDefault="006F7282" w:rsidP="00B55186">
            <w:pPr>
              <w:pStyle w:val="BodyText"/>
              <w:ind w:left="0"/>
              <w:rPr>
                <w:sz w:val="14"/>
                <w:szCs w:val="14"/>
              </w:rPr>
            </w:pPr>
            <w:r w:rsidRPr="00F55F64">
              <w:rPr>
                <w:sz w:val="14"/>
                <w:szCs w:val="14"/>
              </w:rPr>
              <w:t>No objection to advice obtained.</w:t>
            </w:r>
          </w:p>
        </w:tc>
        <w:tc>
          <w:tcPr>
            <w:tcW w:w="1987" w:type="dxa"/>
            <w:shd w:val="clear" w:color="auto" w:fill="FFFFFF" w:themeFill="background1"/>
          </w:tcPr>
          <w:p w14:paraId="0215B204" w14:textId="77777777" w:rsidR="006F7282" w:rsidRPr="00F55F64" w:rsidRDefault="006F7282" w:rsidP="00B55186">
            <w:pPr>
              <w:pStyle w:val="BodyText"/>
              <w:ind w:left="0"/>
              <w:rPr>
                <w:sz w:val="14"/>
                <w:szCs w:val="14"/>
              </w:rPr>
            </w:pPr>
            <w:r w:rsidRPr="00F55F64">
              <w:rPr>
                <w:sz w:val="14"/>
                <w:szCs w:val="14"/>
              </w:rPr>
              <w:t>Not Applicable</w:t>
            </w:r>
          </w:p>
        </w:tc>
      </w:tr>
      <w:tr w:rsidR="006F7282" w14:paraId="3483ACB3" w14:textId="77777777" w:rsidTr="006F7282">
        <w:trPr>
          <w:cnfStyle w:val="000000010000" w:firstRow="0" w:lastRow="0" w:firstColumn="0" w:lastColumn="0" w:oddVBand="0" w:evenVBand="0" w:oddHBand="0" w:evenHBand="1" w:firstRowFirstColumn="0" w:firstRowLastColumn="0" w:lastRowFirstColumn="0" w:lastRowLastColumn="0"/>
          <w:cantSplit/>
          <w:trHeight w:val="761"/>
        </w:trPr>
        <w:tc>
          <w:tcPr>
            <w:tcW w:w="1162" w:type="dxa"/>
            <w:vMerge w:val="restart"/>
          </w:tcPr>
          <w:p w14:paraId="7C81EF13" w14:textId="77777777" w:rsidR="006F7282" w:rsidRPr="00F55F64" w:rsidRDefault="006F7282" w:rsidP="00B55186">
            <w:pPr>
              <w:pStyle w:val="BodyText"/>
              <w:ind w:left="0"/>
              <w:rPr>
                <w:sz w:val="14"/>
                <w:szCs w:val="14"/>
              </w:rPr>
            </w:pPr>
            <w:r w:rsidRPr="00F55F64">
              <w:rPr>
                <w:sz w:val="14"/>
                <w:szCs w:val="14"/>
              </w:rPr>
              <w:t>South-East Trawl Fishing Industry Association</w:t>
            </w:r>
          </w:p>
        </w:tc>
        <w:tc>
          <w:tcPr>
            <w:tcW w:w="2431" w:type="dxa"/>
          </w:tcPr>
          <w:p w14:paraId="1FBD9FE5" w14:textId="77777777" w:rsidR="006F7282" w:rsidRDefault="006F7282" w:rsidP="00B55186">
            <w:pPr>
              <w:pStyle w:val="BodyText"/>
              <w:spacing w:before="60" w:after="60"/>
              <w:ind w:left="0"/>
              <w:rPr>
                <w:sz w:val="14"/>
                <w:szCs w:val="14"/>
              </w:rPr>
            </w:pPr>
            <w:r w:rsidRPr="00F55F64">
              <w:rPr>
                <w:sz w:val="14"/>
                <w:szCs w:val="14"/>
              </w:rPr>
              <w:t>Peak Industry Group for Trawl Fishermen in the SE Region</w:t>
            </w:r>
          </w:p>
          <w:p w14:paraId="48ABCE8F" w14:textId="77777777" w:rsidR="006F7282" w:rsidRPr="00F55F64" w:rsidRDefault="006F7282" w:rsidP="00B55186">
            <w:pPr>
              <w:pStyle w:val="BodyText"/>
              <w:spacing w:before="60" w:after="60"/>
              <w:ind w:left="0"/>
              <w:rPr>
                <w:sz w:val="14"/>
                <w:szCs w:val="14"/>
              </w:rPr>
            </w:pPr>
            <w:r>
              <w:rPr>
                <w:sz w:val="14"/>
                <w:szCs w:val="14"/>
              </w:rPr>
              <w:t>Interests:</w:t>
            </w:r>
          </w:p>
          <w:p w14:paraId="022030E6" w14:textId="77777777" w:rsidR="006F7282" w:rsidRPr="00F55F64" w:rsidRDefault="006F7282" w:rsidP="00B55186">
            <w:pPr>
              <w:pStyle w:val="BodyText"/>
              <w:spacing w:before="60" w:after="60"/>
              <w:ind w:left="0"/>
              <w:rPr>
                <w:sz w:val="14"/>
                <w:szCs w:val="14"/>
              </w:rPr>
            </w:pPr>
            <w:r w:rsidRPr="00F55F64">
              <w:rPr>
                <w:sz w:val="14"/>
                <w:szCs w:val="14"/>
              </w:rPr>
              <w:t>Activity Notifications</w:t>
            </w:r>
          </w:p>
          <w:p w14:paraId="28009F14" w14:textId="77777777" w:rsidR="006F7282" w:rsidRPr="00F55F64" w:rsidRDefault="006F7282" w:rsidP="00B55186">
            <w:pPr>
              <w:pStyle w:val="BodyText"/>
              <w:spacing w:before="60" w:after="60"/>
              <w:ind w:left="0"/>
              <w:rPr>
                <w:sz w:val="14"/>
                <w:szCs w:val="14"/>
              </w:rPr>
            </w:pPr>
            <w:r w:rsidRPr="00F55F64">
              <w:rPr>
                <w:sz w:val="14"/>
                <w:szCs w:val="14"/>
              </w:rPr>
              <w:t>Change in Operation</w:t>
            </w:r>
          </w:p>
          <w:p w14:paraId="3AE38C99" w14:textId="77777777" w:rsidR="006F7282" w:rsidRPr="00F55F64" w:rsidRDefault="006F7282" w:rsidP="00B55186">
            <w:pPr>
              <w:pStyle w:val="BodyText"/>
              <w:spacing w:before="60" w:after="60"/>
              <w:ind w:left="0"/>
              <w:rPr>
                <w:sz w:val="14"/>
                <w:szCs w:val="14"/>
              </w:rPr>
            </w:pPr>
            <w:r w:rsidRPr="00F55F64">
              <w:rPr>
                <w:sz w:val="14"/>
                <w:szCs w:val="14"/>
              </w:rPr>
              <w:t>New activities or increased footprint</w:t>
            </w:r>
          </w:p>
          <w:p w14:paraId="46959B41" w14:textId="77777777" w:rsidR="006F7282" w:rsidRPr="00F55F64" w:rsidRDefault="006F7282" w:rsidP="00B55186">
            <w:pPr>
              <w:pStyle w:val="BodyText"/>
              <w:ind w:left="0"/>
              <w:rPr>
                <w:sz w:val="14"/>
                <w:szCs w:val="14"/>
              </w:rPr>
            </w:pPr>
            <w:r w:rsidRPr="00F55F64">
              <w:rPr>
                <w:sz w:val="14"/>
                <w:szCs w:val="14"/>
              </w:rPr>
              <w:t>Fishing Damages</w:t>
            </w:r>
          </w:p>
        </w:tc>
        <w:tc>
          <w:tcPr>
            <w:tcW w:w="3095" w:type="dxa"/>
          </w:tcPr>
          <w:p w14:paraId="7471E600" w14:textId="77777777" w:rsidR="006F7282" w:rsidRPr="00F55F64" w:rsidRDefault="006F7282" w:rsidP="00B55186">
            <w:pPr>
              <w:pStyle w:val="BodyText"/>
              <w:ind w:left="0"/>
              <w:rPr>
                <w:sz w:val="14"/>
                <w:szCs w:val="14"/>
              </w:rPr>
            </w:pPr>
            <w:r w:rsidRPr="00EC22B6">
              <w:rPr>
                <w:sz w:val="14"/>
                <w:szCs w:val="14"/>
              </w:rPr>
              <w:t>Cooper Energy</w:t>
            </w:r>
            <w:r w:rsidRPr="00F55F64">
              <w:rPr>
                <w:sz w:val="14"/>
                <w:szCs w:val="14"/>
              </w:rPr>
              <w:t xml:space="preserve"> has been liaising with SETFIA since mid-2012 with respect </w:t>
            </w:r>
            <w:r>
              <w:rPr>
                <w:sz w:val="14"/>
                <w:szCs w:val="14"/>
              </w:rPr>
              <w:t xml:space="preserve">to </w:t>
            </w:r>
            <w:r w:rsidRPr="00F55F64">
              <w:rPr>
                <w:sz w:val="14"/>
                <w:szCs w:val="14"/>
              </w:rPr>
              <w:t>Stakeholder Engagement mechan</w:t>
            </w:r>
            <w:r>
              <w:rPr>
                <w:sz w:val="14"/>
                <w:szCs w:val="14"/>
              </w:rPr>
              <w:t>isms established for the BMG field asset, o</w:t>
            </w:r>
            <w:r w:rsidRPr="00F55F64">
              <w:rPr>
                <w:sz w:val="14"/>
                <w:szCs w:val="14"/>
              </w:rPr>
              <w:t xml:space="preserve">ngoing initiatives have developed between </w:t>
            </w:r>
            <w:r w:rsidRPr="00EC22B6">
              <w:rPr>
                <w:sz w:val="14"/>
                <w:szCs w:val="14"/>
              </w:rPr>
              <w:t>Cooper Energy</w:t>
            </w:r>
            <w:r w:rsidRPr="00F55F64">
              <w:rPr>
                <w:sz w:val="14"/>
                <w:szCs w:val="14"/>
              </w:rPr>
              <w:t xml:space="preserve"> and SETFIA since.</w:t>
            </w:r>
          </w:p>
        </w:tc>
        <w:tc>
          <w:tcPr>
            <w:tcW w:w="2403" w:type="dxa"/>
          </w:tcPr>
          <w:p w14:paraId="50918296" w14:textId="77777777" w:rsidR="006F7282" w:rsidRPr="00F55F64" w:rsidRDefault="006F7282" w:rsidP="00B55186">
            <w:pPr>
              <w:pStyle w:val="BodyText"/>
              <w:ind w:left="0"/>
              <w:rPr>
                <w:sz w:val="14"/>
                <w:szCs w:val="14"/>
              </w:rPr>
            </w:pPr>
          </w:p>
        </w:tc>
        <w:tc>
          <w:tcPr>
            <w:tcW w:w="2196" w:type="dxa"/>
          </w:tcPr>
          <w:p w14:paraId="794BA69B" w14:textId="77777777" w:rsidR="006F7282" w:rsidRPr="00F55F64" w:rsidRDefault="006F7282" w:rsidP="00B55186">
            <w:pPr>
              <w:pStyle w:val="BodyText"/>
              <w:ind w:left="0"/>
              <w:rPr>
                <w:sz w:val="14"/>
                <w:szCs w:val="14"/>
              </w:rPr>
            </w:pPr>
          </w:p>
        </w:tc>
        <w:tc>
          <w:tcPr>
            <w:tcW w:w="1987" w:type="dxa"/>
          </w:tcPr>
          <w:p w14:paraId="66437AA6" w14:textId="77777777" w:rsidR="006F7282" w:rsidRPr="00F55F64" w:rsidRDefault="006F7282" w:rsidP="00B55186">
            <w:pPr>
              <w:pStyle w:val="BodyText"/>
              <w:ind w:left="0"/>
              <w:rPr>
                <w:sz w:val="14"/>
                <w:szCs w:val="14"/>
              </w:rPr>
            </w:pPr>
          </w:p>
        </w:tc>
      </w:tr>
      <w:tr w:rsidR="006F7282" w14:paraId="648215CE" w14:textId="77777777" w:rsidTr="006F7282">
        <w:trPr>
          <w:cantSplit/>
          <w:trHeight w:val="761"/>
        </w:trPr>
        <w:tc>
          <w:tcPr>
            <w:tcW w:w="1162" w:type="dxa"/>
            <w:vMerge/>
            <w:shd w:val="clear" w:color="auto" w:fill="F2F2F2" w:themeFill="background1" w:themeFillShade="F2"/>
          </w:tcPr>
          <w:p w14:paraId="3A851C6E" w14:textId="77777777" w:rsidR="006F7282" w:rsidRPr="00F55F64" w:rsidRDefault="006F7282" w:rsidP="00B55186">
            <w:pPr>
              <w:pStyle w:val="BodyText"/>
              <w:ind w:left="0"/>
              <w:rPr>
                <w:sz w:val="14"/>
                <w:szCs w:val="14"/>
              </w:rPr>
            </w:pPr>
          </w:p>
        </w:tc>
        <w:tc>
          <w:tcPr>
            <w:tcW w:w="2431" w:type="dxa"/>
            <w:shd w:val="clear" w:color="auto" w:fill="F2F2F2" w:themeFill="background1" w:themeFillShade="F2"/>
          </w:tcPr>
          <w:p w14:paraId="1FA073CA" w14:textId="77777777" w:rsidR="006F7282" w:rsidRPr="00F55F64" w:rsidRDefault="006F7282" w:rsidP="00B55186">
            <w:pPr>
              <w:pStyle w:val="BodyText"/>
              <w:ind w:left="0"/>
              <w:rPr>
                <w:sz w:val="14"/>
                <w:szCs w:val="14"/>
              </w:rPr>
            </w:pPr>
          </w:p>
        </w:tc>
        <w:tc>
          <w:tcPr>
            <w:tcW w:w="3095" w:type="dxa"/>
            <w:shd w:val="clear" w:color="auto" w:fill="F2F2F2" w:themeFill="background1" w:themeFillShade="F2"/>
          </w:tcPr>
          <w:p w14:paraId="6986DF54" w14:textId="77777777" w:rsidR="006F7282" w:rsidRPr="00F55F64" w:rsidRDefault="006F7282" w:rsidP="00B55186">
            <w:pPr>
              <w:pStyle w:val="BodyText"/>
              <w:ind w:left="0"/>
              <w:rPr>
                <w:sz w:val="14"/>
                <w:szCs w:val="14"/>
              </w:rPr>
            </w:pPr>
            <w:r>
              <w:rPr>
                <w:sz w:val="14"/>
                <w:szCs w:val="14"/>
              </w:rPr>
              <w:t>2016.12.28</w:t>
            </w:r>
            <w:r w:rsidRPr="00F55F64">
              <w:rPr>
                <w:sz w:val="14"/>
                <w:szCs w:val="14"/>
              </w:rPr>
              <w:t xml:space="preserve"> </w:t>
            </w:r>
            <w:r w:rsidRPr="00AD642C">
              <w:rPr>
                <w:sz w:val="14"/>
                <w:szCs w:val="14"/>
              </w:rPr>
              <w:t xml:space="preserve">Email – Letter </w:t>
            </w:r>
            <w:r w:rsidRPr="00EC22B6">
              <w:rPr>
                <w:sz w:val="14"/>
                <w:szCs w:val="14"/>
              </w:rPr>
              <w:t>Cooper Energy</w:t>
            </w:r>
            <w:r w:rsidRPr="00AD642C">
              <w:rPr>
                <w:sz w:val="14"/>
                <w:szCs w:val="14"/>
              </w:rPr>
              <w:t xml:space="preserve"> provided information associated with the </w:t>
            </w:r>
            <w:r>
              <w:rPr>
                <w:sz w:val="14"/>
                <w:szCs w:val="14"/>
              </w:rPr>
              <w:t xml:space="preserve">CHN </w:t>
            </w:r>
            <w:r w:rsidRPr="00AD642C">
              <w:rPr>
                <w:sz w:val="14"/>
                <w:szCs w:val="14"/>
              </w:rPr>
              <w:t>Environment Plan, changes in titleholder and requested feedback</w:t>
            </w:r>
          </w:p>
        </w:tc>
        <w:tc>
          <w:tcPr>
            <w:tcW w:w="2403" w:type="dxa"/>
            <w:shd w:val="clear" w:color="auto" w:fill="F2F2F2" w:themeFill="background1" w:themeFillShade="F2"/>
          </w:tcPr>
          <w:p w14:paraId="76327646" w14:textId="77777777" w:rsidR="006F7282" w:rsidRDefault="006F7282" w:rsidP="00B55186">
            <w:pPr>
              <w:pStyle w:val="BodyText"/>
              <w:ind w:left="0"/>
              <w:rPr>
                <w:sz w:val="14"/>
                <w:szCs w:val="14"/>
              </w:rPr>
            </w:pPr>
            <w:r w:rsidRPr="00B7364E">
              <w:rPr>
                <w:sz w:val="14"/>
                <w:szCs w:val="14"/>
              </w:rPr>
              <w:t>2017.01.02 Email</w:t>
            </w:r>
            <w:r>
              <w:rPr>
                <w:sz w:val="14"/>
                <w:szCs w:val="14"/>
              </w:rPr>
              <w:t xml:space="preserve"> - SETFIA</w:t>
            </w:r>
            <w:r w:rsidRPr="00B7364E">
              <w:rPr>
                <w:sz w:val="14"/>
                <w:szCs w:val="14"/>
              </w:rPr>
              <w:t xml:space="preserve"> acknowledgement of information provided. </w:t>
            </w:r>
          </w:p>
          <w:p w14:paraId="08F056B1" w14:textId="77777777" w:rsidR="006F7282" w:rsidRPr="00F55F64" w:rsidRDefault="006F7282" w:rsidP="00B55186">
            <w:pPr>
              <w:pStyle w:val="BodyText"/>
              <w:ind w:left="0"/>
              <w:rPr>
                <w:sz w:val="14"/>
                <w:szCs w:val="14"/>
              </w:rPr>
            </w:pPr>
            <w:r w:rsidRPr="00F55F64">
              <w:rPr>
                <w:sz w:val="14"/>
                <w:szCs w:val="14"/>
              </w:rPr>
              <w:t>2017.02.07 Email</w:t>
            </w:r>
            <w:r>
              <w:rPr>
                <w:sz w:val="14"/>
                <w:szCs w:val="14"/>
              </w:rPr>
              <w:t xml:space="preserve"> - </w:t>
            </w:r>
            <w:r w:rsidRPr="00F55F64">
              <w:rPr>
                <w:sz w:val="14"/>
                <w:szCs w:val="14"/>
              </w:rPr>
              <w:t>J Hinks seeking phone conversation to organise quarterly BMG Fishery risk review</w:t>
            </w:r>
            <w:r>
              <w:rPr>
                <w:sz w:val="14"/>
                <w:szCs w:val="14"/>
              </w:rPr>
              <w:t xml:space="preserve"> and discussion to include other offshore assets</w:t>
            </w:r>
            <w:r w:rsidRPr="00F55F64">
              <w:rPr>
                <w:sz w:val="14"/>
                <w:szCs w:val="14"/>
              </w:rPr>
              <w:t>.</w:t>
            </w:r>
          </w:p>
        </w:tc>
        <w:tc>
          <w:tcPr>
            <w:tcW w:w="2196" w:type="dxa"/>
            <w:shd w:val="clear" w:color="auto" w:fill="F2F2F2" w:themeFill="background1" w:themeFillShade="F2"/>
          </w:tcPr>
          <w:p w14:paraId="073A7023" w14:textId="77777777" w:rsidR="006F7282" w:rsidRPr="00F55F64" w:rsidRDefault="006F7282" w:rsidP="00B55186">
            <w:pPr>
              <w:pStyle w:val="BodyText"/>
              <w:ind w:left="0"/>
              <w:rPr>
                <w:sz w:val="14"/>
                <w:szCs w:val="14"/>
              </w:rPr>
            </w:pPr>
            <w:r w:rsidRPr="00F55F64">
              <w:rPr>
                <w:sz w:val="14"/>
                <w:szCs w:val="14"/>
              </w:rPr>
              <w:t>No objection to request or advice obtained.</w:t>
            </w:r>
          </w:p>
        </w:tc>
        <w:tc>
          <w:tcPr>
            <w:tcW w:w="1987" w:type="dxa"/>
            <w:shd w:val="clear" w:color="auto" w:fill="F2F2F2" w:themeFill="background1" w:themeFillShade="F2"/>
          </w:tcPr>
          <w:p w14:paraId="67ECAC27" w14:textId="77777777" w:rsidR="006F7282" w:rsidRPr="00F55F64" w:rsidRDefault="006F7282" w:rsidP="00B55186">
            <w:pPr>
              <w:pStyle w:val="BodyText"/>
              <w:ind w:left="0"/>
              <w:rPr>
                <w:sz w:val="14"/>
                <w:szCs w:val="14"/>
              </w:rPr>
            </w:pPr>
            <w:r w:rsidRPr="00F55F64">
              <w:rPr>
                <w:sz w:val="14"/>
                <w:szCs w:val="14"/>
              </w:rPr>
              <w:t>Not Applicable</w:t>
            </w:r>
          </w:p>
        </w:tc>
      </w:tr>
      <w:tr w:rsidR="006F7282" w14:paraId="7DFE51BD" w14:textId="77777777" w:rsidTr="006F7282">
        <w:trPr>
          <w:cnfStyle w:val="000000010000" w:firstRow="0" w:lastRow="0" w:firstColumn="0" w:lastColumn="0" w:oddVBand="0" w:evenVBand="0" w:oddHBand="0" w:evenHBand="1" w:firstRowFirstColumn="0" w:firstRowLastColumn="0" w:lastRowFirstColumn="0" w:lastRowLastColumn="0"/>
          <w:cantSplit/>
          <w:trHeight w:val="761"/>
        </w:trPr>
        <w:tc>
          <w:tcPr>
            <w:tcW w:w="1162" w:type="dxa"/>
            <w:vMerge/>
          </w:tcPr>
          <w:p w14:paraId="6D8B59AC" w14:textId="77777777" w:rsidR="006F7282" w:rsidRPr="00F55F64" w:rsidRDefault="006F7282" w:rsidP="00B55186">
            <w:pPr>
              <w:pStyle w:val="BodyText"/>
              <w:ind w:left="0"/>
              <w:rPr>
                <w:sz w:val="14"/>
                <w:szCs w:val="14"/>
              </w:rPr>
            </w:pPr>
          </w:p>
        </w:tc>
        <w:tc>
          <w:tcPr>
            <w:tcW w:w="2431" w:type="dxa"/>
          </w:tcPr>
          <w:p w14:paraId="15FC1386" w14:textId="77777777" w:rsidR="006F7282" w:rsidRPr="00F55F64" w:rsidRDefault="006F7282" w:rsidP="00B55186">
            <w:pPr>
              <w:pStyle w:val="BodyText"/>
              <w:ind w:left="0"/>
              <w:rPr>
                <w:sz w:val="14"/>
                <w:szCs w:val="14"/>
              </w:rPr>
            </w:pPr>
          </w:p>
        </w:tc>
        <w:tc>
          <w:tcPr>
            <w:tcW w:w="3095" w:type="dxa"/>
          </w:tcPr>
          <w:p w14:paraId="0285AEDC" w14:textId="77777777" w:rsidR="006F7282" w:rsidRPr="00F55F64" w:rsidRDefault="006F7282" w:rsidP="00B55186">
            <w:pPr>
              <w:pStyle w:val="BodyText"/>
              <w:ind w:left="0"/>
              <w:rPr>
                <w:sz w:val="14"/>
                <w:szCs w:val="14"/>
              </w:rPr>
            </w:pPr>
          </w:p>
        </w:tc>
        <w:tc>
          <w:tcPr>
            <w:tcW w:w="2403" w:type="dxa"/>
          </w:tcPr>
          <w:p w14:paraId="5D91E3B8" w14:textId="77777777" w:rsidR="006F7282" w:rsidRPr="00F55F64" w:rsidRDefault="006F7282" w:rsidP="00B55186">
            <w:pPr>
              <w:pStyle w:val="BodyText"/>
              <w:ind w:left="0"/>
              <w:rPr>
                <w:sz w:val="14"/>
                <w:szCs w:val="14"/>
              </w:rPr>
            </w:pPr>
            <w:r w:rsidRPr="00F55F64">
              <w:rPr>
                <w:sz w:val="14"/>
                <w:szCs w:val="14"/>
              </w:rPr>
              <w:t xml:space="preserve">2017.02.08 Email calendar invite for phone conversation between SETFIA (S Boag) and </w:t>
            </w:r>
            <w:r w:rsidRPr="00EC22B6">
              <w:rPr>
                <w:sz w:val="14"/>
                <w:szCs w:val="14"/>
              </w:rPr>
              <w:t>Cooper Energy</w:t>
            </w:r>
            <w:r w:rsidRPr="00F55F64">
              <w:rPr>
                <w:sz w:val="14"/>
                <w:szCs w:val="14"/>
              </w:rPr>
              <w:t xml:space="preserve"> (J Hinks)</w:t>
            </w:r>
          </w:p>
          <w:p w14:paraId="40D9F3B8" w14:textId="77777777" w:rsidR="006F7282" w:rsidRPr="00F55F64" w:rsidRDefault="006F7282" w:rsidP="00B55186">
            <w:pPr>
              <w:pStyle w:val="BodyText"/>
              <w:ind w:left="0"/>
              <w:rPr>
                <w:sz w:val="14"/>
                <w:szCs w:val="14"/>
              </w:rPr>
            </w:pPr>
            <w:r w:rsidRPr="00F55F64">
              <w:rPr>
                <w:sz w:val="14"/>
                <w:szCs w:val="14"/>
              </w:rPr>
              <w:t xml:space="preserve">2017.02.08 Phone conversation between SETFIA (S Boag) and </w:t>
            </w:r>
            <w:r w:rsidRPr="00EC22B6">
              <w:rPr>
                <w:sz w:val="14"/>
                <w:szCs w:val="14"/>
              </w:rPr>
              <w:t>Cooper Energy</w:t>
            </w:r>
            <w:r w:rsidRPr="00F55F64">
              <w:rPr>
                <w:sz w:val="14"/>
                <w:szCs w:val="14"/>
              </w:rPr>
              <w:t xml:space="preserve"> (J Hinks) included;</w:t>
            </w:r>
          </w:p>
          <w:p w14:paraId="0467BD94" w14:textId="77777777" w:rsidR="006F7282" w:rsidRPr="00F55F64" w:rsidRDefault="006F7282" w:rsidP="0036080A">
            <w:pPr>
              <w:pStyle w:val="BodyText"/>
              <w:widowControl w:val="0"/>
              <w:numPr>
                <w:ilvl w:val="0"/>
                <w:numId w:val="48"/>
              </w:numPr>
              <w:spacing w:before="120"/>
              <w:ind w:left="275" w:hanging="270"/>
              <w:rPr>
                <w:sz w:val="14"/>
                <w:szCs w:val="14"/>
              </w:rPr>
            </w:pPr>
            <w:r w:rsidRPr="00F55F64">
              <w:rPr>
                <w:sz w:val="14"/>
                <w:szCs w:val="14"/>
              </w:rPr>
              <w:t>Agenda items for upcoming formal meeting</w:t>
            </w:r>
          </w:p>
          <w:p w14:paraId="1AE0812D" w14:textId="77777777" w:rsidR="006F7282" w:rsidRPr="000A23F2" w:rsidRDefault="006F7282" w:rsidP="0036080A">
            <w:pPr>
              <w:pStyle w:val="BodyText"/>
              <w:widowControl w:val="0"/>
              <w:numPr>
                <w:ilvl w:val="0"/>
                <w:numId w:val="48"/>
              </w:numPr>
              <w:spacing w:before="120"/>
              <w:ind w:left="275" w:hanging="270"/>
              <w:rPr>
                <w:sz w:val="14"/>
                <w:szCs w:val="14"/>
              </w:rPr>
            </w:pPr>
            <w:r w:rsidRPr="00F55F64">
              <w:rPr>
                <w:sz w:val="14"/>
                <w:szCs w:val="14"/>
              </w:rPr>
              <w:t>2018 Fishing Industry Survey</w:t>
            </w:r>
            <w:r>
              <w:rPr>
                <w:sz w:val="14"/>
                <w:szCs w:val="14"/>
              </w:rPr>
              <w:t xml:space="preserve"> </w:t>
            </w:r>
            <w:r w:rsidRPr="00F55F64">
              <w:rPr>
                <w:sz w:val="14"/>
                <w:szCs w:val="14"/>
              </w:rPr>
              <w:t>(FIS) – SETFIA to provide map of survey sites, schedule and duration impacts on any scheduled activities.</w:t>
            </w:r>
          </w:p>
        </w:tc>
        <w:tc>
          <w:tcPr>
            <w:tcW w:w="2196" w:type="dxa"/>
          </w:tcPr>
          <w:p w14:paraId="31C86DD8" w14:textId="77777777" w:rsidR="006F7282" w:rsidRPr="00F55F64" w:rsidRDefault="006F7282" w:rsidP="00B55186">
            <w:pPr>
              <w:pStyle w:val="BodyText"/>
              <w:ind w:left="0"/>
              <w:rPr>
                <w:sz w:val="14"/>
                <w:szCs w:val="14"/>
              </w:rPr>
            </w:pPr>
            <w:r w:rsidRPr="00F55F64">
              <w:rPr>
                <w:sz w:val="14"/>
                <w:szCs w:val="14"/>
              </w:rPr>
              <w:t>No objection to request or advice obtained.</w:t>
            </w:r>
          </w:p>
        </w:tc>
        <w:tc>
          <w:tcPr>
            <w:tcW w:w="1987" w:type="dxa"/>
          </w:tcPr>
          <w:p w14:paraId="712AD0C8" w14:textId="77777777" w:rsidR="006F7282" w:rsidRPr="00F55F64" w:rsidRDefault="006F7282" w:rsidP="00B55186">
            <w:pPr>
              <w:pStyle w:val="BodyText"/>
              <w:ind w:left="0"/>
              <w:rPr>
                <w:sz w:val="14"/>
                <w:szCs w:val="14"/>
              </w:rPr>
            </w:pPr>
            <w:r w:rsidRPr="00F55F64">
              <w:rPr>
                <w:sz w:val="14"/>
                <w:szCs w:val="14"/>
              </w:rPr>
              <w:t>Not Applicable</w:t>
            </w:r>
          </w:p>
        </w:tc>
      </w:tr>
      <w:tr w:rsidR="006F7282" w14:paraId="620E39DD" w14:textId="77777777" w:rsidTr="006F7282">
        <w:trPr>
          <w:cantSplit/>
          <w:trHeight w:val="761"/>
        </w:trPr>
        <w:tc>
          <w:tcPr>
            <w:tcW w:w="1162" w:type="dxa"/>
            <w:vMerge/>
            <w:shd w:val="clear" w:color="auto" w:fill="F2F2F2" w:themeFill="background1" w:themeFillShade="F2"/>
          </w:tcPr>
          <w:p w14:paraId="2092B899" w14:textId="77777777" w:rsidR="006F7282" w:rsidRPr="00F55F64" w:rsidRDefault="006F7282" w:rsidP="00B55186">
            <w:pPr>
              <w:pStyle w:val="BodyText"/>
              <w:ind w:left="0"/>
              <w:rPr>
                <w:sz w:val="14"/>
                <w:szCs w:val="14"/>
              </w:rPr>
            </w:pPr>
          </w:p>
        </w:tc>
        <w:tc>
          <w:tcPr>
            <w:tcW w:w="2431" w:type="dxa"/>
            <w:shd w:val="clear" w:color="auto" w:fill="F2F2F2" w:themeFill="background1" w:themeFillShade="F2"/>
          </w:tcPr>
          <w:p w14:paraId="37C07FA7" w14:textId="77777777" w:rsidR="006F7282" w:rsidRPr="00F55F64" w:rsidRDefault="006F7282" w:rsidP="00B55186">
            <w:pPr>
              <w:pStyle w:val="BodyText"/>
              <w:ind w:left="0"/>
              <w:rPr>
                <w:sz w:val="14"/>
                <w:szCs w:val="14"/>
              </w:rPr>
            </w:pPr>
          </w:p>
        </w:tc>
        <w:tc>
          <w:tcPr>
            <w:tcW w:w="3095" w:type="dxa"/>
            <w:shd w:val="clear" w:color="auto" w:fill="F2F2F2" w:themeFill="background1" w:themeFillShade="F2"/>
          </w:tcPr>
          <w:p w14:paraId="6EEDFABD" w14:textId="77777777" w:rsidR="006F7282" w:rsidRPr="00F55F64" w:rsidRDefault="006F7282" w:rsidP="00B55186">
            <w:pPr>
              <w:pStyle w:val="BodyText"/>
              <w:ind w:left="0"/>
              <w:rPr>
                <w:sz w:val="14"/>
                <w:szCs w:val="14"/>
              </w:rPr>
            </w:pPr>
          </w:p>
        </w:tc>
        <w:tc>
          <w:tcPr>
            <w:tcW w:w="2403" w:type="dxa"/>
            <w:shd w:val="clear" w:color="auto" w:fill="F2F2F2" w:themeFill="background1" w:themeFillShade="F2"/>
          </w:tcPr>
          <w:p w14:paraId="3AB91308" w14:textId="77777777" w:rsidR="006F7282" w:rsidRDefault="006F7282" w:rsidP="00B55186">
            <w:pPr>
              <w:pStyle w:val="BodyText"/>
              <w:ind w:left="0"/>
              <w:rPr>
                <w:sz w:val="14"/>
                <w:szCs w:val="14"/>
              </w:rPr>
            </w:pPr>
            <w:r w:rsidRPr="00F55F64">
              <w:rPr>
                <w:sz w:val="14"/>
                <w:szCs w:val="14"/>
              </w:rPr>
              <w:t xml:space="preserve">2017.02.22 Email calendar invite for formal meeting to be held on 2017.03.01 between </w:t>
            </w:r>
            <w:r w:rsidRPr="00EC22B6">
              <w:rPr>
                <w:sz w:val="14"/>
                <w:szCs w:val="14"/>
              </w:rPr>
              <w:t>Cooper Energy</w:t>
            </w:r>
            <w:r w:rsidRPr="00F55F64">
              <w:rPr>
                <w:sz w:val="14"/>
                <w:szCs w:val="14"/>
              </w:rPr>
              <w:t>, Upstream P.S and SETFIA representatives.</w:t>
            </w:r>
          </w:p>
          <w:p w14:paraId="691BE2CF" w14:textId="77777777" w:rsidR="006F7282" w:rsidRPr="00F55F64" w:rsidRDefault="006F7282" w:rsidP="00B55186">
            <w:pPr>
              <w:pStyle w:val="BodyText"/>
              <w:ind w:left="0"/>
              <w:rPr>
                <w:sz w:val="14"/>
                <w:szCs w:val="14"/>
              </w:rPr>
            </w:pPr>
            <w:r w:rsidRPr="00F55F64">
              <w:rPr>
                <w:sz w:val="14"/>
                <w:szCs w:val="14"/>
              </w:rPr>
              <w:t xml:space="preserve">2017.03.01 </w:t>
            </w:r>
            <w:r>
              <w:rPr>
                <w:sz w:val="14"/>
                <w:szCs w:val="14"/>
              </w:rPr>
              <w:t>Cancelled scheduled meeting by S Boag due to availability of all attendees. Meeting to be reschedule, mid-March 2017.</w:t>
            </w:r>
          </w:p>
        </w:tc>
        <w:tc>
          <w:tcPr>
            <w:tcW w:w="2196" w:type="dxa"/>
            <w:shd w:val="clear" w:color="auto" w:fill="F2F2F2" w:themeFill="background1" w:themeFillShade="F2"/>
          </w:tcPr>
          <w:p w14:paraId="6DD91549" w14:textId="77777777" w:rsidR="006F7282" w:rsidRDefault="006F7282" w:rsidP="00B55186">
            <w:pPr>
              <w:pStyle w:val="BodyText"/>
              <w:ind w:left="0"/>
              <w:rPr>
                <w:sz w:val="14"/>
                <w:szCs w:val="14"/>
              </w:rPr>
            </w:pPr>
            <w:r w:rsidRPr="00F55F64">
              <w:rPr>
                <w:sz w:val="14"/>
                <w:szCs w:val="14"/>
              </w:rPr>
              <w:t>No objection to invitation request.</w:t>
            </w:r>
          </w:p>
          <w:p w14:paraId="3C12758D" w14:textId="77777777" w:rsidR="006F7282" w:rsidRPr="00F55F64" w:rsidRDefault="006F7282" w:rsidP="00B55186">
            <w:pPr>
              <w:pStyle w:val="BodyText"/>
              <w:ind w:left="0"/>
              <w:rPr>
                <w:sz w:val="14"/>
                <w:szCs w:val="14"/>
              </w:rPr>
            </w:pPr>
            <w:r>
              <w:rPr>
                <w:sz w:val="14"/>
                <w:szCs w:val="14"/>
              </w:rPr>
              <w:t>Await reschedule of Meeting – March 2017</w:t>
            </w:r>
          </w:p>
        </w:tc>
        <w:tc>
          <w:tcPr>
            <w:tcW w:w="1987" w:type="dxa"/>
            <w:shd w:val="clear" w:color="auto" w:fill="F2F2F2" w:themeFill="background1" w:themeFillShade="F2"/>
          </w:tcPr>
          <w:p w14:paraId="2B346895" w14:textId="77777777" w:rsidR="006F7282" w:rsidRPr="00F55F64" w:rsidRDefault="006F7282" w:rsidP="00B55186">
            <w:pPr>
              <w:pStyle w:val="BodyText"/>
              <w:ind w:left="0"/>
              <w:rPr>
                <w:sz w:val="14"/>
                <w:szCs w:val="14"/>
              </w:rPr>
            </w:pPr>
            <w:r w:rsidRPr="00F55F64">
              <w:rPr>
                <w:sz w:val="14"/>
                <w:szCs w:val="14"/>
              </w:rPr>
              <w:t>No action required.</w:t>
            </w:r>
          </w:p>
        </w:tc>
      </w:tr>
      <w:tr w:rsidR="006F7282" w14:paraId="3049D7AD" w14:textId="77777777" w:rsidTr="006F7282">
        <w:trPr>
          <w:cnfStyle w:val="000000010000" w:firstRow="0" w:lastRow="0" w:firstColumn="0" w:lastColumn="0" w:oddVBand="0" w:evenVBand="0" w:oddHBand="0" w:evenHBand="1" w:firstRowFirstColumn="0" w:firstRowLastColumn="0" w:lastRowFirstColumn="0" w:lastRowLastColumn="0"/>
          <w:cantSplit/>
          <w:trHeight w:val="761"/>
        </w:trPr>
        <w:tc>
          <w:tcPr>
            <w:tcW w:w="1162" w:type="dxa"/>
            <w:shd w:val="clear" w:color="auto" w:fill="FFFFFF" w:themeFill="background1"/>
          </w:tcPr>
          <w:p w14:paraId="56CEB331" w14:textId="77777777" w:rsidR="006F7282" w:rsidRPr="00F55F64" w:rsidRDefault="006F7282" w:rsidP="00B55186">
            <w:pPr>
              <w:pStyle w:val="BodyText"/>
              <w:ind w:left="0"/>
              <w:rPr>
                <w:sz w:val="14"/>
                <w:szCs w:val="14"/>
              </w:rPr>
            </w:pPr>
            <w:r w:rsidRPr="00CA3798">
              <w:rPr>
                <w:sz w:val="14"/>
                <w:szCs w:val="14"/>
              </w:rPr>
              <w:t>Warrnambool professional Fishermen's Association</w:t>
            </w:r>
          </w:p>
        </w:tc>
        <w:tc>
          <w:tcPr>
            <w:tcW w:w="2431" w:type="dxa"/>
            <w:shd w:val="clear" w:color="auto" w:fill="FFFFFF" w:themeFill="background1"/>
          </w:tcPr>
          <w:p w14:paraId="52BD4BD2" w14:textId="77777777" w:rsidR="006F7282" w:rsidRPr="00F55F64" w:rsidRDefault="006F7282" w:rsidP="00B55186">
            <w:pPr>
              <w:pStyle w:val="BodyText"/>
              <w:ind w:left="0"/>
              <w:rPr>
                <w:sz w:val="14"/>
                <w:szCs w:val="14"/>
              </w:rPr>
            </w:pPr>
            <w:r>
              <w:rPr>
                <w:sz w:val="14"/>
                <w:szCs w:val="14"/>
              </w:rPr>
              <w:t>Industry association for Victorian fishery within offshore Otway region</w:t>
            </w:r>
          </w:p>
        </w:tc>
        <w:tc>
          <w:tcPr>
            <w:tcW w:w="3095" w:type="dxa"/>
            <w:shd w:val="clear" w:color="auto" w:fill="FFFFFF" w:themeFill="background1"/>
          </w:tcPr>
          <w:p w14:paraId="43129C25" w14:textId="77777777" w:rsidR="006F7282" w:rsidRPr="00F55F64" w:rsidRDefault="006F7282" w:rsidP="00B55186">
            <w:pPr>
              <w:pStyle w:val="BodyText"/>
              <w:ind w:left="95"/>
              <w:rPr>
                <w:sz w:val="14"/>
                <w:szCs w:val="14"/>
              </w:rPr>
            </w:pPr>
            <w:r>
              <w:rPr>
                <w:sz w:val="14"/>
                <w:szCs w:val="14"/>
              </w:rPr>
              <w:t>2016.12.28</w:t>
            </w:r>
            <w:r w:rsidRPr="00F55F64">
              <w:rPr>
                <w:sz w:val="14"/>
                <w:szCs w:val="14"/>
              </w:rPr>
              <w:t xml:space="preserve"> </w:t>
            </w:r>
            <w:r w:rsidRPr="00AD642C">
              <w:rPr>
                <w:sz w:val="14"/>
                <w:szCs w:val="14"/>
              </w:rPr>
              <w:t xml:space="preserve">Email – Letter </w:t>
            </w:r>
            <w:r w:rsidRPr="00EC22B6">
              <w:rPr>
                <w:sz w:val="14"/>
                <w:szCs w:val="14"/>
              </w:rPr>
              <w:t>Cooper Energy</w:t>
            </w:r>
            <w:r w:rsidRPr="00AD642C">
              <w:rPr>
                <w:sz w:val="14"/>
                <w:szCs w:val="14"/>
              </w:rPr>
              <w:t xml:space="preserve"> provided information associated with the </w:t>
            </w:r>
            <w:r>
              <w:rPr>
                <w:sz w:val="14"/>
                <w:szCs w:val="14"/>
              </w:rPr>
              <w:t xml:space="preserve">CHN </w:t>
            </w:r>
            <w:r w:rsidRPr="00AD642C">
              <w:rPr>
                <w:sz w:val="14"/>
                <w:szCs w:val="14"/>
              </w:rPr>
              <w:t>Environment Plan, changes in titleholder and requested feedback</w:t>
            </w:r>
          </w:p>
        </w:tc>
        <w:tc>
          <w:tcPr>
            <w:tcW w:w="2403" w:type="dxa"/>
            <w:shd w:val="clear" w:color="auto" w:fill="FFFFFF" w:themeFill="background1"/>
          </w:tcPr>
          <w:p w14:paraId="3BFCFDA6" w14:textId="77777777" w:rsidR="006F7282" w:rsidRPr="00F55F64" w:rsidRDefault="006F7282" w:rsidP="00B55186">
            <w:pPr>
              <w:pStyle w:val="BodyText"/>
              <w:ind w:left="5"/>
              <w:rPr>
                <w:sz w:val="14"/>
                <w:szCs w:val="14"/>
              </w:rPr>
            </w:pPr>
            <w:r w:rsidRPr="00F55F64">
              <w:rPr>
                <w:sz w:val="14"/>
                <w:szCs w:val="14"/>
              </w:rPr>
              <w:t>No Response to email dated 201</w:t>
            </w:r>
            <w:r>
              <w:rPr>
                <w:sz w:val="14"/>
                <w:szCs w:val="14"/>
              </w:rPr>
              <w:t>6</w:t>
            </w:r>
            <w:r w:rsidRPr="00F55F64">
              <w:rPr>
                <w:sz w:val="14"/>
                <w:szCs w:val="14"/>
              </w:rPr>
              <w:t>.</w:t>
            </w:r>
            <w:r>
              <w:rPr>
                <w:sz w:val="14"/>
                <w:szCs w:val="14"/>
              </w:rPr>
              <w:t>12</w:t>
            </w:r>
            <w:r w:rsidRPr="00F55F64">
              <w:rPr>
                <w:sz w:val="14"/>
                <w:szCs w:val="14"/>
              </w:rPr>
              <w:t>.</w:t>
            </w:r>
            <w:r>
              <w:rPr>
                <w:sz w:val="14"/>
                <w:szCs w:val="14"/>
              </w:rPr>
              <w:t>28</w:t>
            </w:r>
          </w:p>
        </w:tc>
        <w:tc>
          <w:tcPr>
            <w:tcW w:w="2196" w:type="dxa"/>
            <w:shd w:val="clear" w:color="auto" w:fill="FFFFFF" w:themeFill="background1"/>
          </w:tcPr>
          <w:p w14:paraId="739BAAB5" w14:textId="77777777" w:rsidR="006F7282" w:rsidRPr="00F55F64" w:rsidRDefault="006F7282" w:rsidP="00B55186">
            <w:pPr>
              <w:pStyle w:val="BodyText"/>
              <w:ind w:left="0"/>
              <w:rPr>
                <w:sz w:val="14"/>
                <w:szCs w:val="14"/>
              </w:rPr>
            </w:pPr>
            <w:r w:rsidRPr="00F55F64">
              <w:rPr>
                <w:sz w:val="14"/>
                <w:szCs w:val="14"/>
              </w:rPr>
              <w:t>No objection to</w:t>
            </w:r>
            <w:r>
              <w:rPr>
                <w:sz w:val="14"/>
                <w:szCs w:val="14"/>
              </w:rPr>
              <w:t xml:space="preserve"> details provided.</w:t>
            </w:r>
          </w:p>
        </w:tc>
        <w:tc>
          <w:tcPr>
            <w:tcW w:w="1987" w:type="dxa"/>
            <w:shd w:val="clear" w:color="auto" w:fill="FFFFFF" w:themeFill="background1"/>
          </w:tcPr>
          <w:p w14:paraId="35F0E70D" w14:textId="77777777" w:rsidR="006F7282" w:rsidRPr="00F55F64" w:rsidRDefault="006F7282" w:rsidP="00B55186">
            <w:pPr>
              <w:pStyle w:val="BodyText"/>
              <w:ind w:left="0"/>
              <w:rPr>
                <w:sz w:val="14"/>
                <w:szCs w:val="14"/>
              </w:rPr>
            </w:pPr>
            <w:r w:rsidRPr="00F55F64">
              <w:rPr>
                <w:sz w:val="14"/>
                <w:szCs w:val="14"/>
              </w:rPr>
              <w:t>No objection to</w:t>
            </w:r>
            <w:r>
              <w:rPr>
                <w:sz w:val="14"/>
                <w:szCs w:val="14"/>
              </w:rPr>
              <w:t xml:space="preserve"> details provided.</w:t>
            </w:r>
          </w:p>
        </w:tc>
      </w:tr>
      <w:tr w:rsidR="006F7282" w14:paraId="06B082F6" w14:textId="77777777" w:rsidTr="006F7282">
        <w:trPr>
          <w:cantSplit/>
          <w:trHeight w:val="761"/>
        </w:trPr>
        <w:tc>
          <w:tcPr>
            <w:tcW w:w="1162" w:type="dxa"/>
            <w:shd w:val="clear" w:color="auto" w:fill="F2F2F2" w:themeFill="background1" w:themeFillShade="F2"/>
          </w:tcPr>
          <w:p w14:paraId="1BE3C537" w14:textId="77777777" w:rsidR="006F7282" w:rsidRPr="00605261" w:rsidRDefault="006F7282" w:rsidP="00B55186">
            <w:pPr>
              <w:pStyle w:val="BodyText"/>
              <w:ind w:left="0"/>
              <w:rPr>
                <w:sz w:val="14"/>
                <w:szCs w:val="14"/>
              </w:rPr>
            </w:pPr>
            <w:r w:rsidRPr="00CA3798">
              <w:rPr>
                <w:sz w:val="14"/>
                <w:szCs w:val="14"/>
              </w:rPr>
              <w:t>Portland Professional Fishermen's Association</w:t>
            </w:r>
          </w:p>
        </w:tc>
        <w:tc>
          <w:tcPr>
            <w:tcW w:w="2431" w:type="dxa"/>
            <w:shd w:val="clear" w:color="auto" w:fill="F2F2F2" w:themeFill="background1" w:themeFillShade="F2"/>
          </w:tcPr>
          <w:p w14:paraId="0C119FC2" w14:textId="77777777" w:rsidR="006F7282" w:rsidRPr="00605261" w:rsidRDefault="006F7282" w:rsidP="00B55186">
            <w:pPr>
              <w:pStyle w:val="BodyText"/>
              <w:ind w:left="0"/>
              <w:rPr>
                <w:sz w:val="14"/>
                <w:szCs w:val="14"/>
              </w:rPr>
            </w:pPr>
            <w:r>
              <w:rPr>
                <w:sz w:val="14"/>
                <w:szCs w:val="14"/>
              </w:rPr>
              <w:t>Industry association for Victorian fishery within offshore Otway region</w:t>
            </w:r>
          </w:p>
        </w:tc>
        <w:tc>
          <w:tcPr>
            <w:tcW w:w="3095" w:type="dxa"/>
            <w:shd w:val="clear" w:color="auto" w:fill="F2F2F2" w:themeFill="background1" w:themeFillShade="F2"/>
          </w:tcPr>
          <w:p w14:paraId="1B2A819D" w14:textId="77777777" w:rsidR="006F7282" w:rsidRDefault="006F7282" w:rsidP="00B55186">
            <w:pPr>
              <w:pStyle w:val="BodyText"/>
              <w:ind w:left="95"/>
              <w:rPr>
                <w:sz w:val="14"/>
                <w:szCs w:val="14"/>
              </w:rPr>
            </w:pPr>
            <w:r>
              <w:rPr>
                <w:sz w:val="14"/>
                <w:szCs w:val="14"/>
              </w:rPr>
              <w:t xml:space="preserve">2016.12.23 </w:t>
            </w:r>
            <w:r w:rsidRPr="001534F7">
              <w:rPr>
                <w:sz w:val="14"/>
                <w:szCs w:val="14"/>
              </w:rPr>
              <w:t xml:space="preserve">Phone call – contact details check, </w:t>
            </w:r>
            <w:r>
              <w:rPr>
                <w:sz w:val="14"/>
                <w:szCs w:val="14"/>
              </w:rPr>
              <w:t xml:space="preserve">Andrew Levings </w:t>
            </w:r>
            <w:r w:rsidRPr="001534F7">
              <w:rPr>
                <w:sz w:val="14"/>
                <w:szCs w:val="14"/>
              </w:rPr>
              <w:t>stakeholder provided an updated email address</w:t>
            </w:r>
            <w:r>
              <w:rPr>
                <w:sz w:val="14"/>
                <w:szCs w:val="14"/>
              </w:rPr>
              <w:t xml:space="preserve"> and mailing details for </w:t>
            </w:r>
            <w:r w:rsidRPr="00EC22B6">
              <w:rPr>
                <w:sz w:val="14"/>
                <w:szCs w:val="14"/>
              </w:rPr>
              <w:t>Cooper Energy</w:t>
            </w:r>
            <w:r w:rsidRPr="001534F7">
              <w:rPr>
                <w:sz w:val="14"/>
                <w:szCs w:val="14"/>
              </w:rPr>
              <w:t>.</w:t>
            </w:r>
            <w:r>
              <w:rPr>
                <w:sz w:val="14"/>
                <w:szCs w:val="14"/>
              </w:rPr>
              <w:t xml:space="preserve"> Andrew advised his experience as a fishery liaison in the area.</w:t>
            </w:r>
          </w:p>
          <w:p w14:paraId="48BB16FC" w14:textId="77777777" w:rsidR="006F7282" w:rsidRPr="00605261" w:rsidRDefault="006F7282" w:rsidP="00B55186">
            <w:pPr>
              <w:pStyle w:val="BodyText"/>
              <w:ind w:left="95"/>
              <w:rPr>
                <w:sz w:val="14"/>
                <w:szCs w:val="14"/>
              </w:rPr>
            </w:pPr>
            <w:r>
              <w:rPr>
                <w:sz w:val="14"/>
                <w:szCs w:val="14"/>
              </w:rPr>
              <w:t>2016.12.28</w:t>
            </w:r>
            <w:r w:rsidRPr="00F55F64">
              <w:rPr>
                <w:sz w:val="14"/>
                <w:szCs w:val="14"/>
              </w:rPr>
              <w:t xml:space="preserve"> </w:t>
            </w:r>
            <w:r w:rsidRPr="00AD642C">
              <w:rPr>
                <w:sz w:val="14"/>
                <w:szCs w:val="14"/>
              </w:rPr>
              <w:t>Email – Letter</w:t>
            </w:r>
            <w:r>
              <w:rPr>
                <w:sz w:val="14"/>
                <w:szCs w:val="14"/>
              </w:rPr>
              <w:t xml:space="preserve"> to Andrew Levings and Posted Letter to David McCarthy</w:t>
            </w:r>
            <w:r w:rsidRPr="00AD642C">
              <w:rPr>
                <w:sz w:val="14"/>
                <w:szCs w:val="14"/>
              </w:rPr>
              <w:t xml:space="preserve"> </w:t>
            </w:r>
            <w:r w:rsidRPr="00EC22B6">
              <w:rPr>
                <w:sz w:val="14"/>
                <w:szCs w:val="14"/>
              </w:rPr>
              <w:t>Cooper Energy</w:t>
            </w:r>
            <w:r w:rsidRPr="00AD642C">
              <w:rPr>
                <w:sz w:val="14"/>
                <w:szCs w:val="14"/>
              </w:rPr>
              <w:t xml:space="preserve"> provided information associated with the </w:t>
            </w:r>
            <w:r>
              <w:rPr>
                <w:sz w:val="14"/>
                <w:szCs w:val="14"/>
              </w:rPr>
              <w:t xml:space="preserve">CHN </w:t>
            </w:r>
            <w:r w:rsidRPr="00AD642C">
              <w:rPr>
                <w:sz w:val="14"/>
                <w:szCs w:val="14"/>
              </w:rPr>
              <w:t>Environment Plan, changes in titleholder and requested feedback</w:t>
            </w:r>
          </w:p>
        </w:tc>
        <w:tc>
          <w:tcPr>
            <w:tcW w:w="2403" w:type="dxa"/>
            <w:shd w:val="clear" w:color="auto" w:fill="F2F2F2" w:themeFill="background1" w:themeFillShade="F2"/>
          </w:tcPr>
          <w:p w14:paraId="4C6DAF2B" w14:textId="77777777" w:rsidR="006F7282" w:rsidRPr="0015440E" w:rsidRDefault="006F7282" w:rsidP="00B55186">
            <w:pPr>
              <w:pStyle w:val="BodyText"/>
              <w:ind w:left="5"/>
              <w:rPr>
                <w:sz w:val="14"/>
                <w:szCs w:val="14"/>
              </w:rPr>
            </w:pPr>
            <w:r w:rsidRPr="0015440E">
              <w:rPr>
                <w:sz w:val="14"/>
                <w:szCs w:val="14"/>
              </w:rPr>
              <w:t>2016.12.23 Email from A Levings advising title and address for D McCarthy details.</w:t>
            </w:r>
          </w:p>
          <w:p w14:paraId="26E5D47F" w14:textId="77777777" w:rsidR="006F7282" w:rsidRPr="00C36248" w:rsidRDefault="006F7282" w:rsidP="00B55186">
            <w:pPr>
              <w:pStyle w:val="BodyText"/>
              <w:ind w:left="5"/>
              <w:rPr>
                <w:sz w:val="14"/>
                <w:szCs w:val="14"/>
              </w:rPr>
            </w:pPr>
            <w:r w:rsidRPr="0015440E">
              <w:rPr>
                <w:sz w:val="14"/>
                <w:szCs w:val="14"/>
              </w:rPr>
              <w:t>2016.12.24 Email from A Levings provided his resume as an Oil and Gas Fishery Liaison.</w:t>
            </w:r>
          </w:p>
        </w:tc>
        <w:tc>
          <w:tcPr>
            <w:tcW w:w="2196" w:type="dxa"/>
            <w:shd w:val="clear" w:color="auto" w:fill="F2F2F2" w:themeFill="background1" w:themeFillShade="F2"/>
          </w:tcPr>
          <w:p w14:paraId="5A15D7BD" w14:textId="77777777" w:rsidR="006F7282" w:rsidRPr="00F55F64" w:rsidRDefault="006F7282" w:rsidP="00B55186">
            <w:pPr>
              <w:pStyle w:val="BodyText"/>
              <w:ind w:left="0"/>
              <w:rPr>
                <w:sz w:val="14"/>
                <w:szCs w:val="14"/>
              </w:rPr>
            </w:pPr>
            <w:r w:rsidRPr="00F55F64">
              <w:rPr>
                <w:sz w:val="14"/>
                <w:szCs w:val="14"/>
              </w:rPr>
              <w:t>No objection to</w:t>
            </w:r>
            <w:r>
              <w:rPr>
                <w:sz w:val="14"/>
                <w:szCs w:val="14"/>
              </w:rPr>
              <w:t xml:space="preserve"> details provided.</w:t>
            </w:r>
          </w:p>
        </w:tc>
        <w:tc>
          <w:tcPr>
            <w:tcW w:w="1987" w:type="dxa"/>
            <w:shd w:val="clear" w:color="auto" w:fill="F2F2F2" w:themeFill="background1" w:themeFillShade="F2"/>
          </w:tcPr>
          <w:p w14:paraId="13025211" w14:textId="77777777" w:rsidR="006F7282" w:rsidRPr="00F55F64" w:rsidRDefault="006F7282" w:rsidP="00B55186">
            <w:pPr>
              <w:pStyle w:val="BodyText"/>
              <w:ind w:left="0"/>
              <w:rPr>
                <w:sz w:val="14"/>
                <w:szCs w:val="14"/>
              </w:rPr>
            </w:pPr>
            <w:r w:rsidRPr="00F55F64">
              <w:rPr>
                <w:sz w:val="14"/>
                <w:szCs w:val="14"/>
              </w:rPr>
              <w:t>Currency of Stakehold</w:t>
            </w:r>
            <w:r>
              <w:rPr>
                <w:sz w:val="14"/>
                <w:szCs w:val="14"/>
              </w:rPr>
              <w:t>er engagement register updated.</w:t>
            </w:r>
          </w:p>
        </w:tc>
      </w:tr>
      <w:tr w:rsidR="006F7282" w14:paraId="2305FA36" w14:textId="77777777" w:rsidTr="006F7282">
        <w:trPr>
          <w:cnfStyle w:val="000000010000" w:firstRow="0" w:lastRow="0" w:firstColumn="0" w:lastColumn="0" w:oddVBand="0" w:evenVBand="0" w:oddHBand="0" w:evenHBand="1" w:firstRowFirstColumn="0" w:firstRowLastColumn="0" w:lastRowFirstColumn="0" w:lastRowLastColumn="0"/>
          <w:cantSplit/>
          <w:trHeight w:val="761"/>
        </w:trPr>
        <w:tc>
          <w:tcPr>
            <w:tcW w:w="1162" w:type="dxa"/>
            <w:shd w:val="clear" w:color="auto" w:fill="FFFFFF" w:themeFill="background1"/>
          </w:tcPr>
          <w:p w14:paraId="3C9CCDB1" w14:textId="77777777" w:rsidR="006F7282" w:rsidRPr="0015440E" w:rsidRDefault="006F7282" w:rsidP="00B55186">
            <w:pPr>
              <w:pStyle w:val="BodyText"/>
              <w:ind w:left="0"/>
              <w:rPr>
                <w:sz w:val="14"/>
                <w:szCs w:val="14"/>
                <w:highlight w:val="yellow"/>
              </w:rPr>
            </w:pPr>
            <w:r w:rsidRPr="00E53B22">
              <w:rPr>
                <w:sz w:val="14"/>
                <w:szCs w:val="14"/>
              </w:rPr>
              <w:lastRenderedPageBreak/>
              <w:t>Western Abalone Divers Association (WADA)</w:t>
            </w:r>
          </w:p>
        </w:tc>
        <w:tc>
          <w:tcPr>
            <w:tcW w:w="2431" w:type="dxa"/>
            <w:shd w:val="clear" w:color="auto" w:fill="FFFFFF" w:themeFill="background1"/>
          </w:tcPr>
          <w:p w14:paraId="668BCD39" w14:textId="77777777" w:rsidR="006F7282" w:rsidRPr="00C36248" w:rsidRDefault="006F7282" w:rsidP="00B55186">
            <w:pPr>
              <w:pStyle w:val="BodyText"/>
              <w:ind w:left="0"/>
              <w:rPr>
                <w:sz w:val="14"/>
                <w:szCs w:val="14"/>
              </w:rPr>
            </w:pPr>
            <w:r w:rsidRPr="00A945A9">
              <w:rPr>
                <w:sz w:val="14"/>
                <w:szCs w:val="14"/>
              </w:rPr>
              <w:t>Area of Marine use Warrnambool to SA Border Will pass on information to other marine users</w:t>
            </w:r>
          </w:p>
        </w:tc>
        <w:tc>
          <w:tcPr>
            <w:tcW w:w="3095" w:type="dxa"/>
            <w:shd w:val="clear" w:color="auto" w:fill="FFFFFF" w:themeFill="background1"/>
          </w:tcPr>
          <w:p w14:paraId="1C4D0051" w14:textId="77777777" w:rsidR="006F7282" w:rsidRPr="00A945A9" w:rsidRDefault="006F7282" w:rsidP="00B55186">
            <w:pPr>
              <w:pStyle w:val="BodyText"/>
              <w:ind w:left="95"/>
              <w:rPr>
                <w:sz w:val="14"/>
                <w:szCs w:val="14"/>
              </w:rPr>
            </w:pPr>
            <w:r w:rsidRPr="00A945A9">
              <w:rPr>
                <w:sz w:val="14"/>
                <w:szCs w:val="14"/>
              </w:rPr>
              <w:t>2016.12.2</w:t>
            </w:r>
            <w:r>
              <w:rPr>
                <w:sz w:val="14"/>
                <w:szCs w:val="14"/>
              </w:rPr>
              <w:t>0</w:t>
            </w:r>
            <w:r w:rsidRPr="00A945A9">
              <w:rPr>
                <w:sz w:val="14"/>
                <w:szCs w:val="14"/>
              </w:rPr>
              <w:t xml:space="preserve"> Phone Call </w:t>
            </w:r>
            <w:r>
              <w:rPr>
                <w:sz w:val="14"/>
                <w:szCs w:val="14"/>
              </w:rPr>
              <w:t>–</w:t>
            </w:r>
            <w:r w:rsidRPr="00A945A9">
              <w:rPr>
                <w:sz w:val="14"/>
                <w:szCs w:val="14"/>
              </w:rPr>
              <w:t xml:space="preserve"> </w:t>
            </w:r>
            <w:r>
              <w:rPr>
                <w:sz w:val="14"/>
                <w:szCs w:val="14"/>
              </w:rPr>
              <w:t>Harry Peeters</w:t>
            </w:r>
            <w:r w:rsidRPr="00A945A9">
              <w:rPr>
                <w:sz w:val="14"/>
                <w:szCs w:val="14"/>
              </w:rPr>
              <w:t xml:space="preserve"> supplied contact details</w:t>
            </w:r>
            <w:r>
              <w:rPr>
                <w:sz w:val="14"/>
                <w:szCs w:val="14"/>
              </w:rPr>
              <w:t>.</w:t>
            </w:r>
          </w:p>
          <w:p w14:paraId="5111D986" w14:textId="77777777" w:rsidR="006F7282" w:rsidRPr="00A945A9" w:rsidRDefault="006F7282" w:rsidP="00B55186">
            <w:pPr>
              <w:pStyle w:val="BodyText"/>
              <w:ind w:left="95"/>
              <w:rPr>
                <w:sz w:val="14"/>
                <w:szCs w:val="14"/>
              </w:rPr>
            </w:pPr>
            <w:r w:rsidRPr="00A945A9">
              <w:rPr>
                <w:sz w:val="14"/>
                <w:szCs w:val="14"/>
              </w:rPr>
              <w:t xml:space="preserve">2016.12.21 </w:t>
            </w:r>
            <w:r>
              <w:rPr>
                <w:sz w:val="14"/>
                <w:szCs w:val="14"/>
              </w:rPr>
              <w:t xml:space="preserve">phone Call and </w:t>
            </w:r>
            <w:r w:rsidRPr="00A945A9">
              <w:rPr>
                <w:sz w:val="14"/>
                <w:szCs w:val="14"/>
              </w:rPr>
              <w:t>Email</w:t>
            </w:r>
            <w:r>
              <w:rPr>
                <w:sz w:val="14"/>
                <w:szCs w:val="14"/>
              </w:rPr>
              <w:t xml:space="preserve"> to </w:t>
            </w:r>
            <w:r w:rsidRPr="00A945A9">
              <w:rPr>
                <w:sz w:val="14"/>
                <w:szCs w:val="14"/>
              </w:rPr>
              <w:t>Geoff</w:t>
            </w:r>
            <w:r>
              <w:rPr>
                <w:sz w:val="14"/>
                <w:szCs w:val="14"/>
              </w:rPr>
              <w:t xml:space="preserve"> Ellis </w:t>
            </w:r>
            <w:r w:rsidRPr="00A945A9">
              <w:rPr>
                <w:sz w:val="14"/>
                <w:szCs w:val="14"/>
              </w:rPr>
              <w:t>for contact details of the Western and Central Abalone association contacts.</w:t>
            </w:r>
          </w:p>
          <w:p w14:paraId="34D2C910" w14:textId="77777777" w:rsidR="006F7282" w:rsidRPr="00C36248" w:rsidRDefault="006F7282" w:rsidP="00B55186">
            <w:pPr>
              <w:pStyle w:val="BodyText"/>
              <w:ind w:left="95"/>
              <w:rPr>
                <w:sz w:val="14"/>
                <w:szCs w:val="14"/>
              </w:rPr>
            </w:pPr>
            <w:r>
              <w:rPr>
                <w:sz w:val="14"/>
                <w:szCs w:val="14"/>
              </w:rPr>
              <w:t>2016.12.28</w:t>
            </w:r>
            <w:r w:rsidRPr="00F55F64">
              <w:rPr>
                <w:sz w:val="14"/>
                <w:szCs w:val="14"/>
              </w:rPr>
              <w:t xml:space="preserve"> </w:t>
            </w:r>
            <w:r w:rsidRPr="00AD642C">
              <w:rPr>
                <w:sz w:val="14"/>
                <w:szCs w:val="14"/>
              </w:rPr>
              <w:t xml:space="preserve">Email – Letter </w:t>
            </w:r>
            <w:r w:rsidRPr="00EC22B6">
              <w:rPr>
                <w:sz w:val="14"/>
                <w:szCs w:val="14"/>
              </w:rPr>
              <w:t>Cooper Energy</w:t>
            </w:r>
            <w:r w:rsidRPr="00AD642C">
              <w:rPr>
                <w:sz w:val="14"/>
                <w:szCs w:val="14"/>
              </w:rPr>
              <w:t xml:space="preserve"> provided information associated with the </w:t>
            </w:r>
            <w:r>
              <w:rPr>
                <w:sz w:val="14"/>
                <w:szCs w:val="14"/>
              </w:rPr>
              <w:t xml:space="preserve">CHN </w:t>
            </w:r>
            <w:r w:rsidRPr="00AD642C">
              <w:rPr>
                <w:sz w:val="14"/>
                <w:szCs w:val="14"/>
              </w:rPr>
              <w:t>Environment Plan, changes in titleholder and requested feedback</w:t>
            </w:r>
          </w:p>
        </w:tc>
        <w:tc>
          <w:tcPr>
            <w:tcW w:w="2403" w:type="dxa"/>
            <w:shd w:val="clear" w:color="auto" w:fill="FFFFFF" w:themeFill="background1"/>
          </w:tcPr>
          <w:p w14:paraId="15784D6C" w14:textId="77777777" w:rsidR="006F7282" w:rsidRPr="00F55F64" w:rsidRDefault="006F7282" w:rsidP="00B55186">
            <w:pPr>
              <w:spacing w:before="120"/>
              <w:rPr>
                <w:sz w:val="14"/>
                <w:szCs w:val="14"/>
              </w:rPr>
            </w:pPr>
            <w:r w:rsidRPr="00F55F64">
              <w:rPr>
                <w:sz w:val="14"/>
                <w:szCs w:val="14"/>
              </w:rPr>
              <w:t>No Response to email dated 201</w:t>
            </w:r>
            <w:r>
              <w:rPr>
                <w:sz w:val="14"/>
                <w:szCs w:val="14"/>
              </w:rPr>
              <w:t>6</w:t>
            </w:r>
            <w:r w:rsidRPr="00F55F64">
              <w:rPr>
                <w:sz w:val="14"/>
                <w:szCs w:val="14"/>
              </w:rPr>
              <w:t>.</w:t>
            </w:r>
            <w:r>
              <w:rPr>
                <w:sz w:val="14"/>
                <w:szCs w:val="14"/>
              </w:rPr>
              <w:t>12</w:t>
            </w:r>
            <w:r w:rsidRPr="00F55F64">
              <w:rPr>
                <w:sz w:val="14"/>
                <w:szCs w:val="14"/>
              </w:rPr>
              <w:t>.</w:t>
            </w:r>
            <w:r>
              <w:rPr>
                <w:sz w:val="14"/>
                <w:szCs w:val="14"/>
              </w:rPr>
              <w:t>28</w:t>
            </w:r>
          </w:p>
        </w:tc>
        <w:tc>
          <w:tcPr>
            <w:tcW w:w="2196" w:type="dxa"/>
            <w:shd w:val="clear" w:color="auto" w:fill="FFFFFF" w:themeFill="background1"/>
          </w:tcPr>
          <w:p w14:paraId="433EDD35" w14:textId="77777777" w:rsidR="006F7282" w:rsidRDefault="006F7282" w:rsidP="00B55186">
            <w:pPr>
              <w:pStyle w:val="BodyText"/>
              <w:ind w:left="0"/>
              <w:rPr>
                <w:sz w:val="14"/>
                <w:szCs w:val="14"/>
              </w:rPr>
            </w:pPr>
            <w:r w:rsidRPr="00F55F64">
              <w:rPr>
                <w:sz w:val="14"/>
                <w:szCs w:val="14"/>
              </w:rPr>
              <w:t>No objection to</w:t>
            </w:r>
            <w:r>
              <w:rPr>
                <w:sz w:val="14"/>
                <w:szCs w:val="14"/>
              </w:rPr>
              <w:t xml:space="preserve"> details provided.</w:t>
            </w:r>
          </w:p>
        </w:tc>
        <w:tc>
          <w:tcPr>
            <w:tcW w:w="1987" w:type="dxa"/>
            <w:shd w:val="clear" w:color="auto" w:fill="FFFFFF" w:themeFill="background1"/>
          </w:tcPr>
          <w:p w14:paraId="5DB92433" w14:textId="77777777" w:rsidR="006F7282" w:rsidRDefault="006F7282" w:rsidP="00B55186">
            <w:pPr>
              <w:pStyle w:val="BodyText"/>
              <w:ind w:left="0"/>
              <w:rPr>
                <w:sz w:val="14"/>
                <w:szCs w:val="14"/>
              </w:rPr>
            </w:pPr>
            <w:r w:rsidRPr="00F55F64">
              <w:rPr>
                <w:sz w:val="14"/>
                <w:szCs w:val="14"/>
              </w:rPr>
              <w:t>Currency of Stakehold</w:t>
            </w:r>
            <w:r>
              <w:rPr>
                <w:sz w:val="14"/>
                <w:szCs w:val="14"/>
              </w:rPr>
              <w:t>er engagement register updated.</w:t>
            </w:r>
          </w:p>
        </w:tc>
      </w:tr>
      <w:tr w:rsidR="006F7282" w14:paraId="049FE860" w14:textId="77777777" w:rsidTr="006F7282">
        <w:trPr>
          <w:cantSplit/>
          <w:trHeight w:val="761"/>
        </w:trPr>
        <w:tc>
          <w:tcPr>
            <w:tcW w:w="1162" w:type="dxa"/>
            <w:shd w:val="clear" w:color="auto" w:fill="F2F2F2" w:themeFill="background1" w:themeFillShade="F2"/>
          </w:tcPr>
          <w:p w14:paraId="375CBBAA" w14:textId="77777777" w:rsidR="006F7282" w:rsidRPr="00991838" w:rsidRDefault="006F7282" w:rsidP="00B55186">
            <w:pPr>
              <w:pStyle w:val="BodyText"/>
              <w:ind w:left="0"/>
              <w:rPr>
                <w:sz w:val="14"/>
                <w:szCs w:val="14"/>
                <w:highlight w:val="magenta"/>
              </w:rPr>
            </w:pPr>
            <w:r w:rsidRPr="0015440E">
              <w:rPr>
                <w:sz w:val="14"/>
                <w:szCs w:val="14"/>
              </w:rPr>
              <w:t>Suba Divers Federation of Victoria</w:t>
            </w:r>
          </w:p>
        </w:tc>
        <w:tc>
          <w:tcPr>
            <w:tcW w:w="2431" w:type="dxa"/>
            <w:shd w:val="clear" w:color="auto" w:fill="F2F2F2" w:themeFill="background1" w:themeFillShade="F2"/>
          </w:tcPr>
          <w:p w14:paraId="7B983E9F" w14:textId="77777777" w:rsidR="006F7282" w:rsidRPr="00C36248" w:rsidRDefault="006F7282" w:rsidP="00B55186">
            <w:pPr>
              <w:pStyle w:val="BodyText"/>
              <w:ind w:left="0"/>
              <w:rPr>
                <w:sz w:val="14"/>
                <w:szCs w:val="14"/>
              </w:rPr>
            </w:pPr>
          </w:p>
        </w:tc>
        <w:tc>
          <w:tcPr>
            <w:tcW w:w="3095" w:type="dxa"/>
            <w:shd w:val="clear" w:color="auto" w:fill="F2F2F2" w:themeFill="background1" w:themeFillShade="F2"/>
          </w:tcPr>
          <w:p w14:paraId="1AA7601C" w14:textId="77777777" w:rsidR="006F7282" w:rsidRPr="00C36248" w:rsidRDefault="006F7282" w:rsidP="00B55186">
            <w:pPr>
              <w:pStyle w:val="BodyText"/>
              <w:ind w:left="95"/>
              <w:rPr>
                <w:sz w:val="14"/>
                <w:szCs w:val="14"/>
              </w:rPr>
            </w:pPr>
            <w:r w:rsidRPr="0015440E">
              <w:rPr>
                <w:sz w:val="14"/>
                <w:szCs w:val="14"/>
              </w:rPr>
              <w:t xml:space="preserve">2016.12.28 Email – Letter </w:t>
            </w:r>
            <w:r w:rsidRPr="00EC22B6">
              <w:rPr>
                <w:sz w:val="14"/>
                <w:szCs w:val="14"/>
              </w:rPr>
              <w:t>Cooper Energy</w:t>
            </w:r>
            <w:r w:rsidRPr="0015440E">
              <w:rPr>
                <w:sz w:val="14"/>
                <w:szCs w:val="14"/>
              </w:rPr>
              <w:t xml:space="preserve"> provided information associated with the </w:t>
            </w:r>
            <w:r>
              <w:rPr>
                <w:sz w:val="14"/>
                <w:szCs w:val="14"/>
              </w:rPr>
              <w:t>CHN</w:t>
            </w:r>
            <w:r w:rsidRPr="0015440E">
              <w:rPr>
                <w:sz w:val="14"/>
                <w:szCs w:val="14"/>
              </w:rPr>
              <w:t xml:space="preserve"> Environment Plan, changes in titleholder and requested feedback</w:t>
            </w:r>
          </w:p>
        </w:tc>
        <w:tc>
          <w:tcPr>
            <w:tcW w:w="2403" w:type="dxa"/>
            <w:shd w:val="clear" w:color="auto" w:fill="F2F2F2" w:themeFill="background1" w:themeFillShade="F2"/>
          </w:tcPr>
          <w:p w14:paraId="221EDFE0" w14:textId="77777777" w:rsidR="006F7282" w:rsidRPr="00F55F64" w:rsidRDefault="006F7282" w:rsidP="00B55186">
            <w:pPr>
              <w:pStyle w:val="BodyText"/>
              <w:ind w:left="5"/>
              <w:rPr>
                <w:sz w:val="14"/>
                <w:szCs w:val="14"/>
              </w:rPr>
            </w:pPr>
            <w:r w:rsidRPr="00F55F64">
              <w:rPr>
                <w:sz w:val="14"/>
                <w:szCs w:val="14"/>
              </w:rPr>
              <w:t>No Response to email dated 201</w:t>
            </w:r>
            <w:r>
              <w:rPr>
                <w:sz w:val="14"/>
                <w:szCs w:val="14"/>
              </w:rPr>
              <w:t>6</w:t>
            </w:r>
            <w:r w:rsidRPr="00F55F64">
              <w:rPr>
                <w:sz w:val="14"/>
                <w:szCs w:val="14"/>
              </w:rPr>
              <w:t>.</w:t>
            </w:r>
            <w:r>
              <w:rPr>
                <w:sz w:val="14"/>
                <w:szCs w:val="14"/>
              </w:rPr>
              <w:t>12</w:t>
            </w:r>
            <w:r w:rsidRPr="00F55F64">
              <w:rPr>
                <w:sz w:val="14"/>
                <w:szCs w:val="14"/>
              </w:rPr>
              <w:t>.</w:t>
            </w:r>
            <w:r>
              <w:rPr>
                <w:sz w:val="14"/>
                <w:szCs w:val="14"/>
              </w:rPr>
              <w:t>28</w:t>
            </w:r>
          </w:p>
        </w:tc>
        <w:tc>
          <w:tcPr>
            <w:tcW w:w="2196" w:type="dxa"/>
            <w:shd w:val="clear" w:color="auto" w:fill="F2F2F2" w:themeFill="background1" w:themeFillShade="F2"/>
          </w:tcPr>
          <w:p w14:paraId="157F55B7" w14:textId="77777777" w:rsidR="006F7282" w:rsidRDefault="006F7282" w:rsidP="00B55186">
            <w:pPr>
              <w:pStyle w:val="BodyText"/>
              <w:ind w:left="0"/>
              <w:rPr>
                <w:sz w:val="14"/>
                <w:szCs w:val="14"/>
              </w:rPr>
            </w:pPr>
          </w:p>
        </w:tc>
        <w:tc>
          <w:tcPr>
            <w:tcW w:w="1987" w:type="dxa"/>
            <w:shd w:val="clear" w:color="auto" w:fill="F2F2F2" w:themeFill="background1" w:themeFillShade="F2"/>
          </w:tcPr>
          <w:p w14:paraId="51080FF1" w14:textId="77777777" w:rsidR="006F7282" w:rsidRDefault="006F7282" w:rsidP="00B55186">
            <w:pPr>
              <w:pStyle w:val="BodyText"/>
              <w:ind w:left="0"/>
              <w:rPr>
                <w:sz w:val="14"/>
                <w:szCs w:val="14"/>
              </w:rPr>
            </w:pPr>
          </w:p>
        </w:tc>
      </w:tr>
      <w:tr w:rsidR="006F7282" w14:paraId="0669C78F" w14:textId="77777777" w:rsidTr="006F7282">
        <w:trPr>
          <w:cnfStyle w:val="000000010000" w:firstRow="0" w:lastRow="0" w:firstColumn="0" w:lastColumn="0" w:oddVBand="0" w:evenVBand="0" w:oddHBand="0" w:evenHBand="1" w:firstRowFirstColumn="0" w:firstRowLastColumn="0" w:lastRowFirstColumn="0" w:lastRowLastColumn="0"/>
          <w:cantSplit/>
          <w:trHeight w:val="761"/>
        </w:trPr>
        <w:tc>
          <w:tcPr>
            <w:tcW w:w="1162" w:type="dxa"/>
            <w:shd w:val="clear" w:color="auto" w:fill="FFFFFF" w:themeFill="background1"/>
          </w:tcPr>
          <w:p w14:paraId="05A250F1" w14:textId="77777777" w:rsidR="006F7282" w:rsidRPr="00991838" w:rsidRDefault="006F7282" w:rsidP="00B55186">
            <w:pPr>
              <w:pStyle w:val="BodyText"/>
              <w:ind w:left="0"/>
              <w:rPr>
                <w:sz w:val="14"/>
                <w:szCs w:val="14"/>
                <w:highlight w:val="magenta"/>
              </w:rPr>
            </w:pPr>
            <w:r w:rsidRPr="0015440E">
              <w:rPr>
                <w:sz w:val="14"/>
                <w:szCs w:val="14"/>
              </w:rPr>
              <w:t>Parks Victoria - Port Campbell</w:t>
            </w:r>
          </w:p>
        </w:tc>
        <w:tc>
          <w:tcPr>
            <w:tcW w:w="2431" w:type="dxa"/>
            <w:shd w:val="clear" w:color="auto" w:fill="FFFFFF" w:themeFill="background1"/>
          </w:tcPr>
          <w:p w14:paraId="3F07EB84" w14:textId="77777777" w:rsidR="006F7282" w:rsidRPr="00C36248" w:rsidRDefault="006F7282" w:rsidP="00B55186">
            <w:pPr>
              <w:pStyle w:val="BodyText"/>
              <w:ind w:left="0"/>
              <w:rPr>
                <w:sz w:val="14"/>
                <w:szCs w:val="14"/>
              </w:rPr>
            </w:pPr>
            <w:r>
              <w:rPr>
                <w:sz w:val="14"/>
                <w:szCs w:val="14"/>
              </w:rPr>
              <w:t>Marine Park</w:t>
            </w:r>
          </w:p>
        </w:tc>
        <w:tc>
          <w:tcPr>
            <w:tcW w:w="3095" w:type="dxa"/>
            <w:shd w:val="clear" w:color="auto" w:fill="FFFFFF" w:themeFill="background1"/>
          </w:tcPr>
          <w:p w14:paraId="2DE3091C" w14:textId="77777777" w:rsidR="006F7282" w:rsidRPr="00C36248" w:rsidRDefault="006F7282" w:rsidP="00B55186">
            <w:pPr>
              <w:pStyle w:val="BodyText"/>
              <w:ind w:left="95"/>
              <w:rPr>
                <w:sz w:val="14"/>
                <w:szCs w:val="14"/>
              </w:rPr>
            </w:pPr>
            <w:r w:rsidRPr="00A369D4">
              <w:rPr>
                <w:sz w:val="14"/>
                <w:szCs w:val="14"/>
              </w:rPr>
              <w:t xml:space="preserve">2017.01.16 Email – Letter </w:t>
            </w:r>
            <w:r w:rsidRPr="00EC22B6">
              <w:rPr>
                <w:sz w:val="14"/>
                <w:szCs w:val="14"/>
              </w:rPr>
              <w:t>Cooper Energy</w:t>
            </w:r>
            <w:r w:rsidRPr="00A369D4">
              <w:rPr>
                <w:sz w:val="14"/>
                <w:szCs w:val="14"/>
              </w:rPr>
              <w:t xml:space="preserve"> provided information associated with the </w:t>
            </w:r>
            <w:r>
              <w:rPr>
                <w:sz w:val="14"/>
                <w:szCs w:val="14"/>
              </w:rPr>
              <w:t>CHN</w:t>
            </w:r>
            <w:r w:rsidRPr="00A369D4">
              <w:rPr>
                <w:sz w:val="14"/>
                <w:szCs w:val="14"/>
              </w:rPr>
              <w:t xml:space="preserve"> Environment Plan, changes in titleholder and requested feedback</w:t>
            </w:r>
          </w:p>
        </w:tc>
        <w:tc>
          <w:tcPr>
            <w:tcW w:w="2403" w:type="dxa"/>
            <w:shd w:val="clear" w:color="auto" w:fill="FFFFFF" w:themeFill="background1"/>
          </w:tcPr>
          <w:p w14:paraId="79E14F0F" w14:textId="77777777" w:rsidR="006F7282" w:rsidRPr="00F55F64" w:rsidRDefault="006F7282" w:rsidP="00B55186">
            <w:pPr>
              <w:pStyle w:val="BodyText"/>
              <w:ind w:left="5"/>
              <w:rPr>
                <w:sz w:val="14"/>
                <w:szCs w:val="14"/>
              </w:rPr>
            </w:pPr>
            <w:r w:rsidRPr="00F55F64">
              <w:rPr>
                <w:sz w:val="14"/>
                <w:szCs w:val="14"/>
              </w:rPr>
              <w:t>No Response to email dated 201</w:t>
            </w:r>
            <w:r>
              <w:rPr>
                <w:sz w:val="14"/>
                <w:szCs w:val="14"/>
              </w:rPr>
              <w:t>7</w:t>
            </w:r>
            <w:r w:rsidRPr="00F55F64">
              <w:rPr>
                <w:sz w:val="14"/>
                <w:szCs w:val="14"/>
              </w:rPr>
              <w:t>.</w:t>
            </w:r>
            <w:r>
              <w:rPr>
                <w:sz w:val="14"/>
                <w:szCs w:val="14"/>
              </w:rPr>
              <w:t>01</w:t>
            </w:r>
            <w:r w:rsidRPr="00F55F64">
              <w:rPr>
                <w:sz w:val="14"/>
                <w:szCs w:val="14"/>
              </w:rPr>
              <w:t>.</w:t>
            </w:r>
            <w:r>
              <w:rPr>
                <w:sz w:val="14"/>
                <w:szCs w:val="14"/>
              </w:rPr>
              <w:t>16</w:t>
            </w:r>
          </w:p>
        </w:tc>
        <w:tc>
          <w:tcPr>
            <w:tcW w:w="2196" w:type="dxa"/>
            <w:shd w:val="clear" w:color="auto" w:fill="FFFFFF" w:themeFill="background1"/>
          </w:tcPr>
          <w:p w14:paraId="53A2F520" w14:textId="77777777" w:rsidR="006F7282" w:rsidRDefault="006F7282" w:rsidP="00B55186">
            <w:pPr>
              <w:pStyle w:val="BodyText"/>
              <w:ind w:left="0"/>
              <w:rPr>
                <w:sz w:val="14"/>
                <w:szCs w:val="14"/>
              </w:rPr>
            </w:pPr>
            <w:r w:rsidRPr="00F55F64">
              <w:rPr>
                <w:sz w:val="14"/>
                <w:szCs w:val="14"/>
              </w:rPr>
              <w:t>No objection to advice obtained.</w:t>
            </w:r>
          </w:p>
        </w:tc>
        <w:tc>
          <w:tcPr>
            <w:tcW w:w="1987" w:type="dxa"/>
            <w:shd w:val="clear" w:color="auto" w:fill="FFFFFF" w:themeFill="background1"/>
          </w:tcPr>
          <w:p w14:paraId="2DA29E13" w14:textId="77777777" w:rsidR="006F7282" w:rsidRDefault="006F7282" w:rsidP="00B55186">
            <w:pPr>
              <w:pStyle w:val="BodyText"/>
              <w:ind w:left="0"/>
              <w:rPr>
                <w:sz w:val="14"/>
                <w:szCs w:val="14"/>
              </w:rPr>
            </w:pPr>
            <w:r w:rsidRPr="00F55F64">
              <w:rPr>
                <w:sz w:val="14"/>
                <w:szCs w:val="14"/>
              </w:rPr>
              <w:t>Not Applicable</w:t>
            </w:r>
          </w:p>
        </w:tc>
      </w:tr>
      <w:tr w:rsidR="006F7282" w14:paraId="6496538E" w14:textId="77777777" w:rsidTr="006F7282">
        <w:trPr>
          <w:cantSplit/>
          <w:trHeight w:val="761"/>
        </w:trPr>
        <w:tc>
          <w:tcPr>
            <w:tcW w:w="1162" w:type="dxa"/>
            <w:shd w:val="clear" w:color="auto" w:fill="F2F2F2" w:themeFill="background1" w:themeFillShade="F2"/>
          </w:tcPr>
          <w:p w14:paraId="23195D37" w14:textId="77777777" w:rsidR="006F7282" w:rsidRPr="0065463C" w:rsidRDefault="006F7282" w:rsidP="00B55186">
            <w:pPr>
              <w:pStyle w:val="BodyText"/>
              <w:ind w:left="0"/>
              <w:rPr>
                <w:sz w:val="14"/>
                <w:szCs w:val="14"/>
              </w:rPr>
            </w:pPr>
            <w:r w:rsidRPr="0065463C">
              <w:rPr>
                <w:sz w:val="14"/>
                <w:szCs w:val="14"/>
              </w:rPr>
              <w:t>Central Zone Abalone Industry Association</w:t>
            </w:r>
            <w:r>
              <w:rPr>
                <w:sz w:val="14"/>
                <w:szCs w:val="14"/>
              </w:rPr>
              <w:t xml:space="preserve"> (AVCZ)</w:t>
            </w:r>
          </w:p>
        </w:tc>
        <w:tc>
          <w:tcPr>
            <w:tcW w:w="2431" w:type="dxa"/>
            <w:shd w:val="clear" w:color="auto" w:fill="F2F2F2" w:themeFill="background1" w:themeFillShade="F2"/>
          </w:tcPr>
          <w:p w14:paraId="1F19DD86" w14:textId="77777777" w:rsidR="006F7282" w:rsidRDefault="006F7282" w:rsidP="00B55186">
            <w:pPr>
              <w:pStyle w:val="BodyText"/>
              <w:ind w:left="0"/>
              <w:rPr>
                <w:sz w:val="14"/>
                <w:szCs w:val="14"/>
              </w:rPr>
            </w:pPr>
            <w:r w:rsidRPr="0065463C">
              <w:rPr>
                <w:sz w:val="14"/>
                <w:szCs w:val="14"/>
              </w:rPr>
              <w:t xml:space="preserve">Central Zone </w:t>
            </w:r>
            <w:r>
              <w:rPr>
                <w:sz w:val="14"/>
                <w:szCs w:val="14"/>
              </w:rPr>
              <w:t>- l</w:t>
            </w:r>
            <w:r w:rsidRPr="0065463C">
              <w:rPr>
                <w:sz w:val="14"/>
                <w:szCs w:val="14"/>
              </w:rPr>
              <w:t>argest zone</w:t>
            </w:r>
            <w:r>
              <w:rPr>
                <w:sz w:val="14"/>
                <w:szCs w:val="14"/>
              </w:rPr>
              <w:t xml:space="preserve"> in Victoria (</w:t>
            </w:r>
            <w:r w:rsidRPr="0065463C">
              <w:rPr>
                <w:sz w:val="14"/>
                <w:szCs w:val="14"/>
              </w:rPr>
              <w:t xml:space="preserve">Lake Entrance to Hopkins Rr (Warrnambool) </w:t>
            </w:r>
          </w:p>
          <w:p w14:paraId="3E542FA7" w14:textId="77777777" w:rsidR="006F7282" w:rsidRDefault="006F7282" w:rsidP="00B55186">
            <w:pPr>
              <w:pStyle w:val="BodyText"/>
              <w:ind w:left="0"/>
              <w:rPr>
                <w:sz w:val="14"/>
                <w:szCs w:val="14"/>
              </w:rPr>
            </w:pPr>
            <w:r w:rsidRPr="0065463C">
              <w:rPr>
                <w:sz w:val="14"/>
                <w:szCs w:val="14"/>
              </w:rPr>
              <w:t xml:space="preserve">Harvesting is inshore along the coastline and extends </w:t>
            </w:r>
            <w:r>
              <w:rPr>
                <w:sz w:val="14"/>
                <w:szCs w:val="14"/>
              </w:rPr>
              <w:t xml:space="preserve">no </w:t>
            </w:r>
            <w:r w:rsidRPr="0065463C">
              <w:rPr>
                <w:sz w:val="14"/>
                <w:szCs w:val="14"/>
              </w:rPr>
              <w:t>further than 8kms</w:t>
            </w:r>
            <w:r>
              <w:rPr>
                <w:sz w:val="14"/>
                <w:szCs w:val="14"/>
              </w:rPr>
              <w:t xml:space="preserve"> off the coastline</w:t>
            </w:r>
            <w:r w:rsidRPr="0065463C">
              <w:rPr>
                <w:sz w:val="14"/>
                <w:szCs w:val="14"/>
              </w:rPr>
              <w:t>.</w:t>
            </w:r>
          </w:p>
        </w:tc>
        <w:tc>
          <w:tcPr>
            <w:tcW w:w="3095" w:type="dxa"/>
            <w:shd w:val="clear" w:color="auto" w:fill="F2F2F2" w:themeFill="background1" w:themeFillShade="F2"/>
          </w:tcPr>
          <w:p w14:paraId="3EB4E891" w14:textId="77777777" w:rsidR="006F7282" w:rsidRPr="0065463C" w:rsidRDefault="006F7282" w:rsidP="00B55186">
            <w:pPr>
              <w:pStyle w:val="BodyText"/>
              <w:ind w:left="95"/>
              <w:rPr>
                <w:sz w:val="14"/>
                <w:szCs w:val="14"/>
              </w:rPr>
            </w:pPr>
            <w:r w:rsidRPr="0065463C">
              <w:rPr>
                <w:sz w:val="14"/>
                <w:szCs w:val="14"/>
              </w:rPr>
              <w:t>2016.12.22 Email</w:t>
            </w:r>
            <w:r>
              <w:rPr>
                <w:sz w:val="14"/>
                <w:szCs w:val="14"/>
              </w:rPr>
              <w:t xml:space="preserve"> -  to AVCZ </w:t>
            </w:r>
            <w:r w:rsidRPr="0065463C">
              <w:rPr>
                <w:sz w:val="14"/>
                <w:szCs w:val="14"/>
              </w:rPr>
              <w:t xml:space="preserve">to obtain contact phone number and contact details, for information on the </w:t>
            </w:r>
            <w:r>
              <w:rPr>
                <w:sz w:val="14"/>
                <w:szCs w:val="14"/>
              </w:rPr>
              <w:t>AVCZ</w:t>
            </w:r>
            <w:r w:rsidRPr="0065463C">
              <w:rPr>
                <w:sz w:val="14"/>
                <w:szCs w:val="14"/>
              </w:rPr>
              <w:t>.</w:t>
            </w:r>
          </w:p>
          <w:p w14:paraId="3D4AE6C8" w14:textId="77777777" w:rsidR="006F7282" w:rsidRPr="00F54217" w:rsidRDefault="006F7282" w:rsidP="00B55186">
            <w:pPr>
              <w:pStyle w:val="BodyText"/>
              <w:ind w:left="95"/>
              <w:rPr>
                <w:sz w:val="14"/>
                <w:szCs w:val="14"/>
              </w:rPr>
            </w:pPr>
            <w:r>
              <w:rPr>
                <w:sz w:val="14"/>
                <w:szCs w:val="14"/>
              </w:rPr>
              <w:t>2016.12.30</w:t>
            </w:r>
            <w:r w:rsidRPr="0009315B">
              <w:rPr>
                <w:sz w:val="14"/>
                <w:szCs w:val="14"/>
              </w:rPr>
              <w:t xml:space="preserve"> Email – Letter </w:t>
            </w:r>
            <w:r w:rsidRPr="00EC22B6">
              <w:rPr>
                <w:sz w:val="14"/>
                <w:szCs w:val="14"/>
              </w:rPr>
              <w:t>Cooper Energy</w:t>
            </w:r>
            <w:r w:rsidRPr="0009315B">
              <w:rPr>
                <w:sz w:val="14"/>
                <w:szCs w:val="14"/>
              </w:rPr>
              <w:t xml:space="preserve"> provided information associated with the </w:t>
            </w:r>
            <w:r>
              <w:rPr>
                <w:sz w:val="14"/>
                <w:szCs w:val="14"/>
              </w:rPr>
              <w:t>CHN</w:t>
            </w:r>
            <w:r w:rsidRPr="0009315B">
              <w:rPr>
                <w:sz w:val="14"/>
                <w:szCs w:val="14"/>
              </w:rPr>
              <w:t xml:space="preserve"> Environment Plan, changes in titleholder and requested feedback</w:t>
            </w:r>
          </w:p>
        </w:tc>
        <w:tc>
          <w:tcPr>
            <w:tcW w:w="2403" w:type="dxa"/>
            <w:shd w:val="clear" w:color="auto" w:fill="F2F2F2" w:themeFill="background1" w:themeFillShade="F2"/>
          </w:tcPr>
          <w:p w14:paraId="7D8453E7" w14:textId="77777777" w:rsidR="006F7282" w:rsidRDefault="006F7282" w:rsidP="00B55186">
            <w:pPr>
              <w:pStyle w:val="BodyText"/>
              <w:ind w:left="5"/>
              <w:rPr>
                <w:sz w:val="14"/>
                <w:szCs w:val="14"/>
              </w:rPr>
            </w:pPr>
            <w:r w:rsidRPr="0065463C">
              <w:rPr>
                <w:sz w:val="14"/>
                <w:szCs w:val="14"/>
              </w:rPr>
              <w:t>2016.12.23 Phone call</w:t>
            </w:r>
            <w:r>
              <w:rPr>
                <w:sz w:val="14"/>
                <w:szCs w:val="14"/>
              </w:rPr>
              <w:t xml:space="preserve"> from Malcom Petrie, provided</w:t>
            </w:r>
            <w:r w:rsidRPr="0065463C">
              <w:rPr>
                <w:sz w:val="14"/>
                <w:szCs w:val="14"/>
              </w:rPr>
              <w:t xml:space="preserve"> contact details</w:t>
            </w:r>
            <w:r>
              <w:rPr>
                <w:sz w:val="14"/>
                <w:szCs w:val="14"/>
              </w:rPr>
              <w:t xml:space="preserve"> and a summary of AVCZ activities;</w:t>
            </w:r>
          </w:p>
          <w:p w14:paraId="5893CF89" w14:textId="77777777" w:rsidR="006F7282" w:rsidRDefault="006F7282" w:rsidP="0036080A">
            <w:pPr>
              <w:pStyle w:val="BodyText"/>
              <w:widowControl w:val="0"/>
              <w:numPr>
                <w:ilvl w:val="0"/>
                <w:numId w:val="51"/>
              </w:numPr>
              <w:spacing w:before="120"/>
              <w:ind w:left="275" w:hanging="270"/>
              <w:rPr>
                <w:sz w:val="14"/>
              </w:rPr>
            </w:pPr>
            <w:r w:rsidRPr="0065463C">
              <w:rPr>
                <w:sz w:val="14"/>
              </w:rPr>
              <w:t xml:space="preserve">Central Zone </w:t>
            </w:r>
            <w:r>
              <w:rPr>
                <w:sz w:val="14"/>
              </w:rPr>
              <w:t xml:space="preserve">being </w:t>
            </w:r>
            <w:r w:rsidRPr="0065463C">
              <w:rPr>
                <w:sz w:val="14"/>
              </w:rPr>
              <w:t>largest zone</w:t>
            </w:r>
            <w:r>
              <w:rPr>
                <w:sz w:val="14"/>
              </w:rPr>
              <w:t>,</w:t>
            </w:r>
            <w:r w:rsidRPr="0065463C">
              <w:rPr>
                <w:sz w:val="14"/>
              </w:rPr>
              <w:t xml:space="preserve"> spanning from Lakes Entrance to Hopkins Rr (Warrnambool)  </w:t>
            </w:r>
          </w:p>
          <w:p w14:paraId="398D961C" w14:textId="77777777" w:rsidR="006F7282" w:rsidRDefault="006F7282" w:rsidP="0036080A">
            <w:pPr>
              <w:pStyle w:val="BodyText"/>
              <w:widowControl w:val="0"/>
              <w:numPr>
                <w:ilvl w:val="0"/>
                <w:numId w:val="51"/>
              </w:numPr>
              <w:spacing w:before="120"/>
              <w:ind w:left="275" w:hanging="270"/>
              <w:rPr>
                <w:sz w:val="14"/>
              </w:rPr>
            </w:pPr>
            <w:r>
              <w:rPr>
                <w:sz w:val="14"/>
              </w:rPr>
              <w:t>A</w:t>
            </w:r>
            <w:r w:rsidRPr="0065463C">
              <w:rPr>
                <w:sz w:val="14"/>
              </w:rPr>
              <w:t>pprox. 20 active divers at any one time</w:t>
            </w:r>
            <w:r>
              <w:rPr>
                <w:sz w:val="14"/>
              </w:rPr>
              <w:t>. T</w:t>
            </w:r>
            <w:r w:rsidRPr="0065463C">
              <w:rPr>
                <w:sz w:val="14"/>
              </w:rPr>
              <w:t>he season is continuous.</w:t>
            </w:r>
          </w:p>
          <w:p w14:paraId="07C473C3" w14:textId="77777777" w:rsidR="006F7282" w:rsidRPr="00F54217" w:rsidRDefault="006F7282" w:rsidP="0036080A">
            <w:pPr>
              <w:pStyle w:val="BodyText"/>
              <w:widowControl w:val="0"/>
              <w:numPr>
                <w:ilvl w:val="0"/>
                <w:numId w:val="51"/>
              </w:numPr>
              <w:spacing w:before="120"/>
              <w:ind w:left="275" w:hanging="270"/>
              <w:rPr>
                <w:sz w:val="14"/>
              </w:rPr>
            </w:pPr>
            <w:r w:rsidRPr="0065463C">
              <w:rPr>
                <w:sz w:val="14"/>
              </w:rPr>
              <w:t>Abalone Harvesting is inshore along the coastline and extends no further than 8kms.</w:t>
            </w:r>
          </w:p>
        </w:tc>
        <w:tc>
          <w:tcPr>
            <w:tcW w:w="2196" w:type="dxa"/>
            <w:shd w:val="clear" w:color="auto" w:fill="F2F2F2" w:themeFill="background1" w:themeFillShade="F2"/>
          </w:tcPr>
          <w:p w14:paraId="1699AD2D" w14:textId="77777777" w:rsidR="006F7282" w:rsidRPr="00F54217" w:rsidRDefault="006F7282" w:rsidP="00B55186">
            <w:pPr>
              <w:pStyle w:val="BodyText"/>
              <w:ind w:left="0"/>
              <w:rPr>
                <w:sz w:val="14"/>
              </w:rPr>
            </w:pPr>
            <w:r>
              <w:rPr>
                <w:sz w:val="14"/>
              </w:rPr>
              <w:t>No further response received. Not Applicable.</w:t>
            </w:r>
          </w:p>
        </w:tc>
        <w:tc>
          <w:tcPr>
            <w:tcW w:w="1987" w:type="dxa"/>
            <w:shd w:val="clear" w:color="auto" w:fill="F2F2F2" w:themeFill="background1" w:themeFillShade="F2"/>
          </w:tcPr>
          <w:p w14:paraId="209546B4" w14:textId="77777777" w:rsidR="006F7282" w:rsidRPr="00F54217" w:rsidRDefault="006F7282" w:rsidP="00B55186">
            <w:pPr>
              <w:pStyle w:val="BodyText"/>
              <w:ind w:left="0"/>
              <w:rPr>
                <w:sz w:val="14"/>
              </w:rPr>
            </w:pPr>
            <w:r>
              <w:rPr>
                <w:sz w:val="14"/>
              </w:rPr>
              <w:t>Not Applicable</w:t>
            </w:r>
          </w:p>
        </w:tc>
      </w:tr>
      <w:tr w:rsidR="006F7282" w14:paraId="4625250B" w14:textId="77777777" w:rsidTr="006F7282">
        <w:trPr>
          <w:cnfStyle w:val="000000010000" w:firstRow="0" w:lastRow="0" w:firstColumn="0" w:lastColumn="0" w:oddVBand="0" w:evenVBand="0" w:oddHBand="0" w:evenHBand="1" w:firstRowFirstColumn="0" w:firstRowLastColumn="0" w:lastRowFirstColumn="0" w:lastRowLastColumn="0"/>
          <w:cantSplit/>
          <w:trHeight w:val="761"/>
        </w:trPr>
        <w:tc>
          <w:tcPr>
            <w:tcW w:w="1162" w:type="dxa"/>
            <w:shd w:val="clear" w:color="auto" w:fill="FFFFFF" w:themeFill="background1"/>
          </w:tcPr>
          <w:p w14:paraId="76104E91" w14:textId="77777777" w:rsidR="006F7282" w:rsidRPr="0047767F" w:rsidRDefault="006F7282" w:rsidP="00B55186">
            <w:pPr>
              <w:pStyle w:val="BodyText"/>
              <w:ind w:left="0"/>
              <w:rPr>
                <w:sz w:val="14"/>
                <w:szCs w:val="14"/>
              </w:rPr>
            </w:pPr>
            <w:r w:rsidRPr="00E83054">
              <w:rPr>
                <w:sz w:val="14"/>
                <w:szCs w:val="14"/>
              </w:rPr>
              <w:t>Southern Shark Industry Alliance</w:t>
            </w:r>
          </w:p>
        </w:tc>
        <w:tc>
          <w:tcPr>
            <w:tcW w:w="2431" w:type="dxa"/>
            <w:shd w:val="clear" w:color="auto" w:fill="FFFFFF" w:themeFill="background1"/>
          </w:tcPr>
          <w:p w14:paraId="6AA304AA" w14:textId="77777777" w:rsidR="006F7282" w:rsidRPr="00E83054" w:rsidRDefault="006F7282" w:rsidP="00B55186">
            <w:pPr>
              <w:pStyle w:val="BodyText"/>
              <w:ind w:left="0"/>
              <w:rPr>
                <w:sz w:val="14"/>
                <w:szCs w:val="14"/>
              </w:rPr>
            </w:pPr>
            <w:r w:rsidRPr="00E83054">
              <w:rPr>
                <w:sz w:val="14"/>
                <w:szCs w:val="14"/>
              </w:rPr>
              <w:t>Peak Group for Gummy Shar</w:t>
            </w:r>
            <w:r>
              <w:rPr>
                <w:sz w:val="14"/>
                <w:szCs w:val="14"/>
              </w:rPr>
              <w:t>k fishing southern Australia</w:t>
            </w:r>
          </w:p>
        </w:tc>
        <w:tc>
          <w:tcPr>
            <w:tcW w:w="3095" w:type="dxa"/>
            <w:shd w:val="clear" w:color="auto" w:fill="FFFFFF" w:themeFill="background1"/>
          </w:tcPr>
          <w:p w14:paraId="0AF6CE7E" w14:textId="77777777" w:rsidR="006F7282" w:rsidRPr="00E83054" w:rsidRDefault="006F7282" w:rsidP="00B55186">
            <w:pPr>
              <w:pStyle w:val="BodyText"/>
              <w:ind w:left="95"/>
              <w:rPr>
                <w:sz w:val="14"/>
                <w:szCs w:val="14"/>
              </w:rPr>
            </w:pPr>
            <w:r>
              <w:rPr>
                <w:sz w:val="14"/>
                <w:szCs w:val="14"/>
              </w:rPr>
              <w:t>2016.12.29 Email to</w:t>
            </w:r>
            <w:r w:rsidRPr="00E83054">
              <w:rPr>
                <w:sz w:val="14"/>
                <w:szCs w:val="14"/>
              </w:rPr>
              <w:t xml:space="preserve"> contact page to obtain contact details for purpose of stakeholder engagement</w:t>
            </w:r>
          </w:p>
        </w:tc>
        <w:tc>
          <w:tcPr>
            <w:tcW w:w="2403" w:type="dxa"/>
            <w:shd w:val="clear" w:color="auto" w:fill="FFFFFF" w:themeFill="background1"/>
          </w:tcPr>
          <w:p w14:paraId="395C7E5B" w14:textId="77777777" w:rsidR="006F7282" w:rsidRPr="00E83054" w:rsidRDefault="006F7282" w:rsidP="00B55186">
            <w:pPr>
              <w:pStyle w:val="BodyText"/>
              <w:ind w:left="5"/>
              <w:rPr>
                <w:sz w:val="14"/>
                <w:szCs w:val="14"/>
              </w:rPr>
            </w:pPr>
            <w:r w:rsidRPr="00F54217">
              <w:rPr>
                <w:sz w:val="14"/>
              </w:rPr>
              <w:t>No Re</w:t>
            </w:r>
            <w:r>
              <w:rPr>
                <w:sz w:val="14"/>
              </w:rPr>
              <w:t>sponse to email dated 2016.12.29</w:t>
            </w:r>
          </w:p>
        </w:tc>
        <w:tc>
          <w:tcPr>
            <w:tcW w:w="2196" w:type="dxa"/>
            <w:shd w:val="clear" w:color="auto" w:fill="FFFFFF" w:themeFill="background1"/>
          </w:tcPr>
          <w:p w14:paraId="2C6846F2" w14:textId="77777777" w:rsidR="006F7282" w:rsidRPr="00E83054" w:rsidRDefault="006F7282" w:rsidP="00B55186">
            <w:pPr>
              <w:pStyle w:val="BodyText"/>
              <w:ind w:left="0"/>
              <w:rPr>
                <w:sz w:val="14"/>
                <w:szCs w:val="14"/>
              </w:rPr>
            </w:pPr>
            <w:r w:rsidRPr="00F54217">
              <w:rPr>
                <w:sz w:val="14"/>
              </w:rPr>
              <w:t>Not Applicable</w:t>
            </w:r>
          </w:p>
        </w:tc>
        <w:tc>
          <w:tcPr>
            <w:tcW w:w="1987" w:type="dxa"/>
            <w:shd w:val="clear" w:color="auto" w:fill="FFFFFF" w:themeFill="background1"/>
          </w:tcPr>
          <w:p w14:paraId="37767C3E" w14:textId="77777777" w:rsidR="006F7282" w:rsidRDefault="006F7282" w:rsidP="00B55186">
            <w:pPr>
              <w:pStyle w:val="BodyText"/>
              <w:ind w:left="0"/>
              <w:rPr>
                <w:sz w:val="14"/>
              </w:rPr>
            </w:pPr>
            <w:r w:rsidRPr="00F54217">
              <w:rPr>
                <w:sz w:val="14"/>
              </w:rPr>
              <w:t>Not Applicable</w:t>
            </w:r>
          </w:p>
        </w:tc>
      </w:tr>
      <w:tr w:rsidR="006F7282" w14:paraId="61FDD7B9" w14:textId="77777777" w:rsidTr="006F7282">
        <w:trPr>
          <w:cantSplit/>
          <w:trHeight w:val="761"/>
        </w:trPr>
        <w:tc>
          <w:tcPr>
            <w:tcW w:w="1162" w:type="dxa"/>
            <w:shd w:val="clear" w:color="auto" w:fill="F2F2F2" w:themeFill="background1" w:themeFillShade="F2"/>
          </w:tcPr>
          <w:p w14:paraId="1A0AE466" w14:textId="77777777" w:rsidR="006F7282" w:rsidRPr="00E83054" w:rsidRDefault="006F7282" w:rsidP="00B55186">
            <w:pPr>
              <w:pStyle w:val="BodyText"/>
              <w:ind w:left="0"/>
              <w:rPr>
                <w:sz w:val="14"/>
                <w:szCs w:val="14"/>
              </w:rPr>
            </w:pPr>
            <w:r w:rsidRPr="004A6C5B">
              <w:rPr>
                <w:sz w:val="14"/>
                <w:szCs w:val="14"/>
              </w:rPr>
              <w:lastRenderedPageBreak/>
              <w:t>Victorian Recreational Fishers Association (VRFish)</w:t>
            </w:r>
          </w:p>
        </w:tc>
        <w:tc>
          <w:tcPr>
            <w:tcW w:w="2431" w:type="dxa"/>
            <w:shd w:val="clear" w:color="auto" w:fill="F2F2F2" w:themeFill="background1" w:themeFillShade="F2"/>
          </w:tcPr>
          <w:p w14:paraId="2EE8E8E2" w14:textId="77777777" w:rsidR="006F7282" w:rsidRPr="00E83054" w:rsidRDefault="006F7282" w:rsidP="00B55186">
            <w:pPr>
              <w:pStyle w:val="BodyText"/>
              <w:ind w:left="0"/>
              <w:rPr>
                <w:sz w:val="14"/>
                <w:szCs w:val="14"/>
              </w:rPr>
            </w:pPr>
            <w:r>
              <w:rPr>
                <w:sz w:val="14"/>
                <w:szCs w:val="14"/>
              </w:rPr>
              <w:t>Peak industry body for Victorian seafood and fisheries</w:t>
            </w:r>
          </w:p>
        </w:tc>
        <w:tc>
          <w:tcPr>
            <w:tcW w:w="3095" w:type="dxa"/>
            <w:shd w:val="clear" w:color="auto" w:fill="F2F2F2" w:themeFill="background1" w:themeFillShade="F2"/>
          </w:tcPr>
          <w:p w14:paraId="383AF90C" w14:textId="77777777" w:rsidR="006F7282" w:rsidRDefault="006F7282" w:rsidP="00B55186">
            <w:pPr>
              <w:pStyle w:val="BodyText"/>
              <w:ind w:left="95"/>
              <w:rPr>
                <w:sz w:val="14"/>
                <w:szCs w:val="14"/>
              </w:rPr>
            </w:pPr>
            <w:r w:rsidRPr="0065463C">
              <w:rPr>
                <w:sz w:val="14"/>
                <w:szCs w:val="14"/>
              </w:rPr>
              <w:t xml:space="preserve">2016.12.28 </w:t>
            </w:r>
            <w:r w:rsidRPr="000A23F2">
              <w:rPr>
                <w:sz w:val="14"/>
                <w:szCs w:val="14"/>
              </w:rPr>
              <w:t xml:space="preserve">Email – Letter </w:t>
            </w:r>
            <w:r w:rsidRPr="00EC22B6">
              <w:rPr>
                <w:sz w:val="14"/>
                <w:szCs w:val="14"/>
              </w:rPr>
              <w:t>Cooper Energy</w:t>
            </w:r>
            <w:r w:rsidRPr="000A23F2">
              <w:rPr>
                <w:sz w:val="14"/>
                <w:szCs w:val="14"/>
              </w:rPr>
              <w:t xml:space="preserve"> provided information associated with the </w:t>
            </w:r>
            <w:r>
              <w:rPr>
                <w:sz w:val="14"/>
                <w:szCs w:val="14"/>
              </w:rPr>
              <w:t>CHN</w:t>
            </w:r>
            <w:r w:rsidRPr="000A23F2">
              <w:rPr>
                <w:sz w:val="14"/>
                <w:szCs w:val="14"/>
              </w:rPr>
              <w:t xml:space="preserve"> Environment Plan, changes in titleholder and requested feedback.</w:t>
            </w:r>
          </w:p>
        </w:tc>
        <w:tc>
          <w:tcPr>
            <w:tcW w:w="2403" w:type="dxa"/>
            <w:shd w:val="clear" w:color="auto" w:fill="F2F2F2" w:themeFill="background1" w:themeFillShade="F2"/>
          </w:tcPr>
          <w:p w14:paraId="49711E1F" w14:textId="77777777" w:rsidR="006F7282" w:rsidRPr="00F54217" w:rsidRDefault="006F7282" w:rsidP="00B55186">
            <w:pPr>
              <w:pStyle w:val="BodyText"/>
              <w:ind w:left="5"/>
              <w:rPr>
                <w:sz w:val="14"/>
              </w:rPr>
            </w:pPr>
            <w:r w:rsidRPr="00F54217">
              <w:rPr>
                <w:sz w:val="14"/>
              </w:rPr>
              <w:t>No Re</w:t>
            </w:r>
            <w:r>
              <w:rPr>
                <w:sz w:val="14"/>
              </w:rPr>
              <w:t>sponse to email dated 2016.12.28</w:t>
            </w:r>
          </w:p>
        </w:tc>
        <w:tc>
          <w:tcPr>
            <w:tcW w:w="2196" w:type="dxa"/>
            <w:shd w:val="clear" w:color="auto" w:fill="F2F2F2" w:themeFill="background1" w:themeFillShade="F2"/>
          </w:tcPr>
          <w:p w14:paraId="139D6029" w14:textId="77777777" w:rsidR="006F7282" w:rsidRPr="00F54217" w:rsidRDefault="006F7282" w:rsidP="00B55186">
            <w:pPr>
              <w:pStyle w:val="BodyText"/>
              <w:ind w:left="0"/>
              <w:rPr>
                <w:sz w:val="14"/>
              </w:rPr>
            </w:pPr>
            <w:r w:rsidRPr="00F54217">
              <w:rPr>
                <w:sz w:val="14"/>
              </w:rPr>
              <w:t>Not Applicable</w:t>
            </w:r>
          </w:p>
        </w:tc>
        <w:tc>
          <w:tcPr>
            <w:tcW w:w="1987" w:type="dxa"/>
            <w:shd w:val="clear" w:color="auto" w:fill="F2F2F2" w:themeFill="background1" w:themeFillShade="F2"/>
          </w:tcPr>
          <w:p w14:paraId="177EB0A8" w14:textId="77777777" w:rsidR="006F7282" w:rsidRPr="00F54217" w:rsidRDefault="006F7282" w:rsidP="00B55186">
            <w:pPr>
              <w:pStyle w:val="BodyText"/>
              <w:ind w:left="0"/>
              <w:rPr>
                <w:sz w:val="14"/>
              </w:rPr>
            </w:pPr>
            <w:r w:rsidRPr="00F54217">
              <w:rPr>
                <w:sz w:val="14"/>
              </w:rPr>
              <w:t>Not Applicable</w:t>
            </w:r>
          </w:p>
        </w:tc>
      </w:tr>
      <w:tr w:rsidR="006F7282" w14:paraId="7CBD3879" w14:textId="77777777" w:rsidTr="006F7282">
        <w:trPr>
          <w:cnfStyle w:val="000000010000" w:firstRow="0" w:lastRow="0" w:firstColumn="0" w:lastColumn="0" w:oddVBand="0" w:evenVBand="0" w:oddHBand="0" w:evenHBand="1" w:firstRowFirstColumn="0" w:firstRowLastColumn="0" w:lastRowFirstColumn="0" w:lastRowLastColumn="0"/>
          <w:cantSplit/>
        </w:trPr>
        <w:tc>
          <w:tcPr>
            <w:tcW w:w="1162" w:type="dxa"/>
            <w:vMerge w:val="restart"/>
            <w:shd w:val="clear" w:color="auto" w:fill="FFFFFF" w:themeFill="background1"/>
          </w:tcPr>
          <w:p w14:paraId="6249C8B8" w14:textId="77777777" w:rsidR="006F7282" w:rsidRPr="00F55F64" w:rsidRDefault="006F7282" w:rsidP="00B55186">
            <w:pPr>
              <w:pStyle w:val="BodyText"/>
              <w:ind w:left="0"/>
              <w:rPr>
                <w:sz w:val="14"/>
                <w:szCs w:val="14"/>
              </w:rPr>
            </w:pPr>
            <w:r w:rsidRPr="00F55F64">
              <w:rPr>
                <w:sz w:val="14"/>
                <w:szCs w:val="14"/>
              </w:rPr>
              <w:t>Australian Maritime Safety Authority</w:t>
            </w:r>
          </w:p>
        </w:tc>
        <w:tc>
          <w:tcPr>
            <w:tcW w:w="2431" w:type="dxa"/>
            <w:vMerge w:val="restart"/>
            <w:shd w:val="clear" w:color="auto" w:fill="FFFFFF" w:themeFill="background1"/>
          </w:tcPr>
          <w:p w14:paraId="43A625FE" w14:textId="77777777" w:rsidR="006F7282" w:rsidRPr="00F55F64" w:rsidRDefault="006F7282" w:rsidP="00B55186">
            <w:pPr>
              <w:pStyle w:val="BodyText"/>
              <w:ind w:left="95"/>
              <w:rPr>
                <w:sz w:val="14"/>
                <w:szCs w:val="14"/>
              </w:rPr>
            </w:pPr>
            <w:r w:rsidRPr="00F55F64">
              <w:rPr>
                <w:rFonts w:cs="Lucida Grande"/>
                <w:sz w:val="14"/>
                <w:szCs w:val="14"/>
              </w:rPr>
              <w:t>Safety Regulator for Marine Safety and Vessel-based Oil Spill Response in Commonwealth Waters</w:t>
            </w:r>
          </w:p>
          <w:p w14:paraId="580C515F" w14:textId="77777777" w:rsidR="006F7282" w:rsidRPr="00F55F64" w:rsidRDefault="006F7282" w:rsidP="00B55186">
            <w:pPr>
              <w:pStyle w:val="BodyText"/>
              <w:ind w:left="95"/>
              <w:rPr>
                <w:sz w:val="14"/>
                <w:szCs w:val="14"/>
              </w:rPr>
            </w:pPr>
            <w:r w:rsidRPr="00F55F64">
              <w:rPr>
                <w:sz w:val="14"/>
                <w:szCs w:val="14"/>
              </w:rPr>
              <w:t>Impacts on Shipping Routes &amp; Navigation Warnings</w:t>
            </w:r>
          </w:p>
          <w:p w14:paraId="6B9A8A04" w14:textId="77777777" w:rsidR="006F7282" w:rsidRPr="00F55F64" w:rsidRDefault="006F7282" w:rsidP="00B55186">
            <w:pPr>
              <w:pStyle w:val="BodyText"/>
              <w:ind w:left="95"/>
              <w:rPr>
                <w:sz w:val="14"/>
                <w:szCs w:val="14"/>
              </w:rPr>
            </w:pPr>
            <w:r w:rsidRPr="00F55F64">
              <w:rPr>
                <w:rFonts w:cs="Lucida Grande"/>
                <w:sz w:val="14"/>
                <w:szCs w:val="14"/>
              </w:rPr>
              <w:t>Marine Pollution Controller in Commonwealth Waters for Vessels</w:t>
            </w:r>
          </w:p>
        </w:tc>
        <w:tc>
          <w:tcPr>
            <w:tcW w:w="3095" w:type="dxa"/>
            <w:shd w:val="clear" w:color="auto" w:fill="FFFFFF" w:themeFill="background1"/>
          </w:tcPr>
          <w:p w14:paraId="22ADB9DC" w14:textId="77777777" w:rsidR="006F7282" w:rsidRPr="00D97E3F" w:rsidRDefault="006F7282" w:rsidP="00B55186">
            <w:pPr>
              <w:pStyle w:val="BodyText"/>
              <w:ind w:left="95"/>
              <w:rPr>
                <w:sz w:val="14"/>
                <w:szCs w:val="14"/>
              </w:rPr>
            </w:pPr>
            <w:r w:rsidRPr="00D97E3F">
              <w:rPr>
                <w:sz w:val="14"/>
                <w:szCs w:val="14"/>
              </w:rPr>
              <w:t xml:space="preserve">2016.12.23 </w:t>
            </w:r>
            <w:r w:rsidRPr="000A23F2">
              <w:rPr>
                <w:sz w:val="14"/>
                <w:szCs w:val="14"/>
              </w:rPr>
              <w:t xml:space="preserve">Email – Letter </w:t>
            </w:r>
            <w:r w:rsidRPr="00EC22B6">
              <w:rPr>
                <w:sz w:val="14"/>
                <w:szCs w:val="14"/>
              </w:rPr>
              <w:t>Cooper Energy</w:t>
            </w:r>
            <w:r w:rsidRPr="000A23F2">
              <w:rPr>
                <w:sz w:val="14"/>
                <w:szCs w:val="14"/>
              </w:rPr>
              <w:t xml:space="preserve"> provided information associated with the </w:t>
            </w:r>
            <w:r>
              <w:rPr>
                <w:sz w:val="14"/>
                <w:szCs w:val="14"/>
              </w:rPr>
              <w:t>CHN</w:t>
            </w:r>
            <w:r w:rsidRPr="000A23F2">
              <w:rPr>
                <w:sz w:val="14"/>
                <w:szCs w:val="14"/>
              </w:rPr>
              <w:t xml:space="preserve"> Environment Plan, changes in titleholder and requested feedback.</w:t>
            </w:r>
          </w:p>
          <w:p w14:paraId="7DBFF0E1" w14:textId="77777777" w:rsidR="006F7282" w:rsidRPr="00D97E3F" w:rsidRDefault="006F7282" w:rsidP="00B55186">
            <w:pPr>
              <w:pStyle w:val="BodyText"/>
              <w:ind w:left="95"/>
              <w:rPr>
                <w:sz w:val="14"/>
                <w:szCs w:val="14"/>
              </w:rPr>
            </w:pPr>
            <w:r w:rsidRPr="00D97E3F">
              <w:rPr>
                <w:sz w:val="14"/>
                <w:szCs w:val="14"/>
              </w:rPr>
              <w:t xml:space="preserve">Also </w:t>
            </w:r>
            <w:r w:rsidRPr="00EC22B6">
              <w:rPr>
                <w:sz w:val="14"/>
                <w:szCs w:val="14"/>
              </w:rPr>
              <w:t>Cooper Energy</w:t>
            </w:r>
            <w:r w:rsidRPr="00D97E3F">
              <w:rPr>
                <w:sz w:val="14"/>
                <w:szCs w:val="14"/>
              </w:rPr>
              <w:t xml:space="preserve"> sort feedback associated with the potential for encounter of third party vessels during survey activities and advice on the precautions which </w:t>
            </w:r>
            <w:r w:rsidRPr="00EC22B6">
              <w:rPr>
                <w:sz w:val="14"/>
                <w:szCs w:val="14"/>
              </w:rPr>
              <w:t>Cooper Energy</w:t>
            </w:r>
            <w:r w:rsidRPr="00D97E3F">
              <w:rPr>
                <w:sz w:val="14"/>
                <w:szCs w:val="14"/>
              </w:rPr>
              <w:t xml:space="preserve"> needs to undertake to prevent third party vessel interference and to preserve safety.</w:t>
            </w:r>
          </w:p>
          <w:p w14:paraId="4788DE46" w14:textId="77777777" w:rsidR="006F7282" w:rsidRPr="00D97E3F" w:rsidRDefault="006F7282" w:rsidP="00B55186">
            <w:pPr>
              <w:pStyle w:val="BodyText"/>
              <w:ind w:left="95"/>
              <w:rPr>
                <w:sz w:val="14"/>
                <w:szCs w:val="14"/>
              </w:rPr>
            </w:pPr>
            <w:r w:rsidRPr="00D97E3F">
              <w:rPr>
                <w:sz w:val="14"/>
                <w:szCs w:val="14"/>
              </w:rPr>
              <w:t>2017.01.16 Follow-up email sent to AMSA seeking feedback to email of 2017.12.23</w:t>
            </w:r>
          </w:p>
        </w:tc>
        <w:tc>
          <w:tcPr>
            <w:tcW w:w="2403" w:type="dxa"/>
            <w:shd w:val="clear" w:color="auto" w:fill="FFFFFF" w:themeFill="background1"/>
          </w:tcPr>
          <w:p w14:paraId="68C40B0E" w14:textId="77777777" w:rsidR="006F7282" w:rsidRPr="00F55F64" w:rsidRDefault="006F7282" w:rsidP="00B55186">
            <w:pPr>
              <w:pStyle w:val="BodyText"/>
              <w:ind w:left="0"/>
              <w:rPr>
                <w:sz w:val="14"/>
                <w:szCs w:val="14"/>
              </w:rPr>
            </w:pPr>
            <w:r w:rsidRPr="006014DC">
              <w:rPr>
                <w:sz w:val="14"/>
                <w:szCs w:val="14"/>
              </w:rPr>
              <w:t xml:space="preserve">2017.01.16 </w:t>
            </w:r>
            <w:r>
              <w:rPr>
                <w:sz w:val="14"/>
                <w:szCs w:val="14"/>
              </w:rPr>
              <w:t xml:space="preserve">Phone call and email correspondence </w:t>
            </w:r>
            <w:r w:rsidRPr="006014DC">
              <w:rPr>
                <w:sz w:val="14"/>
                <w:szCs w:val="14"/>
              </w:rPr>
              <w:t>from Nathan Johnson AM</w:t>
            </w:r>
            <w:r>
              <w:rPr>
                <w:sz w:val="14"/>
                <w:szCs w:val="14"/>
              </w:rPr>
              <w:t>SA, Border Force Control (JRCC)</w:t>
            </w:r>
          </w:p>
        </w:tc>
        <w:tc>
          <w:tcPr>
            <w:tcW w:w="2196" w:type="dxa"/>
            <w:shd w:val="clear" w:color="auto" w:fill="FFFFFF" w:themeFill="background1"/>
          </w:tcPr>
          <w:p w14:paraId="43E8F9F1" w14:textId="77777777" w:rsidR="006F7282" w:rsidRPr="00F55F64" w:rsidRDefault="006F7282" w:rsidP="00B55186">
            <w:pPr>
              <w:pStyle w:val="BodyText"/>
              <w:ind w:left="0"/>
              <w:rPr>
                <w:sz w:val="14"/>
                <w:szCs w:val="14"/>
              </w:rPr>
            </w:pPr>
            <w:r w:rsidRPr="00F55F64">
              <w:rPr>
                <w:sz w:val="14"/>
                <w:szCs w:val="14"/>
              </w:rPr>
              <w:t xml:space="preserve">No objection to advice obtained </w:t>
            </w:r>
          </w:p>
        </w:tc>
        <w:tc>
          <w:tcPr>
            <w:tcW w:w="1987" w:type="dxa"/>
            <w:shd w:val="clear" w:color="auto" w:fill="FFFFFF" w:themeFill="background1"/>
          </w:tcPr>
          <w:p w14:paraId="5BC974EE" w14:textId="77777777" w:rsidR="006F7282" w:rsidRPr="00F55F64" w:rsidRDefault="006F7282" w:rsidP="00B55186">
            <w:pPr>
              <w:pStyle w:val="BodyText"/>
              <w:ind w:left="0"/>
              <w:rPr>
                <w:sz w:val="14"/>
                <w:szCs w:val="14"/>
              </w:rPr>
            </w:pPr>
            <w:r w:rsidRPr="00EC22B6">
              <w:rPr>
                <w:sz w:val="14"/>
                <w:szCs w:val="14"/>
              </w:rPr>
              <w:t>Cooper Energy</w:t>
            </w:r>
            <w:r>
              <w:rPr>
                <w:sz w:val="14"/>
                <w:szCs w:val="14"/>
              </w:rPr>
              <w:t xml:space="preserve"> to ensure feedback is incorporated into CHN </w:t>
            </w:r>
            <w:r w:rsidRPr="0011707D">
              <w:rPr>
                <w:sz w:val="14"/>
                <w:szCs w:val="14"/>
              </w:rPr>
              <w:t>EP (</w:t>
            </w:r>
            <w:r w:rsidRPr="00513AEA">
              <w:rPr>
                <w:sz w:val="14"/>
                <w:szCs w:val="14"/>
              </w:rPr>
              <w:t>Section</w:t>
            </w:r>
            <w:r>
              <w:rPr>
                <w:sz w:val="14"/>
                <w:szCs w:val="14"/>
              </w:rPr>
              <w:t>s 7 Environmental Impact and Risk Assessment</w:t>
            </w:r>
            <w:r w:rsidRPr="00513AEA">
              <w:rPr>
                <w:sz w:val="14"/>
                <w:szCs w:val="14"/>
              </w:rPr>
              <w:t>)</w:t>
            </w:r>
          </w:p>
        </w:tc>
      </w:tr>
      <w:tr w:rsidR="006F7282" w14:paraId="2E400316" w14:textId="77777777" w:rsidTr="006F7282">
        <w:trPr>
          <w:cantSplit/>
        </w:trPr>
        <w:tc>
          <w:tcPr>
            <w:tcW w:w="1162" w:type="dxa"/>
            <w:vMerge/>
            <w:shd w:val="clear" w:color="auto" w:fill="FFFFFF" w:themeFill="background1"/>
          </w:tcPr>
          <w:p w14:paraId="022C75BE" w14:textId="77777777" w:rsidR="006F7282" w:rsidRPr="00F55F64" w:rsidRDefault="006F7282" w:rsidP="00B55186">
            <w:pPr>
              <w:pStyle w:val="BodyText"/>
              <w:ind w:left="0"/>
              <w:jc w:val="center"/>
              <w:rPr>
                <w:sz w:val="14"/>
                <w:szCs w:val="14"/>
              </w:rPr>
            </w:pPr>
          </w:p>
        </w:tc>
        <w:tc>
          <w:tcPr>
            <w:tcW w:w="2431" w:type="dxa"/>
            <w:vMerge/>
            <w:shd w:val="clear" w:color="auto" w:fill="FFFFFF" w:themeFill="background1"/>
          </w:tcPr>
          <w:p w14:paraId="7EADB031" w14:textId="77777777" w:rsidR="006F7282" w:rsidRPr="00F55F64" w:rsidRDefault="006F7282" w:rsidP="00B55186">
            <w:pPr>
              <w:pStyle w:val="BodyText"/>
              <w:jc w:val="center"/>
              <w:rPr>
                <w:sz w:val="14"/>
                <w:szCs w:val="14"/>
              </w:rPr>
            </w:pPr>
          </w:p>
        </w:tc>
        <w:tc>
          <w:tcPr>
            <w:tcW w:w="3095" w:type="dxa"/>
            <w:shd w:val="clear" w:color="auto" w:fill="FFFFFF" w:themeFill="background1"/>
          </w:tcPr>
          <w:p w14:paraId="684D5484" w14:textId="77777777" w:rsidR="006F7282" w:rsidRPr="004A6C5B" w:rsidRDefault="006F7282" w:rsidP="00B55186">
            <w:pPr>
              <w:pStyle w:val="BodyText"/>
              <w:ind w:left="95"/>
              <w:rPr>
                <w:sz w:val="14"/>
                <w:szCs w:val="14"/>
                <w:shd w:val="clear" w:color="auto" w:fill="FABF8F" w:themeFill="accent6" w:themeFillTint="99"/>
              </w:rPr>
            </w:pPr>
            <w:r w:rsidRPr="004A6C5B">
              <w:rPr>
                <w:sz w:val="14"/>
                <w:szCs w:val="14"/>
              </w:rPr>
              <w:t xml:space="preserve">2017.01.25 Email – </w:t>
            </w:r>
            <w:r w:rsidRPr="00EC22B6">
              <w:rPr>
                <w:sz w:val="14"/>
                <w:szCs w:val="14"/>
              </w:rPr>
              <w:t>Cooper Energy</w:t>
            </w:r>
            <w:r w:rsidRPr="004A6C5B">
              <w:rPr>
                <w:sz w:val="14"/>
                <w:szCs w:val="14"/>
              </w:rPr>
              <w:t xml:space="preserve"> sought an MOU with AMSA for specific spill response arrangements relating to the </w:t>
            </w:r>
            <w:r>
              <w:rPr>
                <w:sz w:val="14"/>
                <w:szCs w:val="14"/>
              </w:rPr>
              <w:t>CHN</w:t>
            </w:r>
            <w:r w:rsidRPr="004A6C5B">
              <w:rPr>
                <w:sz w:val="14"/>
                <w:szCs w:val="14"/>
              </w:rPr>
              <w:t xml:space="preserve"> asset.</w:t>
            </w:r>
          </w:p>
        </w:tc>
        <w:tc>
          <w:tcPr>
            <w:tcW w:w="2403" w:type="dxa"/>
            <w:shd w:val="clear" w:color="auto" w:fill="FFFFFF" w:themeFill="background1"/>
          </w:tcPr>
          <w:p w14:paraId="79B04183" w14:textId="77777777" w:rsidR="006F7282" w:rsidRPr="00F55F64" w:rsidRDefault="006F7282" w:rsidP="00B55186">
            <w:pPr>
              <w:pStyle w:val="BodyText"/>
              <w:ind w:left="0"/>
              <w:rPr>
                <w:sz w:val="14"/>
                <w:szCs w:val="14"/>
              </w:rPr>
            </w:pPr>
            <w:r w:rsidRPr="00C545DE">
              <w:rPr>
                <w:sz w:val="14"/>
                <w:szCs w:val="14"/>
              </w:rPr>
              <w:t>2017.02.07 Email correspondence from David Imhoff, AMSA with agreement to sign.</w:t>
            </w:r>
          </w:p>
        </w:tc>
        <w:tc>
          <w:tcPr>
            <w:tcW w:w="2196" w:type="dxa"/>
            <w:shd w:val="clear" w:color="auto" w:fill="FFFFFF" w:themeFill="background1"/>
          </w:tcPr>
          <w:p w14:paraId="79CE3E90" w14:textId="77777777" w:rsidR="006F7282" w:rsidRPr="00F35CD0" w:rsidRDefault="006F7282" w:rsidP="00B55186">
            <w:pPr>
              <w:pStyle w:val="BodyText"/>
              <w:ind w:left="0"/>
              <w:rPr>
                <w:sz w:val="14"/>
                <w:szCs w:val="14"/>
              </w:rPr>
            </w:pPr>
            <w:r w:rsidRPr="00F35CD0">
              <w:rPr>
                <w:sz w:val="14"/>
                <w:szCs w:val="14"/>
              </w:rPr>
              <w:t xml:space="preserve">No objection to advice obtained </w:t>
            </w:r>
          </w:p>
          <w:p w14:paraId="784323CE" w14:textId="77777777" w:rsidR="006F7282" w:rsidRPr="00F55F64" w:rsidRDefault="006F7282" w:rsidP="00B55186">
            <w:pPr>
              <w:pStyle w:val="BodyText"/>
              <w:ind w:left="0"/>
              <w:rPr>
                <w:sz w:val="14"/>
                <w:szCs w:val="14"/>
              </w:rPr>
            </w:pPr>
            <w:r w:rsidRPr="00F35CD0">
              <w:rPr>
                <w:sz w:val="14"/>
                <w:szCs w:val="14"/>
              </w:rPr>
              <w:t xml:space="preserve">2017.02.22 </w:t>
            </w:r>
            <w:r w:rsidRPr="00EC22B6">
              <w:rPr>
                <w:sz w:val="14"/>
                <w:szCs w:val="14"/>
              </w:rPr>
              <w:t>Cooper Energy</w:t>
            </w:r>
            <w:r w:rsidRPr="00F35CD0">
              <w:rPr>
                <w:sz w:val="14"/>
                <w:szCs w:val="14"/>
              </w:rPr>
              <w:t xml:space="preserve"> signed the MOU agreement with AMSA</w:t>
            </w:r>
            <w:r>
              <w:rPr>
                <w:sz w:val="14"/>
                <w:szCs w:val="14"/>
              </w:rPr>
              <w:t xml:space="preserve"> </w:t>
            </w:r>
          </w:p>
        </w:tc>
        <w:tc>
          <w:tcPr>
            <w:tcW w:w="1987" w:type="dxa"/>
            <w:shd w:val="clear" w:color="auto" w:fill="FFFFFF" w:themeFill="background1"/>
          </w:tcPr>
          <w:p w14:paraId="42C17BAA" w14:textId="77777777" w:rsidR="006F7282" w:rsidRPr="00F55F64" w:rsidRDefault="006F7282" w:rsidP="00B55186">
            <w:pPr>
              <w:pStyle w:val="BodyText"/>
              <w:ind w:left="0"/>
              <w:rPr>
                <w:sz w:val="14"/>
                <w:szCs w:val="14"/>
              </w:rPr>
            </w:pPr>
            <w:r>
              <w:rPr>
                <w:sz w:val="14"/>
                <w:szCs w:val="14"/>
              </w:rPr>
              <w:t>Not Applicable</w:t>
            </w:r>
          </w:p>
        </w:tc>
      </w:tr>
      <w:tr w:rsidR="006F7282" w14:paraId="190B6BD1" w14:textId="77777777" w:rsidTr="006F7282">
        <w:trPr>
          <w:cnfStyle w:val="000000010000" w:firstRow="0" w:lastRow="0" w:firstColumn="0" w:lastColumn="0" w:oddVBand="0" w:evenVBand="0" w:oddHBand="0" w:evenHBand="1" w:firstRowFirstColumn="0" w:firstRowLastColumn="0" w:lastRowFirstColumn="0" w:lastRowLastColumn="0"/>
          <w:cantSplit/>
        </w:trPr>
        <w:tc>
          <w:tcPr>
            <w:tcW w:w="1162" w:type="dxa"/>
          </w:tcPr>
          <w:p w14:paraId="68C31C4F" w14:textId="77777777" w:rsidR="006F7282" w:rsidRPr="00F55F64" w:rsidRDefault="006F7282" w:rsidP="00B55186">
            <w:pPr>
              <w:pStyle w:val="BodyText"/>
              <w:ind w:left="5"/>
              <w:rPr>
                <w:sz w:val="14"/>
                <w:szCs w:val="14"/>
              </w:rPr>
            </w:pPr>
            <w:r w:rsidRPr="00F55F64">
              <w:rPr>
                <w:sz w:val="14"/>
                <w:szCs w:val="14"/>
              </w:rPr>
              <w:t>Bairnsdale Air Charter</w:t>
            </w:r>
          </w:p>
          <w:p w14:paraId="2022012E" w14:textId="77777777" w:rsidR="006F7282" w:rsidRPr="00F55F64" w:rsidRDefault="006F7282" w:rsidP="00B55186">
            <w:pPr>
              <w:pStyle w:val="BodyText"/>
              <w:ind w:left="5"/>
              <w:rPr>
                <w:sz w:val="14"/>
                <w:szCs w:val="14"/>
              </w:rPr>
            </w:pPr>
          </w:p>
        </w:tc>
        <w:tc>
          <w:tcPr>
            <w:tcW w:w="2431" w:type="dxa"/>
          </w:tcPr>
          <w:p w14:paraId="53940C90" w14:textId="77777777" w:rsidR="006F7282" w:rsidRPr="00F55F64" w:rsidRDefault="006F7282" w:rsidP="00B55186">
            <w:pPr>
              <w:pStyle w:val="BodyText"/>
              <w:ind w:left="0"/>
              <w:rPr>
                <w:sz w:val="14"/>
                <w:szCs w:val="14"/>
              </w:rPr>
            </w:pPr>
            <w:r w:rsidRPr="00F55F64">
              <w:rPr>
                <w:sz w:val="14"/>
                <w:szCs w:val="14"/>
              </w:rPr>
              <w:t>Aviation support</w:t>
            </w:r>
          </w:p>
        </w:tc>
        <w:tc>
          <w:tcPr>
            <w:tcW w:w="3095" w:type="dxa"/>
          </w:tcPr>
          <w:p w14:paraId="71B2DBC2" w14:textId="77777777" w:rsidR="006F7282" w:rsidRPr="00F55F64" w:rsidRDefault="006F7282" w:rsidP="00B55186">
            <w:pPr>
              <w:pStyle w:val="BodyText"/>
              <w:ind w:left="5"/>
              <w:rPr>
                <w:sz w:val="14"/>
                <w:szCs w:val="14"/>
              </w:rPr>
            </w:pPr>
            <w:r>
              <w:rPr>
                <w:sz w:val="14"/>
                <w:szCs w:val="14"/>
              </w:rPr>
              <w:t>Cooper will undertake pre-qualification of Bairnsdale Air Charter to allow for charter during any oil spill response operational monitoring activities. Bairnsdale Air Charter has 3 x Cessna 337 aircraft to be utilised for this activity.</w:t>
            </w:r>
          </w:p>
        </w:tc>
        <w:tc>
          <w:tcPr>
            <w:tcW w:w="2403" w:type="dxa"/>
          </w:tcPr>
          <w:p w14:paraId="75A58D72" w14:textId="77777777" w:rsidR="006F7282" w:rsidRPr="00F55F64" w:rsidRDefault="006F7282" w:rsidP="00B55186">
            <w:pPr>
              <w:pStyle w:val="BodyText"/>
              <w:ind w:left="0"/>
              <w:rPr>
                <w:sz w:val="14"/>
                <w:szCs w:val="14"/>
              </w:rPr>
            </w:pPr>
            <w:r w:rsidRPr="00F55F64">
              <w:rPr>
                <w:sz w:val="14"/>
                <w:szCs w:val="14"/>
              </w:rPr>
              <w:t xml:space="preserve">2017.02.23 Email - Confirmation Bairnsdale Air Charter can support </w:t>
            </w:r>
            <w:r w:rsidRPr="00EC22B6">
              <w:rPr>
                <w:sz w:val="14"/>
                <w:szCs w:val="14"/>
              </w:rPr>
              <w:t>Cooper Energy</w:t>
            </w:r>
            <w:r w:rsidRPr="00F55F64">
              <w:rPr>
                <w:sz w:val="14"/>
                <w:szCs w:val="14"/>
              </w:rPr>
              <w:t>, in the event of an oil/condensate spill offshore Gippsland or Otway.</w:t>
            </w:r>
          </w:p>
        </w:tc>
        <w:tc>
          <w:tcPr>
            <w:tcW w:w="2196" w:type="dxa"/>
          </w:tcPr>
          <w:p w14:paraId="6B3044E0" w14:textId="77777777" w:rsidR="006F7282" w:rsidRPr="00F55F64" w:rsidRDefault="006F7282" w:rsidP="00B55186">
            <w:pPr>
              <w:pStyle w:val="BodyText"/>
              <w:ind w:left="0"/>
              <w:rPr>
                <w:sz w:val="14"/>
                <w:szCs w:val="14"/>
              </w:rPr>
            </w:pPr>
            <w:r w:rsidRPr="00C545DE">
              <w:rPr>
                <w:sz w:val="14"/>
                <w:szCs w:val="14"/>
              </w:rPr>
              <w:t>No response received</w:t>
            </w:r>
            <w:r w:rsidRPr="00F55F64">
              <w:rPr>
                <w:sz w:val="14"/>
                <w:szCs w:val="14"/>
              </w:rPr>
              <w:t xml:space="preserve"> </w:t>
            </w:r>
          </w:p>
          <w:p w14:paraId="35CF25F5" w14:textId="77777777" w:rsidR="006F7282" w:rsidRPr="00F55F64" w:rsidRDefault="006F7282" w:rsidP="00B55186">
            <w:pPr>
              <w:pStyle w:val="BodyText"/>
              <w:ind w:left="0"/>
              <w:rPr>
                <w:sz w:val="14"/>
                <w:szCs w:val="14"/>
              </w:rPr>
            </w:pPr>
            <w:r w:rsidRPr="00EC22B6">
              <w:rPr>
                <w:sz w:val="14"/>
                <w:szCs w:val="14"/>
              </w:rPr>
              <w:t>Cooper Energy</w:t>
            </w:r>
            <w:r w:rsidRPr="00F55F64">
              <w:rPr>
                <w:sz w:val="14"/>
                <w:szCs w:val="14"/>
              </w:rPr>
              <w:t xml:space="preserve"> to follow-up a response</w:t>
            </w:r>
          </w:p>
        </w:tc>
        <w:tc>
          <w:tcPr>
            <w:tcW w:w="1987" w:type="dxa"/>
          </w:tcPr>
          <w:p w14:paraId="66F00716" w14:textId="77777777" w:rsidR="006F7282" w:rsidRPr="00F55F64" w:rsidRDefault="006F7282" w:rsidP="00B55186">
            <w:pPr>
              <w:rPr>
                <w:sz w:val="14"/>
                <w:szCs w:val="14"/>
              </w:rPr>
            </w:pPr>
          </w:p>
        </w:tc>
      </w:tr>
      <w:tr w:rsidR="006F7282" w14:paraId="738EFC2E" w14:textId="77777777" w:rsidTr="006F7282">
        <w:trPr>
          <w:cantSplit/>
        </w:trPr>
        <w:tc>
          <w:tcPr>
            <w:tcW w:w="1162" w:type="dxa"/>
            <w:shd w:val="clear" w:color="auto" w:fill="FFFFFF" w:themeFill="background1"/>
          </w:tcPr>
          <w:p w14:paraId="6633F303" w14:textId="77777777" w:rsidR="006F7282" w:rsidRPr="00F55F64" w:rsidRDefault="006F7282" w:rsidP="00B55186">
            <w:pPr>
              <w:pStyle w:val="BodyText"/>
              <w:ind w:left="5"/>
              <w:rPr>
                <w:sz w:val="14"/>
                <w:szCs w:val="14"/>
              </w:rPr>
            </w:pPr>
            <w:r w:rsidRPr="00F55F64">
              <w:rPr>
                <w:sz w:val="14"/>
                <w:szCs w:val="14"/>
              </w:rPr>
              <w:t>Comchart Marine Pty Ltd (Bass Trek &amp; Bass Explorer &amp; Bass Rover)</w:t>
            </w:r>
          </w:p>
        </w:tc>
        <w:tc>
          <w:tcPr>
            <w:tcW w:w="2431" w:type="dxa"/>
            <w:shd w:val="clear" w:color="auto" w:fill="FFFFFF" w:themeFill="background1"/>
          </w:tcPr>
          <w:p w14:paraId="71FE9BDE" w14:textId="77777777" w:rsidR="006F7282" w:rsidRPr="00F55F64" w:rsidRDefault="006F7282" w:rsidP="00B55186">
            <w:pPr>
              <w:pStyle w:val="BodyText"/>
              <w:ind w:left="0"/>
              <w:rPr>
                <w:sz w:val="14"/>
                <w:szCs w:val="14"/>
              </w:rPr>
            </w:pPr>
            <w:r w:rsidRPr="00F55F64">
              <w:rPr>
                <w:sz w:val="14"/>
                <w:szCs w:val="14"/>
              </w:rPr>
              <w:t>Vessel Services</w:t>
            </w:r>
          </w:p>
        </w:tc>
        <w:tc>
          <w:tcPr>
            <w:tcW w:w="3095" w:type="dxa"/>
            <w:shd w:val="clear" w:color="auto" w:fill="FFFFFF" w:themeFill="background1"/>
          </w:tcPr>
          <w:p w14:paraId="4FAE956C" w14:textId="77777777" w:rsidR="006F7282" w:rsidRPr="00F55F64" w:rsidRDefault="006F7282" w:rsidP="00B55186">
            <w:pPr>
              <w:pStyle w:val="BodyText"/>
              <w:ind w:left="5"/>
              <w:rPr>
                <w:sz w:val="14"/>
                <w:szCs w:val="14"/>
              </w:rPr>
            </w:pPr>
            <w:r w:rsidRPr="00EC22B6">
              <w:rPr>
                <w:sz w:val="14"/>
                <w:szCs w:val="14"/>
              </w:rPr>
              <w:t>Cooper Energy</w:t>
            </w:r>
            <w:r w:rsidRPr="00F55F64">
              <w:rPr>
                <w:sz w:val="14"/>
                <w:szCs w:val="14"/>
              </w:rPr>
              <w:t xml:space="preserve"> is seeking to formalise a Marine Charter Agreement directly with Comchart Marine going forward with respect to Oil Spill Response. </w:t>
            </w:r>
          </w:p>
          <w:p w14:paraId="77A74126" w14:textId="77777777" w:rsidR="006F7282" w:rsidRPr="00F55F64" w:rsidRDefault="006F7282" w:rsidP="00B55186">
            <w:pPr>
              <w:pStyle w:val="BodyText"/>
              <w:ind w:left="0"/>
              <w:rPr>
                <w:sz w:val="14"/>
                <w:szCs w:val="14"/>
              </w:rPr>
            </w:pPr>
            <w:r w:rsidRPr="00F55F64">
              <w:rPr>
                <w:sz w:val="14"/>
                <w:szCs w:val="14"/>
              </w:rPr>
              <w:t xml:space="preserve">2017.02.22 Email – Arrangements to utilise the Bass Trek </w:t>
            </w:r>
            <w:r>
              <w:rPr>
                <w:sz w:val="14"/>
                <w:szCs w:val="14"/>
              </w:rPr>
              <w:t>based upon a Supplytime 89 arrangement.</w:t>
            </w:r>
            <w:r w:rsidRPr="00F55F64">
              <w:rPr>
                <w:sz w:val="14"/>
                <w:szCs w:val="14"/>
              </w:rPr>
              <w:t xml:space="preserve"> </w:t>
            </w:r>
          </w:p>
        </w:tc>
        <w:tc>
          <w:tcPr>
            <w:tcW w:w="2403" w:type="dxa"/>
            <w:shd w:val="clear" w:color="auto" w:fill="FFFFFF" w:themeFill="background1"/>
          </w:tcPr>
          <w:p w14:paraId="667B44BD" w14:textId="77777777" w:rsidR="006F7282" w:rsidRPr="00F55F64" w:rsidRDefault="006F7282" w:rsidP="00B55186">
            <w:pPr>
              <w:pStyle w:val="BodyText"/>
              <w:ind w:left="0"/>
              <w:rPr>
                <w:sz w:val="14"/>
                <w:szCs w:val="14"/>
              </w:rPr>
            </w:pPr>
            <w:r w:rsidRPr="00F55F64">
              <w:rPr>
                <w:sz w:val="14"/>
                <w:szCs w:val="14"/>
              </w:rPr>
              <w:t xml:space="preserve">2017.02.22 Email - Confirmation Comchart is willing to support </w:t>
            </w:r>
            <w:r w:rsidRPr="00EC22B6">
              <w:rPr>
                <w:sz w:val="14"/>
                <w:szCs w:val="14"/>
              </w:rPr>
              <w:t>Cooper Energy</w:t>
            </w:r>
            <w:r w:rsidRPr="00F55F64">
              <w:rPr>
                <w:sz w:val="14"/>
                <w:szCs w:val="14"/>
              </w:rPr>
              <w:t>, by way of a Marine Charter Agreement similar to that in place with Santos</w:t>
            </w:r>
          </w:p>
        </w:tc>
        <w:tc>
          <w:tcPr>
            <w:tcW w:w="2196" w:type="dxa"/>
            <w:shd w:val="clear" w:color="auto" w:fill="FFFFFF" w:themeFill="background1"/>
          </w:tcPr>
          <w:p w14:paraId="22090345" w14:textId="77777777" w:rsidR="006F7282" w:rsidRPr="00F55F64" w:rsidRDefault="006F7282" w:rsidP="00B55186">
            <w:pPr>
              <w:pStyle w:val="BodyText"/>
              <w:ind w:left="0"/>
              <w:rPr>
                <w:sz w:val="14"/>
                <w:szCs w:val="14"/>
              </w:rPr>
            </w:pPr>
            <w:r w:rsidRPr="00F55F64">
              <w:rPr>
                <w:sz w:val="14"/>
                <w:szCs w:val="14"/>
              </w:rPr>
              <w:t>No Issues with comments provided.</w:t>
            </w:r>
          </w:p>
        </w:tc>
        <w:tc>
          <w:tcPr>
            <w:tcW w:w="1987" w:type="dxa"/>
            <w:shd w:val="clear" w:color="auto" w:fill="FFFFFF" w:themeFill="background1"/>
          </w:tcPr>
          <w:p w14:paraId="4ECF242A" w14:textId="77777777" w:rsidR="006F7282" w:rsidRPr="00F55F64" w:rsidRDefault="006F7282" w:rsidP="00B55186">
            <w:pPr>
              <w:rPr>
                <w:sz w:val="14"/>
                <w:szCs w:val="14"/>
              </w:rPr>
            </w:pPr>
            <w:r w:rsidRPr="00EC22B6">
              <w:rPr>
                <w:sz w:val="14"/>
                <w:szCs w:val="14"/>
              </w:rPr>
              <w:t>Cooper Energy</w:t>
            </w:r>
            <w:r w:rsidRPr="007C736F">
              <w:rPr>
                <w:sz w:val="14"/>
                <w:szCs w:val="14"/>
              </w:rPr>
              <w:t xml:space="preserve"> to progress a </w:t>
            </w:r>
            <w:r>
              <w:rPr>
                <w:sz w:val="14"/>
                <w:szCs w:val="14"/>
              </w:rPr>
              <w:t>Supplytime 89</w:t>
            </w:r>
            <w:r w:rsidRPr="007C736F">
              <w:rPr>
                <w:sz w:val="14"/>
                <w:szCs w:val="14"/>
              </w:rPr>
              <w:t xml:space="preserve"> Agreement with Comchart Marine Pty Ltd</w:t>
            </w:r>
          </w:p>
        </w:tc>
      </w:tr>
      <w:tr w:rsidR="006F7282" w14:paraId="43168939" w14:textId="77777777" w:rsidTr="006F7282">
        <w:trPr>
          <w:cnfStyle w:val="000000010000" w:firstRow="0" w:lastRow="0" w:firstColumn="0" w:lastColumn="0" w:oddVBand="0" w:evenVBand="0" w:oddHBand="0" w:evenHBand="1" w:firstRowFirstColumn="0" w:firstRowLastColumn="0" w:lastRowFirstColumn="0" w:lastRowLastColumn="0"/>
          <w:cantSplit/>
        </w:trPr>
        <w:tc>
          <w:tcPr>
            <w:tcW w:w="1162" w:type="dxa"/>
            <w:vMerge w:val="restart"/>
          </w:tcPr>
          <w:p w14:paraId="4F6D7269" w14:textId="77777777" w:rsidR="006F7282" w:rsidRPr="00F55F64" w:rsidRDefault="006F7282" w:rsidP="00B55186">
            <w:pPr>
              <w:pStyle w:val="BodyText"/>
              <w:ind w:left="0"/>
              <w:rPr>
                <w:sz w:val="14"/>
                <w:szCs w:val="14"/>
              </w:rPr>
            </w:pPr>
            <w:r w:rsidRPr="00F55F64">
              <w:rPr>
                <w:sz w:val="14"/>
                <w:szCs w:val="14"/>
              </w:rPr>
              <w:lastRenderedPageBreak/>
              <w:t>AMOSC</w:t>
            </w:r>
          </w:p>
        </w:tc>
        <w:tc>
          <w:tcPr>
            <w:tcW w:w="2431" w:type="dxa"/>
          </w:tcPr>
          <w:p w14:paraId="34CB102B" w14:textId="77777777" w:rsidR="006F7282" w:rsidRPr="00F55F64" w:rsidRDefault="006F7282" w:rsidP="00B55186">
            <w:pPr>
              <w:pStyle w:val="BodyText"/>
              <w:ind w:left="0"/>
              <w:rPr>
                <w:sz w:val="14"/>
                <w:szCs w:val="14"/>
              </w:rPr>
            </w:pPr>
            <w:r w:rsidRPr="00F55F64">
              <w:rPr>
                <w:sz w:val="14"/>
                <w:szCs w:val="14"/>
              </w:rPr>
              <w:t xml:space="preserve">Oil Spill Response Organisation </w:t>
            </w:r>
          </w:p>
          <w:p w14:paraId="6D381C48" w14:textId="77777777" w:rsidR="006F7282" w:rsidRPr="00F55F64" w:rsidRDefault="006F7282" w:rsidP="00B55186">
            <w:pPr>
              <w:pStyle w:val="BodyText"/>
              <w:ind w:left="0"/>
              <w:rPr>
                <w:sz w:val="14"/>
                <w:szCs w:val="14"/>
              </w:rPr>
            </w:pPr>
            <w:r>
              <w:rPr>
                <w:sz w:val="14"/>
                <w:szCs w:val="14"/>
              </w:rPr>
              <w:t xml:space="preserve">Review and comment on </w:t>
            </w:r>
            <w:r w:rsidRPr="00EC22B6">
              <w:rPr>
                <w:sz w:val="14"/>
                <w:szCs w:val="14"/>
              </w:rPr>
              <w:t>Cooper Energy</w:t>
            </w:r>
            <w:r>
              <w:rPr>
                <w:sz w:val="14"/>
                <w:szCs w:val="14"/>
              </w:rPr>
              <w:t xml:space="preserve"> Offshore Victorian </w:t>
            </w:r>
            <w:r w:rsidRPr="00F55F64">
              <w:rPr>
                <w:sz w:val="14"/>
                <w:szCs w:val="14"/>
              </w:rPr>
              <w:t>O</w:t>
            </w:r>
            <w:r>
              <w:rPr>
                <w:sz w:val="14"/>
                <w:szCs w:val="14"/>
              </w:rPr>
              <w:t>il Pollution Emergency Plan (O</w:t>
            </w:r>
            <w:r w:rsidRPr="00F55F64">
              <w:rPr>
                <w:sz w:val="14"/>
                <w:szCs w:val="14"/>
              </w:rPr>
              <w:t>PEP</w:t>
            </w:r>
            <w:r>
              <w:rPr>
                <w:sz w:val="14"/>
                <w:szCs w:val="14"/>
              </w:rPr>
              <w:t>) reviewer</w:t>
            </w:r>
            <w:r w:rsidRPr="00F55F64">
              <w:rPr>
                <w:sz w:val="14"/>
                <w:szCs w:val="14"/>
              </w:rPr>
              <w:t xml:space="preserve"> </w:t>
            </w:r>
          </w:p>
        </w:tc>
        <w:tc>
          <w:tcPr>
            <w:tcW w:w="3095" w:type="dxa"/>
          </w:tcPr>
          <w:p w14:paraId="1CA1EE1E" w14:textId="77777777" w:rsidR="006F7282" w:rsidRPr="00F55F64" w:rsidRDefault="006F7282" w:rsidP="00B55186">
            <w:pPr>
              <w:pStyle w:val="BodyText"/>
              <w:ind w:left="5"/>
              <w:rPr>
                <w:sz w:val="14"/>
                <w:szCs w:val="14"/>
              </w:rPr>
            </w:pPr>
            <w:r w:rsidRPr="00EC22B6">
              <w:rPr>
                <w:sz w:val="14"/>
                <w:szCs w:val="14"/>
              </w:rPr>
              <w:t>Cooper Energy</w:t>
            </w:r>
            <w:r w:rsidRPr="00F55F64">
              <w:rPr>
                <w:sz w:val="14"/>
                <w:szCs w:val="14"/>
              </w:rPr>
              <w:t xml:space="preserve"> has been liaising with AMOSC since mid-2012 with respect to Oil Spill Response. </w:t>
            </w:r>
          </w:p>
          <w:p w14:paraId="0B38C766" w14:textId="77777777" w:rsidR="006F7282" w:rsidRPr="00F55F64" w:rsidRDefault="006F7282" w:rsidP="00B55186">
            <w:pPr>
              <w:pStyle w:val="BodyText"/>
              <w:ind w:left="5"/>
              <w:rPr>
                <w:sz w:val="14"/>
                <w:szCs w:val="14"/>
              </w:rPr>
            </w:pPr>
            <w:r w:rsidRPr="00EC22B6">
              <w:rPr>
                <w:sz w:val="14"/>
                <w:szCs w:val="14"/>
              </w:rPr>
              <w:t>Cooper Energy</w:t>
            </w:r>
            <w:r w:rsidRPr="00F55F64">
              <w:rPr>
                <w:sz w:val="14"/>
                <w:szCs w:val="14"/>
              </w:rPr>
              <w:t xml:space="preserve"> maintains an Associate Membership with AMOSC</w:t>
            </w:r>
          </w:p>
        </w:tc>
        <w:tc>
          <w:tcPr>
            <w:tcW w:w="2403" w:type="dxa"/>
          </w:tcPr>
          <w:p w14:paraId="1C464702" w14:textId="77777777" w:rsidR="006F7282" w:rsidRPr="00F55F64" w:rsidRDefault="006F7282" w:rsidP="00B55186">
            <w:pPr>
              <w:pStyle w:val="BodyText"/>
              <w:ind w:left="0"/>
              <w:rPr>
                <w:sz w:val="14"/>
                <w:szCs w:val="14"/>
              </w:rPr>
            </w:pPr>
          </w:p>
        </w:tc>
        <w:tc>
          <w:tcPr>
            <w:tcW w:w="2196" w:type="dxa"/>
          </w:tcPr>
          <w:p w14:paraId="4F1EDEFC" w14:textId="77777777" w:rsidR="006F7282" w:rsidRPr="00F55F64" w:rsidRDefault="006F7282" w:rsidP="00B55186">
            <w:pPr>
              <w:pStyle w:val="BodyText"/>
              <w:ind w:left="0"/>
              <w:rPr>
                <w:sz w:val="14"/>
                <w:szCs w:val="14"/>
                <w:highlight w:val="yellow"/>
              </w:rPr>
            </w:pPr>
          </w:p>
        </w:tc>
        <w:tc>
          <w:tcPr>
            <w:tcW w:w="1987" w:type="dxa"/>
          </w:tcPr>
          <w:p w14:paraId="6E5D396B" w14:textId="77777777" w:rsidR="006F7282" w:rsidRPr="00F55F64" w:rsidRDefault="006F7282" w:rsidP="00B55186">
            <w:pPr>
              <w:pStyle w:val="BodyText"/>
              <w:ind w:left="0"/>
              <w:rPr>
                <w:sz w:val="14"/>
                <w:szCs w:val="14"/>
                <w:highlight w:val="yellow"/>
              </w:rPr>
            </w:pPr>
          </w:p>
        </w:tc>
      </w:tr>
      <w:tr w:rsidR="006F7282" w14:paraId="3C5506F0" w14:textId="77777777" w:rsidTr="006F7282">
        <w:trPr>
          <w:cantSplit/>
        </w:trPr>
        <w:tc>
          <w:tcPr>
            <w:tcW w:w="1162" w:type="dxa"/>
            <w:vMerge/>
            <w:shd w:val="clear" w:color="auto" w:fill="F2F2F2" w:themeFill="background1" w:themeFillShade="F2"/>
          </w:tcPr>
          <w:p w14:paraId="529B1970" w14:textId="77777777" w:rsidR="006F7282" w:rsidRPr="00F55F64" w:rsidRDefault="006F7282" w:rsidP="00B55186">
            <w:pPr>
              <w:pStyle w:val="BodyText"/>
              <w:ind w:left="0"/>
              <w:rPr>
                <w:sz w:val="14"/>
                <w:szCs w:val="14"/>
              </w:rPr>
            </w:pPr>
          </w:p>
        </w:tc>
        <w:tc>
          <w:tcPr>
            <w:tcW w:w="2431" w:type="dxa"/>
            <w:shd w:val="clear" w:color="auto" w:fill="F2F2F2" w:themeFill="background1" w:themeFillShade="F2"/>
          </w:tcPr>
          <w:p w14:paraId="232BAD57" w14:textId="77777777" w:rsidR="006F7282" w:rsidRPr="00F55F64" w:rsidRDefault="006F7282" w:rsidP="00B55186">
            <w:pPr>
              <w:pStyle w:val="BodyText"/>
              <w:ind w:left="0"/>
              <w:rPr>
                <w:sz w:val="14"/>
                <w:szCs w:val="14"/>
              </w:rPr>
            </w:pPr>
          </w:p>
        </w:tc>
        <w:tc>
          <w:tcPr>
            <w:tcW w:w="3095" w:type="dxa"/>
            <w:shd w:val="clear" w:color="auto" w:fill="F2F2F2" w:themeFill="background1" w:themeFillShade="F2"/>
          </w:tcPr>
          <w:p w14:paraId="5DA5994D" w14:textId="77777777" w:rsidR="006F7282" w:rsidRPr="00F55F64" w:rsidRDefault="006F7282" w:rsidP="00B55186">
            <w:pPr>
              <w:pStyle w:val="BodyText"/>
              <w:ind w:left="5"/>
              <w:rPr>
                <w:sz w:val="14"/>
                <w:szCs w:val="14"/>
              </w:rPr>
            </w:pPr>
            <w:r w:rsidRPr="00D41084">
              <w:rPr>
                <w:sz w:val="14"/>
                <w:szCs w:val="14"/>
              </w:rPr>
              <w:t xml:space="preserve">2017.02.08 Email – Review of the </w:t>
            </w:r>
            <w:r w:rsidRPr="00EC22B6">
              <w:rPr>
                <w:sz w:val="14"/>
                <w:szCs w:val="14"/>
              </w:rPr>
              <w:t>Cooper Energy</w:t>
            </w:r>
            <w:r w:rsidRPr="00D41084">
              <w:rPr>
                <w:sz w:val="14"/>
                <w:szCs w:val="14"/>
              </w:rPr>
              <w:t xml:space="preserve"> Offshore Victorian O</w:t>
            </w:r>
            <w:r>
              <w:rPr>
                <w:sz w:val="14"/>
                <w:szCs w:val="14"/>
              </w:rPr>
              <w:t>PEP for the CHN EP.</w:t>
            </w:r>
          </w:p>
        </w:tc>
        <w:tc>
          <w:tcPr>
            <w:tcW w:w="2403" w:type="dxa"/>
            <w:shd w:val="clear" w:color="auto" w:fill="F2F2F2" w:themeFill="background1" w:themeFillShade="F2"/>
          </w:tcPr>
          <w:p w14:paraId="34F70FBE" w14:textId="77777777" w:rsidR="006F7282" w:rsidRPr="00F55F64" w:rsidRDefault="006F7282" w:rsidP="00B55186">
            <w:pPr>
              <w:spacing w:before="120"/>
              <w:rPr>
                <w:sz w:val="14"/>
                <w:szCs w:val="14"/>
              </w:rPr>
            </w:pPr>
            <w:r w:rsidRPr="00D41084">
              <w:rPr>
                <w:sz w:val="14"/>
                <w:szCs w:val="14"/>
              </w:rPr>
              <w:t xml:space="preserve">2017.02.16 Email AMOSC provided minor feedback on Offshore Victorian OPEP. </w:t>
            </w:r>
            <w:r w:rsidRPr="00EC22B6">
              <w:rPr>
                <w:sz w:val="14"/>
                <w:szCs w:val="14"/>
              </w:rPr>
              <w:t>Cooper Energy</w:t>
            </w:r>
            <w:r w:rsidRPr="00D41084">
              <w:rPr>
                <w:sz w:val="14"/>
                <w:szCs w:val="14"/>
              </w:rPr>
              <w:t xml:space="preserve"> updated this OPEP in accordance with the feedback to allow for final review.</w:t>
            </w:r>
          </w:p>
        </w:tc>
        <w:tc>
          <w:tcPr>
            <w:tcW w:w="2196" w:type="dxa"/>
            <w:shd w:val="clear" w:color="auto" w:fill="F2F2F2" w:themeFill="background1" w:themeFillShade="F2"/>
          </w:tcPr>
          <w:p w14:paraId="0523ADAA" w14:textId="77777777" w:rsidR="006F7282" w:rsidRPr="00F55F64" w:rsidRDefault="006F7282" w:rsidP="00B55186">
            <w:pPr>
              <w:pStyle w:val="BodyText"/>
              <w:ind w:left="0"/>
              <w:rPr>
                <w:sz w:val="14"/>
                <w:szCs w:val="14"/>
              </w:rPr>
            </w:pPr>
            <w:r w:rsidRPr="00F55F64">
              <w:rPr>
                <w:sz w:val="14"/>
                <w:szCs w:val="14"/>
              </w:rPr>
              <w:t xml:space="preserve">Comments received from AMOSC deemed valid and applicable to the </w:t>
            </w:r>
            <w:r>
              <w:rPr>
                <w:sz w:val="14"/>
                <w:szCs w:val="14"/>
              </w:rPr>
              <w:t>CHN</w:t>
            </w:r>
            <w:r w:rsidRPr="00F55F64">
              <w:rPr>
                <w:sz w:val="14"/>
                <w:szCs w:val="14"/>
              </w:rPr>
              <w:t xml:space="preserve"> field</w:t>
            </w:r>
          </w:p>
          <w:p w14:paraId="44CA0ABB" w14:textId="77777777" w:rsidR="006F7282" w:rsidRPr="00F55F64" w:rsidRDefault="006F7282" w:rsidP="00B55186">
            <w:pPr>
              <w:pStyle w:val="BodyText"/>
              <w:ind w:left="0"/>
              <w:rPr>
                <w:sz w:val="14"/>
                <w:szCs w:val="14"/>
              </w:rPr>
            </w:pPr>
          </w:p>
        </w:tc>
        <w:tc>
          <w:tcPr>
            <w:tcW w:w="1987" w:type="dxa"/>
            <w:shd w:val="clear" w:color="auto" w:fill="F2F2F2" w:themeFill="background1" w:themeFillShade="F2"/>
          </w:tcPr>
          <w:p w14:paraId="160A75B6" w14:textId="77777777" w:rsidR="006F7282" w:rsidRPr="00F55F64" w:rsidRDefault="006F7282" w:rsidP="00B55186">
            <w:pPr>
              <w:pStyle w:val="BodyText"/>
              <w:ind w:left="0"/>
              <w:rPr>
                <w:sz w:val="14"/>
                <w:szCs w:val="14"/>
                <w:highlight w:val="yellow"/>
              </w:rPr>
            </w:pPr>
            <w:r w:rsidRPr="00D41084">
              <w:rPr>
                <w:sz w:val="14"/>
                <w:szCs w:val="14"/>
              </w:rPr>
              <w:t>2017.03.01 All comments incorporated into the OPEP, for finalisation before submission to NOPSEMA</w:t>
            </w:r>
          </w:p>
        </w:tc>
      </w:tr>
      <w:tr w:rsidR="006F7282" w14:paraId="50667D22" w14:textId="77777777" w:rsidTr="006F7282">
        <w:trPr>
          <w:cnfStyle w:val="000000010000" w:firstRow="0" w:lastRow="0" w:firstColumn="0" w:lastColumn="0" w:oddVBand="0" w:evenVBand="0" w:oddHBand="0" w:evenHBand="1" w:firstRowFirstColumn="0" w:firstRowLastColumn="0" w:lastRowFirstColumn="0" w:lastRowLastColumn="0"/>
          <w:cantSplit/>
        </w:trPr>
        <w:tc>
          <w:tcPr>
            <w:tcW w:w="1162" w:type="dxa"/>
            <w:vMerge/>
          </w:tcPr>
          <w:p w14:paraId="24F803D3" w14:textId="77777777" w:rsidR="006F7282" w:rsidRPr="00F55F64" w:rsidRDefault="006F7282" w:rsidP="00B55186">
            <w:pPr>
              <w:pStyle w:val="BodyText"/>
              <w:ind w:left="0"/>
              <w:rPr>
                <w:sz w:val="14"/>
                <w:szCs w:val="14"/>
              </w:rPr>
            </w:pPr>
          </w:p>
        </w:tc>
        <w:tc>
          <w:tcPr>
            <w:tcW w:w="2431" w:type="dxa"/>
          </w:tcPr>
          <w:p w14:paraId="59B778F0" w14:textId="77777777" w:rsidR="006F7282" w:rsidRPr="00F55F64" w:rsidRDefault="006F7282" w:rsidP="00B55186">
            <w:pPr>
              <w:pStyle w:val="BodyText"/>
              <w:ind w:left="0"/>
              <w:rPr>
                <w:sz w:val="14"/>
                <w:szCs w:val="14"/>
              </w:rPr>
            </w:pPr>
          </w:p>
        </w:tc>
        <w:tc>
          <w:tcPr>
            <w:tcW w:w="3095" w:type="dxa"/>
          </w:tcPr>
          <w:p w14:paraId="6EA76D5F" w14:textId="77777777" w:rsidR="006F7282" w:rsidRPr="00D41084" w:rsidRDefault="006F7282" w:rsidP="00B55186">
            <w:pPr>
              <w:spacing w:before="120"/>
              <w:rPr>
                <w:sz w:val="14"/>
                <w:szCs w:val="14"/>
              </w:rPr>
            </w:pPr>
            <w:r w:rsidRPr="00D41084">
              <w:rPr>
                <w:sz w:val="14"/>
                <w:szCs w:val="14"/>
              </w:rPr>
              <w:t>2017.03.01 Email - Final revision of the Offshore Victorian OPEP sent to AMOSC with comments of 16/2/2017 recognised.</w:t>
            </w:r>
          </w:p>
        </w:tc>
        <w:tc>
          <w:tcPr>
            <w:tcW w:w="2403" w:type="dxa"/>
          </w:tcPr>
          <w:p w14:paraId="281BBBB7" w14:textId="77777777" w:rsidR="006F7282" w:rsidRPr="00D41084" w:rsidRDefault="006F7282" w:rsidP="00B55186">
            <w:pPr>
              <w:pStyle w:val="BodyText"/>
              <w:ind w:left="0"/>
              <w:rPr>
                <w:b/>
                <w:sz w:val="14"/>
                <w:szCs w:val="14"/>
              </w:rPr>
            </w:pPr>
            <w:r>
              <w:rPr>
                <w:sz w:val="14"/>
                <w:szCs w:val="14"/>
              </w:rPr>
              <w:t xml:space="preserve">2017.03.07 Email - </w:t>
            </w:r>
            <w:r w:rsidRPr="00D41084">
              <w:rPr>
                <w:sz w:val="14"/>
                <w:szCs w:val="14"/>
              </w:rPr>
              <w:t xml:space="preserve">AMOSC response indicating AMOSC role responsibilities are accurately reflected within the OPEP </w:t>
            </w:r>
          </w:p>
        </w:tc>
        <w:tc>
          <w:tcPr>
            <w:tcW w:w="2196" w:type="dxa"/>
          </w:tcPr>
          <w:p w14:paraId="4AFD2C07" w14:textId="77777777" w:rsidR="006F7282" w:rsidRPr="00F55F64" w:rsidRDefault="006F7282" w:rsidP="00B55186">
            <w:pPr>
              <w:pStyle w:val="BodyText"/>
              <w:ind w:left="0"/>
              <w:rPr>
                <w:sz w:val="14"/>
                <w:szCs w:val="14"/>
                <w:highlight w:val="yellow"/>
              </w:rPr>
            </w:pPr>
            <w:r w:rsidRPr="00F55F64">
              <w:rPr>
                <w:sz w:val="14"/>
                <w:szCs w:val="14"/>
              </w:rPr>
              <w:t>No Issues with comments provided.</w:t>
            </w:r>
          </w:p>
        </w:tc>
        <w:tc>
          <w:tcPr>
            <w:tcW w:w="1987" w:type="dxa"/>
          </w:tcPr>
          <w:p w14:paraId="6D8EEC7F" w14:textId="77777777" w:rsidR="006F7282" w:rsidRPr="00F55F64" w:rsidRDefault="006F7282" w:rsidP="00B55186">
            <w:pPr>
              <w:pStyle w:val="BodyText"/>
              <w:ind w:left="0"/>
              <w:rPr>
                <w:sz w:val="14"/>
                <w:szCs w:val="14"/>
                <w:highlight w:val="yellow"/>
              </w:rPr>
            </w:pPr>
            <w:r w:rsidRPr="00F55F64">
              <w:rPr>
                <w:sz w:val="14"/>
                <w:szCs w:val="14"/>
              </w:rPr>
              <w:t>Not Applicable</w:t>
            </w:r>
          </w:p>
        </w:tc>
      </w:tr>
      <w:tr w:rsidR="006F7282" w14:paraId="0785528F" w14:textId="77777777" w:rsidTr="006F7282">
        <w:trPr>
          <w:cantSplit/>
        </w:trPr>
        <w:tc>
          <w:tcPr>
            <w:tcW w:w="1162" w:type="dxa"/>
            <w:vMerge w:val="restart"/>
            <w:shd w:val="clear" w:color="auto" w:fill="FFFFFF" w:themeFill="background1"/>
          </w:tcPr>
          <w:p w14:paraId="06DB62C3" w14:textId="77777777" w:rsidR="006F7282" w:rsidRPr="00F55F64" w:rsidRDefault="006F7282" w:rsidP="00B55186">
            <w:pPr>
              <w:pStyle w:val="BodyText"/>
              <w:ind w:left="0"/>
              <w:rPr>
                <w:sz w:val="14"/>
                <w:szCs w:val="14"/>
              </w:rPr>
            </w:pPr>
            <w:r w:rsidRPr="00F55F64">
              <w:rPr>
                <w:sz w:val="14"/>
                <w:szCs w:val="14"/>
              </w:rPr>
              <w:t>GHD</w:t>
            </w:r>
          </w:p>
        </w:tc>
        <w:tc>
          <w:tcPr>
            <w:tcW w:w="2431" w:type="dxa"/>
            <w:shd w:val="clear" w:color="auto" w:fill="FFFFFF" w:themeFill="background1"/>
          </w:tcPr>
          <w:p w14:paraId="29688B6A" w14:textId="77777777" w:rsidR="006F7282" w:rsidRPr="00F55F64" w:rsidRDefault="006F7282" w:rsidP="00B55186">
            <w:pPr>
              <w:pStyle w:val="BodyText"/>
              <w:ind w:left="5"/>
              <w:rPr>
                <w:sz w:val="14"/>
                <w:szCs w:val="14"/>
              </w:rPr>
            </w:pPr>
            <w:r w:rsidRPr="00F55F64">
              <w:rPr>
                <w:sz w:val="14"/>
                <w:szCs w:val="14"/>
              </w:rPr>
              <w:t xml:space="preserve">Scientific Monitoring </w:t>
            </w:r>
            <w:r>
              <w:rPr>
                <w:sz w:val="14"/>
                <w:szCs w:val="14"/>
              </w:rPr>
              <w:t>Support during oil spill</w:t>
            </w:r>
          </w:p>
          <w:p w14:paraId="2AB91A4E" w14:textId="77777777" w:rsidR="006F7282" w:rsidRPr="00F55F64" w:rsidRDefault="006F7282" w:rsidP="00B55186">
            <w:pPr>
              <w:pStyle w:val="BodyText"/>
              <w:ind w:left="5"/>
              <w:rPr>
                <w:sz w:val="14"/>
                <w:szCs w:val="14"/>
              </w:rPr>
            </w:pPr>
            <w:r w:rsidRPr="00F55F64">
              <w:rPr>
                <w:sz w:val="14"/>
                <w:szCs w:val="14"/>
              </w:rPr>
              <w:t>Cooper Energy - Offshore Victoria Operational &amp; Scientific Monitoring Plan (OSMP) (VIC-ER-EMP-0002) and OSMP Addendum – Implementation Strategy (VIC-ER-EMP-0003)</w:t>
            </w:r>
          </w:p>
        </w:tc>
        <w:tc>
          <w:tcPr>
            <w:tcW w:w="3095" w:type="dxa"/>
            <w:shd w:val="clear" w:color="auto" w:fill="FFFFFF" w:themeFill="background1"/>
          </w:tcPr>
          <w:p w14:paraId="1A32F00A" w14:textId="77777777" w:rsidR="006F7282" w:rsidRPr="00F55F64" w:rsidRDefault="006F7282" w:rsidP="00B55186">
            <w:pPr>
              <w:pStyle w:val="BodyText"/>
              <w:ind w:left="5"/>
              <w:rPr>
                <w:sz w:val="14"/>
                <w:szCs w:val="14"/>
              </w:rPr>
            </w:pPr>
            <w:r w:rsidRPr="00F55F64">
              <w:rPr>
                <w:sz w:val="14"/>
                <w:szCs w:val="14"/>
              </w:rPr>
              <w:t xml:space="preserve">The overarching operational &amp; scientific monitoring plan (OSMP) has been updated to include </w:t>
            </w:r>
            <w:r>
              <w:rPr>
                <w:sz w:val="14"/>
                <w:szCs w:val="14"/>
              </w:rPr>
              <w:t>CHN</w:t>
            </w:r>
            <w:r w:rsidRPr="002B4C57">
              <w:rPr>
                <w:sz w:val="14"/>
                <w:szCs w:val="14"/>
              </w:rPr>
              <w:t xml:space="preserve"> </w:t>
            </w:r>
            <w:r w:rsidRPr="00F55F64">
              <w:rPr>
                <w:sz w:val="14"/>
                <w:szCs w:val="14"/>
              </w:rPr>
              <w:t xml:space="preserve">activity. </w:t>
            </w:r>
          </w:p>
          <w:p w14:paraId="2F2F70F9" w14:textId="77777777" w:rsidR="006F7282" w:rsidRPr="00F55F64" w:rsidRDefault="006F7282" w:rsidP="0036080A">
            <w:pPr>
              <w:pStyle w:val="BodyText"/>
              <w:widowControl w:val="0"/>
              <w:numPr>
                <w:ilvl w:val="0"/>
                <w:numId w:val="49"/>
              </w:numPr>
              <w:spacing w:before="120"/>
              <w:ind w:left="179" w:hanging="218"/>
              <w:rPr>
                <w:sz w:val="14"/>
                <w:szCs w:val="14"/>
              </w:rPr>
            </w:pPr>
            <w:r w:rsidRPr="00F55F64">
              <w:rPr>
                <w:sz w:val="14"/>
                <w:szCs w:val="14"/>
              </w:rPr>
              <w:t xml:space="preserve">Individual study implementation plans - GHD has provided updated drawings which accommodate </w:t>
            </w:r>
            <w:r>
              <w:rPr>
                <w:sz w:val="14"/>
                <w:szCs w:val="14"/>
              </w:rPr>
              <w:t>CHN</w:t>
            </w:r>
            <w:r w:rsidRPr="002B4C57">
              <w:rPr>
                <w:sz w:val="14"/>
                <w:szCs w:val="14"/>
              </w:rPr>
              <w:t xml:space="preserve"> </w:t>
            </w:r>
            <w:r>
              <w:rPr>
                <w:sz w:val="14"/>
                <w:szCs w:val="14"/>
              </w:rPr>
              <w:t>a</w:t>
            </w:r>
            <w:r w:rsidRPr="00F55F64">
              <w:rPr>
                <w:sz w:val="14"/>
                <w:szCs w:val="14"/>
              </w:rPr>
              <w:t>ctivities</w:t>
            </w:r>
          </w:p>
          <w:p w14:paraId="4A0DC2EB" w14:textId="77777777" w:rsidR="006F7282" w:rsidRPr="00F55F64" w:rsidRDefault="006F7282" w:rsidP="0036080A">
            <w:pPr>
              <w:pStyle w:val="BodyText"/>
              <w:widowControl w:val="0"/>
              <w:numPr>
                <w:ilvl w:val="0"/>
                <w:numId w:val="49"/>
              </w:numPr>
              <w:spacing w:before="120"/>
              <w:ind w:left="185" w:hanging="180"/>
              <w:rPr>
                <w:sz w:val="14"/>
                <w:szCs w:val="14"/>
              </w:rPr>
            </w:pPr>
            <w:r w:rsidRPr="00F55F64">
              <w:rPr>
                <w:sz w:val="14"/>
                <w:szCs w:val="14"/>
              </w:rPr>
              <w:t xml:space="preserve">GHD provided correct details for the OSMP Addendum – Implementation Strategy </w:t>
            </w:r>
          </w:p>
        </w:tc>
        <w:tc>
          <w:tcPr>
            <w:tcW w:w="2403" w:type="dxa"/>
            <w:shd w:val="clear" w:color="auto" w:fill="FFFFFF" w:themeFill="background1"/>
          </w:tcPr>
          <w:p w14:paraId="0CFB8FA2" w14:textId="77777777" w:rsidR="006F7282" w:rsidRPr="00F55F64" w:rsidRDefault="006F7282" w:rsidP="00B55186">
            <w:pPr>
              <w:pStyle w:val="BodyText"/>
              <w:ind w:left="0"/>
              <w:rPr>
                <w:sz w:val="14"/>
                <w:szCs w:val="14"/>
              </w:rPr>
            </w:pPr>
          </w:p>
        </w:tc>
        <w:tc>
          <w:tcPr>
            <w:tcW w:w="2196" w:type="dxa"/>
            <w:shd w:val="clear" w:color="auto" w:fill="FFFFFF" w:themeFill="background1"/>
          </w:tcPr>
          <w:p w14:paraId="29C200A9" w14:textId="77777777" w:rsidR="006F7282" w:rsidRPr="00F55F64" w:rsidRDefault="006F7282" w:rsidP="00B55186">
            <w:pPr>
              <w:pStyle w:val="BodyText"/>
              <w:ind w:left="0"/>
              <w:rPr>
                <w:sz w:val="14"/>
                <w:szCs w:val="14"/>
              </w:rPr>
            </w:pPr>
          </w:p>
        </w:tc>
        <w:tc>
          <w:tcPr>
            <w:tcW w:w="1987" w:type="dxa"/>
            <w:shd w:val="clear" w:color="auto" w:fill="FFFFFF" w:themeFill="background1"/>
          </w:tcPr>
          <w:p w14:paraId="12A01FD3" w14:textId="77777777" w:rsidR="006F7282" w:rsidRPr="00F55F64" w:rsidRDefault="006F7282" w:rsidP="00B55186">
            <w:pPr>
              <w:pStyle w:val="BodyText"/>
              <w:ind w:left="0"/>
              <w:rPr>
                <w:sz w:val="14"/>
                <w:szCs w:val="14"/>
              </w:rPr>
            </w:pPr>
          </w:p>
        </w:tc>
      </w:tr>
      <w:tr w:rsidR="006F7282" w14:paraId="61FE9058" w14:textId="77777777" w:rsidTr="006F7282">
        <w:trPr>
          <w:cnfStyle w:val="000000010000" w:firstRow="0" w:lastRow="0" w:firstColumn="0" w:lastColumn="0" w:oddVBand="0" w:evenVBand="0" w:oddHBand="0" w:evenHBand="1" w:firstRowFirstColumn="0" w:firstRowLastColumn="0" w:lastRowFirstColumn="0" w:lastRowLastColumn="0"/>
          <w:cantSplit/>
        </w:trPr>
        <w:tc>
          <w:tcPr>
            <w:tcW w:w="1162" w:type="dxa"/>
            <w:vMerge/>
            <w:shd w:val="clear" w:color="auto" w:fill="FFFFFF" w:themeFill="background1"/>
          </w:tcPr>
          <w:p w14:paraId="20BCE97B" w14:textId="77777777" w:rsidR="006F7282" w:rsidRPr="00F55F64" w:rsidRDefault="006F7282" w:rsidP="00B55186">
            <w:pPr>
              <w:pStyle w:val="BodyText"/>
              <w:ind w:left="0"/>
              <w:rPr>
                <w:sz w:val="14"/>
                <w:szCs w:val="14"/>
              </w:rPr>
            </w:pPr>
          </w:p>
        </w:tc>
        <w:tc>
          <w:tcPr>
            <w:tcW w:w="2431" w:type="dxa"/>
            <w:shd w:val="clear" w:color="auto" w:fill="FFFFFF" w:themeFill="background1"/>
          </w:tcPr>
          <w:p w14:paraId="0A55C9A3" w14:textId="77777777" w:rsidR="006F7282" w:rsidRPr="00F55F64" w:rsidRDefault="006F7282" w:rsidP="00B55186">
            <w:pPr>
              <w:pStyle w:val="BodyText"/>
              <w:ind w:left="95"/>
              <w:rPr>
                <w:sz w:val="14"/>
                <w:szCs w:val="14"/>
              </w:rPr>
            </w:pPr>
          </w:p>
        </w:tc>
        <w:tc>
          <w:tcPr>
            <w:tcW w:w="3095" w:type="dxa"/>
            <w:shd w:val="clear" w:color="auto" w:fill="FFFFFF" w:themeFill="background1"/>
          </w:tcPr>
          <w:p w14:paraId="18251D4D" w14:textId="77777777" w:rsidR="006F7282" w:rsidRPr="00F55F64" w:rsidRDefault="006F7282" w:rsidP="00B55186">
            <w:pPr>
              <w:pStyle w:val="BodyText"/>
              <w:ind w:left="5"/>
              <w:rPr>
                <w:sz w:val="14"/>
                <w:szCs w:val="14"/>
              </w:rPr>
            </w:pPr>
            <w:r w:rsidRPr="00F55F64">
              <w:rPr>
                <w:sz w:val="14"/>
                <w:szCs w:val="14"/>
              </w:rPr>
              <w:t xml:space="preserve">2017.02.24 Email - </w:t>
            </w:r>
            <w:r w:rsidRPr="00EC22B6">
              <w:rPr>
                <w:sz w:val="14"/>
                <w:szCs w:val="14"/>
              </w:rPr>
              <w:t>Cooper Energy</w:t>
            </w:r>
            <w:r w:rsidRPr="00F55F64">
              <w:rPr>
                <w:sz w:val="14"/>
                <w:szCs w:val="14"/>
              </w:rPr>
              <w:t xml:space="preserve"> confirm with GHD to act as Principal Investigator for OSMP modules and provide necessary staff and resources to implement the modules for the </w:t>
            </w:r>
            <w:r w:rsidRPr="00EC22B6">
              <w:rPr>
                <w:sz w:val="14"/>
                <w:szCs w:val="14"/>
              </w:rPr>
              <w:t>Cooper Energy</w:t>
            </w:r>
            <w:r w:rsidRPr="00F55F64">
              <w:rPr>
                <w:sz w:val="14"/>
                <w:szCs w:val="14"/>
              </w:rPr>
              <w:t xml:space="preserve"> Offshore Victoria Operational &amp; Scientific Monitoring Program.</w:t>
            </w:r>
          </w:p>
        </w:tc>
        <w:tc>
          <w:tcPr>
            <w:tcW w:w="2403" w:type="dxa"/>
            <w:shd w:val="clear" w:color="auto" w:fill="FFFFFF" w:themeFill="background1"/>
          </w:tcPr>
          <w:p w14:paraId="62E1D775" w14:textId="77777777" w:rsidR="006F7282" w:rsidRPr="00F55F64" w:rsidRDefault="006F7282" w:rsidP="00B55186">
            <w:pPr>
              <w:pStyle w:val="BodyText"/>
              <w:ind w:left="0"/>
              <w:rPr>
                <w:sz w:val="14"/>
                <w:szCs w:val="14"/>
              </w:rPr>
            </w:pPr>
            <w:r w:rsidRPr="00F55F64">
              <w:rPr>
                <w:sz w:val="14"/>
                <w:szCs w:val="14"/>
              </w:rPr>
              <w:t>2017.02.24 Email – Confirmation GHD is willing to support Cooper Energy Limited's Offshore Victoria OSMP modules for operations in western Bass Strait and offshore from Gippsland.  In the event that the program requires implementation GHD will provide the necessary staff and resources to implement the modules.</w:t>
            </w:r>
          </w:p>
        </w:tc>
        <w:tc>
          <w:tcPr>
            <w:tcW w:w="2196" w:type="dxa"/>
            <w:shd w:val="clear" w:color="auto" w:fill="FFFFFF" w:themeFill="background1"/>
          </w:tcPr>
          <w:p w14:paraId="0D137E18" w14:textId="77777777" w:rsidR="006F7282" w:rsidRPr="00F55F64" w:rsidRDefault="006F7282" w:rsidP="00B55186">
            <w:pPr>
              <w:pStyle w:val="BodyText"/>
              <w:ind w:left="0"/>
              <w:rPr>
                <w:sz w:val="14"/>
                <w:szCs w:val="14"/>
              </w:rPr>
            </w:pPr>
            <w:r w:rsidRPr="00F55F64">
              <w:rPr>
                <w:sz w:val="14"/>
                <w:szCs w:val="14"/>
              </w:rPr>
              <w:t>No Issues with comments provided.</w:t>
            </w:r>
          </w:p>
        </w:tc>
        <w:tc>
          <w:tcPr>
            <w:tcW w:w="1987" w:type="dxa"/>
            <w:shd w:val="clear" w:color="auto" w:fill="FFFFFF" w:themeFill="background1"/>
          </w:tcPr>
          <w:p w14:paraId="3FD92959" w14:textId="77777777" w:rsidR="006F7282" w:rsidRPr="00F55F64" w:rsidRDefault="006F7282" w:rsidP="00B55186">
            <w:pPr>
              <w:pStyle w:val="BodyText"/>
              <w:ind w:left="0"/>
              <w:rPr>
                <w:sz w:val="14"/>
                <w:szCs w:val="14"/>
              </w:rPr>
            </w:pPr>
            <w:r w:rsidRPr="00F55F64">
              <w:rPr>
                <w:sz w:val="14"/>
                <w:szCs w:val="14"/>
              </w:rPr>
              <w:t xml:space="preserve">2017.02.27 </w:t>
            </w:r>
            <w:r w:rsidRPr="00EC22B6">
              <w:rPr>
                <w:sz w:val="14"/>
                <w:szCs w:val="14"/>
              </w:rPr>
              <w:t>Cooper Energy</w:t>
            </w:r>
            <w:r>
              <w:rPr>
                <w:sz w:val="14"/>
                <w:szCs w:val="14"/>
              </w:rPr>
              <w:t xml:space="preserve"> </w:t>
            </w:r>
            <w:r w:rsidRPr="00F55F64">
              <w:rPr>
                <w:sz w:val="14"/>
                <w:szCs w:val="14"/>
              </w:rPr>
              <w:t xml:space="preserve"> ensure</w:t>
            </w:r>
            <w:r>
              <w:rPr>
                <w:sz w:val="14"/>
                <w:szCs w:val="14"/>
              </w:rPr>
              <w:t>s</w:t>
            </w:r>
            <w:r w:rsidRPr="00F55F64">
              <w:rPr>
                <w:sz w:val="14"/>
                <w:szCs w:val="14"/>
              </w:rPr>
              <w:t xml:space="preserve"> GHD as PI is incorporated into </w:t>
            </w:r>
            <w:r>
              <w:rPr>
                <w:sz w:val="14"/>
                <w:szCs w:val="14"/>
              </w:rPr>
              <w:t>CHN</w:t>
            </w:r>
            <w:r w:rsidRPr="00F55F64">
              <w:rPr>
                <w:sz w:val="14"/>
                <w:szCs w:val="14"/>
              </w:rPr>
              <w:t xml:space="preserve"> EP,</w:t>
            </w:r>
            <w:r>
              <w:rPr>
                <w:sz w:val="14"/>
                <w:szCs w:val="14"/>
              </w:rPr>
              <w:t xml:space="preserve"> Offshore Victoria </w:t>
            </w:r>
            <w:r w:rsidRPr="00F55F64">
              <w:rPr>
                <w:sz w:val="14"/>
                <w:szCs w:val="14"/>
              </w:rPr>
              <w:t>OPEP &amp; OSMP and subsidiary documents.</w:t>
            </w:r>
          </w:p>
        </w:tc>
      </w:tr>
      <w:tr w:rsidR="006F7282" w14:paraId="6F45719C" w14:textId="77777777" w:rsidTr="006F7282">
        <w:trPr>
          <w:cantSplit/>
        </w:trPr>
        <w:tc>
          <w:tcPr>
            <w:tcW w:w="1162" w:type="dxa"/>
            <w:shd w:val="clear" w:color="auto" w:fill="F2F2F2" w:themeFill="background1" w:themeFillShade="F2"/>
          </w:tcPr>
          <w:p w14:paraId="7DF4753A" w14:textId="77777777" w:rsidR="006F7282" w:rsidRPr="00F55F64" w:rsidRDefault="006F7282" w:rsidP="00B55186">
            <w:pPr>
              <w:pStyle w:val="BodyText"/>
              <w:ind w:left="0"/>
              <w:rPr>
                <w:sz w:val="14"/>
                <w:szCs w:val="14"/>
              </w:rPr>
            </w:pPr>
            <w:r>
              <w:rPr>
                <w:sz w:val="14"/>
                <w:szCs w:val="14"/>
              </w:rPr>
              <w:lastRenderedPageBreak/>
              <w:t>DEDJTR Earth Resources Regulation (ERR)</w:t>
            </w:r>
          </w:p>
        </w:tc>
        <w:tc>
          <w:tcPr>
            <w:tcW w:w="2431" w:type="dxa"/>
            <w:shd w:val="clear" w:color="auto" w:fill="F2F2F2" w:themeFill="background1" w:themeFillShade="F2"/>
          </w:tcPr>
          <w:p w14:paraId="26423C8A" w14:textId="77777777" w:rsidR="006F7282" w:rsidRDefault="006F7282" w:rsidP="00B55186">
            <w:pPr>
              <w:pStyle w:val="BodyText"/>
              <w:ind w:left="5"/>
              <w:rPr>
                <w:sz w:val="14"/>
                <w:szCs w:val="14"/>
              </w:rPr>
            </w:pPr>
            <w:r w:rsidRPr="009B315F">
              <w:rPr>
                <w:sz w:val="14"/>
                <w:szCs w:val="14"/>
              </w:rPr>
              <w:t>Department of Economic Development, Jobs, Transport and Resources</w:t>
            </w:r>
            <w:r>
              <w:rPr>
                <w:sz w:val="14"/>
                <w:szCs w:val="14"/>
              </w:rPr>
              <w:t xml:space="preserve"> (Victorian Joint Authority for Offshore Victorian Developments)</w:t>
            </w:r>
          </w:p>
          <w:p w14:paraId="56194762" w14:textId="77777777" w:rsidR="006F7282" w:rsidRPr="00F55F64" w:rsidRDefault="006F7282" w:rsidP="00B55186">
            <w:pPr>
              <w:pStyle w:val="BodyText"/>
              <w:ind w:left="5"/>
              <w:rPr>
                <w:sz w:val="14"/>
                <w:szCs w:val="14"/>
              </w:rPr>
            </w:pPr>
            <w:r>
              <w:rPr>
                <w:sz w:val="14"/>
                <w:szCs w:val="14"/>
              </w:rPr>
              <w:t>Regulator offshore to 3mn Victorian coastal Waters</w:t>
            </w:r>
          </w:p>
        </w:tc>
        <w:tc>
          <w:tcPr>
            <w:tcW w:w="3095" w:type="dxa"/>
            <w:shd w:val="clear" w:color="auto" w:fill="F2F2F2" w:themeFill="background1" w:themeFillShade="F2"/>
          </w:tcPr>
          <w:p w14:paraId="22D45EDC" w14:textId="77777777" w:rsidR="006F7282" w:rsidRPr="00F55F64" w:rsidRDefault="006F7282" w:rsidP="00B55186">
            <w:pPr>
              <w:pStyle w:val="BodyText"/>
              <w:ind w:left="5"/>
              <w:rPr>
                <w:sz w:val="14"/>
                <w:szCs w:val="14"/>
              </w:rPr>
            </w:pPr>
            <w:r w:rsidRPr="00FC2E2E">
              <w:rPr>
                <w:sz w:val="14"/>
                <w:szCs w:val="14"/>
              </w:rPr>
              <w:t xml:space="preserve">2016.11.22 Meeting – </w:t>
            </w:r>
            <w:r w:rsidRPr="00EC22B6">
              <w:rPr>
                <w:sz w:val="14"/>
                <w:szCs w:val="14"/>
              </w:rPr>
              <w:t>Cooper Energy</w:t>
            </w:r>
            <w:r w:rsidRPr="00FC2E2E">
              <w:rPr>
                <w:sz w:val="14"/>
                <w:szCs w:val="14"/>
              </w:rPr>
              <w:t xml:space="preserve"> requested a meeting with DEDJTR representatives by way of introduction of the offshore asset acquisition, changes in titleholder and guidance for approval of Operator and Titleholder acceptance.</w:t>
            </w:r>
          </w:p>
        </w:tc>
        <w:tc>
          <w:tcPr>
            <w:tcW w:w="2403" w:type="dxa"/>
            <w:shd w:val="clear" w:color="auto" w:fill="F2F2F2" w:themeFill="background1" w:themeFillShade="F2"/>
          </w:tcPr>
          <w:p w14:paraId="4847D2BF" w14:textId="77777777" w:rsidR="006F7282" w:rsidRPr="00F55F64" w:rsidRDefault="006F7282" w:rsidP="00B55186">
            <w:pPr>
              <w:pStyle w:val="BodyText"/>
              <w:ind w:left="0"/>
              <w:rPr>
                <w:sz w:val="14"/>
                <w:szCs w:val="14"/>
              </w:rPr>
            </w:pPr>
            <w:r>
              <w:rPr>
                <w:sz w:val="14"/>
                <w:szCs w:val="14"/>
              </w:rPr>
              <w:t>Acceptable attendance at meeting</w:t>
            </w:r>
          </w:p>
        </w:tc>
        <w:tc>
          <w:tcPr>
            <w:tcW w:w="2196" w:type="dxa"/>
            <w:shd w:val="clear" w:color="auto" w:fill="F2F2F2" w:themeFill="background1" w:themeFillShade="F2"/>
          </w:tcPr>
          <w:p w14:paraId="066CC567" w14:textId="77777777" w:rsidR="006F7282" w:rsidRPr="00F55F64" w:rsidRDefault="006F7282" w:rsidP="00B55186">
            <w:pPr>
              <w:pStyle w:val="BodyText"/>
              <w:ind w:left="0"/>
              <w:rPr>
                <w:sz w:val="14"/>
                <w:szCs w:val="14"/>
              </w:rPr>
            </w:pPr>
            <w:r w:rsidRPr="00F55F64">
              <w:rPr>
                <w:sz w:val="14"/>
                <w:szCs w:val="14"/>
              </w:rPr>
              <w:t>No Issues with comments provided.</w:t>
            </w:r>
          </w:p>
        </w:tc>
        <w:tc>
          <w:tcPr>
            <w:tcW w:w="1987" w:type="dxa"/>
            <w:shd w:val="clear" w:color="auto" w:fill="F2F2F2" w:themeFill="background1" w:themeFillShade="F2"/>
          </w:tcPr>
          <w:p w14:paraId="15DDB5FF" w14:textId="77777777" w:rsidR="006F7282" w:rsidRPr="00F55F64" w:rsidRDefault="006F7282" w:rsidP="00B55186">
            <w:pPr>
              <w:pStyle w:val="BodyText"/>
              <w:ind w:left="0"/>
              <w:rPr>
                <w:sz w:val="14"/>
                <w:szCs w:val="14"/>
              </w:rPr>
            </w:pPr>
            <w:r w:rsidRPr="00F55F64">
              <w:rPr>
                <w:sz w:val="14"/>
                <w:szCs w:val="14"/>
              </w:rPr>
              <w:t>Not Applicable</w:t>
            </w:r>
          </w:p>
        </w:tc>
      </w:tr>
      <w:tr w:rsidR="006F7282" w14:paraId="67E4D5B7" w14:textId="77777777" w:rsidTr="006F7282">
        <w:trPr>
          <w:cnfStyle w:val="000000010000" w:firstRow="0" w:lastRow="0" w:firstColumn="0" w:lastColumn="0" w:oddVBand="0" w:evenVBand="0" w:oddHBand="0" w:evenHBand="1" w:firstRowFirstColumn="0" w:firstRowLastColumn="0" w:lastRowFirstColumn="0" w:lastRowLastColumn="0"/>
          <w:cantSplit/>
        </w:trPr>
        <w:tc>
          <w:tcPr>
            <w:tcW w:w="1162" w:type="dxa"/>
            <w:shd w:val="clear" w:color="auto" w:fill="FFFFFF" w:themeFill="background1"/>
          </w:tcPr>
          <w:p w14:paraId="56246CD3" w14:textId="77777777" w:rsidR="006F7282" w:rsidRDefault="006F7282" w:rsidP="00B55186">
            <w:pPr>
              <w:pStyle w:val="BodyText"/>
              <w:ind w:left="0"/>
              <w:rPr>
                <w:sz w:val="14"/>
                <w:szCs w:val="14"/>
              </w:rPr>
            </w:pPr>
            <w:r>
              <w:rPr>
                <w:sz w:val="14"/>
                <w:szCs w:val="14"/>
              </w:rPr>
              <w:t>DEDJTR Emergency Management Division (EMD)</w:t>
            </w:r>
          </w:p>
        </w:tc>
        <w:tc>
          <w:tcPr>
            <w:tcW w:w="2431" w:type="dxa"/>
            <w:shd w:val="clear" w:color="auto" w:fill="FFFFFF" w:themeFill="background1"/>
          </w:tcPr>
          <w:p w14:paraId="4E6FBDEF" w14:textId="77777777" w:rsidR="006F7282" w:rsidRDefault="006F7282" w:rsidP="00B55186">
            <w:pPr>
              <w:pStyle w:val="BodyText"/>
              <w:ind w:left="5"/>
              <w:rPr>
                <w:sz w:val="14"/>
                <w:szCs w:val="14"/>
              </w:rPr>
            </w:pPr>
            <w:r w:rsidRPr="009B315F">
              <w:rPr>
                <w:sz w:val="14"/>
                <w:szCs w:val="14"/>
              </w:rPr>
              <w:t>Department of Economic Development, Jobs, Transport and Resources</w:t>
            </w:r>
            <w:r>
              <w:rPr>
                <w:sz w:val="14"/>
                <w:szCs w:val="14"/>
              </w:rPr>
              <w:t xml:space="preserve"> (Control Agency for Level 2/3 spills in Victorian waters)</w:t>
            </w:r>
          </w:p>
          <w:p w14:paraId="2FD64727" w14:textId="77777777" w:rsidR="006F7282" w:rsidRPr="009B315F" w:rsidRDefault="006F7282" w:rsidP="00B55186">
            <w:pPr>
              <w:pStyle w:val="BodyText"/>
              <w:ind w:left="5"/>
              <w:rPr>
                <w:sz w:val="14"/>
                <w:szCs w:val="14"/>
              </w:rPr>
            </w:pPr>
            <w:r>
              <w:rPr>
                <w:sz w:val="14"/>
                <w:szCs w:val="14"/>
              </w:rPr>
              <w:t>Regulator offshore to 3mn Victorian coastal Waters</w:t>
            </w:r>
          </w:p>
        </w:tc>
        <w:tc>
          <w:tcPr>
            <w:tcW w:w="3095" w:type="dxa"/>
            <w:shd w:val="clear" w:color="auto" w:fill="FFFFFF" w:themeFill="background1"/>
          </w:tcPr>
          <w:p w14:paraId="4A746807" w14:textId="77777777" w:rsidR="006F7282" w:rsidRPr="000C4CEB" w:rsidRDefault="006F7282" w:rsidP="00B55186">
            <w:pPr>
              <w:pStyle w:val="BodyText"/>
              <w:ind w:left="5"/>
              <w:rPr>
                <w:sz w:val="14"/>
                <w:szCs w:val="14"/>
                <w:highlight w:val="yellow"/>
              </w:rPr>
            </w:pPr>
            <w:r w:rsidRPr="00D41084">
              <w:rPr>
                <w:sz w:val="14"/>
                <w:szCs w:val="14"/>
              </w:rPr>
              <w:t>2017.02.08 Email –</w:t>
            </w:r>
            <w:r>
              <w:rPr>
                <w:sz w:val="14"/>
                <w:szCs w:val="14"/>
              </w:rPr>
              <w:t xml:space="preserve"> to </w:t>
            </w:r>
            <w:r w:rsidRPr="00950D31">
              <w:rPr>
                <w:sz w:val="14"/>
                <w:szCs w:val="14"/>
              </w:rPr>
              <w:t xml:space="preserve">Environment &amp; Scientific Coordinator, </w:t>
            </w:r>
            <w:r>
              <w:rPr>
                <w:sz w:val="14"/>
                <w:szCs w:val="14"/>
              </w:rPr>
              <w:t>Marine Poll</w:t>
            </w:r>
            <w:r w:rsidRPr="00950D31">
              <w:rPr>
                <w:sz w:val="14"/>
                <w:szCs w:val="14"/>
              </w:rPr>
              <w:t xml:space="preserve">ution </w:t>
            </w:r>
            <w:r w:rsidRPr="000B5EB1">
              <w:rPr>
                <w:sz w:val="14"/>
                <w:szCs w:val="14"/>
              </w:rPr>
              <w:t>Emergency Management Division</w:t>
            </w:r>
            <w:r>
              <w:rPr>
                <w:sz w:val="14"/>
                <w:szCs w:val="14"/>
              </w:rPr>
              <w:t xml:space="preserve"> for r</w:t>
            </w:r>
            <w:r w:rsidRPr="00D41084">
              <w:rPr>
                <w:sz w:val="14"/>
                <w:szCs w:val="14"/>
              </w:rPr>
              <w:t xml:space="preserve">eview of the </w:t>
            </w:r>
            <w:r w:rsidRPr="00EC22B6">
              <w:rPr>
                <w:sz w:val="14"/>
                <w:szCs w:val="14"/>
              </w:rPr>
              <w:t>Cooper Energy</w:t>
            </w:r>
            <w:r w:rsidRPr="00D41084">
              <w:rPr>
                <w:sz w:val="14"/>
                <w:szCs w:val="14"/>
              </w:rPr>
              <w:t xml:space="preserve"> Offshore Victorian OPEP for the </w:t>
            </w:r>
            <w:r>
              <w:rPr>
                <w:sz w:val="14"/>
                <w:szCs w:val="14"/>
              </w:rPr>
              <w:t>CHN</w:t>
            </w:r>
            <w:r w:rsidRPr="00D41084">
              <w:rPr>
                <w:sz w:val="14"/>
                <w:szCs w:val="14"/>
              </w:rPr>
              <w:t xml:space="preserve"> EP</w:t>
            </w:r>
            <w:r>
              <w:rPr>
                <w:sz w:val="14"/>
                <w:szCs w:val="14"/>
              </w:rPr>
              <w:t>.</w:t>
            </w:r>
          </w:p>
        </w:tc>
        <w:tc>
          <w:tcPr>
            <w:tcW w:w="2403" w:type="dxa"/>
            <w:shd w:val="clear" w:color="auto" w:fill="FFFFFF" w:themeFill="background1"/>
          </w:tcPr>
          <w:p w14:paraId="6EC7AB9B" w14:textId="77777777" w:rsidR="006F7282" w:rsidRDefault="006F7282" w:rsidP="00B55186">
            <w:pPr>
              <w:pStyle w:val="BodyText"/>
              <w:ind w:left="0"/>
              <w:rPr>
                <w:sz w:val="14"/>
                <w:szCs w:val="14"/>
              </w:rPr>
            </w:pPr>
            <w:r w:rsidRPr="00D41084">
              <w:rPr>
                <w:sz w:val="14"/>
                <w:szCs w:val="14"/>
              </w:rPr>
              <w:t>2017.02.</w:t>
            </w:r>
            <w:r>
              <w:rPr>
                <w:sz w:val="14"/>
                <w:szCs w:val="14"/>
              </w:rPr>
              <w:t>22 Email - EMD</w:t>
            </w:r>
            <w:r w:rsidRPr="00D41084">
              <w:rPr>
                <w:sz w:val="14"/>
                <w:szCs w:val="14"/>
              </w:rPr>
              <w:t xml:space="preserve"> provided minor feedback on Offshore Victorian OPEP. </w:t>
            </w:r>
            <w:r w:rsidRPr="00EC22B6">
              <w:rPr>
                <w:sz w:val="14"/>
                <w:szCs w:val="14"/>
              </w:rPr>
              <w:t>Cooper Energy</w:t>
            </w:r>
            <w:r w:rsidRPr="00D41084">
              <w:rPr>
                <w:sz w:val="14"/>
                <w:szCs w:val="14"/>
              </w:rPr>
              <w:t xml:space="preserve"> updated this OPEP in accordance with the feedback to allow for final review.</w:t>
            </w:r>
          </w:p>
          <w:p w14:paraId="7D0F5C0E" w14:textId="77777777" w:rsidR="006F7282" w:rsidRPr="00F55F64" w:rsidRDefault="006F7282" w:rsidP="00B55186">
            <w:pPr>
              <w:pStyle w:val="BodyText"/>
              <w:ind w:left="0"/>
              <w:rPr>
                <w:sz w:val="14"/>
                <w:szCs w:val="14"/>
              </w:rPr>
            </w:pPr>
            <w:r>
              <w:rPr>
                <w:sz w:val="14"/>
                <w:szCs w:val="14"/>
              </w:rPr>
              <w:t xml:space="preserve">Note DEDJTR EMD will also review oil spill response arrangements as part of the Victorian regulator review of the CHN EP (for Victorian waters section). </w:t>
            </w:r>
          </w:p>
        </w:tc>
        <w:tc>
          <w:tcPr>
            <w:tcW w:w="2196" w:type="dxa"/>
            <w:shd w:val="clear" w:color="auto" w:fill="FFFFFF" w:themeFill="background1"/>
          </w:tcPr>
          <w:p w14:paraId="514B83F0" w14:textId="77777777" w:rsidR="006F7282" w:rsidRPr="00F55F64" w:rsidRDefault="006F7282" w:rsidP="00B55186">
            <w:pPr>
              <w:pStyle w:val="BodyText"/>
              <w:ind w:left="0"/>
              <w:rPr>
                <w:sz w:val="14"/>
                <w:szCs w:val="14"/>
              </w:rPr>
            </w:pPr>
            <w:r w:rsidRPr="00F55F64">
              <w:rPr>
                <w:sz w:val="14"/>
                <w:szCs w:val="14"/>
              </w:rPr>
              <w:t xml:space="preserve">Comments received from </w:t>
            </w:r>
            <w:r>
              <w:rPr>
                <w:sz w:val="14"/>
                <w:szCs w:val="14"/>
              </w:rPr>
              <w:t xml:space="preserve">EMD </w:t>
            </w:r>
            <w:r w:rsidRPr="00F55F64">
              <w:rPr>
                <w:sz w:val="14"/>
                <w:szCs w:val="14"/>
              </w:rPr>
              <w:t xml:space="preserve">deemed valid and applicable to the </w:t>
            </w:r>
            <w:r>
              <w:rPr>
                <w:sz w:val="14"/>
                <w:szCs w:val="14"/>
              </w:rPr>
              <w:t>CHN</w:t>
            </w:r>
            <w:r w:rsidRPr="00F55F64">
              <w:rPr>
                <w:sz w:val="14"/>
                <w:szCs w:val="14"/>
              </w:rPr>
              <w:t xml:space="preserve"> field</w:t>
            </w:r>
          </w:p>
        </w:tc>
        <w:tc>
          <w:tcPr>
            <w:tcW w:w="1987" w:type="dxa"/>
            <w:shd w:val="clear" w:color="auto" w:fill="FFFFFF" w:themeFill="background1"/>
          </w:tcPr>
          <w:p w14:paraId="59117BF5" w14:textId="77777777" w:rsidR="006F7282" w:rsidRDefault="006F7282" w:rsidP="00B55186">
            <w:pPr>
              <w:pStyle w:val="BodyText"/>
              <w:ind w:left="0"/>
              <w:rPr>
                <w:sz w:val="14"/>
                <w:szCs w:val="14"/>
              </w:rPr>
            </w:pPr>
            <w:r w:rsidRPr="00D41084">
              <w:rPr>
                <w:sz w:val="14"/>
                <w:szCs w:val="14"/>
              </w:rPr>
              <w:t>2017.03.01 All comments incorporated into the OPEP</w:t>
            </w:r>
            <w:r>
              <w:rPr>
                <w:sz w:val="14"/>
                <w:szCs w:val="14"/>
              </w:rPr>
              <w:t>.</w:t>
            </w:r>
          </w:p>
          <w:p w14:paraId="0ECD43D1" w14:textId="77777777" w:rsidR="006F7282" w:rsidRDefault="006F7282" w:rsidP="00B55186">
            <w:pPr>
              <w:pStyle w:val="BodyText"/>
              <w:ind w:left="0"/>
              <w:rPr>
                <w:sz w:val="14"/>
                <w:szCs w:val="14"/>
              </w:rPr>
            </w:pPr>
            <w:r>
              <w:rPr>
                <w:sz w:val="14"/>
                <w:szCs w:val="14"/>
              </w:rPr>
              <w:t>Thanked DEDJTR for the current information.</w:t>
            </w:r>
          </w:p>
          <w:p w14:paraId="73AF6C49" w14:textId="77777777" w:rsidR="006F7282" w:rsidRPr="00F55F64" w:rsidRDefault="006F7282" w:rsidP="00B55186">
            <w:pPr>
              <w:pStyle w:val="BodyText"/>
              <w:ind w:left="0"/>
              <w:rPr>
                <w:sz w:val="14"/>
                <w:szCs w:val="14"/>
              </w:rPr>
            </w:pPr>
            <w:r>
              <w:rPr>
                <w:sz w:val="14"/>
                <w:szCs w:val="14"/>
              </w:rPr>
              <w:t>F</w:t>
            </w:r>
            <w:r w:rsidRPr="00F53D64">
              <w:rPr>
                <w:sz w:val="14"/>
                <w:szCs w:val="14"/>
              </w:rPr>
              <w:t xml:space="preserve">inal revision of the Offshore Victorian OPEP sent to AMOSC with comments </w:t>
            </w:r>
            <w:r w:rsidRPr="00D41084">
              <w:rPr>
                <w:sz w:val="14"/>
                <w:szCs w:val="14"/>
              </w:rPr>
              <w:t>for finalisation before submission to NOPSEMA</w:t>
            </w:r>
          </w:p>
        </w:tc>
      </w:tr>
      <w:tr w:rsidR="006F7282" w14:paraId="79D8867F" w14:textId="77777777" w:rsidTr="006F7282">
        <w:trPr>
          <w:cantSplit/>
        </w:trPr>
        <w:tc>
          <w:tcPr>
            <w:tcW w:w="1162" w:type="dxa"/>
            <w:shd w:val="clear" w:color="auto" w:fill="FFFFFF" w:themeFill="background1"/>
          </w:tcPr>
          <w:p w14:paraId="50E7AC57" w14:textId="77777777" w:rsidR="006F7282" w:rsidRDefault="006F7282" w:rsidP="00B55186">
            <w:pPr>
              <w:pStyle w:val="BodyText"/>
              <w:ind w:left="0"/>
              <w:rPr>
                <w:sz w:val="14"/>
                <w:szCs w:val="14"/>
              </w:rPr>
            </w:pPr>
          </w:p>
        </w:tc>
        <w:tc>
          <w:tcPr>
            <w:tcW w:w="2431" w:type="dxa"/>
            <w:shd w:val="clear" w:color="auto" w:fill="FFFFFF" w:themeFill="background1"/>
          </w:tcPr>
          <w:p w14:paraId="62CB5DCB" w14:textId="77777777" w:rsidR="006F7282" w:rsidRPr="009B315F" w:rsidRDefault="006F7282" w:rsidP="00B55186">
            <w:pPr>
              <w:pStyle w:val="BodyText"/>
              <w:ind w:left="5"/>
              <w:rPr>
                <w:sz w:val="14"/>
                <w:szCs w:val="14"/>
              </w:rPr>
            </w:pPr>
          </w:p>
        </w:tc>
        <w:tc>
          <w:tcPr>
            <w:tcW w:w="3095" w:type="dxa"/>
            <w:shd w:val="clear" w:color="auto" w:fill="FFFFFF" w:themeFill="background1"/>
          </w:tcPr>
          <w:p w14:paraId="2EDA2CEF" w14:textId="77777777" w:rsidR="006F7282" w:rsidRDefault="006F7282" w:rsidP="00B55186">
            <w:pPr>
              <w:pStyle w:val="BodyText"/>
              <w:ind w:left="5"/>
              <w:rPr>
                <w:sz w:val="14"/>
                <w:szCs w:val="14"/>
              </w:rPr>
            </w:pPr>
            <w:r>
              <w:rPr>
                <w:sz w:val="14"/>
                <w:szCs w:val="14"/>
              </w:rPr>
              <w:t xml:space="preserve">2017.02.13 </w:t>
            </w:r>
            <w:r w:rsidRPr="00EC22B6">
              <w:rPr>
                <w:sz w:val="14"/>
                <w:szCs w:val="14"/>
              </w:rPr>
              <w:t>Cooper Energy</w:t>
            </w:r>
            <w:r>
              <w:rPr>
                <w:sz w:val="14"/>
                <w:szCs w:val="14"/>
              </w:rPr>
              <w:t xml:space="preserve"> Email request to seeking clarification of DELWP contact for oiled Wildlife response</w:t>
            </w:r>
          </w:p>
          <w:p w14:paraId="02FA8DCB" w14:textId="77777777" w:rsidR="006F7282" w:rsidRPr="00D41084" w:rsidRDefault="006F7282" w:rsidP="00B55186">
            <w:pPr>
              <w:pStyle w:val="BodyText"/>
              <w:ind w:left="5"/>
              <w:rPr>
                <w:sz w:val="14"/>
                <w:szCs w:val="14"/>
              </w:rPr>
            </w:pPr>
            <w:r>
              <w:rPr>
                <w:sz w:val="14"/>
                <w:szCs w:val="14"/>
              </w:rPr>
              <w:t>2017.02.15 DEDJTR EMD response to queries.</w:t>
            </w:r>
          </w:p>
        </w:tc>
        <w:tc>
          <w:tcPr>
            <w:tcW w:w="2403" w:type="dxa"/>
            <w:shd w:val="clear" w:color="auto" w:fill="FFFFFF" w:themeFill="background1"/>
          </w:tcPr>
          <w:p w14:paraId="611E445D" w14:textId="77777777" w:rsidR="006F7282" w:rsidRDefault="006F7282" w:rsidP="00B55186">
            <w:pPr>
              <w:pStyle w:val="BodyText"/>
              <w:ind w:left="0"/>
              <w:rPr>
                <w:sz w:val="14"/>
                <w:szCs w:val="14"/>
              </w:rPr>
            </w:pPr>
            <w:r>
              <w:rPr>
                <w:sz w:val="14"/>
                <w:szCs w:val="14"/>
              </w:rPr>
              <w:t>DELWP contact is Rodney Vile.</w:t>
            </w:r>
          </w:p>
          <w:p w14:paraId="613196A7" w14:textId="77777777" w:rsidR="006F7282" w:rsidRPr="00D41084" w:rsidRDefault="006F7282" w:rsidP="00B55186">
            <w:pPr>
              <w:pStyle w:val="BodyText"/>
              <w:ind w:left="0"/>
              <w:rPr>
                <w:sz w:val="14"/>
                <w:szCs w:val="14"/>
              </w:rPr>
            </w:pPr>
            <w:r>
              <w:rPr>
                <w:sz w:val="14"/>
                <w:szCs w:val="14"/>
              </w:rPr>
              <w:t>Interested in viewing the OSMP (sent to DEDJTR EMD).</w:t>
            </w:r>
          </w:p>
        </w:tc>
        <w:tc>
          <w:tcPr>
            <w:tcW w:w="2196" w:type="dxa"/>
            <w:shd w:val="clear" w:color="auto" w:fill="FFFFFF" w:themeFill="background1"/>
          </w:tcPr>
          <w:p w14:paraId="466D609B" w14:textId="77777777" w:rsidR="006F7282" w:rsidRDefault="006F7282" w:rsidP="00B55186">
            <w:pPr>
              <w:pStyle w:val="BodyText"/>
              <w:ind w:left="0"/>
              <w:rPr>
                <w:sz w:val="14"/>
                <w:szCs w:val="14"/>
              </w:rPr>
            </w:pPr>
            <w:r>
              <w:rPr>
                <w:sz w:val="14"/>
                <w:szCs w:val="14"/>
              </w:rPr>
              <w:t>All information utilised in oil spill planning and within OPEP.</w:t>
            </w:r>
          </w:p>
          <w:p w14:paraId="6D1FEF46" w14:textId="77777777" w:rsidR="006F7282" w:rsidRPr="00F55F64" w:rsidRDefault="006F7282" w:rsidP="00B55186">
            <w:pPr>
              <w:pStyle w:val="BodyText"/>
              <w:ind w:left="0"/>
              <w:rPr>
                <w:sz w:val="14"/>
                <w:szCs w:val="14"/>
              </w:rPr>
            </w:pPr>
            <w:r>
              <w:rPr>
                <w:sz w:val="14"/>
                <w:szCs w:val="14"/>
              </w:rPr>
              <w:t>No adverse claims or objections made.</w:t>
            </w:r>
          </w:p>
        </w:tc>
        <w:tc>
          <w:tcPr>
            <w:tcW w:w="1987" w:type="dxa"/>
            <w:shd w:val="clear" w:color="auto" w:fill="FFFFFF" w:themeFill="background1"/>
          </w:tcPr>
          <w:p w14:paraId="7D2B4FE1" w14:textId="77777777" w:rsidR="006F7282" w:rsidRDefault="006F7282" w:rsidP="00B55186">
            <w:pPr>
              <w:pStyle w:val="BodyText"/>
              <w:ind w:left="0"/>
              <w:rPr>
                <w:sz w:val="14"/>
                <w:szCs w:val="14"/>
              </w:rPr>
            </w:pPr>
            <w:r>
              <w:rPr>
                <w:sz w:val="14"/>
                <w:szCs w:val="14"/>
              </w:rPr>
              <w:t>Not applicable.</w:t>
            </w:r>
          </w:p>
          <w:p w14:paraId="01A469E5" w14:textId="77777777" w:rsidR="006F7282" w:rsidRPr="002B4C57" w:rsidRDefault="006F7282" w:rsidP="00B55186">
            <w:pPr>
              <w:pStyle w:val="BodyText"/>
              <w:ind w:left="0"/>
              <w:rPr>
                <w:strike/>
                <w:sz w:val="14"/>
                <w:szCs w:val="14"/>
              </w:rPr>
            </w:pPr>
          </w:p>
        </w:tc>
      </w:tr>
      <w:tr w:rsidR="006F7282" w14:paraId="2EA6C578" w14:textId="77777777" w:rsidTr="006F7282">
        <w:trPr>
          <w:cnfStyle w:val="000000010000" w:firstRow="0" w:lastRow="0" w:firstColumn="0" w:lastColumn="0" w:oddVBand="0" w:evenVBand="0" w:oddHBand="0" w:evenHBand="1" w:firstRowFirstColumn="0" w:firstRowLastColumn="0" w:lastRowFirstColumn="0" w:lastRowLastColumn="0"/>
          <w:cantSplit/>
        </w:trPr>
        <w:tc>
          <w:tcPr>
            <w:tcW w:w="1162" w:type="dxa"/>
            <w:vMerge w:val="restart"/>
          </w:tcPr>
          <w:p w14:paraId="02ACACDD" w14:textId="77777777" w:rsidR="006F7282" w:rsidRPr="00F55F64" w:rsidRDefault="006F7282" w:rsidP="00B55186">
            <w:pPr>
              <w:pStyle w:val="BodyText"/>
              <w:ind w:left="0"/>
              <w:rPr>
                <w:sz w:val="14"/>
                <w:szCs w:val="14"/>
              </w:rPr>
            </w:pPr>
            <w:r>
              <w:rPr>
                <w:sz w:val="14"/>
                <w:szCs w:val="14"/>
              </w:rPr>
              <w:t>Department of Environment, Land Water and Planning (DELWP)</w:t>
            </w:r>
          </w:p>
        </w:tc>
        <w:tc>
          <w:tcPr>
            <w:tcW w:w="2431" w:type="dxa"/>
          </w:tcPr>
          <w:p w14:paraId="357059C0" w14:textId="77777777" w:rsidR="006F7282" w:rsidRPr="00355335" w:rsidRDefault="006F7282" w:rsidP="00B55186">
            <w:pPr>
              <w:pStyle w:val="BodyText"/>
              <w:ind w:left="5"/>
              <w:rPr>
                <w:sz w:val="14"/>
                <w:szCs w:val="14"/>
              </w:rPr>
            </w:pPr>
            <w:r w:rsidRPr="00355335">
              <w:rPr>
                <w:sz w:val="14"/>
                <w:szCs w:val="14"/>
              </w:rPr>
              <w:t>Pipeline Regulation, Regulation and Approvals</w:t>
            </w:r>
          </w:p>
          <w:p w14:paraId="322FEED3" w14:textId="77777777" w:rsidR="006F7282" w:rsidRPr="00F55F64" w:rsidRDefault="006F7282" w:rsidP="00B55186">
            <w:pPr>
              <w:pStyle w:val="BodyText"/>
              <w:ind w:left="5"/>
              <w:rPr>
                <w:sz w:val="14"/>
                <w:szCs w:val="14"/>
              </w:rPr>
            </w:pPr>
            <w:r w:rsidRPr="00355335">
              <w:rPr>
                <w:sz w:val="14"/>
                <w:szCs w:val="14"/>
              </w:rPr>
              <w:t xml:space="preserve">Energy, Environment and Climate Change Group, </w:t>
            </w:r>
          </w:p>
        </w:tc>
        <w:tc>
          <w:tcPr>
            <w:tcW w:w="3095" w:type="dxa"/>
          </w:tcPr>
          <w:p w14:paraId="73E9D77C" w14:textId="77777777" w:rsidR="006F7282" w:rsidRPr="00F55F64" w:rsidRDefault="006F7282" w:rsidP="00B55186">
            <w:pPr>
              <w:pStyle w:val="BodyText"/>
              <w:ind w:left="5"/>
              <w:rPr>
                <w:sz w:val="14"/>
                <w:szCs w:val="14"/>
              </w:rPr>
            </w:pPr>
            <w:r w:rsidRPr="00355335">
              <w:rPr>
                <w:sz w:val="14"/>
                <w:szCs w:val="14"/>
              </w:rPr>
              <w:t xml:space="preserve">2016.11.22 Meeting – </w:t>
            </w:r>
            <w:r w:rsidRPr="00EC22B6">
              <w:rPr>
                <w:sz w:val="14"/>
                <w:szCs w:val="14"/>
              </w:rPr>
              <w:t>Cooper Energy</w:t>
            </w:r>
            <w:r w:rsidRPr="00355335">
              <w:rPr>
                <w:sz w:val="14"/>
                <w:szCs w:val="14"/>
              </w:rPr>
              <w:t xml:space="preserve"> requested a meeting with D</w:t>
            </w:r>
            <w:r>
              <w:rPr>
                <w:sz w:val="14"/>
                <w:szCs w:val="14"/>
              </w:rPr>
              <w:t>ELWP</w:t>
            </w:r>
            <w:r w:rsidRPr="00355335">
              <w:rPr>
                <w:sz w:val="14"/>
                <w:szCs w:val="14"/>
              </w:rPr>
              <w:t xml:space="preserve"> representatives by way of introduction of the offshore asset acquisition, changes in titleholder and guidance for approval of Operator and Titleholder acceptance.</w:t>
            </w:r>
          </w:p>
        </w:tc>
        <w:tc>
          <w:tcPr>
            <w:tcW w:w="2403" w:type="dxa"/>
          </w:tcPr>
          <w:p w14:paraId="6CFCB125" w14:textId="77777777" w:rsidR="006F7282" w:rsidRPr="00F55F64" w:rsidRDefault="006F7282" w:rsidP="00B55186">
            <w:pPr>
              <w:pStyle w:val="BodyText"/>
              <w:ind w:left="0"/>
              <w:rPr>
                <w:sz w:val="14"/>
                <w:szCs w:val="14"/>
              </w:rPr>
            </w:pPr>
            <w:r>
              <w:rPr>
                <w:sz w:val="14"/>
                <w:szCs w:val="14"/>
              </w:rPr>
              <w:t>Acceptable attendance at meeting</w:t>
            </w:r>
          </w:p>
        </w:tc>
        <w:tc>
          <w:tcPr>
            <w:tcW w:w="2196" w:type="dxa"/>
          </w:tcPr>
          <w:p w14:paraId="3524D772" w14:textId="77777777" w:rsidR="006F7282" w:rsidRPr="00F55F64" w:rsidRDefault="006F7282" w:rsidP="00B55186">
            <w:pPr>
              <w:pStyle w:val="BodyText"/>
              <w:ind w:left="0"/>
              <w:rPr>
                <w:sz w:val="14"/>
                <w:szCs w:val="14"/>
              </w:rPr>
            </w:pPr>
            <w:r w:rsidRPr="00F55F64">
              <w:rPr>
                <w:sz w:val="14"/>
                <w:szCs w:val="14"/>
              </w:rPr>
              <w:t>No Issues with comments provided</w:t>
            </w:r>
            <w:r>
              <w:rPr>
                <w:sz w:val="14"/>
                <w:szCs w:val="14"/>
              </w:rPr>
              <w:t xml:space="preserve">, no forward actions for </w:t>
            </w:r>
            <w:r w:rsidRPr="00EC22B6">
              <w:rPr>
                <w:sz w:val="14"/>
                <w:szCs w:val="14"/>
              </w:rPr>
              <w:t>Cooper Energy</w:t>
            </w:r>
          </w:p>
        </w:tc>
        <w:tc>
          <w:tcPr>
            <w:tcW w:w="1987" w:type="dxa"/>
          </w:tcPr>
          <w:p w14:paraId="616A05C1" w14:textId="77777777" w:rsidR="006F7282" w:rsidRPr="00F55F64" w:rsidRDefault="006F7282" w:rsidP="00B55186">
            <w:pPr>
              <w:pStyle w:val="BodyText"/>
              <w:ind w:left="0"/>
              <w:rPr>
                <w:sz w:val="14"/>
                <w:szCs w:val="14"/>
              </w:rPr>
            </w:pPr>
          </w:p>
        </w:tc>
      </w:tr>
      <w:tr w:rsidR="006F7282" w14:paraId="60DD260D" w14:textId="77777777" w:rsidTr="006F7282">
        <w:trPr>
          <w:cantSplit/>
        </w:trPr>
        <w:tc>
          <w:tcPr>
            <w:tcW w:w="1162" w:type="dxa"/>
            <w:vMerge/>
            <w:shd w:val="clear" w:color="auto" w:fill="FFFFFF" w:themeFill="background1"/>
          </w:tcPr>
          <w:p w14:paraId="4EF26AB4" w14:textId="77777777" w:rsidR="006F7282" w:rsidRDefault="006F7282" w:rsidP="00B55186">
            <w:pPr>
              <w:pStyle w:val="BodyText"/>
              <w:ind w:left="0"/>
              <w:rPr>
                <w:sz w:val="14"/>
                <w:szCs w:val="14"/>
              </w:rPr>
            </w:pPr>
          </w:p>
        </w:tc>
        <w:tc>
          <w:tcPr>
            <w:tcW w:w="2431" w:type="dxa"/>
            <w:shd w:val="clear" w:color="auto" w:fill="F2F2F2" w:themeFill="background1" w:themeFillShade="F2"/>
          </w:tcPr>
          <w:p w14:paraId="44F45AA0" w14:textId="77777777" w:rsidR="006F7282" w:rsidRDefault="006F7282" w:rsidP="00B55186">
            <w:pPr>
              <w:pStyle w:val="BodyText"/>
              <w:ind w:left="5"/>
              <w:rPr>
                <w:sz w:val="14"/>
                <w:szCs w:val="14"/>
              </w:rPr>
            </w:pPr>
            <w:r>
              <w:rPr>
                <w:sz w:val="14"/>
                <w:szCs w:val="14"/>
              </w:rPr>
              <w:t>State Agency supporting AMSA with oiled wildlife response.</w:t>
            </w:r>
          </w:p>
        </w:tc>
        <w:tc>
          <w:tcPr>
            <w:tcW w:w="3095" w:type="dxa"/>
            <w:shd w:val="clear" w:color="auto" w:fill="F2F2F2" w:themeFill="background1" w:themeFillShade="F2"/>
          </w:tcPr>
          <w:p w14:paraId="6D4580CB" w14:textId="77777777" w:rsidR="006F7282" w:rsidRDefault="006F7282" w:rsidP="00B55186">
            <w:pPr>
              <w:pStyle w:val="BodyText"/>
              <w:ind w:left="5"/>
              <w:rPr>
                <w:sz w:val="14"/>
                <w:szCs w:val="14"/>
              </w:rPr>
            </w:pPr>
            <w:r>
              <w:rPr>
                <w:sz w:val="14"/>
                <w:szCs w:val="14"/>
              </w:rPr>
              <w:t xml:space="preserve">2016.11.30 –  Email - </w:t>
            </w:r>
            <w:r w:rsidRPr="00EC22B6">
              <w:rPr>
                <w:sz w:val="14"/>
                <w:szCs w:val="14"/>
              </w:rPr>
              <w:t>Cooper Energy</w:t>
            </w:r>
            <w:r>
              <w:rPr>
                <w:sz w:val="14"/>
                <w:szCs w:val="14"/>
              </w:rPr>
              <w:t xml:space="preserve"> requesting current information on oiled wildlife response in Victoria.</w:t>
            </w:r>
          </w:p>
          <w:p w14:paraId="1E6ACF54" w14:textId="77777777" w:rsidR="006F7282" w:rsidRDefault="006F7282" w:rsidP="00B55186">
            <w:pPr>
              <w:pStyle w:val="BodyText"/>
              <w:ind w:left="5"/>
              <w:rPr>
                <w:sz w:val="14"/>
                <w:szCs w:val="14"/>
              </w:rPr>
            </w:pPr>
            <w:r>
              <w:rPr>
                <w:sz w:val="14"/>
                <w:szCs w:val="14"/>
              </w:rPr>
              <w:t xml:space="preserve">2017.02.19 – DELWP provided relevant information which supports oiled wildlife response arrangements to be included within the OPEP. </w:t>
            </w:r>
          </w:p>
        </w:tc>
        <w:tc>
          <w:tcPr>
            <w:tcW w:w="2403" w:type="dxa"/>
            <w:shd w:val="clear" w:color="auto" w:fill="F2F2F2" w:themeFill="background1" w:themeFillShade="F2"/>
          </w:tcPr>
          <w:p w14:paraId="02A08C6E" w14:textId="77777777" w:rsidR="006F7282" w:rsidRDefault="006F7282" w:rsidP="00B55186">
            <w:pPr>
              <w:pStyle w:val="BodyText"/>
              <w:ind w:left="0"/>
              <w:rPr>
                <w:sz w:val="14"/>
                <w:szCs w:val="14"/>
              </w:rPr>
            </w:pPr>
            <w:r>
              <w:rPr>
                <w:sz w:val="14"/>
                <w:szCs w:val="14"/>
              </w:rPr>
              <w:t>DELWP provides the following details:</w:t>
            </w:r>
          </w:p>
          <w:p w14:paraId="6438134D" w14:textId="77777777" w:rsidR="006F7282" w:rsidRDefault="006F7282" w:rsidP="0036080A">
            <w:pPr>
              <w:pStyle w:val="BodyText"/>
              <w:widowControl w:val="0"/>
              <w:numPr>
                <w:ilvl w:val="0"/>
                <w:numId w:val="50"/>
              </w:numPr>
              <w:spacing w:before="120"/>
              <w:rPr>
                <w:sz w:val="14"/>
                <w:szCs w:val="14"/>
              </w:rPr>
            </w:pPr>
            <w:r>
              <w:rPr>
                <w:sz w:val="14"/>
                <w:szCs w:val="14"/>
              </w:rPr>
              <w:t>Agency arrangements for oiled wildlife response;</w:t>
            </w:r>
          </w:p>
          <w:p w14:paraId="56496BC8" w14:textId="77777777" w:rsidR="006F7282" w:rsidRDefault="006F7282" w:rsidP="0036080A">
            <w:pPr>
              <w:pStyle w:val="BodyText"/>
              <w:widowControl w:val="0"/>
              <w:numPr>
                <w:ilvl w:val="0"/>
                <w:numId w:val="50"/>
              </w:numPr>
              <w:spacing w:before="120"/>
              <w:rPr>
                <w:sz w:val="14"/>
                <w:szCs w:val="14"/>
              </w:rPr>
            </w:pPr>
            <w:r>
              <w:rPr>
                <w:sz w:val="14"/>
                <w:szCs w:val="14"/>
              </w:rPr>
              <w:t>DELWP responses available;</w:t>
            </w:r>
          </w:p>
          <w:p w14:paraId="59B8BD55" w14:textId="77777777" w:rsidR="006F7282" w:rsidRDefault="006F7282" w:rsidP="0036080A">
            <w:pPr>
              <w:pStyle w:val="BodyText"/>
              <w:widowControl w:val="0"/>
              <w:numPr>
                <w:ilvl w:val="0"/>
                <w:numId w:val="50"/>
              </w:numPr>
              <w:spacing w:before="120"/>
              <w:rPr>
                <w:sz w:val="14"/>
                <w:szCs w:val="14"/>
              </w:rPr>
            </w:pPr>
            <w:r>
              <w:rPr>
                <w:sz w:val="14"/>
                <w:szCs w:val="14"/>
              </w:rPr>
              <w:t>Response arrangements during oil spill;</w:t>
            </w:r>
          </w:p>
          <w:p w14:paraId="1F445261" w14:textId="77777777" w:rsidR="006F7282" w:rsidRDefault="006F7282" w:rsidP="0036080A">
            <w:pPr>
              <w:pStyle w:val="BodyText"/>
              <w:widowControl w:val="0"/>
              <w:numPr>
                <w:ilvl w:val="0"/>
                <w:numId w:val="50"/>
              </w:numPr>
              <w:spacing w:before="120"/>
              <w:rPr>
                <w:sz w:val="14"/>
                <w:szCs w:val="14"/>
              </w:rPr>
            </w:pPr>
            <w:r>
              <w:rPr>
                <w:sz w:val="14"/>
                <w:szCs w:val="14"/>
              </w:rPr>
              <w:t>Notification pathways;</w:t>
            </w:r>
          </w:p>
          <w:p w14:paraId="1B190751" w14:textId="77777777" w:rsidR="006F7282" w:rsidRDefault="006F7282" w:rsidP="00B55186">
            <w:pPr>
              <w:pStyle w:val="BodyText"/>
              <w:ind w:left="0"/>
              <w:rPr>
                <w:sz w:val="14"/>
                <w:szCs w:val="14"/>
              </w:rPr>
            </w:pPr>
            <w:r>
              <w:rPr>
                <w:sz w:val="14"/>
                <w:szCs w:val="14"/>
              </w:rPr>
              <w:t>Relevant actions to be taken.</w:t>
            </w:r>
          </w:p>
        </w:tc>
        <w:tc>
          <w:tcPr>
            <w:tcW w:w="2196" w:type="dxa"/>
            <w:shd w:val="clear" w:color="auto" w:fill="F2F2F2" w:themeFill="background1" w:themeFillShade="F2"/>
          </w:tcPr>
          <w:p w14:paraId="2A3A6B1F" w14:textId="77777777" w:rsidR="006F7282" w:rsidRDefault="006F7282" w:rsidP="00B55186">
            <w:pPr>
              <w:pStyle w:val="BodyText"/>
              <w:ind w:left="0"/>
              <w:rPr>
                <w:sz w:val="14"/>
                <w:szCs w:val="14"/>
              </w:rPr>
            </w:pPr>
            <w:r>
              <w:rPr>
                <w:sz w:val="14"/>
                <w:szCs w:val="14"/>
              </w:rPr>
              <w:t>No objections made to the information provided. Included in the OPEP (Oiled Wildlife Response) Section.</w:t>
            </w:r>
          </w:p>
        </w:tc>
        <w:tc>
          <w:tcPr>
            <w:tcW w:w="1987" w:type="dxa"/>
            <w:shd w:val="clear" w:color="auto" w:fill="F2F2F2" w:themeFill="background1" w:themeFillShade="F2"/>
          </w:tcPr>
          <w:p w14:paraId="1E2C3CAF" w14:textId="77777777" w:rsidR="006F7282" w:rsidRDefault="006F7282" w:rsidP="00B55186">
            <w:pPr>
              <w:pStyle w:val="BodyText"/>
              <w:ind w:left="0"/>
              <w:rPr>
                <w:sz w:val="14"/>
                <w:szCs w:val="14"/>
              </w:rPr>
            </w:pPr>
            <w:r>
              <w:rPr>
                <w:sz w:val="14"/>
                <w:szCs w:val="14"/>
              </w:rPr>
              <w:t>Thanked DELWP for the current information.</w:t>
            </w:r>
          </w:p>
        </w:tc>
      </w:tr>
      <w:tr w:rsidR="006F7282" w14:paraId="042660A3" w14:textId="77777777" w:rsidTr="006F7282">
        <w:trPr>
          <w:cnfStyle w:val="000000010000" w:firstRow="0" w:lastRow="0" w:firstColumn="0" w:lastColumn="0" w:oddVBand="0" w:evenVBand="0" w:oddHBand="0" w:evenHBand="1" w:firstRowFirstColumn="0" w:firstRowLastColumn="0" w:lastRowFirstColumn="0" w:lastRowLastColumn="0"/>
          <w:cantSplit/>
        </w:trPr>
        <w:tc>
          <w:tcPr>
            <w:tcW w:w="1162" w:type="dxa"/>
            <w:shd w:val="clear" w:color="auto" w:fill="FFFFFF" w:themeFill="background1"/>
          </w:tcPr>
          <w:p w14:paraId="1F09A7AD" w14:textId="77777777" w:rsidR="006F7282" w:rsidRDefault="006F7282" w:rsidP="00B55186">
            <w:pPr>
              <w:pStyle w:val="BodyText"/>
              <w:ind w:left="0"/>
              <w:rPr>
                <w:sz w:val="14"/>
                <w:szCs w:val="14"/>
              </w:rPr>
            </w:pPr>
            <w:r w:rsidRPr="0009315B">
              <w:rPr>
                <w:sz w:val="14"/>
                <w:szCs w:val="14"/>
              </w:rPr>
              <w:lastRenderedPageBreak/>
              <w:t>Origin Energy Resources Ltd</w:t>
            </w:r>
          </w:p>
        </w:tc>
        <w:tc>
          <w:tcPr>
            <w:tcW w:w="2431" w:type="dxa"/>
            <w:shd w:val="clear" w:color="auto" w:fill="FFFFFF" w:themeFill="background1"/>
          </w:tcPr>
          <w:p w14:paraId="5072615A" w14:textId="77777777" w:rsidR="006F7282" w:rsidRDefault="006F7282" w:rsidP="00B55186">
            <w:pPr>
              <w:pStyle w:val="BodyText"/>
              <w:ind w:left="95"/>
              <w:rPr>
                <w:sz w:val="14"/>
                <w:szCs w:val="14"/>
              </w:rPr>
            </w:pPr>
            <w:r>
              <w:rPr>
                <w:sz w:val="14"/>
                <w:szCs w:val="14"/>
              </w:rPr>
              <w:t>Nearby Titleholder</w:t>
            </w:r>
          </w:p>
        </w:tc>
        <w:tc>
          <w:tcPr>
            <w:tcW w:w="3095" w:type="dxa"/>
            <w:shd w:val="clear" w:color="auto" w:fill="FFFFFF" w:themeFill="background1"/>
          </w:tcPr>
          <w:p w14:paraId="4F0D9ACD" w14:textId="77777777" w:rsidR="006F7282" w:rsidRDefault="006F7282" w:rsidP="00B55186">
            <w:pPr>
              <w:pStyle w:val="BodyText"/>
              <w:ind w:left="5"/>
              <w:rPr>
                <w:sz w:val="14"/>
                <w:szCs w:val="14"/>
              </w:rPr>
            </w:pPr>
            <w:r>
              <w:rPr>
                <w:sz w:val="14"/>
                <w:szCs w:val="14"/>
              </w:rPr>
              <w:t>2017.03.07</w:t>
            </w:r>
            <w:r w:rsidRPr="0009315B">
              <w:rPr>
                <w:sz w:val="14"/>
                <w:szCs w:val="14"/>
              </w:rPr>
              <w:t xml:space="preserve"> Email – Letter </w:t>
            </w:r>
            <w:r w:rsidRPr="00EC22B6">
              <w:rPr>
                <w:sz w:val="14"/>
                <w:szCs w:val="14"/>
              </w:rPr>
              <w:t>Cooper Energy</w:t>
            </w:r>
            <w:r>
              <w:rPr>
                <w:sz w:val="14"/>
                <w:szCs w:val="14"/>
              </w:rPr>
              <w:t xml:space="preserve"> </w:t>
            </w:r>
            <w:r w:rsidRPr="0009315B">
              <w:rPr>
                <w:sz w:val="14"/>
                <w:szCs w:val="14"/>
              </w:rPr>
              <w:t xml:space="preserve">provided information associated with the </w:t>
            </w:r>
            <w:r>
              <w:rPr>
                <w:sz w:val="14"/>
                <w:szCs w:val="14"/>
              </w:rPr>
              <w:t>CHN</w:t>
            </w:r>
            <w:r w:rsidRPr="0009315B">
              <w:rPr>
                <w:sz w:val="14"/>
                <w:szCs w:val="14"/>
              </w:rPr>
              <w:t xml:space="preserve"> Environment Plan, changes in titleholder and requested feedback</w:t>
            </w:r>
          </w:p>
        </w:tc>
        <w:tc>
          <w:tcPr>
            <w:tcW w:w="2403" w:type="dxa"/>
            <w:shd w:val="clear" w:color="auto" w:fill="FFFFFF" w:themeFill="background1"/>
          </w:tcPr>
          <w:p w14:paraId="57F893E5" w14:textId="77777777" w:rsidR="006F7282" w:rsidRDefault="006F7282" w:rsidP="00B55186">
            <w:pPr>
              <w:pStyle w:val="BodyText"/>
              <w:ind w:left="0"/>
              <w:rPr>
                <w:sz w:val="14"/>
                <w:szCs w:val="14"/>
              </w:rPr>
            </w:pPr>
            <w:r>
              <w:rPr>
                <w:sz w:val="14"/>
                <w:szCs w:val="14"/>
              </w:rPr>
              <w:t>2017.03.07 Automated response</w:t>
            </w:r>
          </w:p>
        </w:tc>
        <w:tc>
          <w:tcPr>
            <w:tcW w:w="2196" w:type="dxa"/>
            <w:shd w:val="clear" w:color="auto" w:fill="FFFFFF" w:themeFill="background1"/>
          </w:tcPr>
          <w:p w14:paraId="764EA7D5" w14:textId="77777777" w:rsidR="006F7282" w:rsidRDefault="006F7282" w:rsidP="00B55186">
            <w:pPr>
              <w:pStyle w:val="BodyText"/>
              <w:ind w:left="0"/>
              <w:rPr>
                <w:sz w:val="14"/>
                <w:szCs w:val="14"/>
              </w:rPr>
            </w:pPr>
            <w:r>
              <w:rPr>
                <w:sz w:val="14"/>
                <w:szCs w:val="14"/>
              </w:rPr>
              <w:t>Not applicable</w:t>
            </w:r>
          </w:p>
        </w:tc>
        <w:tc>
          <w:tcPr>
            <w:tcW w:w="1987" w:type="dxa"/>
            <w:shd w:val="clear" w:color="auto" w:fill="FFFFFF" w:themeFill="background1"/>
          </w:tcPr>
          <w:p w14:paraId="428988F2" w14:textId="77777777" w:rsidR="006F7282" w:rsidRDefault="006F7282" w:rsidP="00B55186">
            <w:pPr>
              <w:pStyle w:val="BodyText"/>
              <w:ind w:left="0"/>
              <w:rPr>
                <w:sz w:val="14"/>
                <w:szCs w:val="14"/>
              </w:rPr>
            </w:pPr>
            <w:r>
              <w:rPr>
                <w:sz w:val="14"/>
                <w:szCs w:val="14"/>
              </w:rPr>
              <w:t>Not Applicable</w:t>
            </w:r>
          </w:p>
        </w:tc>
      </w:tr>
      <w:tr w:rsidR="006F7282" w14:paraId="71D4024E" w14:textId="77777777" w:rsidTr="006F7282">
        <w:trPr>
          <w:cantSplit/>
        </w:trPr>
        <w:tc>
          <w:tcPr>
            <w:tcW w:w="1162" w:type="dxa"/>
            <w:shd w:val="clear" w:color="auto" w:fill="F2F2F2" w:themeFill="background1" w:themeFillShade="F2"/>
          </w:tcPr>
          <w:p w14:paraId="4F55F97F" w14:textId="77777777" w:rsidR="006F7282" w:rsidRDefault="006F7282" w:rsidP="00B55186">
            <w:pPr>
              <w:pStyle w:val="BodyText"/>
              <w:ind w:left="0"/>
              <w:rPr>
                <w:sz w:val="14"/>
                <w:szCs w:val="14"/>
              </w:rPr>
            </w:pPr>
            <w:r w:rsidRPr="0009315B">
              <w:rPr>
                <w:sz w:val="14"/>
                <w:szCs w:val="14"/>
              </w:rPr>
              <w:t>WHL Limited</w:t>
            </w:r>
          </w:p>
        </w:tc>
        <w:tc>
          <w:tcPr>
            <w:tcW w:w="2431" w:type="dxa"/>
            <w:shd w:val="clear" w:color="auto" w:fill="F2F2F2" w:themeFill="background1" w:themeFillShade="F2"/>
          </w:tcPr>
          <w:p w14:paraId="30516464" w14:textId="77777777" w:rsidR="006F7282" w:rsidRDefault="006F7282" w:rsidP="00B55186">
            <w:pPr>
              <w:pStyle w:val="BodyText"/>
              <w:ind w:left="95"/>
              <w:rPr>
                <w:sz w:val="14"/>
                <w:szCs w:val="14"/>
              </w:rPr>
            </w:pPr>
            <w:r>
              <w:rPr>
                <w:sz w:val="14"/>
                <w:szCs w:val="14"/>
              </w:rPr>
              <w:t>Nearby Titleholder</w:t>
            </w:r>
          </w:p>
        </w:tc>
        <w:tc>
          <w:tcPr>
            <w:tcW w:w="3095" w:type="dxa"/>
            <w:shd w:val="clear" w:color="auto" w:fill="F2F2F2" w:themeFill="background1" w:themeFillShade="F2"/>
          </w:tcPr>
          <w:p w14:paraId="3D850F58" w14:textId="77777777" w:rsidR="006F7282" w:rsidRDefault="006F7282" w:rsidP="00B55186">
            <w:pPr>
              <w:pStyle w:val="BodyText"/>
              <w:ind w:left="5"/>
              <w:rPr>
                <w:sz w:val="14"/>
                <w:szCs w:val="14"/>
              </w:rPr>
            </w:pPr>
            <w:r>
              <w:rPr>
                <w:sz w:val="14"/>
                <w:szCs w:val="14"/>
              </w:rPr>
              <w:t>2017.03.07</w:t>
            </w:r>
            <w:r w:rsidRPr="0009315B">
              <w:rPr>
                <w:sz w:val="14"/>
                <w:szCs w:val="14"/>
              </w:rPr>
              <w:t xml:space="preserve"> Email – Letter </w:t>
            </w:r>
            <w:r w:rsidRPr="00EC22B6">
              <w:rPr>
                <w:sz w:val="14"/>
                <w:szCs w:val="14"/>
              </w:rPr>
              <w:t>Cooper Energy</w:t>
            </w:r>
            <w:r w:rsidRPr="0009315B">
              <w:rPr>
                <w:sz w:val="14"/>
                <w:szCs w:val="14"/>
              </w:rPr>
              <w:t xml:space="preserve"> provided information associated with the </w:t>
            </w:r>
            <w:r>
              <w:rPr>
                <w:sz w:val="14"/>
                <w:szCs w:val="14"/>
              </w:rPr>
              <w:t>CHN</w:t>
            </w:r>
            <w:r w:rsidRPr="0009315B">
              <w:rPr>
                <w:sz w:val="14"/>
                <w:szCs w:val="14"/>
              </w:rPr>
              <w:t xml:space="preserve"> Environment Plan, changes in titleholder and requested feedback</w:t>
            </w:r>
          </w:p>
        </w:tc>
        <w:tc>
          <w:tcPr>
            <w:tcW w:w="2403" w:type="dxa"/>
            <w:shd w:val="clear" w:color="auto" w:fill="F2F2F2" w:themeFill="background1" w:themeFillShade="F2"/>
          </w:tcPr>
          <w:p w14:paraId="34AA7398" w14:textId="77777777" w:rsidR="006F7282" w:rsidRDefault="006F7282" w:rsidP="00B55186">
            <w:pPr>
              <w:pStyle w:val="BodyText"/>
              <w:ind w:left="0"/>
              <w:rPr>
                <w:sz w:val="14"/>
                <w:szCs w:val="14"/>
              </w:rPr>
            </w:pPr>
            <w:r>
              <w:rPr>
                <w:sz w:val="14"/>
                <w:szCs w:val="14"/>
              </w:rPr>
              <w:t>No feedback to date.</w:t>
            </w:r>
          </w:p>
        </w:tc>
        <w:tc>
          <w:tcPr>
            <w:tcW w:w="2196" w:type="dxa"/>
            <w:shd w:val="clear" w:color="auto" w:fill="F2F2F2" w:themeFill="background1" w:themeFillShade="F2"/>
          </w:tcPr>
          <w:p w14:paraId="0A2152C8" w14:textId="77777777" w:rsidR="006F7282" w:rsidRDefault="006F7282" w:rsidP="00B55186">
            <w:pPr>
              <w:pStyle w:val="BodyText"/>
              <w:ind w:left="0"/>
              <w:rPr>
                <w:sz w:val="14"/>
                <w:szCs w:val="14"/>
              </w:rPr>
            </w:pPr>
            <w:r>
              <w:rPr>
                <w:sz w:val="14"/>
                <w:szCs w:val="14"/>
              </w:rPr>
              <w:t>Not applicable</w:t>
            </w:r>
          </w:p>
        </w:tc>
        <w:tc>
          <w:tcPr>
            <w:tcW w:w="1987" w:type="dxa"/>
            <w:shd w:val="clear" w:color="auto" w:fill="F2F2F2" w:themeFill="background1" w:themeFillShade="F2"/>
          </w:tcPr>
          <w:p w14:paraId="3B717DDA" w14:textId="77777777" w:rsidR="006F7282" w:rsidRDefault="006F7282" w:rsidP="00B55186">
            <w:pPr>
              <w:pStyle w:val="BodyText"/>
              <w:ind w:left="0"/>
              <w:rPr>
                <w:sz w:val="14"/>
                <w:szCs w:val="14"/>
              </w:rPr>
            </w:pPr>
            <w:r>
              <w:rPr>
                <w:sz w:val="14"/>
                <w:szCs w:val="14"/>
              </w:rPr>
              <w:t>Not Applicable</w:t>
            </w:r>
          </w:p>
        </w:tc>
      </w:tr>
      <w:tr w:rsidR="006F7282" w14:paraId="7343AED8" w14:textId="77777777" w:rsidTr="006F7282">
        <w:trPr>
          <w:cnfStyle w:val="000000010000" w:firstRow="0" w:lastRow="0" w:firstColumn="0" w:lastColumn="0" w:oddVBand="0" w:evenVBand="0" w:oddHBand="0" w:evenHBand="1" w:firstRowFirstColumn="0" w:firstRowLastColumn="0" w:lastRowFirstColumn="0" w:lastRowLastColumn="0"/>
          <w:cantSplit/>
        </w:trPr>
        <w:tc>
          <w:tcPr>
            <w:tcW w:w="1162" w:type="dxa"/>
            <w:shd w:val="clear" w:color="auto" w:fill="FFFFFF" w:themeFill="background1"/>
          </w:tcPr>
          <w:p w14:paraId="6D695F26" w14:textId="77777777" w:rsidR="006F7282" w:rsidRDefault="006F7282" w:rsidP="00B55186">
            <w:pPr>
              <w:pStyle w:val="BodyText"/>
              <w:ind w:left="0"/>
              <w:rPr>
                <w:sz w:val="14"/>
                <w:szCs w:val="14"/>
              </w:rPr>
            </w:pPr>
            <w:r w:rsidRPr="0009315B">
              <w:rPr>
                <w:sz w:val="14"/>
                <w:szCs w:val="14"/>
              </w:rPr>
              <w:t>3D Oil Limited</w:t>
            </w:r>
          </w:p>
        </w:tc>
        <w:tc>
          <w:tcPr>
            <w:tcW w:w="2431" w:type="dxa"/>
            <w:shd w:val="clear" w:color="auto" w:fill="FFFFFF" w:themeFill="background1"/>
          </w:tcPr>
          <w:p w14:paraId="7E741589" w14:textId="77777777" w:rsidR="006F7282" w:rsidRDefault="006F7282" w:rsidP="00B55186">
            <w:pPr>
              <w:pStyle w:val="BodyText"/>
              <w:ind w:left="95"/>
              <w:rPr>
                <w:sz w:val="14"/>
                <w:szCs w:val="14"/>
              </w:rPr>
            </w:pPr>
            <w:r>
              <w:rPr>
                <w:sz w:val="14"/>
                <w:szCs w:val="14"/>
              </w:rPr>
              <w:t>Nearby Titleholder</w:t>
            </w:r>
          </w:p>
        </w:tc>
        <w:tc>
          <w:tcPr>
            <w:tcW w:w="3095" w:type="dxa"/>
            <w:shd w:val="clear" w:color="auto" w:fill="FFFFFF" w:themeFill="background1"/>
          </w:tcPr>
          <w:p w14:paraId="466B15CA" w14:textId="77777777" w:rsidR="006F7282" w:rsidRDefault="006F7282" w:rsidP="00B55186">
            <w:pPr>
              <w:pStyle w:val="BodyText"/>
              <w:ind w:left="5"/>
              <w:rPr>
                <w:sz w:val="14"/>
                <w:szCs w:val="14"/>
              </w:rPr>
            </w:pPr>
            <w:r>
              <w:rPr>
                <w:sz w:val="14"/>
                <w:szCs w:val="14"/>
              </w:rPr>
              <w:t>2017.03.07</w:t>
            </w:r>
            <w:r w:rsidRPr="0009315B">
              <w:rPr>
                <w:sz w:val="14"/>
                <w:szCs w:val="14"/>
              </w:rPr>
              <w:t xml:space="preserve"> Email – Letter </w:t>
            </w:r>
            <w:r w:rsidRPr="00EC22B6">
              <w:rPr>
                <w:sz w:val="14"/>
                <w:szCs w:val="14"/>
              </w:rPr>
              <w:t>Cooper Energy</w:t>
            </w:r>
            <w:r w:rsidRPr="0009315B">
              <w:rPr>
                <w:sz w:val="14"/>
                <w:szCs w:val="14"/>
              </w:rPr>
              <w:t xml:space="preserve"> provided information associated with the </w:t>
            </w:r>
            <w:r>
              <w:rPr>
                <w:sz w:val="14"/>
                <w:szCs w:val="14"/>
              </w:rPr>
              <w:t>CHN</w:t>
            </w:r>
            <w:r w:rsidRPr="0009315B">
              <w:rPr>
                <w:sz w:val="14"/>
                <w:szCs w:val="14"/>
              </w:rPr>
              <w:t xml:space="preserve"> Environment Plan, changes in titleholder and requested feedback</w:t>
            </w:r>
          </w:p>
        </w:tc>
        <w:tc>
          <w:tcPr>
            <w:tcW w:w="2403" w:type="dxa"/>
            <w:shd w:val="clear" w:color="auto" w:fill="FFFFFF" w:themeFill="background1"/>
          </w:tcPr>
          <w:p w14:paraId="152FCB50" w14:textId="77777777" w:rsidR="006F7282" w:rsidRDefault="006F7282" w:rsidP="00B55186">
            <w:pPr>
              <w:pStyle w:val="BodyText"/>
              <w:ind w:left="0"/>
              <w:rPr>
                <w:sz w:val="14"/>
                <w:szCs w:val="14"/>
              </w:rPr>
            </w:pPr>
            <w:r>
              <w:rPr>
                <w:sz w:val="14"/>
                <w:szCs w:val="14"/>
              </w:rPr>
              <w:t>No feedback to date.</w:t>
            </w:r>
          </w:p>
        </w:tc>
        <w:tc>
          <w:tcPr>
            <w:tcW w:w="2196" w:type="dxa"/>
            <w:shd w:val="clear" w:color="auto" w:fill="FFFFFF" w:themeFill="background1"/>
          </w:tcPr>
          <w:p w14:paraId="6597893D" w14:textId="77777777" w:rsidR="006F7282" w:rsidRDefault="006F7282" w:rsidP="00B55186">
            <w:pPr>
              <w:pStyle w:val="BodyText"/>
              <w:ind w:left="0"/>
              <w:rPr>
                <w:sz w:val="14"/>
                <w:szCs w:val="14"/>
              </w:rPr>
            </w:pPr>
            <w:r>
              <w:rPr>
                <w:sz w:val="14"/>
                <w:szCs w:val="14"/>
              </w:rPr>
              <w:t>Not applicable</w:t>
            </w:r>
          </w:p>
        </w:tc>
        <w:tc>
          <w:tcPr>
            <w:tcW w:w="1987" w:type="dxa"/>
            <w:shd w:val="clear" w:color="auto" w:fill="FFFFFF" w:themeFill="background1"/>
          </w:tcPr>
          <w:p w14:paraId="0178C673" w14:textId="77777777" w:rsidR="006F7282" w:rsidRDefault="006F7282" w:rsidP="00B55186">
            <w:pPr>
              <w:pStyle w:val="BodyText"/>
              <w:ind w:left="0"/>
              <w:rPr>
                <w:sz w:val="14"/>
                <w:szCs w:val="14"/>
              </w:rPr>
            </w:pPr>
            <w:r>
              <w:rPr>
                <w:sz w:val="14"/>
                <w:szCs w:val="14"/>
              </w:rPr>
              <w:t>Not Applicable</w:t>
            </w:r>
          </w:p>
        </w:tc>
      </w:tr>
      <w:tr w:rsidR="006F7282" w14:paraId="6AF1B3C3" w14:textId="77777777" w:rsidTr="006F7282">
        <w:trPr>
          <w:cantSplit/>
        </w:trPr>
        <w:tc>
          <w:tcPr>
            <w:tcW w:w="1162" w:type="dxa"/>
            <w:shd w:val="clear" w:color="auto" w:fill="F2F2F2" w:themeFill="background1" w:themeFillShade="F2"/>
          </w:tcPr>
          <w:p w14:paraId="06977F6F" w14:textId="77777777" w:rsidR="006F7282" w:rsidRDefault="006F7282" w:rsidP="00B55186">
            <w:pPr>
              <w:pStyle w:val="BodyText"/>
              <w:ind w:left="0"/>
              <w:rPr>
                <w:sz w:val="14"/>
                <w:szCs w:val="14"/>
              </w:rPr>
            </w:pPr>
            <w:r w:rsidRPr="0009315B">
              <w:rPr>
                <w:sz w:val="14"/>
                <w:szCs w:val="14"/>
              </w:rPr>
              <w:t>BHP Billiton Petroleum (Victoria) Pty Ltd</w:t>
            </w:r>
          </w:p>
        </w:tc>
        <w:tc>
          <w:tcPr>
            <w:tcW w:w="2431" w:type="dxa"/>
            <w:shd w:val="clear" w:color="auto" w:fill="F2F2F2" w:themeFill="background1" w:themeFillShade="F2"/>
          </w:tcPr>
          <w:p w14:paraId="7D0070DB" w14:textId="77777777" w:rsidR="006F7282" w:rsidRDefault="006F7282" w:rsidP="00B55186">
            <w:pPr>
              <w:pStyle w:val="BodyText"/>
              <w:ind w:left="95"/>
              <w:rPr>
                <w:sz w:val="14"/>
                <w:szCs w:val="14"/>
              </w:rPr>
            </w:pPr>
            <w:r>
              <w:rPr>
                <w:sz w:val="14"/>
                <w:szCs w:val="14"/>
              </w:rPr>
              <w:t>Nearby Titleholder</w:t>
            </w:r>
          </w:p>
        </w:tc>
        <w:tc>
          <w:tcPr>
            <w:tcW w:w="3095" w:type="dxa"/>
            <w:shd w:val="clear" w:color="auto" w:fill="F2F2F2" w:themeFill="background1" w:themeFillShade="F2"/>
          </w:tcPr>
          <w:p w14:paraId="14F66FDB" w14:textId="77777777" w:rsidR="006F7282" w:rsidRDefault="006F7282" w:rsidP="00B55186">
            <w:pPr>
              <w:pStyle w:val="BodyText"/>
              <w:ind w:left="5"/>
              <w:rPr>
                <w:sz w:val="14"/>
                <w:szCs w:val="14"/>
              </w:rPr>
            </w:pPr>
            <w:r>
              <w:rPr>
                <w:sz w:val="14"/>
                <w:szCs w:val="14"/>
              </w:rPr>
              <w:t>2017.03.07</w:t>
            </w:r>
            <w:r w:rsidRPr="0009315B">
              <w:rPr>
                <w:sz w:val="14"/>
                <w:szCs w:val="14"/>
              </w:rPr>
              <w:t xml:space="preserve"> </w:t>
            </w:r>
            <w:r>
              <w:rPr>
                <w:sz w:val="14"/>
                <w:szCs w:val="14"/>
              </w:rPr>
              <w:t xml:space="preserve">Mailed </w:t>
            </w:r>
            <w:r w:rsidRPr="0009315B">
              <w:rPr>
                <w:sz w:val="14"/>
                <w:szCs w:val="14"/>
              </w:rPr>
              <w:t xml:space="preserve">– Letter </w:t>
            </w:r>
            <w:r w:rsidRPr="00EC22B6">
              <w:rPr>
                <w:sz w:val="14"/>
                <w:szCs w:val="14"/>
              </w:rPr>
              <w:t>Cooper Energy</w:t>
            </w:r>
            <w:r w:rsidRPr="0009315B">
              <w:rPr>
                <w:sz w:val="14"/>
                <w:szCs w:val="14"/>
              </w:rPr>
              <w:t xml:space="preserve"> provided information associated with the </w:t>
            </w:r>
            <w:r>
              <w:rPr>
                <w:sz w:val="14"/>
                <w:szCs w:val="14"/>
              </w:rPr>
              <w:t>CHN</w:t>
            </w:r>
            <w:r w:rsidRPr="0009315B">
              <w:rPr>
                <w:sz w:val="14"/>
                <w:szCs w:val="14"/>
              </w:rPr>
              <w:t xml:space="preserve"> Environment Plan, changes in titleholder and requested feedback</w:t>
            </w:r>
          </w:p>
        </w:tc>
        <w:tc>
          <w:tcPr>
            <w:tcW w:w="2403" w:type="dxa"/>
            <w:shd w:val="clear" w:color="auto" w:fill="F2F2F2" w:themeFill="background1" w:themeFillShade="F2"/>
          </w:tcPr>
          <w:p w14:paraId="4D2DE66C" w14:textId="77777777" w:rsidR="006F7282" w:rsidRDefault="006F7282" w:rsidP="00B55186">
            <w:pPr>
              <w:pStyle w:val="BodyText"/>
              <w:ind w:left="0"/>
              <w:rPr>
                <w:sz w:val="14"/>
                <w:szCs w:val="14"/>
              </w:rPr>
            </w:pPr>
            <w:r>
              <w:rPr>
                <w:sz w:val="14"/>
                <w:szCs w:val="14"/>
              </w:rPr>
              <w:t>No feedback to date.</w:t>
            </w:r>
          </w:p>
        </w:tc>
        <w:tc>
          <w:tcPr>
            <w:tcW w:w="2196" w:type="dxa"/>
            <w:shd w:val="clear" w:color="auto" w:fill="F2F2F2" w:themeFill="background1" w:themeFillShade="F2"/>
          </w:tcPr>
          <w:p w14:paraId="74ED8A1C" w14:textId="77777777" w:rsidR="006F7282" w:rsidRDefault="006F7282" w:rsidP="00B55186">
            <w:pPr>
              <w:pStyle w:val="BodyText"/>
              <w:ind w:left="0"/>
              <w:rPr>
                <w:sz w:val="14"/>
                <w:szCs w:val="14"/>
              </w:rPr>
            </w:pPr>
            <w:r>
              <w:rPr>
                <w:sz w:val="14"/>
                <w:szCs w:val="14"/>
              </w:rPr>
              <w:t>Not applicable</w:t>
            </w:r>
          </w:p>
        </w:tc>
        <w:tc>
          <w:tcPr>
            <w:tcW w:w="1987" w:type="dxa"/>
            <w:shd w:val="clear" w:color="auto" w:fill="F2F2F2" w:themeFill="background1" w:themeFillShade="F2"/>
          </w:tcPr>
          <w:p w14:paraId="57D83BF2" w14:textId="77777777" w:rsidR="006F7282" w:rsidRDefault="006F7282" w:rsidP="00B55186">
            <w:pPr>
              <w:pStyle w:val="BodyText"/>
              <w:ind w:left="0"/>
              <w:rPr>
                <w:sz w:val="14"/>
                <w:szCs w:val="14"/>
              </w:rPr>
            </w:pPr>
            <w:r>
              <w:rPr>
                <w:sz w:val="14"/>
                <w:szCs w:val="14"/>
              </w:rPr>
              <w:t>Not applicable</w:t>
            </w:r>
          </w:p>
        </w:tc>
      </w:tr>
      <w:tr w:rsidR="006F7282" w14:paraId="559DDD77" w14:textId="77777777" w:rsidTr="006F7282">
        <w:trPr>
          <w:cnfStyle w:val="000000010000" w:firstRow="0" w:lastRow="0" w:firstColumn="0" w:lastColumn="0" w:oddVBand="0" w:evenVBand="0" w:oddHBand="0" w:evenHBand="1" w:firstRowFirstColumn="0" w:firstRowLastColumn="0" w:lastRowFirstColumn="0" w:lastRowLastColumn="0"/>
          <w:cantSplit/>
        </w:trPr>
        <w:tc>
          <w:tcPr>
            <w:tcW w:w="1162" w:type="dxa"/>
            <w:shd w:val="clear" w:color="auto" w:fill="FFFFFF" w:themeFill="background1"/>
          </w:tcPr>
          <w:p w14:paraId="558A2943" w14:textId="77777777" w:rsidR="006F7282" w:rsidRDefault="006F7282" w:rsidP="00B55186">
            <w:pPr>
              <w:pStyle w:val="BodyText"/>
              <w:ind w:left="0"/>
              <w:rPr>
                <w:sz w:val="14"/>
                <w:szCs w:val="14"/>
              </w:rPr>
            </w:pPr>
            <w:r>
              <w:rPr>
                <w:sz w:val="14"/>
                <w:szCs w:val="14"/>
              </w:rPr>
              <w:t>Coates Hire</w:t>
            </w:r>
          </w:p>
        </w:tc>
        <w:tc>
          <w:tcPr>
            <w:tcW w:w="2431" w:type="dxa"/>
            <w:shd w:val="clear" w:color="auto" w:fill="FFFFFF" w:themeFill="background1"/>
          </w:tcPr>
          <w:p w14:paraId="305DDF0F" w14:textId="77777777" w:rsidR="006F7282" w:rsidRDefault="006F7282" w:rsidP="00B55186">
            <w:pPr>
              <w:pStyle w:val="BodyText"/>
              <w:ind w:left="95"/>
              <w:rPr>
                <w:sz w:val="14"/>
                <w:szCs w:val="14"/>
              </w:rPr>
            </w:pPr>
            <w:r>
              <w:rPr>
                <w:sz w:val="14"/>
                <w:szCs w:val="14"/>
              </w:rPr>
              <w:t>Control Agency for Level 1 marine oil spills -heavy equipment hire</w:t>
            </w:r>
          </w:p>
        </w:tc>
        <w:tc>
          <w:tcPr>
            <w:tcW w:w="3095" w:type="dxa"/>
            <w:shd w:val="clear" w:color="auto" w:fill="FFFFFF" w:themeFill="background1"/>
          </w:tcPr>
          <w:p w14:paraId="1C43159F" w14:textId="77777777" w:rsidR="006F7282" w:rsidRDefault="006F7282" w:rsidP="00B55186">
            <w:pPr>
              <w:pStyle w:val="BodyText"/>
              <w:ind w:left="5"/>
              <w:rPr>
                <w:sz w:val="14"/>
                <w:szCs w:val="14"/>
              </w:rPr>
            </w:pPr>
            <w:r>
              <w:rPr>
                <w:sz w:val="14"/>
                <w:szCs w:val="14"/>
              </w:rPr>
              <w:t>2017.03.15: Telephone conversation with Heather Parsons (Coates Hire) regarding heavy equipment availability and deployment to port Campbell location.</w:t>
            </w:r>
          </w:p>
          <w:p w14:paraId="54A14010" w14:textId="77777777" w:rsidR="006F7282" w:rsidRDefault="006F7282" w:rsidP="00B55186">
            <w:pPr>
              <w:pStyle w:val="BodyText"/>
              <w:ind w:left="5"/>
              <w:rPr>
                <w:sz w:val="14"/>
                <w:szCs w:val="14"/>
              </w:rPr>
            </w:pPr>
            <w:r>
              <w:rPr>
                <w:sz w:val="14"/>
                <w:szCs w:val="14"/>
              </w:rPr>
              <w:t>2017.03.15 Email sent to Coates Hire confirming content of conversation</w:t>
            </w:r>
          </w:p>
        </w:tc>
        <w:tc>
          <w:tcPr>
            <w:tcW w:w="2403" w:type="dxa"/>
            <w:shd w:val="clear" w:color="auto" w:fill="FFFFFF" w:themeFill="background1"/>
          </w:tcPr>
          <w:p w14:paraId="492394B5" w14:textId="77777777" w:rsidR="006F7282" w:rsidRDefault="006F7282" w:rsidP="00B55186">
            <w:pPr>
              <w:pStyle w:val="BodyText"/>
              <w:ind w:left="0"/>
              <w:rPr>
                <w:sz w:val="14"/>
                <w:szCs w:val="14"/>
              </w:rPr>
            </w:pPr>
            <w:r>
              <w:rPr>
                <w:sz w:val="14"/>
                <w:szCs w:val="14"/>
              </w:rPr>
              <w:t>2017.03.16 Heather confirmed equipment availability and deployment time to a Port Campbell location about 5 hours, a call out service is available 24/7.</w:t>
            </w:r>
          </w:p>
        </w:tc>
        <w:tc>
          <w:tcPr>
            <w:tcW w:w="2196" w:type="dxa"/>
            <w:shd w:val="clear" w:color="auto" w:fill="FFFFFF" w:themeFill="background1"/>
          </w:tcPr>
          <w:p w14:paraId="750CB6FF" w14:textId="77777777" w:rsidR="006F7282" w:rsidRDefault="006F7282" w:rsidP="00B55186">
            <w:pPr>
              <w:pStyle w:val="BodyText"/>
              <w:ind w:left="0"/>
              <w:rPr>
                <w:sz w:val="14"/>
                <w:szCs w:val="14"/>
              </w:rPr>
            </w:pPr>
            <w:r>
              <w:rPr>
                <w:sz w:val="14"/>
                <w:szCs w:val="14"/>
              </w:rPr>
              <w:t>No adverse claims or objections made.</w:t>
            </w:r>
          </w:p>
        </w:tc>
        <w:tc>
          <w:tcPr>
            <w:tcW w:w="1987" w:type="dxa"/>
            <w:shd w:val="clear" w:color="auto" w:fill="FFFFFF" w:themeFill="background1"/>
          </w:tcPr>
          <w:p w14:paraId="03D54D46" w14:textId="77777777" w:rsidR="006F7282" w:rsidRDefault="006F7282" w:rsidP="00B55186">
            <w:pPr>
              <w:pStyle w:val="BodyText"/>
              <w:ind w:left="0"/>
              <w:rPr>
                <w:sz w:val="14"/>
                <w:szCs w:val="14"/>
              </w:rPr>
            </w:pPr>
            <w:r>
              <w:rPr>
                <w:sz w:val="14"/>
                <w:szCs w:val="14"/>
              </w:rPr>
              <w:t>Not Applicable</w:t>
            </w:r>
          </w:p>
        </w:tc>
      </w:tr>
    </w:tbl>
    <w:p w14:paraId="33286224" w14:textId="77777777" w:rsidR="006F7282" w:rsidRDefault="006F7282" w:rsidP="00100E5C">
      <w:pPr>
        <w:pStyle w:val="BodyText"/>
        <w:keepNext/>
        <w:ind w:left="0"/>
        <w:rPr>
          <w:szCs w:val="20"/>
        </w:rPr>
        <w:sectPr w:rsidR="006F7282" w:rsidSect="006F7282">
          <w:pgSz w:w="16840" w:h="11907" w:orient="landscape" w:code="9"/>
          <w:pgMar w:top="1440" w:right="2268" w:bottom="1440" w:left="1440" w:header="680" w:footer="284" w:gutter="0"/>
          <w:cols w:space="720"/>
          <w:docGrid w:linePitch="326"/>
        </w:sectPr>
      </w:pPr>
    </w:p>
    <w:p w14:paraId="374DB627" w14:textId="77777777" w:rsidR="00100E5C" w:rsidRDefault="00100E5C" w:rsidP="00100E5C">
      <w:pPr>
        <w:pStyle w:val="Heading2"/>
      </w:pPr>
      <w:bookmarkStart w:id="313" w:name="_Toc512862500"/>
      <w:r>
        <w:lastRenderedPageBreak/>
        <w:t>Ongoing Consultation</w:t>
      </w:r>
      <w:bookmarkEnd w:id="313"/>
    </w:p>
    <w:p w14:paraId="3B51DA7F" w14:textId="77777777" w:rsidR="00100E5C" w:rsidRPr="0022687A" w:rsidRDefault="00100E5C" w:rsidP="00E439A6">
      <w:pPr>
        <w:pStyle w:val="Bullet1"/>
        <w:numPr>
          <w:ilvl w:val="0"/>
          <w:numId w:val="0"/>
        </w:numPr>
        <w:ind w:left="720"/>
      </w:pPr>
      <w:r>
        <w:t>Cooper Energy</w:t>
      </w:r>
      <w:r w:rsidRPr="0022687A">
        <w:t xml:space="preserve"> elected not to define a ‘reasonable period’ (as specified in the OPGGS(E)</w:t>
      </w:r>
      <w:r>
        <w:t>R Regulation 11(3)</w:t>
      </w:r>
      <w:r w:rsidRPr="0022687A">
        <w:t xml:space="preserve">) in the information </w:t>
      </w:r>
      <w:r>
        <w:t>letter</w:t>
      </w:r>
      <w:r w:rsidRPr="0022687A">
        <w:t xml:space="preserve"> for stakeholders to provide comments. This is because consultation for this activity relates to a change of Titleholder and the ongoing operation of the </w:t>
      </w:r>
      <w:r>
        <w:t>CHN</w:t>
      </w:r>
      <w:r w:rsidRPr="0022687A">
        <w:t xml:space="preserve"> assets, so </w:t>
      </w:r>
      <w:r>
        <w:t>Cooper Energy</w:t>
      </w:r>
      <w:r w:rsidRPr="0022687A">
        <w:t xml:space="preserve"> believes stakeholders are unlikely to see any urgency in engaging (as demonstrated </w:t>
      </w:r>
      <w:r w:rsidRPr="00720814">
        <w:t xml:space="preserve">in Appendix 5). </w:t>
      </w:r>
    </w:p>
    <w:p w14:paraId="4E381C4B" w14:textId="77777777" w:rsidR="00100E5C" w:rsidRPr="0022687A" w:rsidRDefault="00100E5C" w:rsidP="00E439A6">
      <w:pPr>
        <w:pStyle w:val="Bullet1"/>
        <w:numPr>
          <w:ilvl w:val="0"/>
          <w:numId w:val="0"/>
        </w:numPr>
        <w:ind w:left="720"/>
      </w:pPr>
      <w:r w:rsidRPr="0022687A">
        <w:t xml:space="preserve">The long-standing and well established industry practice is to allow 30 days as the ‘reasonable period’ for stakeholders to respond to consultation material, after which time the EP can be submitted to the regulators. In this instance, there have been </w:t>
      </w:r>
      <w:r>
        <w:t>two months</w:t>
      </w:r>
      <w:r w:rsidRPr="0022687A">
        <w:t xml:space="preserve"> between the dissemination of the information </w:t>
      </w:r>
      <w:r>
        <w:t>letter</w:t>
      </w:r>
      <w:r w:rsidRPr="0022687A">
        <w:t xml:space="preserve"> and the initial submission of the EP. </w:t>
      </w:r>
    </w:p>
    <w:p w14:paraId="59A24123" w14:textId="77777777" w:rsidR="00100E5C" w:rsidRPr="00720814" w:rsidRDefault="00100E5C" w:rsidP="00E439A6">
      <w:pPr>
        <w:pStyle w:val="Bullet1"/>
        <w:numPr>
          <w:ilvl w:val="0"/>
          <w:numId w:val="0"/>
        </w:numPr>
        <w:ind w:left="720"/>
      </w:pPr>
      <w:r w:rsidRPr="0022687A">
        <w:t xml:space="preserve">Stakeholder consultation will be ongoing during the operation of the </w:t>
      </w:r>
      <w:r>
        <w:t>CHN</w:t>
      </w:r>
      <w:r w:rsidRPr="0022687A">
        <w:t xml:space="preserve"> assets. Key </w:t>
      </w:r>
      <w:r w:rsidRPr="00720814">
        <w:t xml:space="preserve">milestones that will trigger further consultation include: </w:t>
      </w:r>
    </w:p>
    <w:p w14:paraId="40A9B807" w14:textId="77777777" w:rsidR="00100E5C" w:rsidRPr="0086690A" w:rsidRDefault="00100E5C" w:rsidP="0036080A">
      <w:pPr>
        <w:pStyle w:val="BodyText"/>
        <w:numPr>
          <w:ilvl w:val="0"/>
          <w:numId w:val="47"/>
        </w:numPr>
        <w:ind w:left="1418" w:hanging="425"/>
        <w:rPr>
          <w:lang w:eastAsia="en-US"/>
        </w:rPr>
      </w:pPr>
      <w:r w:rsidRPr="0086690A">
        <w:rPr>
          <w:lang w:eastAsia="en-US"/>
        </w:rPr>
        <w:t>EP acceptance and the availability of the EP Summary on the NOPSEMA and DEDJTR websites;</w:t>
      </w:r>
    </w:p>
    <w:p w14:paraId="4A05B5FD" w14:textId="77777777" w:rsidR="00100E5C" w:rsidRPr="0086690A" w:rsidRDefault="00100E5C" w:rsidP="0036080A">
      <w:pPr>
        <w:pStyle w:val="BodyText"/>
        <w:numPr>
          <w:ilvl w:val="0"/>
          <w:numId w:val="47"/>
        </w:numPr>
        <w:ind w:left="1418" w:hanging="425"/>
        <w:rPr>
          <w:lang w:eastAsia="en-US"/>
        </w:rPr>
      </w:pPr>
      <w:r w:rsidRPr="0086690A">
        <w:rPr>
          <w:lang w:eastAsia="en-US"/>
        </w:rPr>
        <w:t>Inspection, maintenance repair activity (IMRs);</w:t>
      </w:r>
    </w:p>
    <w:p w14:paraId="582395C2" w14:textId="77777777" w:rsidR="00100E5C" w:rsidRPr="0086690A" w:rsidRDefault="00100E5C" w:rsidP="0036080A">
      <w:pPr>
        <w:pStyle w:val="BodyText"/>
        <w:numPr>
          <w:ilvl w:val="0"/>
          <w:numId w:val="47"/>
        </w:numPr>
        <w:ind w:left="1418" w:hanging="425"/>
        <w:rPr>
          <w:lang w:eastAsia="en-US"/>
        </w:rPr>
      </w:pPr>
      <w:r w:rsidRPr="0086690A">
        <w:rPr>
          <w:lang w:eastAsia="en-US"/>
        </w:rPr>
        <w:t>Any significant incidents (e.g., large hydrocarbon spill);</w:t>
      </w:r>
    </w:p>
    <w:p w14:paraId="68350E10" w14:textId="77777777" w:rsidR="00100E5C" w:rsidRPr="0086690A" w:rsidRDefault="00100E5C" w:rsidP="0036080A">
      <w:pPr>
        <w:pStyle w:val="BodyText"/>
        <w:numPr>
          <w:ilvl w:val="0"/>
          <w:numId w:val="47"/>
        </w:numPr>
        <w:ind w:left="1418" w:hanging="425"/>
        <w:rPr>
          <w:lang w:eastAsia="en-US"/>
        </w:rPr>
      </w:pPr>
      <w:r w:rsidRPr="0086690A">
        <w:rPr>
          <w:lang w:eastAsia="en-US"/>
        </w:rPr>
        <w:t>Changes to the CHN operational activity and its associate impacts or risks or to the way in which Cooper in managing the impacts and risks;</w:t>
      </w:r>
    </w:p>
    <w:p w14:paraId="56696CCE" w14:textId="77777777" w:rsidR="00100E5C" w:rsidRPr="0086690A" w:rsidRDefault="00100E5C" w:rsidP="0036080A">
      <w:pPr>
        <w:pStyle w:val="BodyText"/>
        <w:numPr>
          <w:ilvl w:val="0"/>
          <w:numId w:val="47"/>
        </w:numPr>
        <w:ind w:left="1418" w:hanging="425"/>
        <w:rPr>
          <w:lang w:eastAsia="en-US"/>
        </w:rPr>
      </w:pPr>
      <w:r w:rsidRPr="0086690A">
        <w:rPr>
          <w:lang w:eastAsia="en-US"/>
        </w:rPr>
        <w:t>Future optimisation activities (e.g., drilling of additional production wells or bringing assets back into production);</w:t>
      </w:r>
    </w:p>
    <w:p w14:paraId="257FF161" w14:textId="77777777" w:rsidR="00100E5C" w:rsidRPr="0086690A" w:rsidRDefault="00100E5C" w:rsidP="0036080A">
      <w:pPr>
        <w:pStyle w:val="BodyText"/>
        <w:numPr>
          <w:ilvl w:val="0"/>
          <w:numId w:val="47"/>
        </w:numPr>
        <w:ind w:left="1418" w:hanging="425"/>
      </w:pPr>
      <w:r w:rsidRPr="0086690A">
        <w:rPr>
          <w:lang w:eastAsia="en-US"/>
        </w:rPr>
        <w:t>When a decision</w:t>
      </w:r>
      <w:r w:rsidRPr="0086690A">
        <w:t xml:space="preserve"> is made to decommission the assets.</w:t>
      </w:r>
    </w:p>
    <w:p w14:paraId="385BE836" w14:textId="77777777" w:rsidR="00100E5C" w:rsidRPr="001313DC" w:rsidRDefault="00100E5C" w:rsidP="00100E5C">
      <w:pPr>
        <w:pStyle w:val="BodyText"/>
        <w:keepNext/>
        <w:rPr>
          <w:b/>
          <w:szCs w:val="20"/>
        </w:rPr>
      </w:pPr>
      <w:r w:rsidRPr="001313DC">
        <w:rPr>
          <w:b/>
          <w:szCs w:val="20"/>
        </w:rPr>
        <w:t>IMR Activity Consultation</w:t>
      </w:r>
    </w:p>
    <w:p w14:paraId="38E82E84" w14:textId="77777777" w:rsidR="00100E5C" w:rsidRDefault="00100E5C" w:rsidP="00E439A6">
      <w:pPr>
        <w:pStyle w:val="Bullet1"/>
        <w:numPr>
          <w:ilvl w:val="0"/>
          <w:numId w:val="0"/>
        </w:numPr>
        <w:ind w:left="720"/>
      </w:pPr>
      <w:r w:rsidRPr="000A223D">
        <w:t xml:space="preserve">At least </w:t>
      </w:r>
      <w:r>
        <w:t>four weeks prior to the IMR activity, Cooper will provide to all relevant stakeholders (Fishing Industry Bodies, AHS, TSV) information relating to the following:</w:t>
      </w:r>
    </w:p>
    <w:p w14:paraId="3E4D620F" w14:textId="77777777" w:rsidR="00100E5C" w:rsidRDefault="00100E5C" w:rsidP="0036080A">
      <w:pPr>
        <w:pStyle w:val="BodyText"/>
        <w:numPr>
          <w:ilvl w:val="0"/>
          <w:numId w:val="47"/>
        </w:numPr>
        <w:ind w:left="1418" w:hanging="425"/>
        <w:rPr>
          <w:lang w:eastAsia="en-US"/>
        </w:rPr>
      </w:pPr>
      <w:r>
        <w:rPr>
          <w:lang w:eastAsia="en-US"/>
        </w:rPr>
        <w:t>The expected timing, duration and location of the survey;</w:t>
      </w:r>
    </w:p>
    <w:p w14:paraId="39B7A6B3" w14:textId="77777777" w:rsidR="00100E5C" w:rsidRDefault="00100E5C" w:rsidP="0036080A">
      <w:pPr>
        <w:pStyle w:val="BodyText"/>
        <w:numPr>
          <w:ilvl w:val="0"/>
          <w:numId w:val="47"/>
        </w:numPr>
        <w:ind w:left="1418" w:hanging="425"/>
        <w:rPr>
          <w:lang w:eastAsia="en-US"/>
        </w:rPr>
      </w:pPr>
      <w:r>
        <w:rPr>
          <w:lang w:eastAsia="en-US"/>
        </w:rPr>
        <w:t>Vessel name and call sign (if known);</w:t>
      </w:r>
    </w:p>
    <w:p w14:paraId="55830548" w14:textId="77777777" w:rsidR="00100E5C" w:rsidRDefault="00100E5C" w:rsidP="0036080A">
      <w:pPr>
        <w:pStyle w:val="BodyText"/>
        <w:numPr>
          <w:ilvl w:val="0"/>
          <w:numId w:val="47"/>
        </w:numPr>
        <w:ind w:left="1418" w:hanging="425"/>
        <w:rPr>
          <w:lang w:eastAsia="en-US"/>
        </w:rPr>
      </w:pPr>
      <w:r>
        <w:rPr>
          <w:lang w:eastAsia="en-US"/>
        </w:rPr>
        <w:t xml:space="preserve">A description of the activities which are being undertaken; </w:t>
      </w:r>
    </w:p>
    <w:p w14:paraId="1E6E7659" w14:textId="77777777" w:rsidR="00100E5C" w:rsidRDefault="00100E5C" w:rsidP="0036080A">
      <w:pPr>
        <w:pStyle w:val="BodyText"/>
        <w:numPr>
          <w:ilvl w:val="0"/>
          <w:numId w:val="47"/>
        </w:numPr>
        <w:ind w:left="1418" w:hanging="425"/>
        <w:rPr>
          <w:lang w:eastAsia="en-US"/>
        </w:rPr>
      </w:pPr>
      <w:r>
        <w:rPr>
          <w:lang w:eastAsia="en-US"/>
        </w:rPr>
        <w:t xml:space="preserve">Expected impacts associated with the activity; </w:t>
      </w:r>
    </w:p>
    <w:p w14:paraId="0EBEE9FC" w14:textId="77777777" w:rsidR="00100E5C" w:rsidRDefault="00100E5C" w:rsidP="0036080A">
      <w:pPr>
        <w:pStyle w:val="BodyText"/>
        <w:numPr>
          <w:ilvl w:val="0"/>
          <w:numId w:val="47"/>
        </w:numPr>
        <w:ind w:left="1418" w:hanging="425"/>
        <w:rPr>
          <w:lang w:eastAsia="en-US"/>
        </w:rPr>
      </w:pPr>
      <w:r>
        <w:rPr>
          <w:lang w:eastAsia="en-US"/>
        </w:rPr>
        <w:t>A request to provide feedback on the activities; and</w:t>
      </w:r>
    </w:p>
    <w:p w14:paraId="4D231E1F" w14:textId="77777777" w:rsidR="00100E5C" w:rsidRDefault="00100E5C" w:rsidP="0036080A">
      <w:pPr>
        <w:pStyle w:val="BodyText"/>
        <w:numPr>
          <w:ilvl w:val="0"/>
          <w:numId w:val="47"/>
        </w:numPr>
        <w:ind w:left="1418" w:hanging="425"/>
      </w:pPr>
      <w:r>
        <w:t xml:space="preserve">The </w:t>
      </w:r>
      <w:r>
        <w:rPr>
          <w:lang w:eastAsia="en-US"/>
        </w:rPr>
        <w:t>Cooper</w:t>
      </w:r>
      <w:r>
        <w:t xml:space="preserve"> Representative for feedback of issues and concerns. </w:t>
      </w:r>
    </w:p>
    <w:p w14:paraId="5747603B" w14:textId="77777777" w:rsidR="00100E5C" w:rsidRPr="001313DC" w:rsidRDefault="00100E5C" w:rsidP="00100E5C">
      <w:pPr>
        <w:pStyle w:val="BodyText"/>
        <w:keepNext/>
        <w:rPr>
          <w:b/>
          <w:szCs w:val="20"/>
        </w:rPr>
      </w:pPr>
      <w:r w:rsidRPr="001313DC">
        <w:rPr>
          <w:b/>
          <w:szCs w:val="20"/>
        </w:rPr>
        <w:t>Ongoing Feedback and Response:</w:t>
      </w:r>
    </w:p>
    <w:p w14:paraId="0CB49FF2" w14:textId="1E6FBE55" w:rsidR="00100E5C" w:rsidRDefault="00100E5C" w:rsidP="00E439A6">
      <w:pPr>
        <w:pStyle w:val="Bullet1"/>
        <w:numPr>
          <w:ilvl w:val="0"/>
          <w:numId w:val="0"/>
        </w:numPr>
        <w:ind w:left="720"/>
      </w:pPr>
      <w:r>
        <w:t xml:space="preserve">Should stakeholder feedback identify issues or concerns prior to or during IMR activities, or during the CHN operational phase in general, that were not previously identified in the preparation of this EP, the impacts and risks will be assessed and if a significant new or increased impact or risk is identified, the EP will be reviewed and, as necessary, revised and resubmitted to NOPSEMA and DEDJTR for assessment. If the feedback, after assessment, results in a change to operations or procedures but is not considered to result in a significant new or increased impact or risk, a Cooper Management of Change process will be undertaken in accordance </w:t>
      </w:r>
      <w:r w:rsidRPr="00A33DC9">
        <w:t xml:space="preserve">with </w:t>
      </w:r>
      <w:r w:rsidR="00AC4873">
        <w:t>the Cooper MoC process</w:t>
      </w:r>
      <w:r>
        <w:t>.</w:t>
      </w:r>
    </w:p>
    <w:p w14:paraId="0868C027" w14:textId="77777777" w:rsidR="00100E5C" w:rsidRDefault="00100E5C" w:rsidP="00E439A6">
      <w:pPr>
        <w:pStyle w:val="Bullet1"/>
        <w:numPr>
          <w:ilvl w:val="0"/>
          <w:numId w:val="0"/>
        </w:numPr>
        <w:ind w:left="720"/>
      </w:pPr>
      <w:r>
        <w:t>In the event that a change to the CHN operational activity is planned which alters the impacts and risks or alters the way those impacts and risks are managed, Cooper shall consult with stakeholders, request and obtain feedback from stakeholders to ensure that impacts and risks to stakeholders are managed to levels which are acceptable and ALARP.</w:t>
      </w:r>
    </w:p>
    <w:p w14:paraId="3A4A2D16" w14:textId="63C6208F" w:rsidR="009C6E0E" w:rsidRDefault="009C6E0E" w:rsidP="009C6E0E">
      <w:pPr>
        <w:pStyle w:val="Heading1"/>
      </w:pPr>
      <w:bookmarkStart w:id="314" w:name="_Toc512862501"/>
      <w:r>
        <w:lastRenderedPageBreak/>
        <w:t>References</w:t>
      </w:r>
      <w:bookmarkEnd w:id="314"/>
    </w:p>
    <w:p w14:paraId="4A0559FF"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rPr>
        <w:t xml:space="preserve">ABARES, 2016 – Fishery Status Reports 2016. A www publication available at </w:t>
      </w:r>
      <w:hyperlink r:id="rId30" w:history="1">
        <w:r w:rsidRPr="006103DD">
          <w:rPr>
            <w:rStyle w:val="Hyperlink"/>
            <w:rFonts w:cs="Arial"/>
            <w:sz w:val="20"/>
            <w:szCs w:val="20"/>
          </w:rPr>
          <w:t>http://www.agriculture.gov.au/abares/publications/display?url=http://143.188.17.20/anrdl/DAFFService/display.php?fid=pb_fsr16d9abm_20160930.xml</w:t>
        </w:r>
      </w:hyperlink>
    </w:p>
    <w:p w14:paraId="4A5A5B23"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ABC News. 2014. Clean-up underway after tar balls wash up on Ninety Mile Beach. ABC News Online. Article posted 18 March 2014. </w:t>
      </w:r>
    </w:p>
    <w:p w14:paraId="07671CD8"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 xml:space="preserve">ABS. 2016. Port Campbell Census Data. A WWW database accessed in 2016 at  http://www.censusdata.abs.gov.au/census_services/getproduct/census/2011/quickstat/SSC21102?opendocument&amp;navpos=220. Australian Bureau of Statistics. Canberra. </w:t>
      </w:r>
    </w:p>
    <w:p w14:paraId="19CA36C1"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796BE0">
        <w:rPr>
          <w:rFonts w:cs="Arial"/>
          <w:sz w:val="20"/>
          <w:szCs w:val="20"/>
          <w:lang w:val="en-US"/>
        </w:rPr>
        <w:t>Addison, R.F., Brodie,P.F., Edwards, A. and Sadler, M.C. 1986. Mixed function oxidase activity in the harbour seal (</w:t>
      </w:r>
      <w:r w:rsidRPr="00796BE0">
        <w:rPr>
          <w:rFonts w:cs="Arial"/>
          <w:i/>
          <w:sz w:val="20"/>
          <w:szCs w:val="20"/>
          <w:lang w:val="en-US"/>
        </w:rPr>
        <w:t>Phoca vitulina</w:t>
      </w:r>
      <w:r w:rsidRPr="00796BE0">
        <w:rPr>
          <w:rFonts w:cs="Arial"/>
          <w:sz w:val="20"/>
          <w:szCs w:val="20"/>
          <w:lang w:val="en-US"/>
        </w:rPr>
        <w:t xml:space="preserve">) from Sable Is., N.S. Comp. </w:t>
      </w:r>
      <w:r w:rsidRPr="00796BE0">
        <w:rPr>
          <w:rFonts w:cs="Arial"/>
          <w:i/>
          <w:sz w:val="20"/>
          <w:szCs w:val="20"/>
          <w:lang w:val="en-US"/>
        </w:rPr>
        <w:t>Biochem. Physiol</w:t>
      </w:r>
      <w:r w:rsidRPr="00796BE0">
        <w:rPr>
          <w:rFonts w:cs="Arial"/>
          <w:sz w:val="20"/>
          <w:szCs w:val="20"/>
          <w:lang w:val="en-US"/>
        </w:rPr>
        <w:t xml:space="preserve">. </w:t>
      </w:r>
      <w:r w:rsidRPr="00796BE0">
        <w:rPr>
          <w:rFonts w:cs="Arial"/>
          <w:b/>
          <w:sz w:val="20"/>
          <w:szCs w:val="20"/>
          <w:lang w:val="en-US"/>
        </w:rPr>
        <w:t>85C</w:t>
      </w:r>
      <w:r w:rsidRPr="00796BE0">
        <w:rPr>
          <w:rFonts w:cs="Arial"/>
          <w:sz w:val="20"/>
          <w:szCs w:val="20"/>
          <w:lang w:val="en-US"/>
        </w:rPr>
        <w:t>(1): 121-124.</w:t>
      </w:r>
    </w:p>
    <w:p w14:paraId="7DA34AFF" w14:textId="77777777" w:rsidR="009C6E0E" w:rsidRPr="006103DD" w:rsidRDefault="009C6E0E" w:rsidP="009C6E0E">
      <w:pPr>
        <w:pStyle w:val="BodyText"/>
        <w:spacing w:before="60" w:after="60"/>
        <w:ind w:left="993" w:hanging="426"/>
        <w:rPr>
          <w:rFonts w:cs="Arial"/>
          <w:szCs w:val="20"/>
        </w:rPr>
      </w:pPr>
      <w:r w:rsidRPr="006103DD">
        <w:rPr>
          <w:rFonts w:cs="Arial"/>
          <w:szCs w:val="20"/>
        </w:rPr>
        <w:t>Agriculture Victoria, 2016. Victorian Commercial Fisheries. A WWW database accessed in 2016 at at http://agriculture.vic.gov.au/fisheries/commercial-fishing</w:t>
      </w:r>
      <w:r w:rsidRPr="006103DD">
        <w:rPr>
          <w:rStyle w:val="Hyperlink"/>
          <w:rFonts w:cs="Arial"/>
          <w:szCs w:val="20"/>
        </w:rPr>
        <w:t>.</w:t>
      </w:r>
      <w:r w:rsidRPr="006103DD">
        <w:rPr>
          <w:rFonts w:cs="Arial"/>
          <w:szCs w:val="20"/>
        </w:rPr>
        <w:t xml:space="preserve"> </w:t>
      </w:r>
    </w:p>
    <w:p w14:paraId="7C812460"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AMSA. 2015a. Technical Guideline for the Preparation of Marine Pollution Contingency Plans for Marine and Coastal Facilities. Australian Maritime Safety Authority. Canberra.</w:t>
      </w:r>
    </w:p>
    <w:p w14:paraId="015D6DF1"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AMSA. 2015b. The effects of maritime oil spills on wildlife including non-avian marine life. A WWW database accessed at  http://www.amsa.gov.au/</w:t>
      </w:r>
      <w:r w:rsidRPr="006103DD">
        <w:rPr>
          <w:rFonts w:cs="Arial"/>
          <w:sz w:val="20"/>
          <w:szCs w:val="20"/>
          <w:lang w:val="en-US"/>
        </w:rPr>
        <w:br/>
        <w:t xml:space="preserve">Marine_Environment_Protection/National_plan/General_Information/Oiled_Wildlife/Oil_Spill_Effects_on_Wildlife_and_Non-Avian_Marine_Life.asp. Australian Maritime Safety Authority. Canberra. </w:t>
      </w:r>
    </w:p>
    <w:p w14:paraId="784F5BC9"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AMSA. 2014. On Scene. Newsletter for the National Plan for Maritime Environmental Emergencies. Issue 26, October 2014. Australian Maritime Safety Authority. Canberra.</w:t>
      </w:r>
    </w:p>
    <w:p w14:paraId="178138CA" w14:textId="77777777" w:rsidR="009C6E0E" w:rsidRPr="006103DD" w:rsidRDefault="009C6E0E" w:rsidP="009C6E0E">
      <w:pPr>
        <w:pStyle w:val="BodyText"/>
        <w:spacing w:before="60" w:after="60"/>
        <w:ind w:left="993" w:hanging="426"/>
        <w:rPr>
          <w:rFonts w:cs="Arial"/>
          <w:szCs w:val="20"/>
        </w:rPr>
      </w:pPr>
      <w:r w:rsidRPr="006103DD">
        <w:rPr>
          <w:rFonts w:cs="Arial"/>
          <w:szCs w:val="20"/>
        </w:rPr>
        <w:t xml:space="preserve">AMSA. 2013. Technical Guideline for the Preparation of Marine Pollution Contingency Plans for Marine and Coastal Facilities. Australian Maritime Safety Authority. Canberra. </w:t>
      </w:r>
    </w:p>
    <w:p w14:paraId="536C6BAF" w14:textId="77777777" w:rsidR="009C6E0E" w:rsidRPr="00DD6F69" w:rsidRDefault="009C6E0E" w:rsidP="009C6E0E">
      <w:pPr>
        <w:spacing w:before="60" w:after="60"/>
        <w:ind w:left="993" w:hanging="426"/>
        <w:outlineLvl w:val="9"/>
        <w:rPr>
          <w:rFonts w:cs="Arial"/>
          <w:sz w:val="20"/>
          <w:szCs w:val="20"/>
          <w:lang w:val="en-GB"/>
        </w:rPr>
      </w:pPr>
      <w:r w:rsidRPr="00DD6F69">
        <w:rPr>
          <w:rFonts w:cs="Arial"/>
          <w:sz w:val="20"/>
          <w:szCs w:val="20"/>
          <w:lang w:val="en-GB"/>
        </w:rPr>
        <w:t xml:space="preserve">AMSA, 2013 </w:t>
      </w:r>
      <w:r w:rsidRPr="00DD6F69">
        <w:rPr>
          <w:rFonts w:cs="Arial"/>
          <w:sz w:val="20"/>
          <w:szCs w:val="20"/>
        </w:rPr>
        <w:t xml:space="preserve">Rescuing Oiled wildlife – What can you do!, available at </w:t>
      </w:r>
      <w:hyperlink r:id="rId31" w:history="1">
        <w:r w:rsidRPr="00DD6F69">
          <w:rPr>
            <w:rStyle w:val="Hyperlink"/>
            <w:rFonts w:cs="Arial"/>
            <w:sz w:val="20"/>
            <w:szCs w:val="20"/>
          </w:rPr>
          <w:t>https://www.amsa.gov.au/environment/maritime-environmental-emergencies/national-plan/General-Information/oiled-wildlife/rescuing-wildlife/index.asp</w:t>
        </w:r>
      </w:hyperlink>
    </w:p>
    <w:p w14:paraId="016BEB4D" w14:textId="77777777" w:rsidR="009C6E0E" w:rsidRPr="006103DD" w:rsidRDefault="009C6E0E" w:rsidP="009C6E0E">
      <w:pPr>
        <w:pStyle w:val="BodyText"/>
        <w:spacing w:before="60" w:after="60"/>
        <w:ind w:left="993" w:hanging="426"/>
        <w:rPr>
          <w:rFonts w:cs="Arial"/>
          <w:szCs w:val="20"/>
        </w:rPr>
      </w:pPr>
      <w:r w:rsidRPr="006103DD">
        <w:rPr>
          <w:rFonts w:cs="Arial"/>
          <w:szCs w:val="20"/>
        </w:rPr>
        <w:t>AMSA. 2007. Foreshore Assessment, Termination of Clean-up and Rehabilitation Monitoring. Retrieved February 11, 2014, from https://www.amsa.gov.au/environment/maritime-environmental-emergencies/national-plan/ESC/documents/Foreshore_Assessment_and_Termination.pdf.</w:t>
      </w:r>
    </w:p>
    <w:p w14:paraId="242E8A78"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 xml:space="preserve">AMSA. 2003. Oil Spill Monitoring. Background Paper. Australian Maritime Safety Authority. </w:t>
      </w:r>
    </w:p>
    <w:p w14:paraId="2882D87E"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iCs/>
          <w:sz w:val="20"/>
          <w:szCs w:val="20"/>
          <w:lang w:val="en-US"/>
        </w:rPr>
        <w:t>AMSA, 1998. The Effects of Maritime Oil Spills on Wildlife Including Non-Avian Marine Life; AMSA, Canberra.</w:t>
      </w:r>
    </w:p>
    <w:p w14:paraId="3EB80FE9" w14:textId="77777777" w:rsidR="009C6E0E" w:rsidRPr="006103DD" w:rsidRDefault="009C6E0E" w:rsidP="009C6E0E">
      <w:pPr>
        <w:pStyle w:val="BodyText"/>
        <w:spacing w:before="60" w:after="60"/>
        <w:ind w:left="993" w:hanging="426"/>
        <w:rPr>
          <w:rFonts w:cs="Arial"/>
          <w:szCs w:val="20"/>
        </w:rPr>
      </w:pPr>
      <w:r w:rsidRPr="006103DD">
        <w:rPr>
          <w:rFonts w:cs="Arial"/>
          <w:szCs w:val="20"/>
        </w:rPr>
        <w:t>Anonymous. 2010. BP Oil Spill - Crisis in the Gulf. Methane. A WWW publication accessed at http://bpoilspillcrisisinthegulf.webs.com/methane.htm.</w:t>
      </w:r>
    </w:p>
    <w:p w14:paraId="36472D55" w14:textId="77777777" w:rsidR="009C6E0E" w:rsidRPr="006103DD" w:rsidRDefault="009C6E0E" w:rsidP="009C6E0E">
      <w:pPr>
        <w:pStyle w:val="BodyText"/>
        <w:spacing w:before="60" w:after="60"/>
        <w:ind w:left="993" w:hanging="426"/>
        <w:rPr>
          <w:rFonts w:cs="Arial"/>
          <w:szCs w:val="20"/>
        </w:rPr>
      </w:pPr>
      <w:r w:rsidRPr="006103DD">
        <w:rPr>
          <w:rFonts w:cs="Arial"/>
          <w:szCs w:val="20"/>
        </w:rPr>
        <w:t>ANZECC and ARMCANZ. 2000. Australian and New Zealand Guidelines for Fresh and Marine Water Quality.Volume 2. Aquatic Ecosystems – Rationale and Background Information. Australian and New Zealand Environment and Conservation Council and Agriculture and Resource Management Council of Australia and New Zealand.</w:t>
      </w:r>
    </w:p>
    <w:p w14:paraId="63A2E334"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APASA, 2013 – Quantitative Hydrocarbon Spill Modelling for the Vic/P44 Asset, A report for Santos , Report No: Q0155</w:t>
      </w:r>
    </w:p>
    <w:p w14:paraId="7AF32D1C" w14:textId="77777777" w:rsidR="009C6E0E" w:rsidRPr="006103DD" w:rsidRDefault="009C6E0E" w:rsidP="009C6E0E">
      <w:pPr>
        <w:spacing w:before="60" w:after="60"/>
        <w:ind w:left="993" w:hanging="426"/>
        <w:outlineLvl w:val="9"/>
        <w:rPr>
          <w:rFonts w:cs="Arial"/>
          <w:sz w:val="20"/>
          <w:szCs w:val="20"/>
          <w:lang w:val="en-GB"/>
        </w:rPr>
      </w:pPr>
      <w:r w:rsidRPr="006103DD">
        <w:rPr>
          <w:rFonts w:cs="Arial"/>
          <w:sz w:val="20"/>
          <w:szCs w:val="20"/>
          <w:lang w:val="en-GB"/>
        </w:rPr>
        <w:t>APASA. 2012. Marine diesel fuel oil spills and weathering. Memorandum from Trevor Gilbert, Director Maritime, Environment and Chemical Services at APASA, to Phil Harrick, HSEQ Manager, AGR Petroleum Services. 24</w:t>
      </w:r>
      <w:r w:rsidRPr="006103DD">
        <w:rPr>
          <w:rFonts w:cs="Arial"/>
          <w:sz w:val="20"/>
          <w:szCs w:val="20"/>
          <w:vertAlign w:val="superscript"/>
          <w:lang w:val="en-GB"/>
        </w:rPr>
        <w:t>th</w:t>
      </w:r>
      <w:r w:rsidRPr="006103DD">
        <w:rPr>
          <w:rFonts w:cs="Arial"/>
          <w:sz w:val="20"/>
          <w:szCs w:val="20"/>
          <w:lang w:val="en-GB"/>
        </w:rPr>
        <w:t xml:space="preserve"> June 2012.</w:t>
      </w:r>
    </w:p>
    <w:p w14:paraId="5E16889A"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APPEA. 2008. Code of Environmental Practice. Australian Petroleum Production and Exploration Association. Canberra.</w:t>
      </w:r>
    </w:p>
    <w:p w14:paraId="2183587C"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APPEA. 2005. A Compilation of Recent Research into the Marine Environment. Australian Petroleum Production and Exploration Association. Canberra.</w:t>
      </w:r>
    </w:p>
    <w:p w14:paraId="46E64D09" w14:textId="77777777" w:rsidR="009C6E0E" w:rsidRPr="006103DD" w:rsidRDefault="009C6E0E" w:rsidP="009C6E0E">
      <w:pPr>
        <w:spacing w:before="60" w:after="60"/>
        <w:ind w:left="993" w:hanging="426"/>
        <w:outlineLvl w:val="9"/>
        <w:rPr>
          <w:rFonts w:cs="Arial"/>
          <w:sz w:val="20"/>
          <w:szCs w:val="20"/>
          <w:lang w:eastAsia="en-US"/>
        </w:rPr>
      </w:pPr>
      <w:r w:rsidRPr="006103DD">
        <w:rPr>
          <w:rFonts w:cs="Arial"/>
          <w:sz w:val="20"/>
          <w:szCs w:val="20"/>
        </w:rPr>
        <w:t>AQIS. 2011. Australian Ballast Water Management Requirements. Version 5. Australian Quarantine Inspection Service, Department of Agriculture, Fisheries and Foresty. Canberra.</w:t>
      </w:r>
    </w:p>
    <w:p w14:paraId="0C2630C2" w14:textId="77777777" w:rsidR="009C6E0E" w:rsidRPr="006103DD" w:rsidRDefault="009C6E0E" w:rsidP="009C6E0E">
      <w:pPr>
        <w:pStyle w:val="BodyText"/>
        <w:spacing w:before="60" w:after="60"/>
        <w:ind w:left="993" w:hanging="426"/>
        <w:rPr>
          <w:rFonts w:cs="Arial"/>
          <w:szCs w:val="20"/>
          <w:lang w:eastAsia="en-US"/>
        </w:rPr>
      </w:pPr>
      <w:r w:rsidRPr="006103DD">
        <w:rPr>
          <w:rFonts w:cs="Arial"/>
          <w:szCs w:val="20"/>
        </w:rPr>
        <w:lastRenderedPageBreak/>
        <w:t>Arnould, J.P.Y. and Berlincourt, M. 2013. At-sea movements of little penguins (</w:t>
      </w:r>
      <w:r w:rsidRPr="006103DD">
        <w:rPr>
          <w:rFonts w:cs="Arial"/>
          <w:i/>
          <w:szCs w:val="20"/>
        </w:rPr>
        <w:t>Eudyptula minor</w:t>
      </w:r>
      <w:r w:rsidRPr="006103DD">
        <w:rPr>
          <w:rFonts w:cs="Arial"/>
          <w:szCs w:val="20"/>
        </w:rPr>
        <w:t>) in the Otway Basin. Report prepared for Origin Energy.</w:t>
      </w:r>
    </w:p>
    <w:p w14:paraId="302937D4"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Arnould, J.P.Y. and Kirkwood, R. 2007. Habitat selection by female Australian fur seals (</w:t>
      </w:r>
      <w:r w:rsidRPr="006103DD">
        <w:rPr>
          <w:rFonts w:cs="Arial"/>
          <w:i/>
          <w:sz w:val="20"/>
          <w:szCs w:val="20"/>
        </w:rPr>
        <w:t>Arctocephalus pusillus doriferus</w:t>
      </w:r>
      <w:r w:rsidRPr="006103DD">
        <w:rPr>
          <w:rFonts w:cs="Arial"/>
          <w:sz w:val="20"/>
          <w:szCs w:val="20"/>
        </w:rPr>
        <w:t xml:space="preserve">). </w:t>
      </w:r>
      <w:r w:rsidRPr="006103DD">
        <w:rPr>
          <w:rFonts w:cs="Arial"/>
          <w:i/>
          <w:sz w:val="20"/>
          <w:szCs w:val="20"/>
        </w:rPr>
        <w:t>Aquatic Conservation: Marine and Freshwater Ecosystems</w:t>
      </w:r>
      <w:r w:rsidRPr="006103DD">
        <w:rPr>
          <w:rFonts w:cs="Arial"/>
          <w:sz w:val="20"/>
          <w:szCs w:val="20"/>
        </w:rPr>
        <w:t>. Vol. 17, Suppl. 1.</w:t>
      </w:r>
    </w:p>
    <w:p w14:paraId="384F8015"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 xml:space="preserve">Backhouse, G., Jackson, J. and O’Connor, J. 2008. National Recovery Plan for the Australian Grayling </w:t>
      </w:r>
      <w:r w:rsidRPr="006103DD">
        <w:rPr>
          <w:rFonts w:cs="Arial"/>
          <w:i/>
          <w:sz w:val="20"/>
          <w:szCs w:val="20"/>
        </w:rPr>
        <w:t>Prototroctes maraena</w:t>
      </w:r>
      <w:r w:rsidRPr="006103DD">
        <w:rPr>
          <w:rFonts w:cs="Arial"/>
          <w:sz w:val="20"/>
          <w:szCs w:val="20"/>
        </w:rPr>
        <w:t xml:space="preserve">. Department of Sustainability and Environment. Melbourne. </w:t>
      </w:r>
    </w:p>
    <w:p w14:paraId="5CF164B8" w14:textId="77777777" w:rsidR="009C6E0E" w:rsidRPr="006103DD" w:rsidRDefault="009C6E0E" w:rsidP="009C6E0E">
      <w:pPr>
        <w:autoSpaceDE w:val="0"/>
        <w:autoSpaceDN w:val="0"/>
        <w:adjustRightInd w:val="0"/>
        <w:spacing w:before="60" w:after="60"/>
        <w:ind w:left="993" w:hanging="426"/>
        <w:outlineLvl w:val="9"/>
        <w:rPr>
          <w:rFonts w:cs="Arial"/>
          <w:sz w:val="20"/>
          <w:szCs w:val="20"/>
        </w:rPr>
      </w:pPr>
      <w:r w:rsidRPr="006103DD">
        <w:rPr>
          <w:rFonts w:cs="Arial"/>
          <w:sz w:val="20"/>
          <w:szCs w:val="20"/>
        </w:rPr>
        <w:t xml:space="preserve">Ball, D. and Blake, S. 2007. </w:t>
      </w:r>
      <w:r w:rsidRPr="006103DD">
        <w:rPr>
          <w:rFonts w:cs="Arial"/>
          <w:iCs/>
          <w:sz w:val="20"/>
          <w:szCs w:val="20"/>
        </w:rPr>
        <w:t>Shallow water habitat mapping at Victorian Marine National Parks and Marine Sanctuaries, Volume 1: Western Victoria</w:t>
      </w:r>
      <w:r w:rsidRPr="006103DD">
        <w:rPr>
          <w:rFonts w:cs="Arial"/>
          <w:sz w:val="20"/>
          <w:szCs w:val="20"/>
        </w:rPr>
        <w:t>. Parks Victoria Technical Series No.36. Parks Victoria, Melbourne</w:t>
      </w:r>
    </w:p>
    <w:p w14:paraId="33B1BE70" w14:textId="77777777" w:rsidR="009C6E0E" w:rsidRPr="006103DD" w:rsidRDefault="009C6E0E" w:rsidP="009C6E0E">
      <w:pPr>
        <w:pStyle w:val="BodyText"/>
        <w:spacing w:before="60" w:after="60"/>
        <w:ind w:left="993" w:hanging="426"/>
        <w:rPr>
          <w:rFonts w:cs="Arial"/>
          <w:szCs w:val="20"/>
        </w:rPr>
      </w:pPr>
      <w:r w:rsidRPr="006103DD">
        <w:rPr>
          <w:rFonts w:cs="Arial"/>
          <w:szCs w:val="20"/>
        </w:rPr>
        <w:t>Bannister, J.L. 2001. Status of southern right whales (</w:t>
      </w:r>
      <w:r w:rsidRPr="006103DD">
        <w:rPr>
          <w:rFonts w:cs="Arial"/>
          <w:i/>
          <w:szCs w:val="20"/>
        </w:rPr>
        <w:t>Eubalaena australis</w:t>
      </w:r>
      <w:r w:rsidRPr="006103DD">
        <w:rPr>
          <w:rFonts w:cs="Arial"/>
          <w:szCs w:val="20"/>
        </w:rPr>
        <w:t xml:space="preserve">) off southern Australia. </w:t>
      </w:r>
      <w:r w:rsidRPr="006103DD">
        <w:rPr>
          <w:rFonts w:cs="Arial"/>
          <w:i/>
          <w:szCs w:val="20"/>
        </w:rPr>
        <w:t>Journal of Cetacean Research and Management</w:t>
      </w:r>
      <w:r w:rsidRPr="006103DD">
        <w:rPr>
          <w:rFonts w:cs="Arial"/>
          <w:szCs w:val="20"/>
        </w:rPr>
        <w:t xml:space="preserve"> </w:t>
      </w:r>
      <w:r w:rsidRPr="006103DD">
        <w:rPr>
          <w:rFonts w:cs="Arial"/>
          <w:b/>
          <w:szCs w:val="20"/>
        </w:rPr>
        <w:t>Special Issue 2</w:t>
      </w:r>
      <w:r w:rsidRPr="006103DD">
        <w:rPr>
          <w:rFonts w:cs="Arial"/>
          <w:szCs w:val="20"/>
        </w:rPr>
        <w:t>: 103-110.</w:t>
      </w:r>
    </w:p>
    <w:p w14:paraId="44E38F20"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Bannister, J.L., Kemper, C.M. and Warnecke R.M. 1996. The Action Plan for Australian Cetaceans. The Director of National Parks and Wildlife Biodiversity Group, Environment Australia. Canberra.</w:t>
      </w:r>
    </w:p>
    <w:p w14:paraId="68F6A08E" w14:textId="77777777" w:rsidR="009C6E0E" w:rsidRPr="006103DD" w:rsidRDefault="009C6E0E" w:rsidP="009C6E0E">
      <w:pPr>
        <w:autoSpaceDE w:val="0"/>
        <w:autoSpaceDN w:val="0"/>
        <w:adjustRightInd w:val="0"/>
        <w:spacing w:before="60" w:after="60"/>
        <w:ind w:left="993" w:hanging="426"/>
        <w:outlineLvl w:val="9"/>
        <w:rPr>
          <w:rFonts w:cs="Arial"/>
          <w:sz w:val="20"/>
          <w:szCs w:val="20"/>
        </w:rPr>
      </w:pPr>
      <w:r w:rsidRPr="006103DD">
        <w:rPr>
          <w:rFonts w:cs="Arial"/>
          <w:sz w:val="20"/>
          <w:szCs w:val="20"/>
        </w:rPr>
        <w:t>Barton, J., Pope, A. and Howe, S. 2012.</w:t>
      </w:r>
      <w:r w:rsidRPr="006103DD">
        <w:rPr>
          <w:rFonts w:cs="Arial"/>
          <w:i/>
          <w:iCs/>
          <w:sz w:val="20"/>
          <w:szCs w:val="20"/>
        </w:rPr>
        <w:t xml:space="preserve"> </w:t>
      </w:r>
      <w:r w:rsidRPr="006103DD">
        <w:rPr>
          <w:rFonts w:cs="Arial"/>
          <w:iCs/>
          <w:sz w:val="20"/>
          <w:szCs w:val="20"/>
        </w:rPr>
        <w:t>Marine protected areas of the Otway bioregion</w:t>
      </w:r>
      <w:r w:rsidRPr="006103DD">
        <w:rPr>
          <w:rFonts w:cs="Arial"/>
          <w:i/>
          <w:iCs/>
          <w:sz w:val="20"/>
          <w:szCs w:val="20"/>
        </w:rPr>
        <w:t xml:space="preserve">. </w:t>
      </w:r>
      <w:r w:rsidRPr="006103DD">
        <w:rPr>
          <w:rFonts w:cs="Arial"/>
          <w:sz w:val="20"/>
          <w:szCs w:val="20"/>
        </w:rPr>
        <w:t>Parks Victoria. Melbourne.</w:t>
      </w:r>
    </w:p>
    <w:p w14:paraId="587A50EF"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 xml:space="preserve">Baylis, A.M.M., Page, B. and Goldsworthy, S.D. 2008a. Effect of seasonal changes in upwelling activity on the foraging locations of a wide-ranging central-place forager, the New Zealand fur seal. </w:t>
      </w:r>
      <w:r w:rsidRPr="006103DD">
        <w:rPr>
          <w:rFonts w:cs="Arial"/>
          <w:i/>
          <w:sz w:val="20"/>
          <w:szCs w:val="20"/>
        </w:rPr>
        <w:t>Can. J. Zool</w:t>
      </w:r>
      <w:r w:rsidRPr="006103DD">
        <w:rPr>
          <w:rFonts w:cs="Arial"/>
          <w:sz w:val="20"/>
          <w:szCs w:val="20"/>
        </w:rPr>
        <w:t xml:space="preserve">. </w:t>
      </w:r>
      <w:r w:rsidRPr="006103DD">
        <w:rPr>
          <w:rFonts w:cs="Arial"/>
          <w:b/>
          <w:sz w:val="20"/>
          <w:szCs w:val="20"/>
        </w:rPr>
        <w:t>86</w:t>
      </w:r>
      <w:r w:rsidRPr="006103DD">
        <w:rPr>
          <w:rFonts w:cs="Arial"/>
          <w:sz w:val="20"/>
          <w:szCs w:val="20"/>
        </w:rPr>
        <w:t xml:space="preserve">: 774-789.  </w:t>
      </w:r>
    </w:p>
    <w:p w14:paraId="677FC97F"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 xml:space="preserve">Baylis, A.M.M., Page, B. and Goldsworthy, S.D. 2008b. Colony-specific foraging areas of lactating New Zealand fur seal. </w:t>
      </w:r>
      <w:r w:rsidRPr="006103DD">
        <w:rPr>
          <w:rFonts w:cs="Arial"/>
          <w:i/>
          <w:sz w:val="20"/>
          <w:szCs w:val="20"/>
        </w:rPr>
        <w:t>Mar Ecol Prog Ser</w:t>
      </w:r>
      <w:r w:rsidRPr="006103DD">
        <w:rPr>
          <w:rFonts w:cs="Arial"/>
          <w:sz w:val="20"/>
          <w:szCs w:val="20"/>
        </w:rPr>
        <w:t xml:space="preserve">. </w:t>
      </w:r>
      <w:r w:rsidRPr="006103DD">
        <w:rPr>
          <w:rFonts w:cs="Arial"/>
          <w:b/>
          <w:sz w:val="20"/>
          <w:szCs w:val="20"/>
        </w:rPr>
        <w:t>361</w:t>
      </w:r>
      <w:r w:rsidRPr="006103DD">
        <w:rPr>
          <w:rFonts w:cs="Arial"/>
          <w:sz w:val="20"/>
          <w:szCs w:val="20"/>
        </w:rPr>
        <w:t xml:space="preserve">: 279-290.  </w:t>
      </w:r>
    </w:p>
    <w:p w14:paraId="2C6203D3" w14:textId="77777777" w:rsidR="009C6E0E" w:rsidRDefault="009C6E0E" w:rsidP="009C6E0E">
      <w:pPr>
        <w:pStyle w:val="MediumGrid1-Accent21"/>
        <w:spacing w:before="60" w:line="240" w:lineRule="auto"/>
        <w:ind w:left="992" w:hanging="425"/>
        <w:jc w:val="left"/>
        <w:rPr>
          <w:rFonts w:cs="Arial"/>
          <w:iCs/>
          <w:sz w:val="20"/>
          <w:szCs w:val="20"/>
          <w:lang w:val="en-US"/>
        </w:rPr>
      </w:pPr>
      <w:r w:rsidRPr="006103DD">
        <w:rPr>
          <w:rFonts w:cs="Arial"/>
          <w:iCs/>
          <w:sz w:val="20"/>
          <w:szCs w:val="20"/>
          <w:lang w:val="en-US"/>
        </w:rPr>
        <w:t xml:space="preserve">Bell, B., Spotila, J.R. and Congdon, J. 2006. High Incidence of Deformity in Aquatic Turtles in the John Heinz National Wildlife Refuge. </w:t>
      </w:r>
      <w:r w:rsidRPr="006103DD">
        <w:rPr>
          <w:rFonts w:cs="Arial"/>
          <w:i/>
          <w:iCs/>
          <w:sz w:val="20"/>
          <w:szCs w:val="20"/>
          <w:lang w:val="en-US"/>
        </w:rPr>
        <w:t>Environmental Pollution</w:t>
      </w:r>
      <w:r w:rsidRPr="006103DD">
        <w:rPr>
          <w:rFonts w:cs="Arial"/>
          <w:iCs/>
          <w:sz w:val="20"/>
          <w:szCs w:val="20"/>
          <w:lang w:val="en-US"/>
        </w:rPr>
        <w:t xml:space="preserve">. </w:t>
      </w:r>
      <w:r w:rsidRPr="006103DD">
        <w:rPr>
          <w:rFonts w:cs="Arial"/>
          <w:b/>
          <w:iCs/>
          <w:sz w:val="20"/>
          <w:szCs w:val="20"/>
          <w:lang w:val="en-US"/>
        </w:rPr>
        <w:t>142</w:t>
      </w:r>
      <w:r w:rsidRPr="006103DD">
        <w:rPr>
          <w:rFonts w:cs="Arial"/>
          <w:iCs/>
          <w:sz w:val="20"/>
          <w:szCs w:val="20"/>
          <w:lang w:val="en-US"/>
        </w:rPr>
        <w:t>(3): 457–465.</w:t>
      </w:r>
    </w:p>
    <w:p w14:paraId="473984B4"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Pr>
          <w:rFonts w:cs="Arial"/>
          <w:iCs/>
          <w:sz w:val="20"/>
          <w:szCs w:val="20"/>
          <w:lang w:val="en-US"/>
        </w:rPr>
        <w:t>Bell, J.J., McGrath E., Biggerstaff, A., Bates, T., Bennett, H., Marlow, J. (2015) – Sediment Impacts on marine sponges, Marine Pollution Bulletin 94 (2015) 5-13</w:t>
      </w:r>
    </w:p>
    <w:p w14:paraId="04A4B912" w14:textId="77777777" w:rsidR="009C6E0E" w:rsidRPr="006103DD" w:rsidRDefault="009C6E0E" w:rsidP="009C6E0E">
      <w:pPr>
        <w:pStyle w:val="BodyText"/>
        <w:spacing w:before="60" w:after="60"/>
        <w:ind w:left="993" w:hanging="426"/>
        <w:rPr>
          <w:rFonts w:cs="Arial"/>
          <w:szCs w:val="20"/>
        </w:rPr>
      </w:pPr>
      <w:r w:rsidRPr="006103DD">
        <w:rPr>
          <w:rFonts w:cs="Arial"/>
          <w:szCs w:val="20"/>
        </w:rPr>
        <w:t xml:space="preserve">Best, P.B., Brandao, A. and Butterworth, D.S. 2001. Demographic parameters of southern right whales off South Africa. </w:t>
      </w:r>
      <w:r w:rsidRPr="006103DD">
        <w:rPr>
          <w:rFonts w:cs="Arial"/>
          <w:i/>
          <w:szCs w:val="20"/>
        </w:rPr>
        <w:t>Journal of Cetacean Research and Management</w:t>
      </w:r>
      <w:r w:rsidRPr="006103DD">
        <w:rPr>
          <w:rFonts w:cs="Arial"/>
          <w:szCs w:val="20"/>
        </w:rPr>
        <w:t xml:space="preserve"> </w:t>
      </w:r>
      <w:r w:rsidRPr="006103DD">
        <w:rPr>
          <w:rFonts w:cs="Arial"/>
          <w:b/>
          <w:szCs w:val="20"/>
        </w:rPr>
        <w:t>Special Issue 2</w:t>
      </w:r>
      <w:r w:rsidRPr="006103DD">
        <w:rPr>
          <w:rFonts w:cs="Arial"/>
          <w:szCs w:val="20"/>
        </w:rPr>
        <w:t>:161-169</w:t>
      </w:r>
    </w:p>
    <w:p w14:paraId="3E5CAC8C" w14:textId="77777777" w:rsidR="009C6E0E" w:rsidRPr="006103DD" w:rsidRDefault="009C6E0E" w:rsidP="009C6E0E">
      <w:pPr>
        <w:shd w:val="clear" w:color="auto" w:fill="FFFFFF"/>
        <w:spacing w:before="60" w:after="60"/>
        <w:ind w:left="993" w:hanging="426"/>
        <w:outlineLvl w:val="9"/>
        <w:rPr>
          <w:rFonts w:cs="Arial"/>
          <w:sz w:val="20"/>
          <w:szCs w:val="20"/>
        </w:rPr>
      </w:pPr>
      <w:r w:rsidRPr="006103DD">
        <w:rPr>
          <w:rFonts w:eastAsia="Times New Roman" w:cs="Arial"/>
          <w:color w:val="231F20"/>
          <w:spacing w:val="-3"/>
          <w:sz w:val="20"/>
          <w:szCs w:val="20"/>
        </w:rPr>
        <w:t xml:space="preserve">Bezore, R., Kennedy, D.M., and Ierodiaconou, D., 2016. The Drowned Apostles: The Longevity of Sea Stacks over </w:t>
      </w:r>
      <w:r w:rsidRPr="006103DD">
        <w:rPr>
          <w:rFonts w:eastAsia="Times New Roman" w:cs="Arial"/>
          <w:color w:val="231F20"/>
          <w:spacing w:val="2"/>
          <w:sz w:val="20"/>
          <w:szCs w:val="20"/>
        </w:rPr>
        <w:t xml:space="preserve">Eustatic Cycles. In: </w:t>
      </w:r>
      <w:r w:rsidRPr="006103DD">
        <w:rPr>
          <w:rFonts w:eastAsia="Times New Roman" w:cs="Arial"/>
          <w:color w:val="231F20"/>
          <w:spacing w:val="-3"/>
          <w:sz w:val="20"/>
          <w:szCs w:val="20"/>
        </w:rPr>
        <w:t xml:space="preserve">Vila-Concejo, A.; Bruce, E.; Kennedy, D.M., and McCarroll, R.J. (eds.), </w:t>
      </w:r>
      <w:r w:rsidRPr="006103DD">
        <w:rPr>
          <w:rFonts w:eastAsia="Times New Roman" w:cs="Arial"/>
          <w:color w:val="231F20"/>
          <w:spacing w:val="-4"/>
          <w:sz w:val="20"/>
          <w:szCs w:val="20"/>
        </w:rPr>
        <w:t xml:space="preserve">Proceedings of the 14th International Coastal Symposium </w:t>
      </w:r>
      <w:r w:rsidRPr="006103DD">
        <w:rPr>
          <w:rFonts w:eastAsia="Times New Roman" w:cs="Arial"/>
          <w:color w:val="231F20"/>
          <w:spacing w:val="-10"/>
          <w:sz w:val="20"/>
          <w:szCs w:val="20"/>
        </w:rPr>
        <w:t xml:space="preserve">(Sydney, Australia). </w:t>
      </w:r>
      <w:r w:rsidRPr="006103DD">
        <w:rPr>
          <w:rFonts w:eastAsia="Times New Roman" w:cs="Arial"/>
          <w:i/>
          <w:color w:val="231F20"/>
          <w:spacing w:val="3"/>
          <w:sz w:val="20"/>
          <w:szCs w:val="20"/>
        </w:rPr>
        <w:t>Journal of Coastal Research</w:t>
      </w:r>
      <w:r w:rsidRPr="006103DD">
        <w:rPr>
          <w:rFonts w:eastAsia="Times New Roman" w:cs="Arial"/>
          <w:color w:val="231F20"/>
          <w:spacing w:val="2"/>
          <w:sz w:val="20"/>
          <w:szCs w:val="20"/>
        </w:rPr>
        <w:t xml:space="preserve"> </w:t>
      </w:r>
      <w:r w:rsidRPr="006103DD">
        <w:rPr>
          <w:rFonts w:eastAsia="Times New Roman" w:cs="Arial"/>
          <w:b/>
          <w:color w:val="231F20"/>
          <w:spacing w:val="2"/>
          <w:sz w:val="20"/>
          <w:szCs w:val="20"/>
        </w:rPr>
        <w:t>Special Issue No. 75</w:t>
      </w:r>
      <w:r w:rsidRPr="006103DD">
        <w:rPr>
          <w:rFonts w:eastAsia="Times New Roman" w:cs="Arial"/>
          <w:color w:val="231F20"/>
          <w:spacing w:val="2"/>
          <w:sz w:val="20"/>
          <w:szCs w:val="20"/>
        </w:rPr>
        <w:t>:592-</w:t>
      </w:r>
      <w:r w:rsidRPr="006103DD">
        <w:rPr>
          <w:rFonts w:eastAsia="Times New Roman" w:cs="Arial"/>
          <w:color w:val="231F20"/>
          <w:spacing w:val="-3"/>
          <w:sz w:val="20"/>
          <w:szCs w:val="20"/>
        </w:rPr>
        <w:t>596.</w:t>
      </w:r>
    </w:p>
    <w:p w14:paraId="04545BDE"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 xml:space="preserve">BHP-Santos. 1999. Minerva Gas Development EIS/EES). BHP Billiton, Melbourne and Santos Ltd, Adelaide. </w:t>
      </w:r>
    </w:p>
    <w:p w14:paraId="3355016E"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Bik, H.M, Halanych, K.H., Sharma, J., and Thomas, W.K. 2012. Dramatic shifts in benthic microbial eukaryote communities following the Deepwater Horizon oil spill. </w:t>
      </w:r>
    </w:p>
    <w:p w14:paraId="5F24B220" w14:textId="77777777" w:rsidR="009C6E0E" w:rsidRDefault="009C6E0E" w:rsidP="009C6E0E">
      <w:pPr>
        <w:pStyle w:val="BodyText"/>
        <w:spacing w:before="60" w:after="60"/>
        <w:ind w:left="993" w:hanging="426"/>
        <w:rPr>
          <w:rFonts w:cs="Arial"/>
          <w:szCs w:val="20"/>
        </w:rPr>
      </w:pPr>
      <w:r w:rsidRPr="006103DD">
        <w:rPr>
          <w:rFonts w:cs="Arial"/>
          <w:szCs w:val="20"/>
        </w:rPr>
        <w:t xml:space="preserve">Birdlife Australia. 2016. Species fact sheets. A WWW database accessed in 2016 at http://birdlife.org.au/. </w:t>
      </w:r>
    </w:p>
    <w:p w14:paraId="1DD25550" w14:textId="77777777" w:rsidR="009C6E0E" w:rsidRDefault="009C6E0E" w:rsidP="009C6E0E">
      <w:pPr>
        <w:pStyle w:val="BodyText"/>
        <w:spacing w:before="60" w:after="60"/>
        <w:ind w:left="993" w:hanging="426"/>
        <w:rPr>
          <w:rFonts w:cs="Arial"/>
          <w:szCs w:val="20"/>
        </w:rPr>
      </w:pPr>
      <w:r>
        <w:rPr>
          <w:rFonts w:cs="Arial"/>
          <w:szCs w:val="20"/>
        </w:rPr>
        <w:t>Birdlife Australia. 2017</w:t>
      </w:r>
      <w:r w:rsidRPr="006103DD">
        <w:rPr>
          <w:rFonts w:cs="Arial"/>
          <w:szCs w:val="20"/>
        </w:rPr>
        <w:t xml:space="preserve">. </w:t>
      </w:r>
      <w:r>
        <w:rPr>
          <w:rFonts w:cs="Arial"/>
          <w:szCs w:val="20"/>
        </w:rPr>
        <w:t>Red-capped Plover</w:t>
      </w:r>
      <w:r w:rsidRPr="006103DD">
        <w:rPr>
          <w:rFonts w:cs="Arial"/>
          <w:szCs w:val="20"/>
        </w:rPr>
        <w:t xml:space="preserve">. A WWW database accessed </w:t>
      </w:r>
      <w:r>
        <w:rPr>
          <w:rFonts w:cs="Arial"/>
          <w:szCs w:val="20"/>
        </w:rPr>
        <w:t>on 21</w:t>
      </w:r>
      <w:r w:rsidRPr="007C37FB">
        <w:rPr>
          <w:rFonts w:cs="Arial"/>
          <w:szCs w:val="20"/>
          <w:vertAlign w:val="superscript"/>
        </w:rPr>
        <w:t>st</w:t>
      </w:r>
      <w:r>
        <w:rPr>
          <w:rFonts w:cs="Arial"/>
          <w:szCs w:val="20"/>
        </w:rPr>
        <w:t xml:space="preserve"> March 2017 at </w:t>
      </w:r>
      <w:hyperlink r:id="rId32" w:history="1">
        <w:r w:rsidRPr="00E60F8A">
          <w:rPr>
            <w:rStyle w:val="Hyperlink"/>
            <w:rFonts w:cs="Arial"/>
            <w:szCs w:val="20"/>
          </w:rPr>
          <w:t>http://www.birdlife.org.au/bird-profile/red-capped-plover</w:t>
        </w:r>
      </w:hyperlink>
      <w:r>
        <w:rPr>
          <w:rFonts w:cs="Arial"/>
          <w:szCs w:val="20"/>
        </w:rPr>
        <w:t xml:space="preserve"> </w:t>
      </w:r>
    </w:p>
    <w:p w14:paraId="291F8FD1" w14:textId="77777777" w:rsidR="009C6E0E" w:rsidRDefault="009C6E0E" w:rsidP="009C6E0E">
      <w:pPr>
        <w:pStyle w:val="BodyText"/>
        <w:spacing w:before="60" w:after="60"/>
        <w:ind w:left="993" w:hanging="426"/>
        <w:rPr>
          <w:rFonts w:cs="Arial"/>
          <w:szCs w:val="20"/>
        </w:rPr>
      </w:pPr>
      <w:r>
        <w:rPr>
          <w:rFonts w:cs="Arial"/>
          <w:szCs w:val="20"/>
        </w:rPr>
        <w:t>Birdlife Australia. 2017b</w:t>
      </w:r>
      <w:r w:rsidRPr="006103DD">
        <w:rPr>
          <w:rFonts w:cs="Arial"/>
          <w:szCs w:val="20"/>
        </w:rPr>
        <w:t xml:space="preserve">. </w:t>
      </w:r>
      <w:r>
        <w:rPr>
          <w:rFonts w:cs="Arial"/>
          <w:szCs w:val="20"/>
        </w:rPr>
        <w:t>Silver gull</w:t>
      </w:r>
      <w:r w:rsidRPr="006103DD">
        <w:rPr>
          <w:rFonts w:cs="Arial"/>
          <w:szCs w:val="20"/>
        </w:rPr>
        <w:t xml:space="preserve">. A WWW database accessed </w:t>
      </w:r>
      <w:r>
        <w:rPr>
          <w:rFonts w:cs="Arial"/>
          <w:szCs w:val="20"/>
        </w:rPr>
        <w:t>on 21</w:t>
      </w:r>
      <w:r w:rsidRPr="007C37FB">
        <w:rPr>
          <w:rFonts w:cs="Arial"/>
          <w:szCs w:val="20"/>
          <w:vertAlign w:val="superscript"/>
        </w:rPr>
        <w:t>st</w:t>
      </w:r>
      <w:r>
        <w:rPr>
          <w:rFonts w:cs="Arial"/>
          <w:szCs w:val="20"/>
        </w:rPr>
        <w:t xml:space="preserve"> March 2017 at </w:t>
      </w:r>
      <w:hyperlink r:id="rId33" w:history="1">
        <w:r w:rsidRPr="00E60F8A">
          <w:rPr>
            <w:rStyle w:val="Hyperlink"/>
            <w:rFonts w:cs="Arial"/>
            <w:szCs w:val="20"/>
          </w:rPr>
          <w:t>http://birdlife.org.au/bird-profile/Silver-Gull</w:t>
        </w:r>
      </w:hyperlink>
      <w:r>
        <w:rPr>
          <w:rFonts w:cs="Arial"/>
          <w:szCs w:val="20"/>
        </w:rPr>
        <w:t xml:space="preserve">  </w:t>
      </w:r>
    </w:p>
    <w:p w14:paraId="3ADD0FC8" w14:textId="77777777" w:rsidR="009C6E0E" w:rsidRDefault="009C6E0E" w:rsidP="009C6E0E">
      <w:pPr>
        <w:pStyle w:val="BodyText"/>
        <w:ind w:left="1134" w:hanging="567"/>
      </w:pPr>
      <w:r>
        <w:t>BirdLife International (2013b) Important Bird Areas factsheet: Port Fairy to Warrnambool. Downloaded from http://www.birdlife.org on 19/06/2013</w:t>
      </w:r>
    </w:p>
    <w:p w14:paraId="4DB330BD" w14:textId="77777777" w:rsidR="009C6E0E" w:rsidRPr="006103DD" w:rsidRDefault="009C6E0E" w:rsidP="009C6E0E">
      <w:pPr>
        <w:pStyle w:val="BodyText"/>
        <w:spacing w:before="60" w:after="60"/>
        <w:ind w:left="993" w:hanging="426"/>
        <w:rPr>
          <w:rFonts w:cs="Arial"/>
          <w:szCs w:val="20"/>
          <w:shd w:val="clear" w:color="auto" w:fill="FFFFFF"/>
        </w:rPr>
      </w:pPr>
      <w:r w:rsidRPr="006103DD">
        <w:rPr>
          <w:rFonts w:cs="Arial"/>
          <w:szCs w:val="20"/>
          <w:shd w:val="clear" w:color="auto" w:fill="FFFFFF"/>
        </w:rPr>
        <w:t>Birdlife International. 2016. Species factsheets. A WWW database accessed in 2016 at</w:t>
      </w:r>
      <w:r w:rsidRPr="006103DD">
        <w:rPr>
          <w:rStyle w:val="apple-converted-space"/>
          <w:rFonts w:cs="Arial"/>
          <w:szCs w:val="20"/>
          <w:shd w:val="clear" w:color="auto" w:fill="FFFFFF"/>
        </w:rPr>
        <w:t> </w:t>
      </w:r>
      <w:hyperlink r:id="rId34" w:tgtFrame="_blank" w:history="1">
        <w:r w:rsidRPr="006103DD">
          <w:rPr>
            <w:rStyle w:val="Hyperlink"/>
            <w:rFonts w:cs="Arial"/>
            <w:szCs w:val="20"/>
            <w:shd w:val="clear" w:color="auto" w:fill="FFFFFF"/>
          </w:rPr>
          <w:t>http://www.birdlife.org</w:t>
        </w:r>
      </w:hyperlink>
      <w:r w:rsidRPr="006103DD">
        <w:rPr>
          <w:rFonts w:cs="Arial"/>
          <w:szCs w:val="20"/>
          <w:shd w:val="clear" w:color="auto" w:fill="FFFFFF"/>
        </w:rPr>
        <w:t xml:space="preserve">. </w:t>
      </w:r>
    </w:p>
    <w:p w14:paraId="6E61AEA1" w14:textId="77777777" w:rsidR="009C6E0E" w:rsidRPr="006103DD" w:rsidRDefault="009C6E0E" w:rsidP="009C6E0E">
      <w:pPr>
        <w:pStyle w:val="BodyText"/>
        <w:spacing w:before="60" w:after="60"/>
        <w:ind w:left="993" w:hanging="426"/>
        <w:rPr>
          <w:rFonts w:cs="Arial"/>
          <w:color w:val="191919"/>
          <w:szCs w:val="20"/>
        </w:rPr>
      </w:pPr>
      <w:r w:rsidRPr="006103DD">
        <w:rPr>
          <w:rFonts w:cs="Arial"/>
          <w:szCs w:val="20"/>
        </w:rPr>
        <w:t xml:space="preserve">Black, K.P., Brand, G.W., Grynberg, H., Gwyther, D., Hammond, L.S., Mourtikas, S., Richardson, B.J., and Wardrop, J.A. 1994. Production facilities. In: </w:t>
      </w:r>
      <w:r w:rsidRPr="006103DD">
        <w:rPr>
          <w:rFonts w:cs="Arial"/>
          <w:i/>
          <w:szCs w:val="20"/>
        </w:rPr>
        <w:t>Environmental implications of offshore oil and gas development in Australia – the findings of an independent scientific review</w:t>
      </w:r>
      <w:r w:rsidRPr="006103DD">
        <w:rPr>
          <w:rFonts w:cs="Arial"/>
          <w:szCs w:val="20"/>
        </w:rPr>
        <w:t>. Swan, J.M., Neff, J.M. and Young, P.C. (eds) Australian Petroleum Exploration Association. Sydney. Pp 209-407.</w:t>
      </w:r>
    </w:p>
    <w:p w14:paraId="34754CE0"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Blumer, M. 1971. Scientific aspects of the oil spill problem. </w:t>
      </w:r>
      <w:r w:rsidRPr="006103DD">
        <w:rPr>
          <w:rFonts w:cs="Arial"/>
          <w:i/>
          <w:sz w:val="20"/>
          <w:szCs w:val="20"/>
          <w:lang w:val="en-US"/>
        </w:rPr>
        <w:t>Environmental Affairs</w:t>
      </w:r>
      <w:r w:rsidRPr="006103DD">
        <w:rPr>
          <w:rFonts w:cs="Arial"/>
          <w:sz w:val="20"/>
          <w:szCs w:val="20"/>
          <w:lang w:val="en-US"/>
        </w:rPr>
        <w:t xml:space="preserve"> </w:t>
      </w:r>
      <w:r w:rsidRPr="006103DD">
        <w:rPr>
          <w:rFonts w:cs="Arial"/>
          <w:b/>
          <w:sz w:val="20"/>
          <w:szCs w:val="20"/>
          <w:lang w:val="en-US"/>
        </w:rPr>
        <w:t>1</w:t>
      </w:r>
      <w:r w:rsidRPr="006103DD">
        <w:rPr>
          <w:rFonts w:cs="Arial"/>
          <w:sz w:val="20"/>
          <w:szCs w:val="20"/>
          <w:lang w:val="en-US"/>
        </w:rPr>
        <w:t>:54–73.</w:t>
      </w:r>
    </w:p>
    <w:p w14:paraId="131306EB" w14:textId="77777777" w:rsidR="009C6E0E" w:rsidRDefault="009C6E0E" w:rsidP="009C6E0E">
      <w:pPr>
        <w:pStyle w:val="BodyText"/>
        <w:spacing w:before="60" w:after="60"/>
        <w:ind w:left="993" w:hanging="426"/>
        <w:rPr>
          <w:rFonts w:cs="Arial"/>
          <w:szCs w:val="20"/>
        </w:rPr>
      </w:pPr>
      <w:r w:rsidRPr="006103DD">
        <w:rPr>
          <w:rFonts w:cs="Arial"/>
          <w:szCs w:val="20"/>
        </w:rPr>
        <w:lastRenderedPageBreak/>
        <w:t>BOM, 2017 – Monthly Climate Statistics for Cape Otway Lighthouse. A www publication accessed on 14</w:t>
      </w:r>
      <w:r w:rsidRPr="006103DD">
        <w:rPr>
          <w:rFonts w:cs="Arial"/>
          <w:szCs w:val="20"/>
          <w:vertAlign w:val="superscript"/>
        </w:rPr>
        <w:t>th</w:t>
      </w:r>
      <w:r w:rsidRPr="006103DD">
        <w:rPr>
          <w:rFonts w:cs="Arial"/>
          <w:szCs w:val="20"/>
        </w:rPr>
        <w:t xml:space="preserve"> March 2017 at </w:t>
      </w:r>
      <w:hyperlink r:id="rId35" w:history="1">
        <w:r w:rsidRPr="006103DD">
          <w:rPr>
            <w:rStyle w:val="Hyperlink"/>
            <w:rFonts w:cs="Arial"/>
            <w:szCs w:val="20"/>
          </w:rPr>
          <w:t>http://www.bom.gov.au/climate/averages/tables/cw_090015.shtml</w:t>
        </w:r>
      </w:hyperlink>
      <w:r w:rsidRPr="006103DD">
        <w:rPr>
          <w:rFonts w:cs="Arial"/>
          <w:szCs w:val="20"/>
        </w:rPr>
        <w:t xml:space="preserve"> </w:t>
      </w:r>
    </w:p>
    <w:p w14:paraId="5BFD1B2B" w14:textId="77777777" w:rsidR="009C6E0E" w:rsidRPr="006103DD" w:rsidRDefault="009C6E0E" w:rsidP="009C6E0E">
      <w:pPr>
        <w:pStyle w:val="BodyText"/>
        <w:ind w:left="1134" w:hanging="567"/>
        <w:rPr>
          <w:rFonts w:cs="Arial"/>
          <w:szCs w:val="20"/>
        </w:rPr>
      </w:pPr>
      <w:r w:rsidRPr="00E36151">
        <w:t>Bond, C. and A. K. Harris. 1988. Locomotion of sponges and its physical mechanism. Journal of Experimental Zoology, 246: 271-284</w:t>
      </w:r>
    </w:p>
    <w:p w14:paraId="18082A7F" w14:textId="77777777" w:rsidR="009C6E0E" w:rsidRDefault="009C6E0E" w:rsidP="009C6E0E">
      <w:pPr>
        <w:pStyle w:val="BodyText"/>
        <w:spacing w:before="60" w:after="60"/>
        <w:ind w:left="993" w:hanging="426"/>
        <w:rPr>
          <w:rFonts w:cs="Arial"/>
          <w:szCs w:val="20"/>
        </w:rPr>
      </w:pPr>
      <w:r w:rsidRPr="006103DD">
        <w:rPr>
          <w:rFonts w:cs="Arial"/>
          <w:szCs w:val="20"/>
        </w:rPr>
        <w:t xml:space="preserve">Boreen, T., James, N., Wilson, C. and Heggie, D. 1993. Surficial cool-water carbonate sediments on the Otway continental margin, southeastern Australia. </w:t>
      </w:r>
      <w:r w:rsidRPr="006103DD">
        <w:rPr>
          <w:rFonts w:cs="Arial"/>
          <w:i/>
          <w:szCs w:val="20"/>
        </w:rPr>
        <w:t>Marine Geology</w:t>
      </w:r>
      <w:r w:rsidRPr="006103DD">
        <w:rPr>
          <w:rFonts w:cs="Arial"/>
          <w:szCs w:val="20"/>
        </w:rPr>
        <w:t xml:space="preserve"> </w:t>
      </w:r>
      <w:r w:rsidRPr="006103DD">
        <w:rPr>
          <w:rFonts w:cs="Arial"/>
          <w:b/>
          <w:szCs w:val="20"/>
        </w:rPr>
        <w:t>112</w:t>
      </w:r>
      <w:r w:rsidRPr="006103DD">
        <w:rPr>
          <w:rFonts w:cs="Arial"/>
          <w:szCs w:val="20"/>
        </w:rPr>
        <w:t>: 35-56.</w:t>
      </w:r>
    </w:p>
    <w:p w14:paraId="0C5316DE" w14:textId="77777777" w:rsidR="009C6E0E" w:rsidRPr="006103DD" w:rsidRDefault="009C6E0E" w:rsidP="009C6E0E">
      <w:pPr>
        <w:pStyle w:val="BodyText"/>
        <w:spacing w:before="60" w:after="60"/>
        <w:ind w:left="993" w:hanging="426"/>
        <w:rPr>
          <w:rFonts w:cs="Arial"/>
          <w:szCs w:val="20"/>
        </w:rPr>
      </w:pPr>
      <w:r>
        <w:rPr>
          <w:rFonts w:cs="Arial"/>
          <w:szCs w:val="20"/>
        </w:rPr>
        <w:t>Boyle, P., Rodhurst, P. (2005) – Cephalopods, Ecology and Fisheries, Blackwell Publishing 2005, Carlton, Victoria.</w:t>
      </w:r>
    </w:p>
    <w:p w14:paraId="6AA0F61F"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BP. 2015. Gulf of Mexico Environmental Recovery and Restoration. Five year Report. March 2015. BP Exploration and Production Inc. London.</w:t>
      </w:r>
    </w:p>
    <w:p w14:paraId="3C0EFB4C"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BP. 2014. Abundance and Safety of Gulf Seafood. Seafood Background White Paper. A WWW publication accessed at https://www.thestateofthegulf.com/</w:t>
      </w:r>
      <w:r w:rsidRPr="006103DD">
        <w:rPr>
          <w:rFonts w:cs="Arial"/>
          <w:sz w:val="20"/>
          <w:szCs w:val="20"/>
          <w:lang w:val="en-US"/>
        </w:rPr>
        <w:br/>
        <w:t>media/1428/seafood-background-white-paper.pdf. BP Exploration and Production Inc. London.</w:t>
      </w:r>
    </w:p>
    <w:p w14:paraId="25CB6C00"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 xml:space="preserve">Branch, T. A., Matsuoka, K. and Miyashita, T. 2004. Evidence for increases in Antarctic blue whales based on Bayesian modelling. </w:t>
      </w:r>
      <w:r w:rsidRPr="006103DD">
        <w:rPr>
          <w:rFonts w:cs="Arial"/>
          <w:i/>
          <w:sz w:val="20"/>
          <w:szCs w:val="20"/>
        </w:rPr>
        <w:t>Marine Mammal Science</w:t>
      </w:r>
      <w:r w:rsidRPr="006103DD">
        <w:rPr>
          <w:rFonts w:cs="Arial"/>
          <w:sz w:val="20"/>
          <w:szCs w:val="20"/>
        </w:rPr>
        <w:t xml:space="preserve"> </w:t>
      </w:r>
      <w:r w:rsidRPr="006103DD">
        <w:rPr>
          <w:rFonts w:cs="Arial"/>
          <w:b/>
          <w:sz w:val="20"/>
          <w:szCs w:val="20"/>
        </w:rPr>
        <w:t>20</w:t>
      </w:r>
      <w:r w:rsidRPr="006103DD">
        <w:rPr>
          <w:rFonts w:cs="Arial"/>
          <w:sz w:val="20"/>
          <w:szCs w:val="20"/>
        </w:rPr>
        <w:t>(4): 726-754.</w:t>
      </w:r>
    </w:p>
    <w:p w14:paraId="07FB0A3B" w14:textId="77777777" w:rsidR="009C6E0E" w:rsidRPr="006103DD" w:rsidRDefault="009C6E0E" w:rsidP="009C6E0E">
      <w:pPr>
        <w:pStyle w:val="BodyText"/>
        <w:spacing w:before="60" w:after="60"/>
        <w:ind w:left="993" w:hanging="426"/>
        <w:rPr>
          <w:rFonts w:cs="Arial"/>
          <w:szCs w:val="20"/>
        </w:rPr>
      </w:pPr>
      <w:r w:rsidRPr="006103DD">
        <w:rPr>
          <w:rFonts w:cs="Arial"/>
          <w:szCs w:val="20"/>
        </w:rPr>
        <w:t xml:space="preserve">Brown, P.B. and Wilson, R.I. 1984. Orange-bellied Parrot Recovery Plan. Department of Environment, Water, Heritage and Arts. Canberra. </w:t>
      </w:r>
    </w:p>
    <w:p w14:paraId="44C41ED3" w14:textId="77777777" w:rsidR="009C6E0E" w:rsidRDefault="009C6E0E" w:rsidP="009C6E0E">
      <w:pPr>
        <w:pStyle w:val="BodyText"/>
        <w:spacing w:before="60" w:after="60"/>
        <w:ind w:left="993" w:hanging="426"/>
        <w:rPr>
          <w:rFonts w:cs="Arial"/>
          <w:szCs w:val="20"/>
        </w:rPr>
      </w:pPr>
      <w:r w:rsidRPr="006103DD">
        <w:rPr>
          <w:rFonts w:cs="Arial"/>
          <w:szCs w:val="20"/>
        </w:rPr>
        <w:t xml:space="preserve">Brown, P.B. and Wilson, R.I. 1980. A Survey of the Orange-bellied Parrot </w:t>
      </w:r>
      <w:r w:rsidRPr="006103DD">
        <w:rPr>
          <w:rFonts w:cs="Arial"/>
          <w:i/>
          <w:szCs w:val="20"/>
        </w:rPr>
        <w:t>Neophema chrysogaster</w:t>
      </w:r>
      <w:r w:rsidRPr="006103DD">
        <w:rPr>
          <w:rFonts w:cs="Arial"/>
          <w:szCs w:val="20"/>
        </w:rPr>
        <w:t xml:space="preserve"> in Tasmania, Victoria and South Australia. Tasmanian National Parks &amp; Wildlife Service. Hobart.</w:t>
      </w:r>
    </w:p>
    <w:p w14:paraId="32DF50A1" w14:textId="77777777" w:rsidR="009C6E0E" w:rsidRPr="000425E0" w:rsidRDefault="009C6E0E" w:rsidP="009C6E0E">
      <w:pPr>
        <w:pStyle w:val="BodyText"/>
        <w:spacing w:before="60" w:after="60"/>
        <w:ind w:left="993" w:hanging="426"/>
        <w:rPr>
          <w:rFonts w:cs="Arial"/>
          <w:szCs w:val="20"/>
        </w:rPr>
      </w:pPr>
      <w:r w:rsidRPr="00FA36A5">
        <w:rPr>
          <w:rFonts w:cs="Arial"/>
          <w:szCs w:val="20"/>
        </w:rPr>
        <w:t>Bruce, B., Griffin, D., Bradford, R. (2007) – Laval Transport and Recruitment Processes of Southern Rock Lobster, FRDC 2002/007, Final Report, CSIRO Marine and Atmospheric Research</w:t>
      </w:r>
    </w:p>
    <w:p w14:paraId="3C25115F"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 xml:space="preserve">Brusati, E.D. and Grosholz, E.D. 2006. Native and introduced eco-system engineers produce contrasting effects on estuarine infaunal communities. </w:t>
      </w:r>
      <w:r w:rsidRPr="006103DD">
        <w:rPr>
          <w:rFonts w:cs="Arial"/>
          <w:i/>
          <w:sz w:val="20"/>
          <w:szCs w:val="20"/>
        </w:rPr>
        <w:t>Biol Inv</w:t>
      </w:r>
      <w:r w:rsidRPr="006103DD">
        <w:rPr>
          <w:rFonts w:cs="Arial"/>
          <w:sz w:val="20"/>
          <w:szCs w:val="20"/>
        </w:rPr>
        <w:t xml:space="preserve"> </w:t>
      </w:r>
      <w:r w:rsidRPr="006103DD">
        <w:rPr>
          <w:rFonts w:cs="Arial"/>
          <w:b/>
          <w:sz w:val="20"/>
          <w:szCs w:val="20"/>
        </w:rPr>
        <w:t>8</w:t>
      </w:r>
      <w:r w:rsidRPr="006103DD">
        <w:rPr>
          <w:rFonts w:cs="Arial"/>
          <w:sz w:val="20"/>
          <w:szCs w:val="20"/>
        </w:rPr>
        <w:t>:683–695.</w:t>
      </w:r>
    </w:p>
    <w:p w14:paraId="75183E07"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Burger, A. and Fry, D. 1993. Effects of Oil Pollution on Seabirds in the Northeast Pacific. In: Vermeer K, Briggs K, Morgan K, Siegel-Causey D (eds) </w:t>
      </w:r>
      <w:r w:rsidRPr="006103DD">
        <w:rPr>
          <w:rFonts w:cs="Arial"/>
          <w:i/>
          <w:sz w:val="20"/>
          <w:szCs w:val="20"/>
          <w:lang w:val="en-US"/>
        </w:rPr>
        <w:t>The Status, Ecology and Conservation of Marine Birds of the North Pacific</w:t>
      </w:r>
      <w:r w:rsidRPr="006103DD">
        <w:rPr>
          <w:rFonts w:cs="Arial"/>
          <w:sz w:val="20"/>
          <w:szCs w:val="20"/>
          <w:lang w:val="en-US"/>
        </w:rPr>
        <w:t>. Canadian Wildlife Service Special Publication, Ottawa.</w:t>
      </w:r>
    </w:p>
    <w:p w14:paraId="3E108E8D"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Butler, A., Althaus, F., Furlani, D. and Ridgway, K. 2002. Assessment of the Conservation Values of the Bass Strait Sponge Beds Area: A component of the Commonwealth Marine Conservation Assessment Program 2002-2004. Report to Environment Australia, CSIRO Marine Research. Hobart.</w:t>
      </w:r>
    </w:p>
    <w:p w14:paraId="1C398261"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Carls, M.G., Holland. L., Larsen, M., Collier, T.K., Scholz, N.L. and Incardona, J.P. 2008. Fish embryos are damaged by dissolved PAHs, not oil particles. </w:t>
      </w:r>
      <w:r w:rsidRPr="006103DD">
        <w:rPr>
          <w:rFonts w:cs="Arial"/>
          <w:i/>
          <w:sz w:val="20"/>
          <w:szCs w:val="20"/>
          <w:lang w:val="en-US"/>
        </w:rPr>
        <w:t>Aquatic Toxicology</w:t>
      </w:r>
      <w:r w:rsidRPr="006103DD">
        <w:rPr>
          <w:rFonts w:cs="Arial"/>
          <w:sz w:val="20"/>
          <w:szCs w:val="20"/>
          <w:lang w:val="en-US"/>
        </w:rPr>
        <w:t xml:space="preserve"> </w:t>
      </w:r>
      <w:r w:rsidRPr="006103DD">
        <w:rPr>
          <w:rFonts w:cs="Arial"/>
          <w:b/>
          <w:sz w:val="20"/>
          <w:szCs w:val="20"/>
          <w:lang w:val="en-US"/>
        </w:rPr>
        <w:t>88</w:t>
      </w:r>
      <w:r w:rsidRPr="006103DD">
        <w:rPr>
          <w:rFonts w:cs="Arial"/>
          <w:sz w:val="20"/>
          <w:szCs w:val="20"/>
          <w:lang w:val="en-US"/>
        </w:rPr>
        <w:t>:121–127.</w:t>
      </w:r>
    </w:p>
    <w:p w14:paraId="654B7DD5" w14:textId="77777777" w:rsidR="009C6E0E" w:rsidRPr="006103DD" w:rsidRDefault="009C6E0E" w:rsidP="009C6E0E">
      <w:pPr>
        <w:pStyle w:val="MediumGrid1-Accent21"/>
        <w:spacing w:before="60" w:after="60" w:line="240" w:lineRule="auto"/>
        <w:ind w:left="993" w:hanging="426"/>
        <w:jc w:val="left"/>
        <w:rPr>
          <w:rFonts w:cs="Arial"/>
          <w:iCs/>
          <w:sz w:val="20"/>
          <w:szCs w:val="20"/>
          <w:lang w:val="en-US"/>
        </w:rPr>
      </w:pPr>
      <w:r w:rsidRPr="006103DD">
        <w:rPr>
          <w:rFonts w:cs="Arial"/>
          <w:sz w:val="20"/>
          <w:szCs w:val="20"/>
          <w:lang w:val="en-US"/>
        </w:rPr>
        <w:t xml:space="preserve">Challenger, G. and Mauseth, G. 2011. Chapter 32 – Seafood safety and oil spills. In </w:t>
      </w:r>
      <w:r w:rsidRPr="006103DD">
        <w:rPr>
          <w:rFonts w:cs="Arial"/>
          <w:i/>
          <w:sz w:val="20"/>
          <w:szCs w:val="20"/>
          <w:lang w:val="en-US"/>
        </w:rPr>
        <w:t>Oil Spill Science and Technology</w:t>
      </w:r>
      <w:r w:rsidRPr="006103DD">
        <w:rPr>
          <w:rFonts w:cs="Arial"/>
          <w:sz w:val="20"/>
          <w:szCs w:val="20"/>
          <w:lang w:val="en-US"/>
        </w:rPr>
        <w:t>. M. Fingas (ed) 1083-1100.</w:t>
      </w:r>
    </w:p>
    <w:p w14:paraId="1C272FDE" w14:textId="77777777" w:rsidR="009C6E0E" w:rsidRPr="006103DD" w:rsidRDefault="009C6E0E" w:rsidP="009C6E0E">
      <w:pPr>
        <w:pStyle w:val="BodyText"/>
        <w:spacing w:before="60" w:after="60"/>
        <w:ind w:left="993" w:hanging="426"/>
        <w:rPr>
          <w:rFonts w:cs="Arial"/>
          <w:szCs w:val="20"/>
        </w:rPr>
      </w:pPr>
      <w:r w:rsidRPr="006103DD">
        <w:rPr>
          <w:rFonts w:cs="Arial"/>
          <w:szCs w:val="20"/>
        </w:rPr>
        <w:t xml:space="preserve">Charlton, C.M., Guggenheimer, S.N. and Burnell, S.R. 2014. Long term Southern Right Whale population monitoring at the Head of the Great Australian Bight, South Australia (1991-2013). Report to the Department of Environment, Australian Antarctic Division, Australian Marine Mammal Centre. </w:t>
      </w:r>
    </w:p>
    <w:p w14:paraId="2664292C" w14:textId="77777777" w:rsidR="009C6E0E" w:rsidRPr="006103DD" w:rsidRDefault="009C6E0E" w:rsidP="009C6E0E">
      <w:pPr>
        <w:autoSpaceDE w:val="0"/>
        <w:autoSpaceDN w:val="0"/>
        <w:adjustRightInd w:val="0"/>
        <w:spacing w:before="60" w:after="60"/>
        <w:ind w:left="993" w:hanging="426"/>
        <w:outlineLvl w:val="9"/>
        <w:rPr>
          <w:rFonts w:cs="Arial"/>
          <w:sz w:val="20"/>
          <w:szCs w:val="20"/>
        </w:rPr>
      </w:pPr>
      <w:r w:rsidRPr="006103DD">
        <w:rPr>
          <w:rFonts w:cs="Arial"/>
          <w:sz w:val="20"/>
          <w:szCs w:val="20"/>
        </w:rPr>
        <w:t>Childerhouse, S., Double, M. and Gales, N. 2010. Satellite tracking of southern right whales (</w:t>
      </w:r>
      <w:r w:rsidRPr="006103DD">
        <w:rPr>
          <w:rFonts w:cs="Arial"/>
          <w:i/>
          <w:iCs/>
          <w:sz w:val="20"/>
          <w:szCs w:val="20"/>
        </w:rPr>
        <w:t>Eubalaena australis</w:t>
      </w:r>
      <w:r w:rsidRPr="006103DD">
        <w:rPr>
          <w:rFonts w:cs="Arial"/>
          <w:sz w:val="20"/>
          <w:szCs w:val="20"/>
        </w:rPr>
        <w:t xml:space="preserve">) at the Auckland Islands, New Zealand. Paper SC/62/BRG19 presented to the Scientific Committee of the International Whaling Commission, Agadir, Morocco. </w:t>
      </w:r>
    </w:p>
    <w:p w14:paraId="6B8C486F"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Cintron, G., Lugo, A.E., Marinez, R., Cintron, B.B., Encarnacion, L. 1981. Impact of oil in the tropical marine environment. Prepared by Division of Marine Research, Department of Natural Resources. Puerto Rico.</w:t>
      </w:r>
    </w:p>
    <w:p w14:paraId="7FC3C727"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Clark, R.B. 1984. Impact of oil pollution on seabirds. </w:t>
      </w:r>
      <w:r w:rsidRPr="006103DD">
        <w:rPr>
          <w:rFonts w:cs="Arial"/>
          <w:i/>
          <w:sz w:val="20"/>
          <w:szCs w:val="20"/>
          <w:lang w:val="en-US"/>
        </w:rPr>
        <w:t>Environmental Pollution (Series A)</w:t>
      </w:r>
      <w:r w:rsidRPr="006103DD">
        <w:rPr>
          <w:rFonts w:cs="Arial"/>
          <w:sz w:val="20"/>
          <w:szCs w:val="20"/>
          <w:lang w:val="en-US"/>
        </w:rPr>
        <w:t xml:space="preserve"> </w:t>
      </w:r>
      <w:r w:rsidRPr="006103DD">
        <w:rPr>
          <w:rFonts w:cs="Arial"/>
          <w:b/>
          <w:sz w:val="20"/>
          <w:szCs w:val="20"/>
          <w:lang w:val="en-US"/>
        </w:rPr>
        <w:t>33</w:t>
      </w:r>
      <w:r w:rsidRPr="006103DD">
        <w:rPr>
          <w:rFonts w:cs="Arial"/>
          <w:sz w:val="20"/>
          <w:szCs w:val="20"/>
          <w:lang w:val="en-US"/>
        </w:rPr>
        <w:t>:1–22.</w:t>
      </w:r>
    </w:p>
    <w:p w14:paraId="14BC14B0"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lastRenderedPageBreak/>
        <w:t xml:space="preserve">Clarke, R.H. 2010. The Status of Seabirds and Shorebirds at Ashmore Reef, Cartier Island and Browse Island. Monitoring Program for the Montara Well Release. Pre-impact Assessment and First Post-Impact Field Survey. Prepared on behalf of PTTEP Australasia and the Department of the Environment, Water, Heritage and the Arts by the Australian Centre for Biodiversity, Monash University. Melbourne. </w:t>
      </w:r>
    </w:p>
    <w:p w14:paraId="0E725E9C" w14:textId="77777777" w:rsidR="009C6E0E" w:rsidRPr="006103DD" w:rsidRDefault="009C6E0E" w:rsidP="009C6E0E">
      <w:pPr>
        <w:pStyle w:val="BodyText"/>
        <w:spacing w:before="60" w:after="60"/>
        <w:ind w:left="993" w:hanging="426"/>
        <w:rPr>
          <w:rFonts w:cs="Arial"/>
          <w:szCs w:val="20"/>
        </w:rPr>
      </w:pPr>
      <w:r w:rsidRPr="006103DD">
        <w:rPr>
          <w:rFonts w:cs="Arial"/>
          <w:szCs w:val="20"/>
        </w:rPr>
        <w:t>Coffey, 2008 – Seabed Habitat Report – VIC/P44 Stage 2 Gas Development, A Report for Santos, Report No: CR 1235_3_v1</w:t>
      </w:r>
    </w:p>
    <w:p w14:paraId="54A442C3" w14:textId="77777777" w:rsidR="009C6E0E" w:rsidRPr="006103DD" w:rsidRDefault="009C6E0E" w:rsidP="009C6E0E">
      <w:pPr>
        <w:pStyle w:val="BodyText"/>
        <w:spacing w:before="60" w:after="60"/>
        <w:ind w:left="993" w:hanging="426"/>
        <w:rPr>
          <w:rFonts w:cs="Arial"/>
          <w:szCs w:val="20"/>
        </w:rPr>
      </w:pPr>
      <w:r w:rsidRPr="006103DD">
        <w:rPr>
          <w:rFonts w:cs="Arial"/>
          <w:szCs w:val="20"/>
        </w:rPr>
        <w:t>Cogger, H.G., Cameron, E.E., Sadlier, R.A., and Eggler, P. 1993. The Action Plan for Australian Reptiles. Canberra. Australian Nature Conservation Agency.</w:t>
      </w:r>
    </w:p>
    <w:p w14:paraId="3CA2269B" w14:textId="77777777" w:rsidR="009C6E0E" w:rsidRPr="006103DD" w:rsidRDefault="009C6E0E" w:rsidP="009C6E0E">
      <w:pPr>
        <w:pStyle w:val="BodyText"/>
        <w:spacing w:before="60" w:after="60"/>
        <w:ind w:left="993" w:hanging="426"/>
        <w:rPr>
          <w:rFonts w:cs="Arial"/>
          <w:szCs w:val="20"/>
        </w:rPr>
      </w:pPr>
      <w:r w:rsidRPr="006103DD">
        <w:rPr>
          <w:rFonts w:cs="Arial"/>
          <w:szCs w:val="20"/>
        </w:rPr>
        <w:t>Cooke, J.G., Rowntree, V.J. and Payne, R. 2001. Estimates of demographic parameters for Southern Right Whales (</w:t>
      </w:r>
      <w:r w:rsidRPr="006103DD">
        <w:rPr>
          <w:rFonts w:cs="Arial"/>
          <w:i/>
          <w:szCs w:val="20"/>
        </w:rPr>
        <w:t>Eubalaena australis</w:t>
      </w:r>
      <w:r w:rsidRPr="006103DD">
        <w:rPr>
          <w:rFonts w:cs="Arial"/>
          <w:szCs w:val="20"/>
        </w:rPr>
        <w:t xml:space="preserve">) observed off Peninsula Valdes, Argentina. </w:t>
      </w:r>
      <w:r w:rsidRPr="006103DD">
        <w:rPr>
          <w:rFonts w:cs="Arial"/>
          <w:i/>
          <w:szCs w:val="20"/>
        </w:rPr>
        <w:t>J. Cetacean Res. Manage.</w:t>
      </w:r>
      <w:r w:rsidRPr="006103DD">
        <w:rPr>
          <w:rFonts w:cs="Arial"/>
          <w:szCs w:val="20"/>
        </w:rPr>
        <w:t xml:space="preserve"> </w:t>
      </w:r>
      <w:r w:rsidRPr="006103DD">
        <w:rPr>
          <w:rFonts w:cs="Arial"/>
          <w:b/>
          <w:szCs w:val="20"/>
        </w:rPr>
        <w:t>Special Issue 2</w:t>
      </w:r>
      <w:r w:rsidRPr="006103DD">
        <w:rPr>
          <w:rFonts w:cs="Arial"/>
          <w:szCs w:val="20"/>
        </w:rPr>
        <w:t>:125-132.</w:t>
      </w:r>
    </w:p>
    <w:p w14:paraId="33AFD423" w14:textId="77777777" w:rsidR="009C6E0E" w:rsidRDefault="009C6E0E" w:rsidP="009C6E0E">
      <w:pPr>
        <w:pStyle w:val="BodyText"/>
        <w:spacing w:before="60" w:after="60"/>
        <w:ind w:left="993" w:hanging="426"/>
        <w:rPr>
          <w:rFonts w:cs="Arial"/>
          <w:szCs w:val="20"/>
        </w:rPr>
      </w:pPr>
      <w:r w:rsidRPr="006103DD">
        <w:rPr>
          <w:rFonts w:cs="Arial"/>
          <w:szCs w:val="20"/>
        </w:rPr>
        <w:t xml:space="preserve">Coyle, K.O., Pinchuk, A.I., Eisner, L.B. and Napp, J.M. 2008. Zooplankton species composition, abundance and biomass on the eastern Bering Sea shelf during summer: the potential role of water column stability and nutrients in structuring the zooplankton community. </w:t>
      </w:r>
      <w:r w:rsidRPr="006103DD">
        <w:rPr>
          <w:rFonts w:cs="Arial"/>
          <w:i/>
          <w:szCs w:val="20"/>
        </w:rPr>
        <w:t>Deep-Sea Res</w:t>
      </w:r>
      <w:r w:rsidRPr="006103DD">
        <w:rPr>
          <w:rFonts w:cs="Arial"/>
          <w:szCs w:val="20"/>
        </w:rPr>
        <w:t xml:space="preserve">., </w:t>
      </w:r>
      <w:r w:rsidRPr="006103DD">
        <w:rPr>
          <w:rFonts w:cs="Arial"/>
          <w:b/>
          <w:szCs w:val="20"/>
        </w:rPr>
        <w:t>55</w:t>
      </w:r>
      <w:r w:rsidRPr="006103DD">
        <w:rPr>
          <w:rFonts w:cs="Arial"/>
          <w:szCs w:val="20"/>
        </w:rPr>
        <w:t xml:space="preserve">:1755-1791. </w:t>
      </w:r>
    </w:p>
    <w:p w14:paraId="7B6A15A8" w14:textId="77777777" w:rsidR="009C6E0E" w:rsidRDefault="009C6E0E" w:rsidP="009C6E0E">
      <w:pPr>
        <w:pStyle w:val="BodyText"/>
        <w:spacing w:before="60" w:after="60"/>
        <w:ind w:left="993" w:hanging="426"/>
        <w:rPr>
          <w:rFonts w:cs="Arial"/>
          <w:szCs w:val="20"/>
        </w:rPr>
      </w:pPr>
      <w:r>
        <w:rPr>
          <w:rFonts w:cs="Arial"/>
          <w:szCs w:val="20"/>
        </w:rPr>
        <w:t xml:space="preserve">CRED, 2017 – Tourism industry impacts: The Deepwater Horizon Spill accessed  in May 2017 at </w:t>
      </w:r>
      <w:hyperlink r:id="rId36" w:history="1">
        <w:r w:rsidRPr="00CA3B56">
          <w:rPr>
            <w:rStyle w:val="Hyperlink"/>
            <w:rFonts w:cs="Arial"/>
            <w:szCs w:val="20"/>
          </w:rPr>
          <w:t>http://credbc.ca/tourism-industry-impacts-the-deepwater-horizon-spill/</w:t>
        </w:r>
      </w:hyperlink>
      <w:r>
        <w:rPr>
          <w:rFonts w:cs="Arial"/>
          <w:szCs w:val="20"/>
        </w:rPr>
        <w:t xml:space="preserve"> </w:t>
      </w:r>
    </w:p>
    <w:p w14:paraId="2FCDD128" w14:textId="77777777" w:rsidR="009C6E0E" w:rsidRPr="006103DD" w:rsidRDefault="009C6E0E" w:rsidP="009C6E0E">
      <w:pPr>
        <w:pStyle w:val="BodyText"/>
        <w:spacing w:before="60" w:after="60"/>
        <w:ind w:left="993" w:hanging="426"/>
        <w:rPr>
          <w:rFonts w:cs="Arial"/>
          <w:szCs w:val="20"/>
        </w:rPr>
      </w:pPr>
      <w:r>
        <w:rPr>
          <w:rFonts w:cs="Arial"/>
          <w:szCs w:val="20"/>
        </w:rPr>
        <w:t>Currie, D.R. &amp; Isaacs, L.R. (2005) – Impact of exploratory offshore drilling on benthic communities in the Minerva gas field, Port Campbell, Australia, Marine Environmental Research 59 (2005) 217-233</w:t>
      </w:r>
    </w:p>
    <w:p w14:paraId="05DDC094" w14:textId="77777777" w:rsidR="009C6E0E" w:rsidRPr="006103DD" w:rsidRDefault="009C6E0E" w:rsidP="009C6E0E">
      <w:pPr>
        <w:pStyle w:val="MediumGrid1-Accent21"/>
        <w:spacing w:before="60" w:after="60" w:line="240" w:lineRule="auto"/>
        <w:ind w:left="993" w:hanging="426"/>
        <w:jc w:val="left"/>
        <w:rPr>
          <w:rFonts w:cs="Arial"/>
          <w:iCs/>
          <w:sz w:val="20"/>
          <w:szCs w:val="20"/>
          <w:lang w:val="en-US"/>
        </w:rPr>
      </w:pPr>
      <w:r w:rsidRPr="006103DD">
        <w:rPr>
          <w:rFonts w:cs="Arial"/>
          <w:iCs/>
          <w:sz w:val="20"/>
          <w:szCs w:val="20"/>
          <w:lang w:val="en-US"/>
        </w:rPr>
        <w:t>Curtin University. 2009. Report on Biopsy Collections from Specimens Collected from the Surrounds of the West Atlas Oil Leak – Sea Snake Specimen. Curtin University, Perth.</w:t>
      </w:r>
    </w:p>
    <w:p w14:paraId="2731A776" w14:textId="77777777" w:rsidR="009C6E0E" w:rsidRPr="006103DD" w:rsidRDefault="009C6E0E" w:rsidP="009C6E0E">
      <w:pPr>
        <w:pStyle w:val="MediumGrid1-Accent21"/>
        <w:spacing w:before="60" w:after="60" w:line="240" w:lineRule="auto"/>
        <w:ind w:left="993" w:hanging="426"/>
        <w:jc w:val="left"/>
        <w:rPr>
          <w:rFonts w:cs="Arial"/>
          <w:iCs/>
          <w:sz w:val="20"/>
          <w:szCs w:val="20"/>
          <w:lang w:val="en-US"/>
        </w:rPr>
      </w:pPr>
      <w:r w:rsidRPr="006103DD">
        <w:rPr>
          <w:rFonts w:cs="Arial"/>
          <w:iCs/>
          <w:sz w:val="20"/>
          <w:szCs w:val="20"/>
          <w:lang w:val="en-US"/>
        </w:rPr>
        <w:t xml:space="preserve">Curtin University. 2010. Report on Necropsies from a Timor Sea Horned Sea Snake. Curtin University, Perth. </w:t>
      </w:r>
    </w:p>
    <w:p w14:paraId="36F22E76" w14:textId="77777777" w:rsidR="009C6E0E" w:rsidRPr="006103DD" w:rsidRDefault="009C6E0E" w:rsidP="009C6E0E">
      <w:pPr>
        <w:pStyle w:val="BodyText"/>
        <w:spacing w:before="60" w:after="60"/>
        <w:ind w:left="993" w:hanging="426"/>
        <w:rPr>
          <w:rFonts w:cs="Arial"/>
          <w:szCs w:val="20"/>
        </w:rPr>
      </w:pPr>
      <w:r w:rsidRPr="006103DD">
        <w:rPr>
          <w:rFonts w:cs="Arial"/>
          <w:szCs w:val="20"/>
        </w:rPr>
        <w:t xml:space="preserve">Cury, P. and Roy, C. 1989. Optimal environmental window and pelagic fish recruitment success in upwelling areas. </w:t>
      </w:r>
      <w:r w:rsidRPr="006103DD">
        <w:rPr>
          <w:rFonts w:cs="Arial"/>
          <w:i/>
          <w:szCs w:val="20"/>
        </w:rPr>
        <w:t>Can. J. Fish Aquatic Sc.</w:t>
      </w:r>
      <w:r w:rsidRPr="006103DD">
        <w:rPr>
          <w:rFonts w:cs="Arial"/>
          <w:b/>
          <w:szCs w:val="20"/>
        </w:rPr>
        <w:t xml:space="preserve"> 46</w:t>
      </w:r>
      <w:r w:rsidRPr="006103DD">
        <w:rPr>
          <w:rFonts w:cs="Arial"/>
          <w:szCs w:val="20"/>
        </w:rPr>
        <w:t xml:space="preserve">: 670-680. </w:t>
      </w:r>
    </w:p>
    <w:p w14:paraId="03ED417C" w14:textId="77777777" w:rsidR="009C6E0E" w:rsidRDefault="009C6E0E" w:rsidP="009C6E0E">
      <w:pPr>
        <w:pStyle w:val="BodyText"/>
        <w:spacing w:before="60" w:after="60"/>
        <w:ind w:left="993" w:hanging="426"/>
        <w:rPr>
          <w:rFonts w:cs="Arial"/>
          <w:szCs w:val="20"/>
        </w:rPr>
      </w:pPr>
      <w:r w:rsidRPr="006103DD">
        <w:rPr>
          <w:rFonts w:cs="Arial"/>
          <w:szCs w:val="20"/>
        </w:rPr>
        <w:t xml:space="preserve">DAFF. 2016. Marine Pests Interactive Map. A WWW database accessed in 2016 at </w:t>
      </w:r>
      <w:hyperlink r:id="rId37" w:history="1">
        <w:r w:rsidRPr="003E6B86">
          <w:rPr>
            <w:rStyle w:val="Hyperlink"/>
            <w:rFonts w:cs="Arial"/>
            <w:szCs w:val="20"/>
          </w:rPr>
          <w:t>http://www.marinepests.gov.au/Pages/marinepest-map.aspx</w:t>
        </w:r>
      </w:hyperlink>
      <w:r w:rsidRPr="006103DD">
        <w:rPr>
          <w:rFonts w:cs="Arial"/>
          <w:szCs w:val="20"/>
        </w:rPr>
        <w:t>.</w:t>
      </w:r>
    </w:p>
    <w:p w14:paraId="3FF5D2A4" w14:textId="77777777" w:rsidR="009C6E0E" w:rsidRDefault="009C6E0E" w:rsidP="009C6E0E">
      <w:pPr>
        <w:pStyle w:val="BodyText"/>
        <w:spacing w:before="60" w:after="60"/>
        <w:ind w:left="993" w:hanging="426"/>
        <w:rPr>
          <w:rFonts w:cs="Arial"/>
          <w:szCs w:val="20"/>
        </w:rPr>
      </w:pPr>
      <w:r>
        <w:rPr>
          <w:rFonts w:cs="Arial"/>
          <w:szCs w:val="20"/>
        </w:rPr>
        <w:t xml:space="preserve">Dalley, DD, McClatchie, S, (1989) – Functional feeding morphology of the </w:t>
      </w:r>
      <w:r w:rsidRPr="00FA36A5">
        <w:rPr>
          <w:rFonts w:cs="Arial"/>
          <w:i/>
          <w:szCs w:val="20"/>
        </w:rPr>
        <w:t xml:space="preserve">euphausiid Nyctiphases </w:t>
      </w:r>
      <w:r>
        <w:rPr>
          <w:rFonts w:cs="Arial"/>
          <w:szCs w:val="20"/>
        </w:rPr>
        <w:t>Australia, Marine Biology 1010 1950293 (1989)</w:t>
      </w:r>
    </w:p>
    <w:p w14:paraId="549EB7F1" w14:textId="77777777" w:rsidR="009C6E0E" w:rsidRPr="006103DD" w:rsidRDefault="009C6E0E" w:rsidP="009C6E0E">
      <w:pPr>
        <w:pStyle w:val="BodyText"/>
        <w:spacing w:before="60" w:after="60"/>
        <w:ind w:left="993" w:hanging="426"/>
        <w:rPr>
          <w:rFonts w:cs="Arial"/>
          <w:szCs w:val="20"/>
        </w:rPr>
      </w:pPr>
      <w:r>
        <w:t>Dambacher, J.M., K.R. Hayes, G.R. Hosack, V. Lyne, D. Clifford., L.X.C. Dutra, C.H. Moeseneder, M.J. Palmer, R. Sharples, W.A. Rochester, T.J. Taranto and R. Smith. (2012). Project Summary: National Marine Ecological Indicators. A report prepared for the Australian Government Department of Sustainability, Environment, Water, Population and Communities. CSIRO Wealth from Oceans Flagship, Hobart.</w:t>
      </w:r>
    </w:p>
    <w:p w14:paraId="680374A3" w14:textId="77777777" w:rsidR="009C6E0E" w:rsidRPr="006103DD" w:rsidRDefault="009C6E0E" w:rsidP="009C6E0E">
      <w:pPr>
        <w:pStyle w:val="MediumGrid1-Accent21"/>
        <w:spacing w:before="60" w:after="60" w:line="240" w:lineRule="auto"/>
        <w:ind w:left="993" w:hanging="426"/>
        <w:jc w:val="left"/>
        <w:rPr>
          <w:rFonts w:cs="Arial"/>
          <w:iCs/>
          <w:sz w:val="20"/>
          <w:szCs w:val="20"/>
          <w:lang w:val="en-US"/>
        </w:rPr>
      </w:pPr>
      <w:r w:rsidRPr="006103DD">
        <w:rPr>
          <w:rFonts w:cs="Arial"/>
          <w:sz w:val="20"/>
          <w:szCs w:val="20"/>
          <w:lang w:val="en-US"/>
        </w:rPr>
        <w:t xml:space="preserve">Danion, M. 2011. Bioconcentration and Immunotoxicity of an Experimental Oil Spill in European Sea Bass (Dicentrarchus labrax L.). </w:t>
      </w:r>
      <w:r w:rsidRPr="006103DD">
        <w:rPr>
          <w:rFonts w:cs="Arial"/>
          <w:i/>
          <w:sz w:val="20"/>
          <w:szCs w:val="20"/>
          <w:lang w:val="en-US"/>
        </w:rPr>
        <w:t>Ecotoxicology and Environmental Safety</w:t>
      </w:r>
      <w:r w:rsidRPr="006103DD">
        <w:rPr>
          <w:rFonts w:cs="Arial"/>
          <w:sz w:val="20"/>
          <w:szCs w:val="20"/>
          <w:lang w:val="en-US"/>
        </w:rPr>
        <w:t xml:space="preserve">. </w:t>
      </w:r>
      <w:r w:rsidRPr="006103DD">
        <w:rPr>
          <w:rFonts w:cs="Arial"/>
          <w:b/>
          <w:sz w:val="20"/>
          <w:szCs w:val="20"/>
          <w:lang w:val="en-US"/>
        </w:rPr>
        <w:t>74</w:t>
      </w:r>
      <w:r w:rsidRPr="006103DD">
        <w:rPr>
          <w:rFonts w:cs="Arial"/>
          <w:sz w:val="20"/>
          <w:szCs w:val="20"/>
          <w:lang w:val="en-US"/>
        </w:rPr>
        <w:t>(8): 2167–2174.</w:t>
      </w:r>
    </w:p>
    <w:p w14:paraId="679E741E" w14:textId="77777777" w:rsidR="009C6E0E" w:rsidRPr="006103DD" w:rsidRDefault="009C6E0E" w:rsidP="009C6E0E">
      <w:pPr>
        <w:spacing w:before="60" w:after="60"/>
        <w:ind w:left="993" w:hanging="426"/>
        <w:outlineLvl w:val="9"/>
        <w:rPr>
          <w:rFonts w:cs="Arial"/>
          <w:sz w:val="20"/>
          <w:szCs w:val="20"/>
          <w:lang w:val="en-GB"/>
        </w:rPr>
      </w:pPr>
      <w:r w:rsidRPr="00651FA5">
        <w:rPr>
          <w:rFonts w:cs="Arial"/>
          <w:sz w:val="20"/>
          <w:szCs w:val="20"/>
          <w:lang w:val="en-GB"/>
        </w:rPr>
        <w:t>Davis, J.E. and Anderson S.S. (1976) – Effects of oil pollution on breeding grey seals, Marine Pollution Bulletin, Volume 7, Issue 6, June 1976, Pages 115-118</w:t>
      </w:r>
    </w:p>
    <w:p w14:paraId="44D99A1C"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Davis, H.K., Moffat, C.F. and Shepherd, N.J. 2002. Experimental Tainting of Marine Fish by Three Chemically Dispersed Petroleum Products, with Comparisons to the Braer Oil Spill. </w:t>
      </w:r>
      <w:r w:rsidRPr="006103DD">
        <w:rPr>
          <w:rFonts w:cs="Arial"/>
          <w:i/>
          <w:sz w:val="20"/>
          <w:szCs w:val="20"/>
          <w:lang w:val="en-US"/>
        </w:rPr>
        <w:t>Spill Science &amp; Technology Bulletin</w:t>
      </w:r>
      <w:r w:rsidRPr="006103DD">
        <w:rPr>
          <w:rFonts w:cs="Arial"/>
          <w:sz w:val="20"/>
          <w:szCs w:val="20"/>
          <w:lang w:val="en-US"/>
        </w:rPr>
        <w:t>. 7(5–6): 257–278.</w:t>
      </w:r>
    </w:p>
    <w:p w14:paraId="6AF9FDA2"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DAWR. 2015a. Ballast Water. A WWW database accessed at http://www.agriculture.gov.au/biosecurity/avm/vessels/quarantine-concerns/ballast. Department of Agriculture and Water Resources. Canberra. </w:t>
      </w:r>
    </w:p>
    <w:p w14:paraId="13842B69"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DAWR. 2015b. Biofouling. A WWW database accessed at http://www.agriculture.gov.au/</w:t>
      </w:r>
      <w:r w:rsidRPr="006103DD">
        <w:rPr>
          <w:rFonts w:cs="Arial"/>
          <w:sz w:val="20"/>
          <w:szCs w:val="20"/>
          <w:lang w:val="en-US"/>
        </w:rPr>
        <w:br/>
        <w:t xml:space="preserve">biosecurity/avm/vessels/quarantine-concerns/biofouling. Department of Agriculture and Water Resources.  Canberra. </w:t>
      </w:r>
    </w:p>
    <w:p w14:paraId="508222DA" w14:textId="77777777" w:rsidR="009C6E0E" w:rsidRDefault="009C6E0E" w:rsidP="009C6E0E">
      <w:pPr>
        <w:spacing w:before="60" w:after="60"/>
        <w:ind w:left="993" w:hanging="426"/>
        <w:outlineLvl w:val="9"/>
        <w:rPr>
          <w:rFonts w:cs="Arial"/>
          <w:sz w:val="20"/>
          <w:szCs w:val="20"/>
        </w:rPr>
      </w:pPr>
      <w:r w:rsidRPr="006103DD">
        <w:rPr>
          <w:rFonts w:cs="Arial"/>
          <w:sz w:val="20"/>
          <w:szCs w:val="20"/>
        </w:rPr>
        <w:t>DAWR. 2016. Australian Ballast Water Management Requirements Version 6. Department of Agriculture and Water Resources. Canberra.</w:t>
      </w:r>
    </w:p>
    <w:p w14:paraId="2B7FD884" w14:textId="77777777" w:rsidR="009C6E0E" w:rsidRPr="00A14791" w:rsidRDefault="009C6E0E" w:rsidP="009C6E0E">
      <w:pPr>
        <w:spacing w:before="60" w:after="60"/>
        <w:ind w:left="993" w:hanging="426"/>
        <w:outlineLvl w:val="9"/>
        <w:rPr>
          <w:rFonts w:cs="Arial"/>
          <w:sz w:val="20"/>
          <w:szCs w:val="20"/>
        </w:rPr>
      </w:pPr>
      <w:r w:rsidRPr="00A14791">
        <w:rPr>
          <w:rFonts w:cs="Arial"/>
          <w:sz w:val="20"/>
          <w:szCs w:val="20"/>
        </w:rPr>
        <w:t xml:space="preserve">Decisive Consulting, 2016 - </w:t>
      </w:r>
      <w:r w:rsidRPr="00FA36A5">
        <w:rPr>
          <w:sz w:val="20"/>
          <w:szCs w:val="20"/>
        </w:rPr>
        <w:t>Report on the economic contribution to Victoria of the Shipwreck Coast visitor opportunity, Great Ocean Road Regional Tourism Limited.</w:t>
      </w:r>
    </w:p>
    <w:p w14:paraId="62A21931"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lastRenderedPageBreak/>
        <w:t xml:space="preserve">DEDJTR. 2016. Petroleum production statistics. A WWW resource accessed in 2016 at </w:t>
      </w:r>
      <w:hyperlink r:id="rId38" w:history="1">
        <w:r w:rsidRPr="00E01F70">
          <w:rPr>
            <w:rStyle w:val="Hyperlink"/>
            <w:rFonts w:cs="Arial"/>
            <w:sz w:val="20"/>
            <w:szCs w:val="20"/>
          </w:rPr>
          <w:t>http://www.energyandresources.vic.gov.au/earth-resources/victorias-earth-resources/petroleum/production-statistics</w:t>
        </w:r>
      </w:hyperlink>
      <w:r>
        <w:rPr>
          <w:rFonts w:cs="Arial"/>
          <w:sz w:val="20"/>
          <w:szCs w:val="20"/>
        </w:rPr>
        <w:t xml:space="preserve"> </w:t>
      </w:r>
      <w:r w:rsidRPr="006103DD">
        <w:rPr>
          <w:rFonts w:cs="Arial"/>
          <w:sz w:val="20"/>
          <w:szCs w:val="20"/>
        </w:rPr>
        <w:t>. Department of Economic Development, Jobs, Transport and Resources. Melbourne.</w:t>
      </w:r>
    </w:p>
    <w:p w14:paraId="7FAD5373" w14:textId="77777777" w:rsidR="009C6E0E" w:rsidRPr="006103DD" w:rsidRDefault="009C6E0E" w:rsidP="009C6E0E">
      <w:pPr>
        <w:spacing w:before="60" w:after="60"/>
        <w:ind w:left="993" w:hanging="426"/>
        <w:outlineLvl w:val="9"/>
        <w:rPr>
          <w:rFonts w:cs="Arial"/>
          <w:sz w:val="20"/>
          <w:szCs w:val="20"/>
          <w:lang w:val="en-GB"/>
        </w:rPr>
      </w:pPr>
      <w:r w:rsidRPr="006103DD">
        <w:rPr>
          <w:rFonts w:cs="Arial"/>
          <w:sz w:val="20"/>
          <w:szCs w:val="20"/>
          <w:lang w:val="en-GB"/>
        </w:rPr>
        <w:t xml:space="preserve">DEDJTR. 2017. State Maritime Emergencies (non-search and rescue) Plan. Edition 1. Department of Economic Development, Jobs, Transport and Resources. Melbourne.  </w:t>
      </w:r>
    </w:p>
    <w:p w14:paraId="37675D23" w14:textId="77777777" w:rsidR="009C6E0E" w:rsidRPr="006103DD" w:rsidRDefault="009C6E0E" w:rsidP="009C6E0E">
      <w:pPr>
        <w:pStyle w:val="BodyText"/>
        <w:spacing w:before="60" w:after="60"/>
        <w:ind w:left="993" w:hanging="426"/>
        <w:rPr>
          <w:rFonts w:cs="Arial"/>
          <w:szCs w:val="20"/>
        </w:rPr>
      </w:pPr>
      <w:r w:rsidRPr="006103DD">
        <w:rPr>
          <w:rFonts w:cs="Arial"/>
          <w:szCs w:val="20"/>
        </w:rPr>
        <w:t>DEH. 2005</w:t>
      </w:r>
      <w:r>
        <w:rPr>
          <w:rFonts w:cs="Arial"/>
          <w:szCs w:val="20"/>
        </w:rPr>
        <w:t>a</w:t>
      </w:r>
      <w:r w:rsidRPr="006103DD">
        <w:rPr>
          <w:rFonts w:cs="Arial"/>
          <w:szCs w:val="20"/>
        </w:rPr>
        <w:t xml:space="preserve">. Southern Right Whale Recovery Plan 2005 – 2010. Department of the Environment and Heritage. Canberra. </w:t>
      </w:r>
    </w:p>
    <w:p w14:paraId="136CD305" w14:textId="77777777" w:rsidR="009C6E0E" w:rsidRPr="006103DD" w:rsidRDefault="009C6E0E" w:rsidP="009C6E0E">
      <w:pPr>
        <w:spacing w:before="60" w:after="60"/>
        <w:ind w:left="1134" w:right="-11" w:hanging="567"/>
        <w:jc w:val="both"/>
        <w:outlineLvl w:val="9"/>
        <w:rPr>
          <w:rStyle w:val="Hyperlink"/>
          <w:rFonts w:cs="Arial"/>
          <w:sz w:val="20"/>
          <w:szCs w:val="20"/>
        </w:rPr>
      </w:pPr>
      <w:r w:rsidRPr="006103DD">
        <w:rPr>
          <w:rFonts w:cs="Arial"/>
          <w:sz w:val="20"/>
          <w:szCs w:val="20"/>
        </w:rPr>
        <w:t>Department of the Environment, Heritage and Local Government (DEHLG), 2007 – Code of Practice for the Protection of Marine Mammals during Acoustic Seafloor Surveys in Irish Waters, Version 1.1 downloaded on 21</w:t>
      </w:r>
      <w:r w:rsidRPr="006103DD">
        <w:rPr>
          <w:rFonts w:cs="Arial"/>
          <w:sz w:val="20"/>
          <w:szCs w:val="20"/>
          <w:vertAlign w:val="superscript"/>
        </w:rPr>
        <w:t>st</w:t>
      </w:r>
      <w:r w:rsidRPr="006103DD">
        <w:rPr>
          <w:rFonts w:cs="Arial"/>
          <w:sz w:val="20"/>
          <w:szCs w:val="20"/>
        </w:rPr>
        <w:t xml:space="preserve"> February 2013 at </w:t>
      </w:r>
      <w:hyperlink r:id="rId39" w:history="1">
        <w:r w:rsidRPr="006103DD">
          <w:rPr>
            <w:rStyle w:val="Hyperlink"/>
            <w:rFonts w:cs="Arial"/>
            <w:sz w:val="20"/>
            <w:szCs w:val="20"/>
          </w:rPr>
          <w:t>http://www.iwdg.ie/downloads/AcousticSurveys.pdf</w:t>
        </w:r>
      </w:hyperlink>
    </w:p>
    <w:p w14:paraId="50E82F59"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 xml:space="preserve">DELWP. 2016. Shipwreck protected zones. A WWW database accessed in 2016 at http://www.dtpli.vic.gov.au/heritage/shipwrecks-and-maritime/shipwreck-protected-zones. Department of Environment, Land, Water &amp; Planning. Melbourne. </w:t>
      </w:r>
    </w:p>
    <w:p w14:paraId="766D3C93" w14:textId="77777777" w:rsidR="009C6E0E" w:rsidRPr="006103DD" w:rsidRDefault="009C6E0E" w:rsidP="009C6E0E">
      <w:pPr>
        <w:pStyle w:val="BodyText"/>
        <w:spacing w:before="60" w:after="60"/>
        <w:ind w:left="993" w:hanging="426"/>
        <w:rPr>
          <w:rFonts w:cs="Arial"/>
          <w:szCs w:val="20"/>
        </w:rPr>
      </w:pPr>
      <w:r w:rsidRPr="006103DD">
        <w:rPr>
          <w:rFonts w:cs="Arial"/>
          <w:szCs w:val="20"/>
        </w:rPr>
        <w:t>DEWHA. 2008. EPBC Act Policy Statement 2.1- Interaction between offshore seismic exploration and whales, Department of Environment, Water, Heritage &amp; the Arts, Canberra.</w:t>
      </w:r>
    </w:p>
    <w:p w14:paraId="57B9CC09"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 xml:space="preserve">DoE. 2013. EPBC Act Policy Statement 1.1 – Significant Impact Guidelines – Matters of National Environmental Significance. Department of the Environment. Canberra. </w:t>
      </w:r>
    </w:p>
    <w:p w14:paraId="0DD56032" w14:textId="77777777" w:rsidR="009C6E0E" w:rsidRDefault="009C6E0E" w:rsidP="009C6E0E">
      <w:pPr>
        <w:pStyle w:val="BodyText"/>
        <w:spacing w:before="60" w:after="60"/>
        <w:ind w:left="993" w:hanging="426"/>
        <w:rPr>
          <w:rFonts w:cs="Arial"/>
          <w:szCs w:val="20"/>
        </w:rPr>
      </w:pPr>
      <w:r w:rsidRPr="006103DD">
        <w:rPr>
          <w:rFonts w:cs="Arial"/>
          <w:szCs w:val="20"/>
        </w:rPr>
        <w:t>DoE. 2015. Conservation Management Plan for the Blue Whale (2015-2025) – A Recovery Plan under the Environment Protection and Biodiversity Conservation Act 1999.  Department of the Environment. Canberra.</w:t>
      </w:r>
    </w:p>
    <w:p w14:paraId="4DD8195B" w14:textId="77777777" w:rsidR="009C6E0E" w:rsidRPr="006103DD" w:rsidRDefault="009C6E0E" w:rsidP="009C6E0E">
      <w:pPr>
        <w:pStyle w:val="BodyText"/>
        <w:spacing w:before="60" w:after="60"/>
        <w:ind w:left="993" w:hanging="426"/>
        <w:rPr>
          <w:rFonts w:cs="Arial"/>
          <w:szCs w:val="20"/>
        </w:rPr>
      </w:pPr>
      <w:r>
        <w:rPr>
          <w:rFonts w:cs="Arial"/>
          <w:szCs w:val="20"/>
        </w:rPr>
        <w:t>DoE, 2015b – South-east marine region profile. A description of the ecosystems, conservation values and uses of the South-east Marine Region, Commonwealth of Australia, 2015</w:t>
      </w:r>
    </w:p>
    <w:p w14:paraId="7651A4ED"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DoEE, 2016j.  Directory of Important Wetlands in Australia. A WWW database accessed in 2016 at https://www.environment.gov.au/water/wetlands/australian-wetlands-database/directory-important-wetlands. Department of the Environment and Energy. Canberra.</w:t>
      </w:r>
    </w:p>
    <w:p w14:paraId="35311561" w14:textId="77777777" w:rsidR="009C6E0E" w:rsidRPr="006103DD" w:rsidRDefault="009C6E0E" w:rsidP="009C6E0E">
      <w:pPr>
        <w:pStyle w:val="Content"/>
        <w:spacing w:before="60" w:after="60"/>
        <w:ind w:left="993" w:hanging="426"/>
        <w:jc w:val="left"/>
        <w:rPr>
          <w:rFonts w:ascii="Arial" w:hAnsi="Arial" w:cs="Arial"/>
          <w:sz w:val="20"/>
          <w:szCs w:val="20"/>
        </w:rPr>
      </w:pPr>
      <w:r w:rsidRPr="006103DD">
        <w:rPr>
          <w:rFonts w:ascii="Arial" w:hAnsi="Arial" w:cs="Arial"/>
          <w:sz w:val="20"/>
          <w:szCs w:val="20"/>
        </w:rPr>
        <w:t xml:space="preserve">DoEE. 2016a. PMST search </w:t>
      </w:r>
      <w:r w:rsidRPr="006103DD">
        <w:rPr>
          <w:rFonts w:ascii="Arial" w:eastAsia="MS Mincho" w:hAnsi="Arial" w:cs="Arial"/>
          <w:color w:val="191919"/>
          <w:sz w:val="20"/>
          <w:szCs w:val="20"/>
          <w:lang w:val="en-AU" w:eastAsia="en-US"/>
        </w:rPr>
        <w:t>A WWW database accessed</w:t>
      </w:r>
      <w:r w:rsidRPr="006103DD">
        <w:rPr>
          <w:rFonts w:ascii="Arial" w:hAnsi="Arial" w:cs="Arial"/>
          <w:sz w:val="20"/>
          <w:szCs w:val="20"/>
        </w:rPr>
        <w:t xml:space="preserve"> in 2016 at http://www.environment.gov.au/epbc/pmst/index.html. Department of the Environment and Energy. Canberra.</w:t>
      </w:r>
    </w:p>
    <w:p w14:paraId="370DF8B0"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DoEE. 2016b. National Conservation Values Atlas: Interactive Map. A WWW database accessed in 2016 at www.environment.gov.au/webgis-framework/apps/ncva/ncva.jsf. Department of the Environment and Energy. Canberra.</w:t>
      </w:r>
    </w:p>
    <w:p w14:paraId="2E0A5899" w14:textId="77777777" w:rsidR="009C6E0E" w:rsidRPr="006103DD" w:rsidRDefault="009C6E0E" w:rsidP="009C6E0E">
      <w:pPr>
        <w:pStyle w:val="Content"/>
        <w:spacing w:before="60" w:after="60"/>
        <w:ind w:left="993" w:hanging="426"/>
        <w:jc w:val="left"/>
        <w:rPr>
          <w:rFonts w:ascii="Arial" w:hAnsi="Arial" w:cs="Arial"/>
          <w:sz w:val="20"/>
          <w:szCs w:val="20"/>
        </w:rPr>
      </w:pPr>
      <w:r w:rsidRPr="006103DD">
        <w:rPr>
          <w:rFonts w:ascii="Arial" w:hAnsi="Arial" w:cs="Arial"/>
          <w:sz w:val="20"/>
          <w:szCs w:val="20"/>
        </w:rPr>
        <w:t xml:space="preserve">DoEE. 2016c. Species Profile and Threats (SPRAT) Database. </w:t>
      </w:r>
      <w:r w:rsidRPr="006103DD">
        <w:rPr>
          <w:rFonts w:ascii="Arial" w:eastAsia="MS Mincho" w:hAnsi="Arial" w:cs="Arial"/>
          <w:color w:val="191919"/>
          <w:sz w:val="20"/>
          <w:szCs w:val="20"/>
          <w:lang w:val="en-AU" w:eastAsia="en-US"/>
        </w:rPr>
        <w:t>A WWW database accessed</w:t>
      </w:r>
      <w:r w:rsidRPr="006103DD">
        <w:rPr>
          <w:rFonts w:ascii="Arial" w:hAnsi="Arial" w:cs="Arial"/>
          <w:sz w:val="20"/>
          <w:szCs w:val="20"/>
        </w:rPr>
        <w:t xml:space="preserve"> in 2016 at http://www.environment.gov.au/cgi-bin/sprat/public/sprat.pl. Department of the Environment and Energy. Canberra.</w:t>
      </w:r>
    </w:p>
    <w:p w14:paraId="5DF5A532"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DoEE. 2016d. The Recovery Plan for Marine Turtles in Australia (Draft). Department of the Environment and Energy. Canberra.</w:t>
      </w:r>
    </w:p>
    <w:p w14:paraId="33CF512C"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DoEE. 2016e. Australia’s Commonwealth Heritage List. A WWW database accessed in 2016 http://www.environment.gov.au/heritage/places/commonwealth-heritage-list Department of the Environment and Energy. Canberra.</w:t>
      </w:r>
    </w:p>
    <w:p w14:paraId="3369CEF1"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DoEE. 2016f. Australia’s World Heritage List. A WWW database accessed in 2016 at http://www.environment.gov.au/heritage/places/world-heritage-list. Department of the Environment and Energy. Canberra.</w:t>
      </w:r>
    </w:p>
    <w:p w14:paraId="7D34B1BD"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DoEE. 2016g. Australia’s World Heritage List. A WWW database accessed in 2016 at http://www.environment.gov.au/heritage/places/world-heritage-list. Department of the Environment and Energy. Canberra.</w:t>
      </w:r>
    </w:p>
    <w:p w14:paraId="699396B8"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DoEE. 2016h. Australia’s National Heritage List. A WWW database accessed in 2016 at http://www.environment.gov.au/heritage/places/national-heritage-list. Department of the Environment and Energy. Canberra.</w:t>
      </w:r>
    </w:p>
    <w:p w14:paraId="5E0A02CF"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DoEE. 2016i. Australian Ramsar Wetlands. A WWW database accessed in 2016 at https://www.environment.gov.au/water/wetlands/australian-wetlands-database/australian-ramsar-wetlands. Department of the Environment and Energy. Canberra.</w:t>
      </w:r>
    </w:p>
    <w:p w14:paraId="411AA39A"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lastRenderedPageBreak/>
        <w:t>DoEE. 2016k. Australian National Shipwreck Database. A WWW database accessed in 2016 at https://dmzapp17p.ris.environment.gov.au/shipwreck/public/wreck/search.do;</w:t>
      </w:r>
      <w:r w:rsidRPr="006103DD">
        <w:rPr>
          <w:rFonts w:cs="Arial"/>
          <w:sz w:val="20"/>
          <w:szCs w:val="20"/>
        </w:rPr>
        <w:br/>
        <w:t>jsessionid=624517E77FC8FA606AA179083E0882B1. Department of the Environment and Energy. Canberra.</w:t>
      </w:r>
    </w:p>
    <w:p w14:paraId="36033412"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DoEE. 2016l. Historic Shipwreck Protected Zones. A WWW database accessed in 2016 at http://www.environment.gov.au/topics/heritage/historic-shipwrecks/historic-shipwreck-protected-zones. Department of the Environment and Energy. Canberra.</w:t>
      </w:r>
    </w:p>
    <w:p w14:paraId="33F16A4F" w14:textId="77777777" w:rsidR="009C6E0E" w:rsidRPr="006103DD" w:rsidRDefault="009C6E0E" w:rsidP="009C6E0E">
      <w:pPr>
        <w:pStyle w:val="BodyText"/>
        <w:spacing w:before="60" w:after="60"/>
        <w:ind w:left="1134" w:hanging="567"/>
        <w:rPr>
          <w:rStyle w:val="Hyperlink"/>
          <w:rFonts w:cs="Arial"/>
          <w:szCs w:val="20"/>
        </w:rPr>
      </w:pPr>
      <w:r w:rsidRPr="006103DD">
        <w:rPr>
          <w:rFonts w:cs="Arial"/>
          <w:szCs w:val="20"/>
        </w:rPr>
        <w:t xml:space="preserve">DoEE, 2017 – National Inventory Report 2014 (revised) (Volume 1), The Australian Government Submission to the United Nations Framework Convention of Climate Change, Australian National Greenhouse Gas Accounts, August 2016 available at </w:t>
      </w:r>
      <w:hyperlink r:id="rId40" w:history="1">
        <w:r w:rsidRPr="006103DD">
          <w:rPr>
            <w:rStyle w:val="Hyperlink"/>
            <w:rFonts w:cs="Arial"/>
            <w:szCs w:val="20"/>
          </w:rPr>
          <w:t>https://www.environment.gov.au/system/files/resources/cab3140e-5adb-479f-9af4-a7c605d762dc/files/national-inventory-report-2014-revised-vol-1.pdf</w:t>
        </w:r>
      </w:hyperlink>
    </w:p>
    <w:p w14:paraId="4F883563" w14:textId="77777777" w:rsidR="009C6E0E" w:rsidRDefault="009C6E0E" w:rsidP="009C6E0E">
      <w:pPr>
        <w:spacing w:before="60" w:after="60"/>
        <w:ind w:left="993" w:hanging="426"/>
        <w:outlineLvl w:val="9"/>
        <w:rPr>
          <w:rStyle w:val="Hyperlink"/>
          <w:rFonts w:cs="Arial"/>
          <w:sz w:val="20"/>
          <w:szCs w:val="20"/>
        </w:rPr>
      </w:pPr>
      <w:r w:rsidRPr="006103DD">
        <w:rPr>
          <w:rFonts w:cs="Arial"/>
          <w:sz w:val="20"/>
          <w:szCs w:val="20"/>
        </w:rPr>
        <w:t>DoEE, 2017b – The introduction of Marine Pests to the Australian Environment via Shipping, Accessed on 13</w:t>
      </w:r>
      <w:r w:rsidRPr="006103DD">
        <w:rPr>
          <w:rFonts w:cs="Arial"/>
          <w:sz w:val="20"/>
          <w:szCs w:val="20"/>
          <w:vertAlign w:val="superscript"/>
        </w:rPr>
        <w:t>th</w:t>
      </w:r>
      <w:r w:rsidRPr="006103DD">
        <w:rPr>
          <w:rFonts w:cs="Arial"/>
          <w:sz w:val="20"/>
          <w:szCs w:val="20"/>
        </w:rPr>
        <w:t xml:space="preserve"> January 2017 at </w:t>
      </w:r>
      <w:hyperlink r:id="rId41" w:history="1">
        <w:r w:rsidRPr="006103DD">
          <w:rPr>
            <w:rStyle w:val="Hyperlink"/>
            <w:rFonts w:cs="Arial"/>
            <w:sz w:val="20"/>
            <w:szCs w:val="20"/>
          </w:rPr>
          <w:t>http://www.environment.gov.au/biodiversity/threatened/nominations/ineligible-ktp/introduction-marine-pests-via-shipping</w:t>
        </w:r>
      </w:hyperlink>
    </w:p>
    <w:p w14:paraId="3774E4E4" w14:textId="77777777" w:rsidR="009C6E0E" w:rsidRDefault="009C6E0E" w:rsidP="009C6E0E">
      <w:pPr>
        <w:spacing w:before="60" w:after="60"/>
        <w:ind w:left="993" w:hanging="426"/>
        <w:outlineLvl w:val="9"/>
        <w:rPr>
          <w:rFonts w:cs="Arial"/>
          <w:sz w:val="20"/>
          <w:szCs w:val="20"/>
        </w:rPr>
      </w:pPr>
      <w:r>
        <w:rPr>
          <w:rFonts w:cs="Arial"/>
          <w:sz w:val="20"/>
          <w:szCs w:val="20"/>
        </w:rPr>
        <w:t xml:space="preserve">DoEE, 2017c – Species Profile and Threats Database – </w:t>
      </w:r>
      <w:r w:rsidRPr="00660136">
        <w:rPr>
          <w:rFonts w:cs="Arial"/>
          <w:i/>
          <w:sz w:val="20"/>
          <w:szCs w:val="20"/>
        </w:rPr>
        <w:t>Calidris canutus</w:t>
      </w:r>
      <w:r>
        <w:rPr>
          <w:rFonts w:cs="Arial"/>
          <w:sz w:val="20"/>
          <w:szCs w:val="20"/>
        </w:rPr>
        <w:t xml:space="preserve"> Red Knot accessed on 21</w:t>
      </w:r>
      <w:r w:rsidRPr="00660136">
        <w:rPr>
          <w:rFonts w:cs="Arial"/>
          <w:sz w:val="20"/>
          <w:szCs w:val="20"/>
          <w:vertAlign w:val="superscript"/>
        </w:rPr>
        <w:t>st</w:t>
      </w:r>
      <w:r>
        <w:rPr>
          <w:rFonts w:cs="Arial"/>
          <w:sz w:val="20"/>
          <w:szCs w:val="20"/>
        </w:rPr>
        <w:t xml:space="preserve"> March 2017 at </w:t>
      </w:r>
      <w:hyperlink r:id="rId42" w:history="1">
        <w:r w:rsidRPr="00E60F8A">
          <w:rPr>
            <w:rStyle w:val="Hyperlink"/>
            <w:rFonts w:cs="Arial"/>
            <w:sz w:val="20"/>
            <w:szCs w:val="20"/>
          </w:rPr>
          <w:t>http://www.environment.gov.au/cgi-bin/sprat/public/publicspecies.pl?taxon_id=855</w:t>
        </w:r>
      </w:hyperlink>
      <w:r>
        <w:rPr>
          <w:rFonts w:cs="Arial"/>
          <w:sz w:val="20"/>
          <w:szCs w:val="20"/>
        </w:rPr>
        <w:t xml:space="preserve"> </w:t>
      </w:r>
    </w:p>
    <w:p w14:paraId="1A7DD513" w14:textId="77777777" w:rsidR="009C6E0E" w:rsidRDefault="009C6E0E" w:rsidP="009C6E0E">
      <w:pPr>
        <w:spacing w:before="60" w:after="60"/>
        <w:ind w:left="993" w:hanging="426"/>
        <w:outlineLvl w:val="9"/>
        <w:rPr>
          <w:rFonts w:cs="Arial"/>
          <w:sz w:val="20"/>
          <w:szCs w:val="20"/>
        </w:rPr>
      </w:pPr>
      <w:r>
        <w:rPr>
          <w:rFonts w:cs="Arial"/>
          <w:sz w:val="20"/>
          <w:szCs w:val="20"/>
        </w:rPr>
        <w:t xml:space="preserve">DoEE, 2017d – Species Profile and Threats Database – </w:t>
      </w:r>
      <w:r>
        <w:rPr>
          <w:rFonts w:cs="Arial"/>
          <w:i/>
          <w:sz w:val="20"/>
          <w:szCs w:val="20"/>
        </w:rPr>
        <w:t>Charadrius mongolus</w:t>
      </w:r>
      <w:r>
        <w:rPr>
          <w:rFonts w:cs="Arial"/>
          <w:sz w:val="20"/>
          <w:szCs w:val="20"/>
        </w:rPr>
        <w:t xml:space="preserve"> Lesser Sand Plover accessed on 21</w:t>
      </w:r>
      <w:r w:rsidRPr="00660136">
        <w:rPr>
          <w:rFonts w:cs="Arial"/>
          <w:sz w:val="20"/>
          <w:szCs w:val="20"/>
          <w:vertAlign w:val="superscript"/>
        </w:rPr>
        <w:t>st</w:t>
      </w:r>
      <w:r>
        <w:rPr>
          <w:rFonts w:cs="Arial"/>
          <w:sz w:val="20"/>
          <w:szCs w:val="20"/>
        </w:rPr>
        <w:t xml:space="preserve"> March 2017 at </w:t>
      </w:r>
      <w:hyperlink r:id="rId43" w:history="1">
        <w:r w:rsidRPr="00E60F8A">
          <w:rPr>
            <w:rStyle w:val="Hyperlink"/>
            <w:rFonts w:cs="Arial"/>
            <w:sz w:val="20"/>
            <w:szCs w:val="20"/>
          </w:rPr>
          <w:t>http://www.environment.gov.au/cgi-bin/sprat/public/publicspecies.pl?taxon_id=879</w:t>
        </w:r>
      </w:hyperlink>
      <w:r>
        <w:rPr>
          <w:rFonts w:cs="Arial"/>
          <w:sz w:val="20"/>
          <w:szCs w:val="20"/>
        </w:rPr>
        <w:t xml:space="preserve"> </w:t>
      </w:r>
    </w:p>
    <w:p w14:paraId="6863F000" w14:textId="77777777" w:rsidR="009C6E0E" w:rsidRDefault="009C6E0E" w:rsidP="009C6E0E">
      <w:pPr>
        <w:spacing w:before="60" w:after="60"/>
        <w:ind w:left="993" w:hanging="426"/>
        <w:outlineLvl w:val="9"/>
        <w:rPr>
          <w:rFonts w:cs="Arial"/>
          <w:sz w:val="20"/>
          <w:szCs w:val="20"/>
        </w:rPr>
      </w:pPr>
      <w:r>
        <w:rPr>
          <w:rFonts w:cs="Arial"/>
          <w:sz w:val="20"/>
          <w:szCs w:val="20"/>
        </w:rPr>
        <w:t xml:space="preserve">DoEE, 2017e - Species Profile and Threats Database – </w:t>
      </w:r>
      <w:r w:rsidRPr="00FB63BC">
        <w:rPr>
          <w:rFonts w:cs="Arial"/>
          <w:i/>
          <w:sz w:val="20"/>
          <w:szCs w:val="20"/>
        </w:rPr>
        <w:t>Calidris alba</w:t>
      </w:r>
      <w:r>
        <w:rPr>
          <w:rFonts w:cs="Arial"/>
          <w:sz w:val="20"/>
          <w:szCs w:val="20"/>
        </w:rPr>
        <w:t xml:space="preserve"> Sanderling accessed in 21</w:t>
      </w:r>
      <w:r w:rsidRPr="00FB63BC">
        <w:rPr>
          <w:rFonts w:cs="Arial"/>
          <w:sz w:val="20"/>
          <w:szCs w:val="20"/>
          <w:vertAlign w:val="superscript"/>
        </w:rPr>
        <w:t>st</w:t>
      </w:r>
      <w:r>
        <w:rPr>
          <w:rFonts w:cs="Arial"/>
          <w:sz w:val="20"/>
          <w:szCs w:val="20"/>
        </w:rPr>
        <w:t xml:space="preserve"> March 2017 at </w:t>
      </w:r>
      <w:hyperlink r:id="rId44" w:history="1">
        <w:r w:rsidRPr="00E60F8A">
          <w:rPr>
            <w:rStyle w:val="Hyperlink"/>
            <w:rFonts w:cs="Arial"/>
            <w:sz w:val="20"/>
            <w:szCs w:val="20"/>
          </w:rPr>
          <w:t>http://www.environment.gov.au/cgi-bin/sprat/public/publicspecies.pl?taxon_id=879</w:t>
        </w:r>
      </w:hyperlink>
    </w:p>
    <w:p w14:paraId="5CFB0F62" w14:textId="77777777" w:rsidR="009C6E0E" w:rsidRDefault="009C6E0E" w:rsidP="009C6E0E">
      <w:pPr>
        <w:spacing w:before="60" w:after="60"/>
        <w:ind w:left="993" w:hanging="426"/>
        <w:outlineLvl w:val="9"/>
        <w:rPr>
          <w:rFonts w:cs="Arial"/>
          <w:sz w:val="20"/>
          <w:szCs w:val="20"/>
        </w:rPr>
      </w:pPr>
      <w:r>
        <w:rPr>
          <w:rFonts w:cs="Arial"/>
          <w:sz w:val="20"/>
          <w:szCs w:val="20"/>
        </w:rPr>
        <w:t xml:space="preserve">DoEE, 2017f - Species Profile and Threats Database – </w:t>
      </w:r>
      <w:r w:rsidRPr="00FB63BC">
        <w:rPr>
          <w:rFonts w:cs="Arial"/>
          <w:i/>
          <w:sz w:val="20"/>
          <w:szCs w:val="20"/>
        </w:rPr>
        <w:t>C</w:t>
      </w:r>
      <w:r>
        <w:rPr>
          <w:rFonts w:cs="Arial"/>
          <w:i/>
          <w:sz w:val="20"/>
          <w:szCs w:val="20"/>
        </w:rPr>
        <w:t xml:space="preserve">haradrius bicinctus </w:t>
      </w:r>
      <w:r w:rsidRPr="00185AB0">
        <w:rPr>
          <w:rFonts w:cs="Arial"/>
          <w:sz w:val="20"/>
          <w:szCs w:val="20"/>
        </w:rPr>
        <w:t>Double Banded Plover</w:t>
      </w:r>
      <w:r>
        <w:rPr>
          <w:rFonts w:cs="Arial"/>
          <w:sz w:val="20"/>
          <w:szCs w:val="20"/>
        </w:rPr>
        <w:t xml:space="preserve"> accessed in 21</w:t>
      </w:r>
      <w:r w:rsidRPr="00FB63BC">
        <w:rPr>
          <w:rFonts w:cs="Arial"/>
          <w:sz w:val="20"/>
          <w:szCs w:val="20"/>
          <w:vertAlign w:val="superscript"/>
        </w:rPr>
        <w:t>st</w:t>
      </w:r>
      <w:r>
        <w:rPr>
          <w:rFonts w:cs="Arial"/>
          <w:sz w:val="20"/>
          <w:szCs w:val="20"/>
        </w:rPr>
        <w:t xml:space="preserve"> March 2017 at </w:t>
      </w:r>
      <w:hyperlink r:id="rId45" w:history="1">
        <w:r w:rsidRPr="00E60F8A">
          <w:rPr>
            <w:rStyle w:val="Hyperlink"/>
            <w:rFonts w:cs="Arial"/>
            <w:sz w:val="20"/>
            <w:szCs w:val="20"/>
          </w:rPr>
          <w:t>http://www.environment.gov.au/cgi-bin/sprat/public/publicspecies.pl?taxon_id=895</w:t>
        </w:r>
      </w:hyperlink>
      <w:r>
        <w:rPr>
          <w:rFonts w:cs="Arial"/>
          <w:sz w:val="20"/>
          <w:szCs w:val="20"/>
        </w:rPr>
        <w:t xml:space="preserve"> </w:t>
      </w:r>
    </w:p>
    <w:p w14:paraId="268A0536" w14:textId="77777777" w:rsidR="009C6E0E" w:rsidRDefault="009C6E0E" w:rsidP="009C6E0E">
      <w:pPr>
        <w:spacing w:before="60" w:after="60"/>
        <w:ind w:left="993" w:hanging="426"/>
        <w:outlineLvl w:val="9"/>
        <w:rPr>
          <w:rFonts w:cs="Arial"/>
          <w:sz w:val="20"/>
          <w:szCs w:val="20"/>
        </w:rPr>
      </w:pPr>
      <w:r>
        <w:rPr>
          <w:rFonts w:cs="Arial"/>
          <w:sz w:val="20"/>
          <w:szCs w:val="20"/>
        </w:rPr>
        <w:t xml:space="preserve">DoEE, 2017g - Species Profile and Threats Database – </w:t>
      </w:r>
      <w:r>
        <w:rPr>
          <w:rFonts w:cs="Arial"/>
          <w:i/>
          <w:sz w:val="20"/>
          <w:szCs w:val="20"/>
        </w:rPr>
        <w:t xml:space="preserve">Tringa brevipes </w:t>
      </w:r>
      <w:r w:rsidRPr="004F4DB7">
        <w:rPr>
          <w:rFonts w:cs="Arial"/>
          <w:sz w:val="20"/>
          <w:szCs w:val="20"/>
        </w:rPr>
        <w:t>Grey-tailed Tattler</w:t>
      </w:r>
      <w:r>
        <w:rPr>
          <w:rFonts w:cs="Arial"/>
          <w:i/>
          <w:sz w:val="20"/>
          <w:szCs w:val="20"/>
        </w:rPr>
        <w:t xml:space="preserve"> </w:t>
      </w:r>
      <w:r>
        <w:rPr>
          <w:rFonts w:cs="Arial"/>
          <w:sz w:val="20"/>
          <w:szCs w:val="20"/>
        </w:rPr>
        <w:t>accessed in 21</w:t>
      </w:r>
      <w:r w:rsidRPr="00FB63BC">
        <w:rPr>
          <w:rFonts w:cs="Arial"/>
          <w:sz w:val="20"/>
          <w:szCs w:val="20"/>
          <w:vertAlign w:val="superscript"/>
        </w:rPr>
        <w:t>st</w:t>
      </w:r>
      <w:r>
        <w:rPr>
          <w:rFonts w:cs="Arial"/>
          <w:sz w:val="20"/>
          <w:szCs w:val="20"/>
        </w:rPr>
        <w:t xml:space="preserve"> March 2017 at </w:t>
      </w:r>
      <w:hyperlink r:id="rId46" w:history="1">
        <w:r w:rsidRPr="00E60F8A">
          <w:rPr>
            <w:rStyle w:val="Hyperlink"/>
            <w:rFonts w:cs="Arial"/>
            <w:sz w:val="20"/>
            <w:szCs w:val="20"/>
          </w:rPr>
          <w:t>http://www.environment.gov.au/cgi-bin/sprat/public/publicspecies.pl?taxon_id=59311</w:t>
        </w:r>
      </w:hyperlink>
      <w:r>
        <w:rPr>
          <w:rFonts w:cs="Arial"/>
          <w:sz w:val="20"/>
          <w:szCs w:val="20"/>
        </w:rPr>
        <w:t xml:space="preserve"> </w:t>
      </w:r>
    </w:p>
    <w:p w14:paraId="17F69D98" w14:textId="77777777" w:rsidR="009C6E0E" w:rsidRDefault="009C6E0E" w:rsidP="009C6E0E">
      <w:pPr>
        <w:spacing w:before="60" w:after="60"/>
        <w:ind w:left="993" w:hanging="426"/>
        <w:outlineLvl w:val="9"/>
        <w:rPr>
          <w:rFonts w:cs="Arial"/>
          <w:sz w:val="20"/>
          <w:szCs w:val="20"/>
        </w:rPr>
      </w:pPr>
      <w:r>
        <w:rPr>
          <w:rFonts w:cs="Arial"/>
          <w:sz w:val="20"/>
          <w:szCs w:val="20"/>
        </w:rPr>
        <w:t xml:space="preserve">DoEE, 2017h - Species Profile and Threats Database – </w:t>
      </w:r>
      <w:r>
        <w:rPr>
          <w:rFonts w:cs="Arial"/>
          <w:i/>
          <w:sz w:val="20"/>
          <w:szCs w:val="20"/>
        </w:rPr>
        <w:t xml:space="preserve">Pluvialis fulva </w:t>
      </w:r>
      <w:r>
        <w:rPr>
          <w:rFonts w:cs="Arial"/>
          <w:sz w:val="20"/>
          <w:szCs w:val="20"/>
        </w:rPr>
        <w:t>Pacific golden plover</w:t>
      </w:r>
      <w:r>
        <w:rPr>
          <w:rFonts w:cs="Arial"/>
          <w:i/>
          <w:sz w:val="20"/>
          <w:szCs w:val="20"/>
        </w:rPr>
        <w:t xml:space="preserve"> </w:t>
      </w:r>
      <w:r>
        <w:rPr>
          <w:rFonts w:cs="Arial"/>
          <w:sz w:val="20"/>
          <w:szCs w:val="20"/>
        </w:rPr>
        <w:t>accessed in 21</w:t>
      </w:r>
      <w:r w:rsidRPr="00FB63BC">
        <w:rPr>
          <w:rFonts w:cs="Arial"/>
          <w:sz w:val="20"/>
          <w:szCs w:val="20"/>
          <w:vertAlign w:val="superscript"/>
        </w:rPr>
        <w:t>st</w:t>
      </w:r>
      <w:r>
        <w:rPr>
          <w:rFonts w:cs="Arial"/>
          <w:sz w:val="20"/>
          <w:szCs w:val="20"/>
        </w:rPr>
        <w:t xml:space="preserve"> March 2017 at </w:t>
      </w:r>
      <w:hyperlink r:id="rId47" w:history="1">
        <w:r w:rsidRPr="00E60F8A">
          <w:rPr>
            <w:rStyle w:val="Hyperlink"/>
            <w:rFonts w:cs="Arial"/>
            <w:sz w:val="20"/>
            <w:szCs w:val="20"/>
          </w:rPr>
          <w:t>http://www.environment.gov.au/cgi-bin/sprat/public/publicspecies.pl?taxon_id=25545</w:t>
        </w:r>
      </w:hyperlink>
      <w:r>
        <w:rPr>
          <w:rFonts w:cs="Arial"/>
          <w:sz w:val="20"/>
          <w:szCs w:val="20"/>
        </w:rPr>
        <w:t xml:space="preserve"> </w:t>
      </w:r>
    </w:p>
    <w:p w14:paraId="6B0893CD" w14:textId="77777777" w:rsidR="009C6E0E" w:rsidRDefault="009C6E0E" w:rsidP="009C6E0E">
      <w:pPr>
        <w:spacing w:before="60" w:after="60"/>
        <w:ind w:left="993" w:hanging="426"/>
        <w:outlineLvl w:val="9"/>
        <w:rPr>
          <w:rFonts w:cs="Arial"/>
          <w:sz w:val="20"/>
          <w:szCs w:val="20"/>
        </w:rPr>
      </w:pPr>
      <w:r>
        <w:rPr>
          <w:rFonts w:cs="Arial"/>
          <w:sz w:val="20"/>
          <w:szCs w:val="20"/>
        </w:rPr>
        <w:t xml:space="preserve">DoEE, 2017i - Species Profile and Threats Database – </w:t>
      </w:r>
      <w:r>
        <w:rPr>
          <w:rFonts w:cs="Arial"/>
          <w:i/>
          <w:sz w:val="20"/>
          <w:szCs w:val="20"/>
        </w:rPr>
        <w:t xml:space="preserve">Morus capensis </w:t>
      </w:r>
      <w:r>
        <w:rPr>
          <w:rFonts w:cs="Arial"/>
          <w:sz w:val="20"/>
          <w:szCs w:val="20"/>
        </w:rPr>
        <w:t>Cape Gannet</w:t>
      </w:r>
      <w:r>
        <w:rPr>
          <w:rFonts w:cs="Arial"/>
          <w:i/>
          <w:sz w:val="20"/>
          <w:szCs w:val="20"/>
        </w:rPr>
        <w:t xml:space="preserve"> </w:t>
      </w:r>
      <w:r>
        <w:rPr>
          <w:rFonts w:cs="Arial"/>
          <w:sz w:val="20"/>
          <w:szCs w:val="20"/>
        </w:rPr>
        <w:t>accessed in 21</w:t>
      </w:r>
      <w:r w:rsidRPr="00FB63BC">
        <w:rPr>
          <w:rFonts w:cs="Arial"/>
          <w:sz w:val="20"/>
          <w:szCs w:val="20"/>
          <w:vertAlign w:val="superscript"/>
        </w:rPr>
        <w:t>st</w:t>
      </w:r>
      <w:r>
        <w:rPr>
          <w:rFonts w:cs="Arial"/>
          <w:sz w:val="20"/>
          <w:szCs w:val="20"/>
        </w:rPr>
        <w:t xml:space="preserve"> March 2017 at </w:t>
      </w:r>
      <w:hyperlink r:id="rId48" w:history="1">
        <w:r w:rsidRPr="00E60F8A">
          <w:rPr>
            <w:rStyle w:val="Hyperlink"/>
            <w:rFonts w:cs="Arial"/>
            <w:sz w:val="20"/>
            <w:szCs w:val="20"/>
          </w:rPr>
          <w:t>http://www.environment.gov.au/cgi-bin/sprat/public/publicspecies.pl?taxon_id=59569</w:t>
        </w:r>
      </w:hyperlink>
      <w:r>
        <w:rPr>
          <w:rFonts w:cs="Arial"/>
          <w:sz w:val="20"/>
          <w:szCs w:val="20"/>
        </w:rPr>
        <w:t xml:space="preserve"> </w:t>
      </w:r>
    </w:p>
    <w:p w14:paraId="431B1988" w14:textId="77777777" w:rsidR="009C6E0E" w:rsidRDefault="009C6E0E" w:rsidP="009C6E0E">
      <w:pPr>
        <w:spacing w:before="60" w:after="60"/>
        <w:ind w:left="993" w:hanging="426"/>
        <w:outlineLvl w:val="9"/>
        <w:rPr>
          <w:rFonts w:cs="Arial"/>
          <w:sz w:val="20"/>
          <w:szCs w:val="20"/>
        </w:rPr>
      </w:pPr>
      <w:r>
        <w:rPr>
          <w:rFonts w:cs="Arial"/>
          <w:sz w:val="20"/>
          <w:szCs w:val="20"/>
        </w:rPr>
        <w:t xml:space="preserve">DoEE, 2017j - Species Profile and Threats Database – </w:t>
      </w:r>
      <w:r>
        <w:rPr>
          <w:rFonts w:cs="Arial"/>
          <w:i/>
          <w:sz w:val="20"/>
          <w:szCs w:val="20"/>
        </w:rPr>
        <w:t xml:space="preserve">Arenaria interpres </w:t>
      </w:r>
      <w:r>
        <w:rPr>
          <w:rFonts w:cs="Arial"/>
          <w:sz w:val="20"/>
          <w:szCs w:val="20"/>
        </w:rPr>
        <w:t>Ruddy Turnstone</w:t>
      </w:r>
      <w:r>
        <w:rPr>
          <w:rFonts w:cs="Arial"/>
          <w:i/>
          <w:sz w:val="20"/>
          <w:szCs w:val="20"/>
        </w:rPr>
        <w:t xml:space="preserve"> </w:t>
      </w:r>
      <w:r>
        <w:rPr>
          <w:rFonts w:cs="Arial"/>
          <w:sz w:val="20"/>
          <w:szCs w:val="20"/>
        </w:rPr>
        <w:t>accessed in 21</w:t>
      </w:r>
      <w:r w:rsidRPr="00FB63BC">
        <w:rPr>
          <w:rFonts w:cs="Arial"/>
          <w:sz w:val="20"/>
          <w:szCs w:val="20"/>
          <w:vertAlign w:val="superscript"/>
        </w:rPr>
        <w:t>st</w:t>
      </w:r>
      <w:r>
        <w:rPr>
          <w:rFonts w:cs="Arial"/>
          <w:sz w:val="20"/>
          <w:szCs w:val="20"/>
        </w:rPr>
        <w:t xml:space="preserve"> March 2017 at </w:t>
      </w:r>
      <w:hyperlink r:id="rId49" w:history="1">
        <w:r w:rsidRPr="00E60F8A">
          <w:rPr>
            <w:rStyle w:val="Hyperlink"/>
            <w:rFonts w:cs="Arial"/>
            <w:sz w:val="20"/>
            <w:szCs w:val="20"/>
          </w:rPr>
          <w:t>http://www.environment.gov.au/cgi-bin/sprat/public/publicspecies.pl?taxon_id=872</w:t>
        </w:r>
      </w:hyperlink>
      <w:r>
        <w:rPr>
          <w:rFonts w:cs="Arial"/>
          <w:sz w:val="20"/>
          <w:szCs w:val="20"/>
        </w:rPr>
        <w:t xml:space="preserve"> </w:t>
      </w:r>
    </w:p>
    <w:p w14:paraId="01AF4C34" w14:textId="77777777" w:rsidR="009C6E0E" w:rsidRPr="006103DD" w:rsidRDefault="009C6E0E" w:rsidP="009C6E0E">
      <w:pPr>
        <w:spacing w:before="60" w:after="60"/>
        <w:ind w:left="993" w:hanging="426"/>
        <w:outlineLvl w:val="9"/>
        <w:rPr>
          <w:rFonts w:cs="Arial"/>
          <w:sz w:val="20"/>
          <w:szCs w:val="20"/>
        </w:rPr>
      </w:pPr>
      <w:r>
        <w:rPr>
          <w:rFonts w:cs="Arial"/>
          <w:sz w:val="20"/>
          <w:szCs w:val="20"/>
        </w:rPr>
        <w:t xml:space="preserve">DoEE, 2017k - Species Profile and Threats Database – </w:t>
      </w:r>
      <w:r>
        <w:rPr>
          <w:rFonts w:cs="Arial"/>
          <w:i/>
          <w:sz w:val="20"/>
          <w:szCs w:val="20"/>
        </w:rPr>
        <w:t xml:space="preserve">Pandion cristatus </w:t>
      </w:r>
      <w:r>
        <w:rPr>
          <w:rFonts w:cs="Arial"/>
          <w:sz w:val="20"/>
          <w:szCs w:val="20"/>
        </w:rPr>
        <w:t xml:space="preserve">Eastern Osprey </w:t>
      </w:r>
      <w:r>
        <w:rPr>
          <w:rFonts w:cs="Arial"/>
          <w:i/>
          <w:sz w:val="20"/>
          <w:szCs w:val="20"/>
        </w:rPr>
        <w:t xml:space="preserve"> </w:t>
      </w:r>
      <w:r>
        <w:rPr>
          <w:rFonts w:cs="Arial"/>
          <w:sz w:val="20"/>
          <w:szCs w:val="20"/>
        </w:rPr>
        <w:t>accessed in 21</w:t>
      </w:r>
      <w:r w:rsidRPr="00FB63BC">
        <w:rPr>
          <w:rFonts w:cs="Arial"/>
          <w:sz w:val="20"/>
          <w:szCs w:val="20"/>
          <w:vertAlign w:val="superscript"/>
        </w:rPr>
        <w:t>st</w:t>
      </w:r>
      <w:r>
        <w:rPr>
          <w:rFonts w:cs="Arial"/>
          <w:sz w:val="20"/>
          <w:szCs w:val="20"/>
        </w:rPr>
        <w:t xml:space="preserve"> March 2017 at </w:t>
      </w:r>
      <w:hyperlink r:id="rId50" w:history="1">
        <w:r w:rsidRPr="00E60F8A">
          <w:rPr>
            <w:rStyle w:val="Hyperlink"/>
            <w:rFonts w:cs="Arial"/>
            <w:sz w:val="20"/>
            <w:szCs w:val="20"/>
          </w:rPr>
          <w:t>http://www.environment.gov.au/cgi-bin/sprat/public/publicspecies.pl?taxon_id=952</w:t>
        </w:r>
      </w:hyperlink>
      <w:r>
        <w:rPr>
          <w:rFonts w:cs="Arial"/>
          <w:sz w:val="20"/>
          <w:szCs w:val="20"/>
        </w:rPr>
        <w:t xml:space="preserve">  </w:t>
      </w:r>
    </w:p>
    <w:p w14:paraId="3D0B198B" w14:textId="77777777" w:rsidR="009C6E0E" w:rsidRDefault="009C6E0E" w:rsidP="009C6E0E">
      <w:pPr>
        <w:spacing w:before="60" w:after="60"/>
        <w:ind w:left="993" w:hanging="426"/>
        <w:outlineLvl w:val="9"/>
        <w:rPr>
          <w:rFonts w:cs="Arial"/>
          <w:sz w:val="20"/>
          <w:szCs w:val="20"/>
        </w:rPr>
      </w:pPr>
      <w:r w:rsidRPr="006103DD">
        <w:rPr>
          <w:rFonts w:cs="Arial"/>
          <w:sz w:val="20"/>
          <w:szCs w:val="20"/>
        </w:rPr>
        <w:t>DoT. 2013. Advisory Note Offshore Petroleum Industry Oil Spill Contingency Planning Consultation. Department of Transport. Melbourne.</w:t>
      </w:r>
    </w:p>
    <w:p w14:paraId="6DDFBB3E" w14:textId="77777777" w:rsidR="009C6E0E" w:rsidRPr="00FA36A5" w:rsidRDefault="009C6E0E" w:rsidP="009C6E0E">
      <w:pPr>
        <w:spacing w:before="120"/>
        <w:ind w:left="1287" w:right="544" w:hanging="720"/>
        <w:jc w:val="both"/>
        <w:outlineLvl w:val="9"/>
        <w:rPr>
          <w:rFonts w:cs="Arial"/>
          <w:sz w:val="20"/>
          <w:szCs w:val="20"/>
        </w:rPr>
      </w:pPr>
      <w:r w:rsidRPr="00FA36A5">
        <w:rPr>
          <w:rFonts w:cs="Arial"/>
          <w:sz w:val="20"/>
          <w:szCs w:val="20"/>
        </w:rPr>
        <w:t>DPI (2009) – Victorian Rock Lobster Fishery Management Plan, Fisheries Victoria Management Report Series No. 70, Department of Primary Industries, Victoria</w:t>
      </w:r>
    </w:p>
    <w:p w14:paraId="3B1F30E3" w14:textId="77777777" w:rsidR="009C6E0E" w:rsidRPr="006103DD" w:rsidRDefault="009C6E0E" w:rsidP="009C6E0E">
      <w:pPr>
        <w:spacing w:before="60" w:after="60"/>
        <w:ind w:left="993" w:hanging="426"/>
        <w:outlineLvl w:val="9"/>
        <w:rPr>
          <w:rFonts w:cs="Arial"/>
          <w:sz w:val="20"/>
          <w:szCs w:val="20"/>
        </w:rPr>
      </w:pPr>
    </w:p>
    <w:p w14:paraId="36A33594" w14:textId="77777777" w:rsidR="009C6E0E" w:rsidRPr="006103DD" w:rsidRDefault="009C6E0E" w:rsidP="009C6E0E">
      <w:pPr>
        <w:spacing w:before="60" w:after="60"/>
        <w:ind w:left="993" w:hanging="426"/>
        <w:outlineLvl w:val="9"/>
        <w:rPr>
          <w:rFonts w:cs="Arial"/>
          <w:sz w:val="20"/>
          <w:szCs w:val="20"/>
        </w:rPr>
      </w:pPr>
      <w:r w:rsidRPr="006103DD">
        <w:rPr>
          <w:rFonts w:eastAsia="MS Mincho" w:cs="Arial"/>
          <w:sz w:val="20"/>
          <w:szCs w:val="20"/>
        </w:rPr>
        <w:t>DSE, 2004 – Controlling the Northern Pacific Seastar (</w:t>
      </w:r>
      <w:r w:rsidRPr="006103DD">
        <w:rPr>
          <w:rFonts w:eastAsia="MS Mincho" w:cs="Arial"/>
          <w:i/>
          <w:sz w:val="20"/>
          <w:szCs w:val="20"/>
        </w:rPr>
        <w:t>Asterias Amurensis</w:t>
      </w:r>
      <w:r w:rsidRPr="006103DD">
        <w:rPr>
          <w:rFonts w:eastAsia="MS Mincho" w:cs="Arial"/>
          <w:sz w:val="20"/>
          <w:szCs w:val="20"/>
        </w:rPr>
        <w:t xml:space="preserve">) in Australia – Final Report for the Australian Government of Environment and Heritage available at </w:t>
      </w:r>
      <w:hyperlink r:id="rId51" w:history="1">
        <w:r w:rsidRPr="006103DD">
          <w:rPr>
            <w:rStyle w:val="Hyperlink"/>
            <w:rFonts w:eastAsia="MS Mincho" w:cs="Arial"/>
            <w:sz w:val="20"/>
            <w:szCs w:val="20"/>
          </w:rPr>
          <w:t>https://www.environment.gov.au/system/files/resources/1b962183-8a66-4874-9ddd-7e9654e1c7dd/files/pacific-seastar.pdf</w:t>
        </w:r>
      </w:hyperlink>
      <w:r w:rsidRPr="006103DD">
        <w:rPr>
          <w:rFonts w:cs="Arial"/>
          <w:sz w:val="20"/>
          <w:szCs w:val="20"/>
        </w:rPr>
        <w:t xml:space="preserve">   </w:t>
      </w:r>
      <w:r w:rsidRPr="006103DD">
        <w:rPr>
          <w:rFonts w:cs="Arial"/>
          <w:sz w:val="20"/>
          <w:szCs w:val="20"/>
        </w:rPr>
        <w:tab/>
      </w:r>
    </w:p>
    <w:p w14:paraId="2E4B42B0"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lastRenderedPageBreak/>
        <w:t xml:space="preserve">DSEWPC. 2013a. Recovery Plan for the White Shark </w:t>
      </w:r>
      <w:r w:rsidRPr="006103DD">
        <w:rPr>
          <w:rFonts w:cs="Arial"/>
          <w:i/>
          <w:sz w:val="20"/>
          <w:szCs w:val="20"/>
        </w:rPr>
        <w:t>Carcharodon carcharias</w:t>
      </w:r>
      <w:r w:rsidRPr="006103DD">
        <w:rPr>
          <w:rFonts w:cs="Arial"/>
          <w:sz w:val="20"/>
          <w:szCs w:val="20"/>
        </w:rPr>
        <w:t>. Department of Sustainability, Environment, Water, Population and Communities. Canberra.</w:t>
      </w:r>
    </w:p>
    <w:p w14:paraId="184A1E33"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DSWEPC. 2013b. Recovery Plan for the Australian Sea Lion (</w:t>
      </w:r>
      <w:r w:rsidRPr="006103DD">
        <w:rPr>
          <w:rFonts w:cs="Arial"/>
          <w:i/>
          <w:sz w:val="20"/>
          <w:szCs w:val="20"/>
        </w:rPr>
        <w:t>Neophoca cinerea</w:t>
      </w:r>
      <w:r w:rsidRPr="006103DD">
        <w:rPr>
          <w:rFonts w:cs="Arial"/>
          <w:sz w:val="20"/>
          <w:szCs w:val="20"/>
        </w:rPr>
        <w:t>). 2013. Department of Sustainability, Environment, Water, Population and Communities. Canberra.</w:t>
      </w:r>
    </w:p>
    <w:p w14:paraId="6E755035"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DSEWPC. 2012a. Conservation Management Plan for the Southern Right Whale. Department of Sustainability, Environment, Water, Population and Communities. Canberra.</w:t>
      </w:r>
    </w:p>
    <w:p w14:paraId="2592FE9C" w14:textId="77777777" w:rsidR="009C6E0E" w:rsidRPr="006103DD" w:rsidRDefault="009C6E0E" w:rsidP="009C6E0E">
      <w:pPr>
        <w:spacing w:before="60" w:after="60"/>
        <w:ind w:left="993" w:hanging="426"/>
        <w:outlineLvl w:val="9"/>
        <w:rPr>
          <w:rFonts w:cs="Arial"/>
          <w:sz w:val="20"/>
          <w:szCs w:val="20"/>
          <w:highlight w:val="lightGray"/>
        </w:rPr>
      </w:pPr>
      <w:r w:rsidRPr="006103DD">
        <w:rPr>
          <w:rFonts w:cs="Arial"/>
          <w:sz w:val="20"/>
          <w:szCs w:val="20"/>
        </w:rPr>
        <w:t>DSEWPC. 2012b. Giant Kelp Marine Forests of the South East Australia Ecological Community.  Department of Sustainability, Environment, Water, Population and Communities. Canberra.</w:t>
      </w:r>
    </w:p>
    <w:p w14:paraId="133E7C2B"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DSEWPC. 2011. National recovery plan for threatened albatrosses and giant petrels 2011-2016, Commonwealth of Australia, Hobart.</w:t>
      </w:r>
    </w:p>
    <w:p w14:paraId="5F2E3AC3" w14:textId="77777777" w:rsidR="009C6E0E" w:rsidRPr="006103DD" w:rsidRDefault="009C6E0E" w:rsidP="009C6E0E">
      <w:pPr>
        <w:pStyle w:val="BodyText"/>
        <w:spacing w:before="60" w:after="60"/>
        <w:ind w:left="993" w:hanging="426"/>
        <w:rPr>
          <w:rFonts w:cs="Arial"/>
          <w:szCs w:val="20"/>
        </w:rPr>
      </w:pPr>
      <w:r w:rsidRPr="006103DD">
        <w:rPr>
          <w:rFonts w:cs="Arial"/>
          <w:szCs w:val="20"/>
        </w:rPr>
        <w:t xml:space="preserve">EA. 2003. Recovery Plan for Marine Turtles in Australia. Environment Australia. Canberra. </w:t>
      </w:r>
    </w:p>
    <w:p w14:paraId="0B912D13" w14:textId="77777777" w:rsidR="009C6E0E" w:rsidRDefault="009C6E0E" w:rsidP="009C6E0E">
      <w:pPr>
        <w:pStyle w:val="BodyText"/>
        <w:spacing w:before="60" w:after="60"/>
        <w:ind w:left="993" w:hanging="426"/>
        <w:rPr>
          <w:rFonts w:cs="Arial"/>
          <w:szCs w:val="20"/>
        </w:rPr>
      </w:pPr>
      <w:r w:rsidRPr="006103DD">
        <w:rPr>
          <w:rFonts w:cs="Arial"/>
          <w:szCs w:val="20"/>
        </w:rPr>
        <w:t>EA. 2001. National Recovery Plan for Albatross and Giant Petrel, Wildlife Scientific Advice, National Heritage Division. A WWW document accessed at http://www.environment.gov.au/</w:t>
      </w:r>
      <w:r w:rsidRPr="006103DD">
        <w:rPr>
          <w:rFonts w:cs="Arial"/>
          <w:szCs w:val="20"/>
        </w:rPr>
        <w:br/>
        <w:t xml:space="preserve">biodiversity/threatened/publications/recovery/albatross/index.html. Environment Australia. Canberra. </w:t>
      </w:r>
    </w:p>
    <w:p w14:paraId="5B7AEA66" w14:textId="77777777" w:rsidR="009C6E0E" w:rsidRPr="00B05802" w:rsidRDefault="009C6E0E" w:rsidP="009C6E0E">
      <w:pPr>
        <w:pStyle w:val="BodyText"/>
        <w:spacing w:before="60" w:after="60"/>
        <w:ind w:left="993" w:hanging="426"/>
        <w:rPr>
          <w:rFonts w:cs="Arial"/>
          <w:szCs w:val="20"/>
        </w:rPr>
      </w:pPr>
      <w:r w:rsidRPr="00FA36A5">
        <w:rPr>
          <w:rFonts w:cs="Arial"/>
        </w:rPr>
        <w:t xml:space="preserve">Earthlife, 2014 – The Phylum Ectoprocta (Bryzoa) available at </w:t>
      </w:r>
      <w:hyperlink r:id="rId52" w:history="1">
        <w:r w:rsidRPr="00FA36A5">
          <w:rPr>
            <w:rStyle w:val="Hyperlink"/>
            <w:rFonts w:cs="Arial"/>
          </w:rPr>
          <w:t>http://www.earthlife.net/inverts/bryozoa.html</w:t>
        </w:r>
      </w:hyperlink>
    </w:p>
    <w:p w14:paraId="157F2340"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 xml:space="preserve">Easton, A.K. 1970. The tides of the continent of Australia. Flinders University of Australia. </w:t>
      </w:r>
    </w:p>
    <w:p w14:paraId="4977F9B5"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ECC. 2000. Marine Coastal and Estuarine Investigation. Final Report. Environment Conservation Council. East Melbourne.</w:t>
      </w:r>
    </w:p>
    <w:p w14:paraId="1AB37C15" w14:textId="77777777" w:rsidR="009C6E0E" w:rsidRPr="006103DD" w:rsidRDefault="009C6E0E" w:rsidP="009C6E0E">
      <w:pPr>
        <w:autoSpaceDE w:val="0"/>
        <w:autoSpaceDN w:val="0"/>
        <w:adjustRightInd w:val="0"/>
        <w:spacing w:before="60" w:after="60"/>
        <w:ind w:left="993" w:hanging="426"/>
        <w:outlineLvl w:val="9"/>
        <w:rPr>
          <w:rFonts w:cs="Arial"/>
          <w:sz w:val="20"/>
          <w:szCs w:val="20"/>
        </w:rPr>
      </w:pPr>
      <w:r w:rsidRPr="006103DD">
        <w:rPr>
          <w:rFonts w:cs="Arial"/>
          <w:sz w:val="20"/>
          <w:szCs w:val="20"/>
        </w:rPr>
        <w:t xml:space="preserve">Edmunds, M., Pickett, P. and Judd, A. 2010. </w:t>
      </w:r>
      <w:r w:rsidRPr="006103DD">
        <w:rPr>
          <w:rFonts w:cs="Arial"/>
          <w:i/>
          <w:iCs/>
          <w:sz w:val="20"/>
          <w:szCs w:val="20"/>
        </w:rPr>
        <w:t>Reef Surveys at Twelve Apostles Marine National Park and The Arches Marine Sanctuary</w:t>
      </w:r>
      <w:r w:rsidRPr="006103DD">
        <w:rPr>
          <w:rFonts w:cs="Arial"/>
          <w:sz w:val="20"/>
          <w:szCs w:val="20"/>
        </w:rPr>
        <w:t>. Parks Victoria Technical Series No 56. Parks Victoria, Melbourne.</w:t>
      </w:r>
    </w:p>
    <w:p w14:paraId="72ABF79C"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Engelhardt, F.R. 1983. Petroleum Effects on Marine Mammals. </w:t>
      </w:r>
      <w:r w:rsidRPr="006103DD">
        <w:rPr>
          <w:rFonts w:cs="Arial"/>
          <w:i/>
          <w:sz w:val="20"/>
          <w:szCs w:val="20"/>
          <w:lang w:val="en-US"/>
        </w:rPr>
        <w:t>Aquatic Toxicology</w:t>
      </w:r>
      <w:r w:rsidRPr="006103DD">
        <w:rPr>
          <w:rFonts w:cs="Arial"/>
          <w:sz w:val="20"/>
          <w:szCs w:val="20"/>
          <w:lang w:val="en-US"/>
        </w:rPr>
        <w:t xml:space="preserve"> </w:t>
      </w:r>
      <w:r w:rsidRPr="006103DD">
        <w:rPr>
          <w:rFonts w:cs="Arial"/>
          <w:b/>
          <w:sz w:val="20"/>
          <w:szCs w:val="20"/>
          <w:lang w:val="en-US"/>
        </w:rPr>
        <w:t>4</w:t>
      </w:r>
      <w:r w:rsidRPr="006103DD">
        <w:rPr>
          <w:rFonts w:cs="Arial"/>
          <w:sz w:val="20"/>
          <w:szCs w:val="20"/>
          <w:lang w:val="en-US"/>
        </w:rPr>
        <w:t>:199–217.</w:t>
      </w:r>
    </w:p>
    <w:p w14:paraId="4A470E89"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iCs/>
          <w:sz w:val="20"/>
          <w:szCs w:val="20"/>
          <w:lang w:val="en-US"/>
        </w:rPr>
        <w:t xml:space="preserve">Engelhardt, F.R. 1982. Hydrocarbon metabolism and cortisol balance in oil- exposed ringed seals, Phoca hisvida. </w:t>
      </w:r>
      <w:r w:rsidRPr="006103DD">
        <w:rPr>
          <w:rFonts w:cs="Arial"/>
          <w:i/>
          <w:iCs/>
          <w:sz w:val="20"/>
          <w:szCs w:val="20"/>
          <w:lang w:val="en-US"/>
        </w:rPr>
        <w:t>Comp. Biochem. Physiol</w:t>
      </w:r>
      <w:r w:rsidRPr="006103DD">
        <w:rPr>
          <w:rFonts w:cs="Arial"/>
          <w:iCs/>
          <w:sz w:val="20"/>
          <w:szCs w:val="20"/>
          <w:lang w:val="en-US"/>
        </w:rPr>
        <w:t xml:space="preserve">. </w:t>
      </w:r>
      <w:r w:rsidRPr="006103DD">
        <w:rPr>
          <w:rFonts w:cs="Arial"/>
          <w:b/>
          <w:iCs/>
          <w:sz w:val="20"/>
          <w:szCs w:val="20"/>
          <w:lang w:val="en-US"/>
        </w:rPr>
        <w:t>72C</w:t>
      </w:r>
      <w:r w:rsidRPr="006103DD">
        <w:rPr>
          <w:rFonts w:cs="Arial"/>
          <w:iCs/>
          <w:sz w:val="20"/>
          <w:szCs w:val="20"/>
          <w:lang w:val="en-US"/>
        </w:rPr>
        <w:t>:133- 136</w:t>
      </w:r>
    </w:p>
    <w:p w14:paraId="23058925" w14:textId="77777777" w:rsidR="009C6E0E" w:rsidRPr="006103DD" w:rsidRDefault="009C6E0E" w:rsidP="009C6E0E">
      <w:pPr>
        <w:spacing w:before="60" w:after="60"/>
        <w:ind w:left="993" w:hanging="426"/>
        <w:outlineLvl w:val="9"/>
        <w:rPr>
          <w:rFonts w:cs="Arial"/>
          <w:sz w:val="20"/>
          <w:szCs w:val="20"/>
          <w:lang w:eastAsia="en-US"/>
        </w:rPr>
      </w:pPr>
      <w:r w:rsidRPr="006103DD">
        <w:rPr>
          <w:rFonts w:cs="Arial"/>
          <w:sz w:val="20"/>
          <w:szCs w:val="20"/>
          <w:lang w:eastAsia="en-US"/>
        </w:rPr>
        <w:t xml:space="preserve">EPA Protocol for Environmental Management: Domestic Ballast Water Management in Victorian Waters (Publication 949.6, 2015). Environment Protection Authority. Melbourne. </w:t>
      </w:r>
    </w:p>
    <w:p w14:paraId="266B0F15" w14:textId="77777777" w:rsidR="009C6E0E"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Felder, D.L., Thoma, B.P., Schmidt, W.E., Sauvage, T., Self-Krayesky, S.L., Christoserdov, A., Bracken-Grissom, H.D. and Fredericq, S. 2014. Seaweeds and Decapod Crustaceans on Gulf Deep Banks after the Macondo Oil Spill. </w:t>
      </w:r>
      <w:r w:rsidRPr="006103DD">
        <w:rPr>
          <w:rFonts w:cs="Arial"/>
          <w:i/>
          <w:sz w:val="20"/>
          <w:szCs w:val="20"/>
          <w:lang w:val="en-US"/>
        </w:rPr>
        <w:t>Bioscience</w:t>
      </w:r>
      <w:r w:rsidRPr="006103DD">
        <w:rPr>
          <w:rFonts w:cs="Arial"/>
          <w:sz w:val="20"/>
          <w:szCs w:val="20"/>
          <w:lang w:val="en-US"/>
        </w:rPr>
        <w:t xml:space="preserve"> </w:t>
      </w:r>
      <w:r w:rsidRPr="006103DD">
        <w:rPr>
          <w:rFonts w:cs="Arial"/>
          <w:b/>
          <w:sz w:val="20"/>
          <w:szCs w:val="20"/>
          <w:lang w:val="en-US"/>
        </w:rPr>
        <w:t>64</w:t>
      </w:r>
      <w:r w:rsidRPr="006103DD">
        <w:rPr>
          <w:rFonts w:cs="Arial"/>
          <w:sz w:val="20"/>
          <w:szCs w:val="20"/>
          <w:lang w:val="en-US"/>
        </w:rPr>
        <w:t>:808–819.</w:t>
      </w:r>
    </w:p>
    <w:p w14:paraId="742E6CC5" w14:textId="77777777" w:rsidR="009C6E0E" w:rsidRPr="00AF1394" w:rsidRDefault="009C6E0E" w:rsidP="009C6E0E">
      <w:pPr>
        <w:pStyle w:val="MediumGrid1-Accent21"/>
        <w:spacing w:before="60" w:after="60" w:line="240" w:lineRule="auto"/>
        <w:ind w:left="993" w:hanging="426"/>
        <w:jc w:val="left"/>
        <w:rPr>
          <w:rFonts w:cs="Arial"/>
          <w:sz w:val="20"/>
          <w:szCs w:val="20"/>
          <w:lang w:val="en-US"/>
        </w:rPr>
      </w:pPr>
      <w:r w:rsidRPr="00FA36A5">
        <w:rPr>
          <w:rFonts w:eastAsia="Calibri" w:cs="Arial"/>
          <w:sz w:val="20"/>
          <w:szCs w:val="20"/>
        </w:rPr>
        <w:t>Fingas, M. (2001) – Basics of oil spill cleanup, CRCPress, Florida</w:t>
      </w:r>
    </w:p>
    <w:p w14:paraId="340FC118" w14:textId="77777777" w:rsidR="009C6E0E" w:rsidRPr="006103DD" w:rsidRDefault="009C6E0E" w:rsidP="009C6E0E">
      <w:pPr>
        <w:pStyle w:val="BodyText"/>
        <w:spacing w:before="60" w:after="60"/>
        <w:ind w:left="993" w:hanging="426"/>
        <w:rPr>
          <w:rFonts w:cs="Arial"/>
          <w:szCs w:val="20"/>
        </w:rPr>
      </w:pPr>
      <w:r w:rsidRPr="006103DD">
        <w:rPr>
          <w:rFonts w:cs="Arial"/>
          <w:szCs w:val="20"/>
        </w:rPr>
        <w:t xml:space="preserve">Fishes of Australia. 2016. Family Syngnathidae. A WWW database accessed in 2016 at </w:t>
      </w:r>
      <w:hyperlink r:id="rId53" w:anchor="moreinfo" w:history="1">
        <w:r w:rsidRPr="00E01F70">
          <w:rPr>
            <w:rStyle w:val="Hyperlink"/>
            <w:rFonts w:cs="Arial"/>
            <w:szCs w:val="20"/>
          </w:rPr>
          <w:t>http://www.fishesofaustralia.net.au/home/family/34#moreinfo</w:t>
        </w:r>
      </w:hyperlink>
      <w:r>
        <w:rPr>
          <w:rFonts w:cs="Arial"/>
          <w:szCs w:val="20"/>
        </w:rPr>
        <w:t xml:space="preserve"> </w:t>
      </w:r>
      <w:r w:rsidRPr="006103DD">
        <w:rPr>
          <w:rFonts w:cs="Arial"/>
          <w:szCs w:val="20"/>
        </w:rPr>
        <w:t xml:space="preserve">. </w:t>
      </w:r>
    </w:p>
    <w:p w14:paraId="5B6F958D" w14:textId="77777777" w:rsidR="009C6E0E" w:rsidRPr="006103DD" w:rsidRDefault="009C6E0E" w:rsidP="009C6E0E">
      <w:pPr>
        <w:pStyle w:val="BodyText"/>
        <w:spacing w:before="60" w:after="60"/>
        <w:ind w:left="993" w:hanging="426"/>
        <w:rPr>
          <w:rFonts w:cs="Arial"/>
          <w:szCs w:val="20"/>
        </w:rPr>
      </w:pPr>
      <w:r w:rsidRPr="006103DD">
        <w:rPr>
          <w:rFonts w:cs="Arial"/>
          <w:szCs w:val="20"/>
        </w:rPr>
        <w:t>Flagstaff Hill. 2015. Guide to the Historic Shipwreck Trail on Victoria’s West Coast. A WWW document accessed in 2015 at www.flagstaffhill.com/media/uploads/ShipwreckTrail.pdf</w:t>
      </w:r>
    </w:p>
    <w:p w14:paraId="62C92846" w14:textId="77777777" w:rsidR="009C6E0E" w:rsidRPr="006103DD" w:rsidRDefault="009C6E0E" w:rsidP="009C6E0E">
      <w:pPr>
        <w:pStyle w:val="MediumGrid1-Accent21"/>
        <w:spacing w:before="60" w:after="60" w:line="240" w:lineRule="auto"/>
        <w:ind w:left="993" w:hanging="426"/>
        <w:jc w:val="left"/>
        <w:rPr>
          <w:rFonts w:cs="Arial"/>
          <w:iCs/>
          <w:sz w:val="20"/>
          <w:szCs w:val="20"/>
          <w:lang w:val="en-US"/>
        </w:rPr>
      </w:pPr>
      <w:r w:rsidRPr="006103DD">
        <w:rPr>
          <w:rFonts w:cs="Arial"/>
          <w:iCs/>
          <w:sz w:val="20"/>
          <w:szCs w:val="20"/>
          <w:lang w:val="en-US"/>
        </w:rPr>
        <w:t xml:space="preserve">Fogden, S.C.L. 1971. Mother-young behavior at gray seal breeding beaches. </w:t>
      </w:r>
      <w:r w:rsidRPr="006103DD">
        <w:rPr>
          <w:rFonts w:cs="Arial"/>
          <w:i/>
          <w:iCs/>
          <w:sz w:val="20"/>
          <w:szCs w:val="20"/>
          <w:lang w:val="en-US"/>
        </w:rPr>
        <w:t>J. Zoo.</w:t>
      </w:r>
      <w:r w:rsidRPr="006103DD">
        <w:rPr>
          <w:rFonts w:cs="Arial"/>
          <w:iCs/>
          <w:sz w:val="20"/>
          <w:szCs w:val="20"/>
          <w:lang w:val="en-US"/>
        </w:rPr>
        <w:t xml:space="preserve"> </w:t>
      </w:r>
      <w:r w:rsidRPr="006103DD">
        <w:rPr>
          <w:rFonts w:cs="Arial"/>
          <w:b/>
          <w:iCs/>
          <w:sz w:val="20"/>
          <w:szCs w:val="20"/>
          <w:lang w:val="en-US"/>
        </w:rPr>
        <w:t>164</w:t>
      </w:r>
      <w:r w:rsidRPr="006103DD">
        <w:rPr>
          <w:rFonts w:cs="Arial"/>
          <w:iCs/>
          <w:sz w:val="20"/>
          <w:szCs w:val="20"/>
          <w:lang w:val="en-US"/>
        </w:rPr>
        <w:t>:61-92.</w:t>
      </w:r>
    </w:p>
    <w:p w14:paraId="5A1AEE67" w14:textId="77777777" w:rsidR="009C6E0E" w:rsidRPr="006103DD" w:rsidRDefault="009C6E0E" w:rsidP="009C6E0E">
      <w:pPr>
        <w:spacing w:before="120"/>
        <w:ind w:left="1287" w:right="544" w:hanging="720"/>
        <w:jc w:val="both"/>
        <w:outlineLvl w:val="9"/>
        <w:rPr>
          <w:rFonts w:cs="Arial"/>
          <w:bCs/>
          <w:sz w:val="20"/>
          <w:szCs w:val="20"/>
        </w:rPr>
      </w:pPr>
      <w:r w:rsidRPr="00C2078D">
        <w:rPr>
          <w:rFonts w:cs="Arial"/>
          <w:bCs/>
          <w:sz w:val="20"/>
          <w:szCs w:val="20"/>
        </w:rPr>
        <w:t xml:space="preserve">Food and Agriculture Organization of the United Nations, 2012. </w:t>
      </w:r>
      <w:r w:rsidRPr="00C2078D">
        <w:rPr>
          <w:rFonts w:eastAsia="Times New Roman"/>
          <w:i/>
          <w:color w:val="212121"/>
          <w:sz w:val="20"/>
          <w:szCs w:val="20"/>
        </w:rPr>
        <w:t>Katsuwonus pelamis</w:t>
      </w:r>
      <w:r w:rsidRPr="00C2078D">
        <w:rPr>
          <w:rFonts w:eastAsia="Times New Roman"/>
          <w:color w:val="212121"/>
          <w:sz w:val="20"/>
          <w:szCs w:val="20"/>
        </w:rPr>
        <w:t xml:space="preserve">. </w:t>
      </w:r>
      <w:hyperlink r:id="rId54" w:history="1">
        <w:r w:rsidRPr="00C2078D">
          <w:rPr>
            <w:rStyle w:val="Hyperlink"/>
            <w:rFonts w:eastAsia="Times New Roman"/>
            <w:sz w:val="20"/>
            <w:szCs w:val="20"/>
          </w:rPr>
          <w:t>http://www.fao.org/fishery/species/2494/en</w:t>
        </w:r>
      </w:hyperlink>
      <w:r w:rsidRPr="00C2078D">
        <w:rPr>
          <w:rFonts w:cs="Arial"/>
          <w:bCs/>
          <w:sz w:val="20"/>
          <w:szCs w:val="20"/>
        </w:rPr>
        <w:t xml:space="preserve"> </w:t>
      </w:r>
    </w:p>
    <w:p w14:paraId="5638D19D" w14:textId="77777777" w:rsidR="009C6E0E" w:rsidRPr="006103DD" w:rsidRDefault="009C6E0E" w:rsidP="009C6E0E">
      <w:pPr>
        <w:pStyle w:val="BodyText"/>
        <w:spacing w:before="60" w:after="60"/>
        <w:ind w:left="993" w:hanging="426"/>
        <w:rPr>
          <w:rFonts w:cs="Arial"/>
          <w:szCs w:val="20"/>
        </w:rPr>
      </w:pPr>
      <w:r w:rsidRPr="006103DD">
        <w:rPr>
          <w:rFonts w:cs="Arial"/>
          <w:szCs w:val="20"/>
        </w:rPr>
        <w:t xml:space="preserve">French-McCay, D.P. 2009. .State-of-the-art and research needs for oil spill impact assessment modelling. </w:t>
      </w:r>
      <w:r w:rsidRPr="006103DD">
        <w:rPr>
          <w:rFonts w:cs="Arial"/>
          <w:i/>
          <w:szCs w:val="20"/>
        </w:rPr>
        <w:t>Proceedings of the 32nd Arctic and Marine Oil Spill Program Technical Seminar</w:t>
      </w:r>
      <w:r w:rsidRPr="006103DD">
        <w:rPr>
          <w:rFonts w:cs="Arial"/>
          <w:szCs w:val="20"/>
        </w:rPr>
        <w:t>, Environment Canada, Ottawa, pp. 601-653.</w:t>
      </w:r>
    </w:p>
    <w:p w14:paraId="5CCE58F6" w14:textId="77777777" w:rsidR="009C6E0E" w:rsidRPr="006103DD" w:rsidRDefault="009C6E0E" w:rsidP="009C6E0E">
      <w:pPr>
        <w:pStyle w:val="References"/>
        <w:spacing w:before="60" w:after="60" w:line="240" w:lineRule="auto"/>
        <w:ind w:left="992"/>
        <w:rPr>
          <w:i/>
          <w:sz w:val="20"/>
          <w:szCs w:val="20"/>
        </w:rPr>
      </w:pPr>
      <w:r w:rsidRPr="006103DD">
        <w:rPr>
          <w:rFonts w:eastAsia="Times New Roman"/>
          <w:kern w:val="0"/>
          <w:sz w:val="20"/>
          <w:szCs w:val="20"/>
          <w:lang w:val="en-US"/>
        </w:rPr>
        <w:t xml:space="preserve">French-McCay, D.P. 2003. Development and application of damage assessment modelling: example assessment for the North Cape oil spill. </w:t>
      </w:r>
      <w:r w:rsidRPr="006103DD">
        <w:rPr>
          <w:rFonts w:eastAsia="Times New Roman"/>
          <w:i/>
          <w:kern w:val="0"/>
          <w:sz w:val="20"/>
          <w:szCs w:val="20"/>
          <w:lang w:val="en-US"/>
        </w:rPr>
        <w:t>Marine Pollution Bulletin</w:t>
      </w:r>
      <w:r w:rsidRPr="006103DD">
        <w:rPr>
          <w:rFonts w:eastAsia="Times New Roman"/>
          <w:kern w:val="0"/>
          <w:sz w:val="20"/>
          <w:szCs w:val="20"/>
          <w:lang w:val="en-US"/>
        </w:rPr>
        <w:t xml:space="preserve"> </w:t>
      </w:r>
      <w:r w:rsidRPr="006103DD">
        <w:rPr>
          <w:rFonts w:eastAsia="Times New Roman"/>
          <w:b/>
          <w:kern w:val="0"/>
          <w:sz w:val="20"/>
          <w:szCs w:val="20"/>
          <w:lang w:val="en-US"/>
        </w:rPr>
        <w:t>47</w:t>
      </w:r>
      <w:r w:rsidRPr="006103DD">
        <w:rPr>
          <w:rFonts w:eastAsia="Times New Roman"/>
          <w:kern w:val="0"/>
          <w:sz w:val="20"/>
          <w:szCs w:val="20"/>
          <w:lang w:val="en-US"/>
        </w:rPr>
        <w:t>(9):</w:t>
      </w:r>
      <w:r w:rsidRPr="006103DD">
        <w:rPr>
          <w:sz w:val="20"/>
          <w:szCs w:val="20"/>
        </w:rPr>
        <w:t>9-12</w:t>
      </w:r>
      <w:r w:rsidRPr="006103DD">
        <w:rPr>
          <w:i/>
          <w:sz w:val="20"/>
          <w:szCs w:val="20"/>
        </w:rPr>
        <w:t>.</w:t>
      </w:r>
    </w:p>
    <w:p w14:paraId="7337C8E7" w14:textId="77777777" w:rsidR="009C6E0E" w:rsidRPr="006103DD" w:rsidRDefault="009C6E0E" w:rsidP="009C6E0E">
      <w:pPr>
        <w:pStyle w:val="References"/>
        <w:spacing w:before="60" w:after="60" w:line="240" w:lineRule="auto"/>
        <w:ind w:left="992"/>
        <w:rPr>
          <w:sz w:val="20"/>
          <w:szCs w:val="20"/>
        </w:rPr>
      </w:pPr>
      <w:r w:rsidRPr="006103DD">
        <w:rPr>
          <w:sz w:val="20"/>
          <w:szCs w:val="20"/>
        </w:rPr>
        <w:t xml:space="preserve">French-McCay, D.P. 2002. Development and application of an oil toxicity and exposure model, OilToxEx. </w:t>
      </w:r>
      <w:r w:rsidRPr="006103DD">
        <w:rPr>
          <w:i/>
          <w:sz w:val="20"/>
          <w:szCs w:val="20"/>
        </w:rPr>
        <w:t xml:space="preserve">Environmental Toxicology and Chemistry </w:t>
      </w:r>
      <w:r w:rsidRPr="006103DD">
        <w:rPr>
          <w:sz w:val="20"/>
          <w:szCs w:val="20"/>
        </w:rPr>
        <w:t>21:2080-2094.</w:t>
      </w:r>
    </w:p>
    <w:p w14:paraId="3E234991" w14:textId="77777777" w:rsidR="009C6E0E" w:rsidRDefault="009C6E0E" w:rsidP="009C6E0E">
      <w:pPr>
        <w:spacing w:before="60" w:after="60"/>
        <w:ind w:left="993" w:hanging="426"/>
        <w:outlineLvl w:val="9"/>
        <w:rPr>
          <w:rFonts w:cs="Arial"/>
          <w:sz w:val="20"/>
          <w:szCs w:val="20"/>
          <w:highlight w:val="yellow"/>
          <w:lang w:val="en-GB"/>
        </w:rPr>
      </w:pPr>
      <w:r w:rsidRPr="008540C8">
        <w:rPr>
          <w:rFonts w:cs="Arial"/>
          <w:sz w:val="20"/>
        </w:rPr>
        <w:t>French, D. Schuttenberg, H. and Isaji, T, (1999) – Probabilities of oil exceeding thresholds of concern: examples from an evaluation for Florida Power and Light In: Proceedings of the 22</w:t>
      </w:r>
      <w:r w:rsidRPr="008540C8">
        <w:rPr>
          <w:rFonts w:cs="Arial"/>
          <w:sz w:val="20"/>
          <w:vertAlign w:val="superscript"/>
        </w:rPr>
        <w:t>nd</w:t>
      </w:r>
      <w:r w:rsidRPr="008540C8">
        <w:rPr>
          <w:rFonts w:cs="Arial"/>
          <w:sz w:val="20"/>
        </w:rPr>
        <w:t xml:space="preserve"> Artic and Marine Oil Spill Program (AMOP), Technical Seminar, June 1999, Alberta, </w:t>
      </w:r>
      <w:r w:rsidRPr="001635EA">
        <w:rPr>
          <w:rFonts w:cs="Arial"/>
          <w:sz w:val="20"/>
          <w:szCs w:val="20"/>
        </w:rPr>
        <w:t>Canada, 243-270pp</w:t>
      </w:r>
      <w:r w:rsidRPr="001635EA">
        <w:rPr>
          <w:rFonts w:cs="Arial"/>
          <w:sz w:val="20"/>
          <w:szCs w:val="20"/>
          <w:highlight w:val="yellow"/>
          <w:lang w:val="en-GB"/>
        </w:rPr>
        <w:t xml:space="preserve"> </w:t>
      </w:r>
    </w:p>
    <w:p w14:paraId="6ACA1F0F" w14:textId="77777777" w:rsidR="009C6E0E" w:rsidRPr="001635EA" w:rsidRDefault="009C6E0E" w:rsidP="009C6E0E">
      <w:pPr>
        <w:pStyle w:val="BodyText"/>
        <w:ind w:left="1134" w:hanging="567"/>
        <w:rPr>
          <w:rFonts w:cs="Arial"/>
          <w:szCs w:val="20"/>
          <w:highlight w:val="yellow"/>
          <w:lang w:val="en-GB"/>
        </w:rPr>
      </w:pPr>
      <w:r w:rsidRPr="008836C7">
        <w:lastRenderedPageBreak/>
        <w:t>Fromont, J., (1993) – Reproductive development and timing of tropical sponges (Order Haploscleria) from the Great Barrier Reef, Australia, James Cook University</w:t>
      </w:r>
    </w:p>
    <w:p w14:paraId="6716650E" w14:textId="77777777" w:rsidR="009C6E0E" w:rsidRPr="001635EA" w:rsidRDefault="009C6E0E" w:rsidP="009C6E0E">
      <w:pPr>
        <w:spacing w:before="60" w:after="60"/>
        <w:ind w:left="993" w:hanging="426"/>
        <w:outlineLvl w:val="9"/>
        <w:rPr>
          <w:rFonts w:cs="Arial"/>
          <w:sz w:val="20"/>
          <w:szCs w:val="20"/>
          <w:highlight w:val="yellow"/>
          <w:lang w:val="en-GB"/>
        </w:rPr>
      </w:pPr>
      <w:r w:rsidRPr="001635EA">
        <w:rPr>
          <w:rFonts w:cs="Arial"/>
          <w:color w:val="333333"/>
          <w:sz w:val="20"/>
          <w:szCs w:val="20"/>
          <w:shd w:val="clear" w:color="auto" w:fill="FFFFFF"/>
        </w:rPr>
        <w:t>Frost, P.G.H. 2013. Cape gannet.</w:t>
      </w:r>
      <w:r w:rsidRPr="001635EA">
        <w:rPr>
          <w:rStyle w:val="apple-converted-space"/>
          <w:rFonts w:cs="Arial"/>
          <w:color w:val="333333"/>
          <w:sz w:val="20"/>
          <w:szCs w:val="20"/>
          <w:shd w:val="clear" w:color="auto" w:fill="FFFFFF"/>
        </w:rPr>
        <w:t> </w:t>
      </w:r>
      <w:r w:rsidRPr="001635EA">
        <w:rPr>
          <w:rStyle w:val="Emphasis"/>
          <w:rFonts w:cs="Arial"/>
          <w:color w:val="333333"/>
          <w:sz w:val="20"/>
          <w:szCs w:val="20"/>
          <w:shd w:val="clear" w:color="auto" w:fill="FFFFFF"/>
        </w:rPr>
        <w:t>In</w:t>
      </w:r>
      <w:r w:rsidRPr="001635EA">
        <w:rPr>
          <w:rStyle w:val="apple-converted-space"/>
          <w:rFonts w:cs="Arial"/>
          <w:color w:val="333333"/>
          <w:sz w:val="20"/>
          <w:szCs w:val="20"/>
          <w:shd w:val="clear" w:color="auto" w:fill="FFFFFF"/>
        </w:rPr>
        <w:t> </w:t>
      </w:r>
      <w:r w:rsidRPr="001635EA">
        <w:rPr>
          <w:rFonts w:cs="Arial"/>
          <w:color w:val="333333"/>
          <w:sz w:val="20"/>
          <w:szCs w:val="20"/>
          <w:shd w:val="clear" w:color="auto" w:fill="FFFFFF"/>
        </w:rPr>
        <w:t>Miskelly, C.M. (ed.)</w:t>
      </w:r>
      <w:r w:rsidRPr="001635EA">
        <w:rPr>
          <w:rStyle w:val="apple-converted-space"/>
          <w:rFonts w:cs="Arial"/>
          <w:color w:val="333333"/>
          <w:sz w:val="20"/>
          <w:szCs w:val="20"/>
          <w:shd w:val="clear" w:color="auto" w:fill="FFFFFF"/>
        </w:rPr>
        <w:t> </w:t>
      </w:r>
      <w:r w:rsidRPr="001635EA">
        <w:rPr>
          <w:rStyle w:val="Emphasis"/>
          <w:rFonts w:cs="Arial"/>
          <w:color w:val="333333"/>
          <w:sz w:val="20"/>
          <w:szCs w:val="20"/>
          <w:shd w:val="clear" w:color="auto" w:fill="FFFFFF"/>
        </w:rPr>
        <w:t>New Zealand Birds Online</w:t>
      </w:r>
      <w:r w:rsidRPr="001635EA">
        <w:rPr>
          <w:rFonts w:cs="Arial"/>
          <w:color w:val="333333"/>
          <w:sz w:val="20"/>
          <w:szCs w:val="20"/>
          <w:shd w:val="clear" w:color="auto" w:fill="FFFFFF"/>
        </w:rPr>
        <w:t>.</w:t>
      </w:r>
      <w:r w:rsidRPr="001635EA">
        <w:rPr>
          <w:rStyle w:val="apple-converted-space"/>
          <w:rFonts w:cs="Arial"/>
          <w:color w:val="333333"/>
          <w:sz w:val="20"/>
          <w:szCs w:val="20"/>
          <w:shd w:val="clear" w:color="auto" w:fill="FFFFFF"/>
        </w:rPr>
        <w:t> </w:t>
      </w:r>
      <w:hyperlink r:id="rId55" w:history="1">
        <w:r w:rsidRPr="001635EA">
          <w:rPr>
            <w:rStyle w:val="Hyperlink"/>
            <w:rFonts w:cs="Arial"/>
            <w:color w:val="660066"/>
            <w:sz w:val="20"/>
            <w:szCs w:val="20"/>
            <w:shd w:val="clear" w:color="auto" w:fill="FFFFFF"/>
          </w:rPr>
          <w:t>www.nzbirdsonline.org.nz</w:t>
        </w:r>
      </w:hyperlink>
    </w:p>
    <w:p w14:paraId="612FA56C"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Gagnon, M.M. and Rawson, C. 2011. Montara Well Release, Monitoring Study S4A – Assessment of Effects on Timor Sea Fish. Curtin University, Perth, Australia. </w:t>
      </w:r>
    </w:p>
    <w:p w14:paraId="7BEA0A2E" w14:textId="77777777" w:rsidR="009C6E0E" w:rsidRPr="006103DD" w:rsidRDefault="009C6E0E" w:rsidP="009C6E0E">
      <w:pPr>
        <w:spacing w:before="60" w:after="60"/>
        <w:ind w:left="993" w:hanging="426"/>
        <w:outlineLvl w:val="9"/>
        <w:rPr>
          <w:rFonts w:cs="Arial"/>
          <w:sz w:val="20"/>
          <w:szCs w:val="20"/>
          <w:lang w:val="en-GB"/>
        </w:rPr>
      </w:pPr>
      <w:r w:rsidRPr="006103DD">
        <w:rPr>
          <w:rFonts w:cs="Arial"/>
          <w:sz w:val="20"/>
          <w:szCs w:val="20"/>
          <w:lang w:val="en-US"/>
        </w:rPr>
        <w:t xml:space="preserve">Gala, W.R. 2001. Predicting the Aquatic Toxicity of Crude Oils. </w:t>
      </w:r>
      <w:r w:rsidRPr="006103DD">
        <w:rPr>
          <w:rFonts w:cs="Arial"/>
          <w:i/>
          <w:sz w:val="20"/>
          <w:szCs w:val="20"/>
          <w:lang w:val="en-US"/>
        </w:rPr>
        <w:t xml:space="preserve">International Oil Spill Conference Proceedings </w:t>
      </w:r>
      <w:r w:rsidRPr="006103DD">
        <w:rPr>
          <w:rFonts w:cs="Arial"/>
          <w:sz w:val="20"/>
          <w:szCs w:val="20"/>
          <w:lang w:val="en-US"/>
        </w:rPr>
        <w:t>(2):935–940.</w:t>
      </w:r>
    </w:p>
    <w:p w14:paraId="5C9580C5"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 xml:space="preserve">Gannier, A., Drouot, V. and Gould, J.C. 2002. Distribution and the relative abundance of Sperm Whales in the Mediterranean Sea. </w:t>
      </w:r>
      <w:r w:rsidRPr="006103DD">
        <w:rPr>
          <w:rFonts w:cs="Arial"/>
          <w:i/>
          <w:sz w:val="20"/>
          <w:szCs w:val="20"/>
        </w:rPr>
        <w:t>Mar Ecol. Prog. Ser</w:t>
      </w:r>
      <w:r w:rsidRPr="006103DD">
        <w:rPr>
          <w:rFonts w:cs="Arial"/>
          <w:sz w:val="20"/>
          <w:szCs w:val="20"/>
        </w:rPr>
        <w:t xml:space="preserve">. </w:t>
      </w:r>
      <w:r w:rsidRPr="006103DD">
        <w:rPr>
          <w:rFonts w:cs="Arial"/>
          <w:b/>
          <w:sz w:val="20"/>
          <w:szCs w:val="20"/>
        </w:rPr>
        <w:t>243</w:t>
      </w:r>
      <w:r w:rsidRPr="006103DD">
        <w:rPr>
          <w:rFonts w:cs="Arial"/>
          <w:sz w:val="20"/>
          <w:szCs w:val="20"/>
        </w:rPr>
        <w:t>: 281-293.</w:t>
      </w:r>
    </w:p>
    <w:p w14:paraId="6E79DB5B" w14:textId="77777777" w:rsidR="009C6E0E" w:rsidRPr="006103DD" w:rsidRDefault="009C6E0E" w:rsidP="009C6E0E">
      <w:pPr>
        <w:pStyle w:val="BodyText"/>
        <w:spacing w:before="60" w:after="60"/>
        <w:ind w:left="993" w:hanging="426"/>
        <w:rPr>
          <w:rFonts w:cs="Arial"/>
          <w:szCs w:val="20"/>
        </w:rPr>
      </w:pPr>
      <w:r w:rsidRPr="006103DD">
        <w:rPr>
          <w:rFonts w:cs="Arial"/>
          <w:szCs w:val="20"/>
        </w:rPr>
        <w:t>Gavrilov, A. 2012. Seismic signal transmission, Pygmy Blue Whale abundance and passage and ambient noise measurements during and after the Bellerive seismic survey in Bass Strait in 2011. Report prepared for Origin Energy Resources Ltd. Report R2011-65.</w:t>
      </w:r>
    </w:p>
    <w:p w14:paraId="53E13170"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Geraci, J.R. and St. Aubin, D.J. 1988. Synthesis of Effects of Oil on Marine Mammals. Report to US Department of the Interior, Minerals Management Service, Atlantic OCS Region, OCS Study. Ventura, California.</w:t>
      </w:r>
    </w:p>
    <w:p w14:paraId="01326770" w14:textId="77777777" w:rsidR="009C6E0E" w:rsidRPr="006103DD" w:rsidRDefault="009C6E0E" w:rsidP="009C6E0E">
      <w:pPr>
        <w:pStyle w:val="BodyText"/>
        <w:spacing w:before="60" w:after="60"/>
        <w:ind w:left="993" w:hanging="426"/>
        <w:rPr>
          <w:rFonts w:cs="Arial"/>
          <w:szCs w:val="20"/>
        </w:rPr>
      </w:pPr>
      <w:r w:rsidRPr="006103DD">
        <w:rPr>
          <w:rFonts w:cs="Arial"/>
          <w:szCs w:val="20"/>
        </w:rPr>
        <w:t xml:space="preserve">Gill, P.C., B., Pirzl, R., Morrice, M.G. and Lawton, K. 2015. Cetacean Diversity of the Continental Shelf and Slope off Southern Australia. </w:t>
      </w:r>
      <w:r w:rsidRPr="006103DD">
        <w:rPr>
          <w:rFonts w:cs="Arial"/>
          <w:i/>
          <w:szCs w:val="20"/>
        </w:rPr>
        <w:t>The Journal of Wildlife Managemen</w:t>
      </w:r>
      <w:r w:rsidRPr="006103DD">
        <w:rPr>
          <w:rFonts w:cs="Arial"/>
          <w:szCs w:val="20"/>
        </w:rPr>
        <w:t xml:space="preserve">t </w:t>
      </w:r>
      <w:r w:rsidRPr="006103DD">
        <w:rPr>
          <w:rFonts w:cs="Arial"/>
          <w:b/>
          <w:szCs w:val="20"/>
        </w:rPr>
        <w:t>79</w:t>
      </w:r>
      <w:r w:rsidRPr="006103DD">
        <w:rPr>
          <w:rFonts w:cs="Arial"/>
          <w:szCs w:val="20"/>
        </w:rPr>
        <w:t>(4):672–681.</w:t>
      </w:r>
    </w:p>
    <w:p w14:paraId="05B6EDB0" w14:textId="77777777" w:rsidR="009C6E0E" w:rsidRPr="006103DD" w:rsidRDefault="009C6E0E" w:rsidP="009C6E0E">
      <w:pPr>
        <w:pStyle w:val="BodyText"/>
        <w:spacing w:before="60" w:after="60"/>
        <w:ind w:left="993" w:hanging="426"/>
        <w:rPr>
          <w:rFonts w:cs="Arial"/>
          <w:szCs w:val="20"/>
        </w:rPr>
      </w:pPr>
      <w:r w:rsidRPr="006103DD">
        <w:rPr>
          <w:rFonts w:cs="Arial"/>
          <w:szCs w:val="20"/>
        </w:rPr>
        <w:t xml:space="preserve">Gill, P,C., Morrice, M.G., Page, B., Pirzl, R., Levings, A.H. and Coyne, M. 2011. Blue whale habitat selection and within-season distribution in a regional upwelling system off southern Australia. </w:t>
      </w:r>
      <w:r w:rsidRPr="006103DD">
        <w:rPr>
          <w:rFonts w:cs="Arial"/>
          <w:i/>
          <w:szCs w:val="20"/>
        </w:rPr>
        <w:t>Marine Ecology Progress Series</w:t>
      </w:r>
      <w:r w:rsidRPr="006103DD">
        <w:rPr>
          <w:rFonts w:cs="Arial"/>
          <w:szCs w:val="20"/>
        </w:rPr>
        <w:t xml:space="preserve"> </w:t>
      </w:r>
      <w:r w:rsidRPr="006103DD">
        <w:rPr>
          <w:rFonts w:cs="Arial"/>
          <w:b/>
          <w:szCs w:val="20"/>
        </w:rPr>
        <w:t>421</w:t>
      </w:r>
      <w:r w:rsidRPr="006103DD">
        <w:rPr>
          <w:rFonts w:cs="Arial"/>
          <w:szCs w:val="20"/>
        </w:rPr>
        <w:t xml:space="preserve">: 243–263. </w:t>
      </w:r>
    </w:p>
    <w:p w14:paraId="55C91CAE" w14:textId="77777777" w:rsidR="009C6E0E" w:rsidRPr="006103DD" w:rsidRDefault="009C6E0E" w:rsidP="009C6E0E">
      <w:pPr>
        <w:pStyle w:val="BodyText"/>
        <w:spacing w:before="60" w:after="60"/>
        <w:ind w:left="993" w:hanging="426"/>
        <w:rPr>
          <w:rFonts w:cs="Arial"/>
          <w:szCs w:val="20"/>
        </w:rPr>
      </w:pPr>
      <w:r w:rsidRPr="006103DD">
        <w:rPr>
          <w:rFonts w:cs="Arial"/>
          <w:szCs w:val="20"/>
        </w:rPr>
        <w:t xml:space="preserve">Gill, P.C., Kemper, C.M., Talbot, M. and Lyons, S.A. 2008. Large group of pygmy right whales seen in a shelf upwelling region off Victoria, Australia. </w:t>
      </w:r>
      <w:r w:rsidRPr="006103DD">
        <w:rPr>
          <w:rFonts w:cs="Arial"/>
          <w:i/>
          <w:szCs w:val="20"/>
        </w:rPr>
        <w:t>Marine Mammal Science</w:t>
      </w:r>
      <w:r w:rsidRPr="006103DD">
        <w:rPr>
          <w:rFonts w:cs="Arial"/>
          <w:szCs w:val="20"/>
        </w:rPr>
        <w:t xml:space="preserve"> </w:t>
      </w:r>
      <w:r w:rsidRPr="006103DD">
        <w:rPr>
          <w:rFonts w:cs="Arial"/>
          <w:b/>
          <w:szCs w:val="20"/>
        </w:rPr>
        <w:t>24</w:t>
      </w:r>
      <w:r w:rsidRPr="006103DD">
        <w:rPr>
          <w:rFonts w:cs="Arial"/>
          <w:szCs w:val="20"/>
        </w:rPr>
        <w:t>(4): 962-968.</w:t>
      </w:r>
    </w:p>
    <w:p w14:paraId="1F5E16D6" w14:textId="77777777" w:rsidR="009C6E0E" w:rsidRPr="006103DD" w:rsidRDefault="009C6E0E" w:rsidP="009C6E0E">
      <w:pPr>
        <w:pStyle w:val="BodyText"/>
        <w:spacing w:before="60" w:after="60"/>
        <w:ind w:left="993" w:hanging="426"/>
        <w:rPr>
          <w:rFonts w:cs="Arial"/>
          <w:szCs w:val="20"/>
        </w:rPr>
      </w:pPr>
      <w:r w:rsidRPr="006103DD">
        <w:rPr>
          <w:rFonts w:cs="Arial"/>
          <w:szCs w:val="20"/>
        </w:rPr>
        <w:t>Gill, P. and Morrice, M. 2003. Cetacean Observations. Blue Whale Compliance Aerial Surveys. Santos Ltd Seismic Survey Program Vic/P51 and P52. November-December 2002. Report to Santos Ltd.</w:t>
      </w:r>
    </w:p>
    <w:p w14:paraId="779EDF3D" w14:textId="77777777" w:rsidR="009C6E0E" w:rsidRPr="006103DD" w:rsidRDefault="009C6E0E" w:rsidP="009C6E0E">
      <w:pPr>
        <w:pStyle w:val="BodyText"/>
        <w:spacing w:before="60" w:after="60"/>
        <w:ind w:left="993" w:hanging="426"/>
        <w:rPr>
          <w:rFonts w:cs="Arial"/>
          <w:szCs w:val="20"/>
        </w:rPr>
      </w:pPr>
      <w:r w:rsidRPr="006103DD">
        <w:rPr>
          <w:rFonts w:cs="Arial"/>
          <w:szCs w:val="20"/>
        </w:rPr>
        <w:t xml:space="preserve">Gill, P.C., Ross, G.J.B., Dawbin, W.H. and Wapstra, H. 2000. Confirmed sightings of dusky dolphins (Lagenorhynchus obscurus) in southern Australian waters. </w:t>
      </w:r>
      <w:r w:rsidRPr="006103DD">
        <w:rPr>
          <w:rFonts w:cs="Arial"/>
          <w:i/>
          <w:szCs w:val="20"/>
        </w:rPr>
        <w:t>Marine Mammal Science</w:t>
      </w:r>
      <w:r w:rsidRPr="006103DD">
        <w:rPr>
          <w:rFonts w:cs="Arial"/>
          <w:szCs w:val="20"/>
        </w:rPr>
        <w:t>. 16: 452-459.</w:t>
      </w:r>
    </w:p>
    <w:p w14:paraId="24E71CA6"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Gippsland Times. 2014. Beach oil spill. Report by Julianne Langshaw, March 17, 2014. Gippsland Times and Mafra Spectator. </w:t>
      </w:r>
    </w:p>
    <w:p w14:paraId="5142DEF3" w14:textId="77777777" w:rsidR="009C6E0E" w:rsidRPr="006103DD" w:rsidRDefault="009C6E0E" w:rsidP="009C6E0E">
      <w:pPr>
        <w:pStyle w:val="MediumGrid1-Accent21"/>
        <w:spacing w:before="60" w:after="60" w:line="240" w:lineRule="auto"/>
        <w:ind w:left="993" w:hanging="426"/>
        <w:jc w:val="left"/>
        <w:rPr>
          <w:rFonts w:cs="Arial"/>
          <w:iCs/>
          <w:sz w:val="20"/>
          <w:szCs w:val="20"/>
          <w:lang w:val="en-US"/>
        </w:rPr>
      </w:pPr>
      <w:r w:rsidRPr="006103DD">
        <w:rPr>
          <w:rFonts w:cs="Arial"/>
          <w:sz w:val="20"/>
          <w:szCs w:val="20"/>
          <w:lang w:val="en-US"/>
        </w:rPr>
        <w:t xml:space="preserve">Gohlke, J.M. 2011. A Review of Seafood Safety after the Deepwater Horizon Blowout. </w:t>
      </w:r>
      <w:r w:rsidRPr="006103DD">
        <w:rPr>
          <w:rFonts w:cs="Arial"/>
          <w:i/>
          <w:sz w:val="20"/>
          <w:szCs w:val="20"/>
          <w:lang w:val="en-US"/>
        </w:rPr>
        <w:t>Environmental Health Perspectives</w:t>
      </w:r>
      <w:r w:rsidRPr="006103DD">
        <w:rPr>
          <w:rFonts w:cs="Arial"/>
          <w:sz w:val="20"/>
          <w:szCs w:val="20"/>
          <w:lang w:val="en-US"/>
        </w:rPr>
        <w:t xml:space="preserve">. </w:t>
      </w:r>
      <w:r w:rsidRPr="006103DD">
        <w:rPr>
          <w:rFonts w:cs="Arial"/>
          <w:b/>
          <w:sz w:val="20"/>
          <w:szCs w:val="20"/>
          <w:lang w:val="en-US"/>
        </w:rPr>
        <w:t>119</w:t>
      </w:r>
      <w:r w:rsidRPr="006103DD">
        <w:rPr>
          <w:rFonts w:cs="Arial"/>
          <w:sz w:val="20"/>
          <w:szCs w:val="20"/>
          <w:lang w:val="en-US"/>
        </w:rPr>
        <w:t>(8):1062–1069.</w:t>
      </w:r>
    </w:p>
    <w:p w14:paraId="0D6FF788" w14:textId="77777777" w:rsidR="009C6E0E" w:rsidRPr="006103DD" w:rsidRDefault="009C6E0E" w:rsidP="009C6E0E">
      <w:pPr>
        <w:pStyle w:val="BodyText"/>
        <w:spacing w:before="60" w:after="60"/>
        <w:ind w:left="993" w:hanging="426"/>
        <w:rPr>
          <w:rFonts w:cs="Arial"/>
          <w:szCs w:val="20"/>
        </w:rPr>
      </w:pPr>
      <w:r w:rsidRPr="006103DD">
        <w:rPr>
          <w:rFonts w:cs="Arial"/>
          <w:szCs w:val="20"/>
        </w:rPr>
        <w:t>Goldsworthy, S.D. 2008. The Mammals of Australia. Third Edition. New Holland. Sydney.</w:t>
      </w:r>
    </w:p>
    <w:p w14:paraId="1B77DB6C"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 xml:space="preserve">Gormley, A.M. and Dann, P. 2009. Examination of Little Penguin Winter Movements from Satellite Tracking Data. Report for the Department of Sustainability and Environment Victoria available at http://www.oem.vic.gov.au/Assets/668/1/AnalysisofLittlePenguinWinterMovements.pdf </w:t>
      </w:r>
    </w:p>
    <w:p w14:paraId="60298EDB" w14:textId="77777777" w:rsidR="009C6E0E" w:rsidRDefault="009C6E0E" w:rsidP="009C6E0E">
      <w:pPr>
        <w:pStyle w:val="BodyText"/>
        <w:spacing w:before="60" w:after="60"/>
        <w:ind w:left="993" w:hanging="426"/>
        <w:rPr>
          <w:rFonts w:cs="Arial"/>
          <w:color w:val="008000"/>
          <w:szCs w:val="20"/>
        </w:rPr>
      </w:pPr>
      <w:r w:rsidRPr="006103DD">
        <w:rPr>
          <w:rFonts w:cs="Arial"/>
          <w:szCs w:val="20"/>
        </w:rPr>
        <w:t>Gotz, T., Hastie, G., Hatch, L., Raustein, O, Southall, B., Tasker, M, Thomsen, F. 2009. Overview of the impacts of anthropogenic underwater sound in the marine environment. OSPAR Commission. London.</w:t>
      </w:r>
      <w:r w:rsidRPr="006103DD">
        <w:rPr>
          <w:rFonts w:cs="Arial"/>
          <w:color w:val="008000"/>
          <w:szCs w:val="20"/>
        </w:rPr>
        <w:t xml:space="preserve"> </w:t>
      </w:r>
    </w:p>
    <w:p w14:paraId="355A527B" w14:textId="77777777" w:rsidR="009C6E0E" w:rsidRPr="006103DD" w:rsidRDefault="009C6E0E" w:rsidP="009C6E0E">
      <w:pPr>
        <w:pStyle w:val="BodyText"/>
        <w:spacing w:before="60" w:after="60"/>
        <w:ind w:left="993" w:hanging="426"/>
        <w:rPr>
          <w:rFonts w:cs="Arial"/>
          <w:color w:val="008000"/>
          <w:szCs w:val="20"/>
        </w:rPr>
      </w:pPr>
      <w:r>
        <w:rPr>
          <w:rFonts w:eastAsia="Times New Roman"/>
        </w:rPr>
        <w:t xml:space="preserve">Government Interest Group. 2012. Elgin Gas Release. A www website accessed in March 2017 at </w:t>
      </w:r>
      <w:hyperlink r:id="rId56" w:history="1">
        <w:r>
          <w:rPr>
            <w:rStyle w:val="Hyperlink"/>
            <w:rFonts w:eastAsia="Times New Roman"/>
          </w:rPr>
          <w:t>http://www.gov.scot/Topics/marine/ElginEAR</w:t>
        </w:r>
      </w:hyperlink>
    </w:p>
    <w:p w14:paraId="651B1A3D" w14:textId="77777777" w:rsidR="009C6E0E" w:rsidRPr="006103DD" w:rsidRDefault="009C6E0E" w:rsidP="009C6E0E">
      <w:pPr>
        <w:pStyle w:val="BodyText"/>
        <w:spacing w:before="60" w:after="60"/>
        <w:ind w:left="993" w:hanging="426"/>
        <w:rPr>
          <w:rFonts w:cs="Arial"/>
          <w:color w:val="191919"/>
          <w:szCs w:val="20"/>
        </w:rPr>
      </w:pPr>
      <w:r w:rsidRPr="006103DD">
        <w:rPr>
          <w:rFonts w:cs="Arial"/>
          <w:szCs w:val="20"/>
        </w:rPr>
        <w:t>Green, R.H. 1969. The birds of Flinders Island. Records of the Queen Victoria Museum, 34:1-32.</w:t>
      </w:r>
    </w:p>
    <w:p w14:paraId="5BCA8308" w14:textId="77777777" w:rsidR="009C6E0E" w:rsidRPr="006103DD" w:rsidRDefault="009C6E0E" w:rsidP="009C6E0E">
      <w:pPr>
        <w:pStyle w:val="BodyText"/>
        <w:spacing w:before="60" w:after="60"/>
        <w:ind w:left="993" w:hanging="426"/>
        <w:rPr>
          <w:rFonts w:cs="Arial"/>
          <w:szCs w:val="20"/>
        </w:rPr>
      </w:pPr>
      <w:r w:rsidRPr="006103DD">
        <w:rPr>
          <w:rFonts w:cs="Arial"/>
          <w:szCs w:val="20"/>
        </w:rPr>
        <w:t>Handreck, C. P. and O'Hara, T. D. 1994. Occurrence of selected species of intertidal and shallow subtidal invertebrates at Victorian locations. Marine Research Group of Victoria Inc. A report to the Land Conservation Council. Melbourne.</w:t>
      </w:r>
    </w:p>
    <w:p w14:paraId="0311A0D4" w14:textId="77777777" w:rsidR="009C6E0E" w:rsidRPr="006103DD" w:rsidRDefault="009C6E0E" w:rsidP="009C6E0E">
      <w:pPr>
        <w:pStyle w:val="BodyText"/>
        <w:spacing w:before="60" w:after="60"/>
        <w:ind w:left="993" w:hanging="426"/>
        <w:rPr>
          <w:rFonts w:cs="Arial"/>
          <w:szCs w:val="20"/>
        </w:rPr>
      </w:pPr>
      <w:r w:rsidRPr="006103DD">
        <w:rPr>
          <w:rFonts w:cs="Arial"/>
          <w:szCs w:val="20"/>
        </w:rPr>
        <w:t xml:space="preserve">Hastie, G.D, Swift, R.J, Gordon, J.C.D., Slesser, G. and Turrell, W.R. 2003. Sperm Whale Distribution and Seasonal Density in the Faroe Shetland Channel. </w:t>
      </w:r>
      <w:r w:rsidRPr="006103DD">
        <w:rPr>
          <w:rFonts w:cs="Arial"/>
          <w:i/>
          <w:szCs w:val="20"/>
        </w:rPr>
        <w:t>J Cetacean Res</w:t>
      </w:r>
      <w:r w:rsidRPr="006103DD">
        <w:rPr>
          <w:rFonts w:cs="Arial"/>
          <w:szCs w:val="20"/>
        </w:rPr>
        <w:t xml:space="preserve">. </w:t>
      </w:r>
      <w:r w:rsidRPr="006103DD">
        <w:rPr>
          <w:rFonts w:cs="Arial"/>
          <w:i/>
          <w:szCs w:val="20"/>
        </w:rPr>
        <w:t>Manage</w:t>
      </w:r>
      <w:r w:rsidRPr="006103DD">
        <w:rPr>
          <w:rFonts w:cs="Arial"/>
          <w:szCs w:val="20"/>
        </w:rPr>
        <w:t xml:space="preserve"> </w:t>
      </w:r>
      <w:r w:rsidRPr="006103DD">
        <w:rPr>
          <w:rFonts w:cs="Arial"/>
          <w:b/>
          <w:szCs w:val="20"/>
        </w:rPr>
        <w:t>5</w:t>
      </w:r>
      <w:r w:rsidRPr="006103DD">
        <w:rPr>
          <w:rFonts w:cs="Arial"/>
          <w:szCs w:val="20"/>
        </w:rPr>
        <w:t>(3): 247-252.</w:t>
      </w:r>
    </w:p>
    <w:p w14:paraId="56538D1A" w14:textId="77777777" w:rsidR="009C6E0E" w:rsidRPr="006103DD" w:rsidRDefault="009C6E0E" w:rsidP="009C6E0E">
      <w:pPr>
        <w:autoSpaceDE w:val="0"/>
        <w:autoSpaceDN w:val="0"/>
        <w:adjustRightInd w:val="0"/>
        <w:spacing w:before="60" w:after="60"/>
        <w:ind w:left="993" w:hanging="426"/>
        <w:outlineLvl w:val="9"/>
        <w:rPr>
          <w:rStyle w:val="Hyperlink"/>
          <w:rFonts w:cs="Arial"/>
          <w:sz w:val="20"/>
          <w:szCs w:val="20"/>
        </w:rPr>
      </w:pPr>
      <w:r w:rsidRPr="006103DD">
        <w:rPr>
          <w:rFonts w:cs="Arial"/>
          <w:sz w:val="20"/>
          <w:szCs w:val="20"/>
        </w:rPr>
        <w:lastRenderedPageBreak/>
        <w:t xml:space="preserve">Hayes, K., Sliwa, C., Mugus, S., McEnnulty, F. and Dunstan, P. 2005. National priority pests: Part 2 Ranking of Australian marine pests. CSIRO marine Research. </w:t>
      </w:r>
    </w:p>
    <w:p w14:paraId="5E58FF1B"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Hayworth, J.S., Clement, T.P. and Valentine, J.F. 2011. Deepwater Horizon oil spill impacts on Alabama Beaches. </w:t>
      </w:r>
      <w:r w:rsidRPr="006103DD">
        <w:rPr>
          <w:rFonts w:cs="Arial"/>
          <w:i/>
          <w:sz w:val="20"/>
          <w:szCs w:val="20"/>
          <w:lang w:val="en-US"/>
        </w:rPr>
        <w:t>Hydrology and Earth System Sciences</w:t>
      </w:r>
      <w:r w:rsidRPr="006103DD">
        <w:rPr>
          <w:rFonts w:cs="Arial"/>
          <w:sz w:val="20"/>
          <w:szCs w:val="20"/>
          <w:lang w:val="en-US"/>
        </w:rPr>
        <w:t xml:space="preserve">. </w:t>
      </w:r>
      <w:r w:rsidRPr="006103DD">
        <w:rPr>
          <w:rFonts w:cs="Arial"/>
          <w:b/>
          <w:sz w:val="20"/>
          <w:szCs w:val="20"/>
          <w:lang w:val="en-US"/>
        </w:rPr>
        <w:t>15</w:t>
      </w:r>
      <w:r w:rsidRPr="006103DD">
        <w:rPr>
          <w:rFonts w:cs="Arial"/>
          <w:sz w:val="20"/>
          <w:szCs w:val="20"/>
          <w:lang w:val="en-US"/>
        </w:rPr>
        <w:t>:3639–3649.</w:t>
      </w:r>
    </w:p>
    <w:p w14:paraId="173F856E" w14:textId="77777777" w:rsidR="009C6E0E" w:rsidRPr="006103DD" w:rsidRDefault="009C6E0E" w:rsidP="009C6E0E">
      <w:pPr>
        <w:autoSpaceDE w:val="0"/>
        <w:autoSpaceDN w:val="0"/>
        <w:adjustRightInd w:val="0"/>
        <w:spacing w:before="60" w:after="60"/>
        <w:ind w:left="993" w:hanging="426"/>
        <w:outlineLvl w:val="9"/>
        <w:rPr>
          <w:rFonts w:cs="Arial"/>
          <w:sz w:val="20"/>
          <w:szCs w:val="20"/>
        </w:rPr>
      </w:pPr>
      <w:r w:rsidRPr="006103DD">
        <w:rPr>
          <w:rFonts w:cs="Arial"/>
          <w:sz w:val="20"/>
          <w:szCs w:val="20"/>
        </w:rPr>
        <w:t>Heislers, S. and Parry, G.D. 2007. Parks Victoria Technical Series – Number 53. Species diversity and composition of benthic infaunal communities found in Marine National Parks along the outer Victorian coast. A WWW publication accessed in 2016 at http://parkweb.vic.gov.au/__data/assets/pdf_file/0015/314520/19_2096.pdf Parks Victoria, Melbourne</w:t>
      </w:r>
    </w:p>
    <w:p w14:paraId="7AEE7F89"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Heyward, A., Jones, R., Meeuwig, J., Burns, K., Radford, B., Colquhoun, J., Cappo, M., Case, M. O’Leary, R., Fisher, R., Meekan, M. and Stowar, M. 2012. Monitoring Study S5 banks and Sholas, Montara 2011 Offshore banks Assessment Survey. Report for PTTEP Australasia (Ashmore Cartier) Pty. Ltd. Australian Institute of Marine Science. Townsville. </w:t>
      </w:r>
    </w:p>
    <w:p w14:paraId="2A9F9BEA"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Heyward, A., Moore, C., Radford, B. and Colquhoun, J. 2010. Monitoring Program for the Montara Well Release Timor Sea: Final Report on the Nature of Barracouta and Vulcan Shoals. Report prepared by the Australian Institute of Marine Science for PTTEP Australasia (Ashmore Cartier) Pty Ltd.</w:t>
      </w:r>
    </w:p>
    <w:p w14:paraId="482D1E46"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iCs/>
          <w:sz w:val="20"/>
          <w:szCs w:val="20"/>
          <w:lang w:val="en-US"/>
        </w:rPr>
        <w:t xml:space="preserve">Higgins, L.V. and Gass, L. 1993. Birth to weaning: parturition, duration of lactation, and attendance cycles of Australian sea lions (Neophoca cinerea). </w:t>
      </w:r>
      <w:r w:rsidRPr="006103DD">
        <w:rPr>
          <w:rFonts w:cs="Arial"/>
          <w:i/>
          <w:iCs/>
          <w:sz w:val="20"/>
          <w:szCs w:val="20"/>
          <w:lang w:val="en-US"/>
        </w:rPr>
        <w:t>Canadian Journal of Zoology</w:t>
      </w:r>
      <w:r w:rsidRPr="006103DD">
        <w:rPr>
          <w:rFonts w:cs="Arial"/>
          <w:iCs/>
          <w:sz w:val="20"/>
          <w:szCs w:val="20"/>
          <w:lang w:val="en-US"/>
        </w:rPr>
        <w:t>. 71:2047-2055.</w:t>
      </w:r>
    </w:p>
    <w:p w14:paraId="05EF3B1A" w14:textId="77777777" w:rsidR="009C6E0E" w:rsidRPr="006103DD" w:rsidRDefault="009C6E0E" w:rsidP="009C6E0E">
      <w:pPr>
        <w:pStyle w:val="BodyText"/>
        <w:spacing w:before="60" w:after="60"/>
        <w:ind w:left="993" w:hanging="426"/>
        <w:rPr>
          <w:rFonts w:cs="Arial"/>
          <w:szCs w:val="20"/>
        </w:rPr>
      </w:pPr>
      <w:r w:rsidRPr="006103DD">
        <w:rPr>
          <w:rFonts w:cs="Arial"/>
          <w:szCs w:val="20"/>
        </w:rPr>
        <w:t>Higgins, P.J. (ed.) 1999. Handbook of Australian, New Zealand and Antarctic Birds. Volume Four - Parrots to Dollarbird. Oxford University Press, Melbourne.</w:t>
      </w:r>
    </w:p>
    <w:p w14:paraId="45BAF57D"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Holdway, D.A. 2002. The acute and chronic effects of wastes associated with offshore oil and gas production on temperate and tropical marine ecological processes. </w:t>
      </w:r>
      <w:r w:rsidRPr="006103DD">
        <w:rPr>
          <w:rFonts w:cs="Arial"/>
          <w:i/>
          <w:sz w:val="20"/>
          <w:szCs w:val="20"/>
          <w:lang w:val="en-US"/>
        </w:rPr>
        <w:t>Marine Pollution Bulletin</w:t>
      </w:r>
      <w:r w:rsidRPr="006103DD">
        <w:rPr>
          <w:rFonts w:cs="Arial"/>
          <w:sz w:val="20"/>
          <w:szCs w:val="20"/>
          <w:lang w:val="en-US"/>
        </w:rPr>
        <w:t xml:space="preserve"> </w:t>
      </w:r>
      <w:r w:rsidRPr="006103DD">
        <w:rPr>
          <w:rFonts w:cs="Arial"/>
          <w:b/>
          <w:sz w:val="20"/>
          <w:szCs w:val="20"/>
          <w:lang w:val="en-US"/>
        </w:rPr>
        <w:t>44</w:t>
      </w:r>
      <w:r w:rsidRPr="006103DD">
        <w:rPr>
          <w:rFonts w:cs="Arial"/>
          <w:sz w:val="20"/>
          <w:szCs w:val="20"/>
          <w:lang w:val="en-US"/>
        </w:rPr>
        <w:t xml:space="preserve">:185–203. </w:t>
      </w:r>
    </w:p>
    <w:p w14:paraId="30689A39" w14:textId="77777777" w:rsidR="009C6E0E" w:rsidRPr="006103DD" w:rsidRDefault="009C6E0E" w:rsidP="009C6E0E">
      <w:pPr>
        <w:spacing w:before="60" w:after="60"/>
        <w:ind w:left="993" w:hanging="426"/>
        <w:outlineLvl w:val="9"/>
        <w:rPr>
          <w:rFonts w:cs="Arial"/>
          <w:sz w:val="20"/>
          <w:szCs w:val="20"/>
          <w:lang w:val="en-GB"/>
        </w:rPr>
      </w:pPr>
      <w:r w:rsidRPr="006103DD">
        <w:rPr>
          <w:rFonts w:cs="Arial"/>
          <w:sz w:val="20"/>
          <w:szCs w:val="20"/>
          <w:lang w:val="en-GB"/>
        </w:rPr>
        <w:t xml:space="preserve">Hook, S., Batley, G., Holloway, M., Irving, P. and Ross, A. 2016. Oil Spill Monitoring Handbook. CSIRO Publishing. Melbourne. </w:t>
      </w:r>
    </w:p>
    <w:p w14:paraId="37F14012" w14:textId="77777777" w:rsidR="009C6E0E" w:rsidRPr="006103DD" w:rsidRDefault="009C6E0E" w:rsidP="009C6E0E">
      <w:pPr>
        <w:pStyle w:val="BodyText"/>
        <w:spacing w:before="60" w:after="60"/>
        <w:ind w:left="993" w:hanging="426"/>
        <w:rPr>
          <w:rFonts w:cs="Arial"/>
          <w:szCs w:val="20"/>
        </w:rPr>
      </w:pPr>
      <w:r w:rsidRPr="006103DD">
        <w:rPr>
          <w:rFonts w:cs="Arial"/>
          <w:szCs w:val="20"/>
        </w:rPr>
        <w:t>Horwood, J. 1987. The sei whale: Population biology, ecology, and management. Croom Helm, Sydney.</w:t>
      </w:r>
    </w:p>
    <w:p w14:paraId="3D33B154" w14:textId="77777777" w:rsidR="009C6E0E" w:rsidRDefault="009C6E0E" w:rsidP="009C6E0E">
      <w:pPr>
        <w:spacing w:before="60" w:after="60"/>
        <w:ind w:left="993" w:hanging="426"/>
        <w:outlineLvl w:val="9"/>
        <w:rPr>
          <w:rFonts w:cs="Arial"/>
          <w:sz w:val="20"/>
          <w:szCs w:val="20"/>
        </w:rPr>
      </w:pPr>
      <w:r w:rsidRPr="006103DD">
        <w:rPr>
          <w:rFonts w:cs="Arial"/>
          <w:sz w:val="20"/>
          <w:szCs w:val="20"/>
        </w:rPr>
        <w:t>Hume F., Hindell M.A., Pemberton D. and Gales R. 2004. Spatial and temporal variation in the diet of a high trophic level predator, the Australian fur seal (</w:t>
      </w:r>
      <w:r w:rsidRPr="006103DD">
        <w:rPr>
          <w:rFonts w:cs="Arial"/>
          <w:i/>
          <w:sz w:val="20"/>
          <w:szCs w:val="20"/>
        </w:rPr>
        <w:t>Arctocephalus pusillus doriferus</w:t>
      </w:r>
      <w:r w:rsidRPr="006103DD">
        <w:rPr>
          <w:rFonts w:cs="Arial"/>
          <w:sz w:val="20"/>
          <w:szCs w:val="20"/>
        </w:rPr>
        <w:t xml:space="preserve">). </w:t>
      </w:r>
      <w:r w:rsidRPr="006103DD">
        <w:rPr>
          <w:rFonts w:cs="Arial"/>
          <w:i/>
          <w:sz w:val="20"/>
          <w:szCs w:val="20"/>
        </w:rPr>
        <w:t>Marine biology</w:t>
      </w:r>
      <w:r w:rsidRPr="006103DD">
        <w:rPr>
          <w:rFonts w:cs="Arial"/>
          <w:sz w:val="20"/>
          <w:szCs w:val="20"/>
        </w:rPr>
        <w:t xml:space="preserve">. </w:t>
      </w:r>
      <w:r w:rsidRPr="006103DD">
        <w:rPr>
          <w:rFonts w:cs="Arial"/>
          <w:b/>
          <w:sz w:val="20"/>
          <w:szCs w:val="20"/>
        </w:rPr>
        <w:t>144</w:t>
      </w:r>
      <w:r w:rsidRPr="006103DD">
        <w:rPr>
          <w:rFonts w:cs="Arial"/>
          <w:sz w:val="20"/>
          <w:szCs w:val="20"/>
        </w:rPr>
        <w:t>(3):407-415.</w:t>
      </w:r>
    </w:p>
    <w:p w14:paraId="5931E84C"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IPIECA. 1999. Biological Impacts of Oil Pollution: Sedimentary Shores. International Petroleum Industry Environmental Conservation Association. London.  </w:t>
      </w:r>
    </w:p>
    <w:p w14:paraId="5BE71596"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ITOPF. 2011a. Effects of Oil Pollution on the Marine Environment. Technical Information Paper 13.  The International Tanker Owners Pollution Federation Ltd. London.</w:t>
      </w:r>
    </w:p>
    <w:p w14:paraId="00FD3DC4" w14:textId="77777777" w:rsidR="009C6E0E" w:rsidRPr="00651FA5" w:rsidRDefault="009C6E0E" w:rsidP="009C6E0E">
      <w:pPr>
        <w:spacing w:before="60" w:after="60"/>
        <w:ind w:left="993" w:hanging="426"/>
        <w:outlineLvl w:val="9"/>
        <w:rPr>
          <w:rFonts w:cs="Arial"/>
          <w:sz w:val="20"/>
          <w:szCs w:val="20"/>
        </w:rPr>
      </w:pPr>
      <w:r w:rsidRPr="00651FA5">
        <w:rPr>
          <w:rFonts w:cs="Arial"/>
          <w:sz w:val="20"/>
          <w:szCs w:val="20"/>
        </w:rPr>
        <w:t>James, N.P., Reid, C.M., Bone. Y., Levings, A., Malcolm, I. (2013). The macroalgal carbonate factory at a cool-to-warm temperate transition, Southern Australia, Sedimentary Geology, Volume 291, 1 June 2013, Pages 1-26</w:t>
      </w:r>
    </w:p>
    <w:p w14:paraId="0E372F52" w14:textId="77777777" w:rsidR="009C6E0E" w:rsidRPr="00651FA5" w:rsidRDefault="009C6E0E" w:rsidP="009C6E0E">
      <w:pPr>
        <w:spacing w:before="60" w:after="60"/>
        <w:ind w:left="993" w:hanging="426"/>
        <w:outlineLvl w:val="9"/>
        <w:rPr>
          <w:rFonts w:cs="Arial"/>
          <w:sz w:val="20"/>
          <w:szCs w:val="20"/>
        </w:rPr>
      </w:pPr>
      <w:r w:rsidRPr="00651FA5">
        <w:rPr>
          <w:rFonts w:cs="Arial"/>
          <w:sz w:val="20"/>
          <w:szCs w:val="20"/>
        </w:rPr>
        <w:t>James, N.P. and Bone, Y (2010) – Neritic Carbonate Sediments in a Temperate Realm, DOI 10.1007/978-90-481-9289-2_10</w:t>
      </w:r>
    </w:p>
    <w:p w14:paraId="761F0938"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iCs/>
          <w:sz w:val="20"/>
          <w:szCs w:val="20"/>
          <w:lang w:val="en-US"/>
        </w:rPr>
        <w:t xml:space="preserve">Jenssen, B.M. 1994. Effects of Oil Pollution, Chemically Treated Oil, and Cleaning on the Thermal Balance of Birds. </w:t>
      </w:r>
      <w:r w:rsidRPr="006103DD">
        <w:rPr>
          <w:rFonts w:cs="Arial"/>
          <w:i/>
          <w:iCs/>
          <w:sz w:val="20"/>
          <w:szCs w:val="20"/>
          <w:lang w:val="en-US"/>
        </w:rPr>
        <w:t>Environmental Pollution</w:t>
      </w:r>
      <w:r w:rsidRPr="006103DD">
        <w:rPr>
          <w:rFonts w:cs="Arial"/>
          <w:iCs/>
          <w:sz w:val="20"/>
          <w:szCs w:val="20"/>
          <w:lang w:val="en-US"/>
        </w:rPr>
        <w:t>, 86:</w:t>
      </w:r>
      <w:r w:rsidRPr="006103DD">
        <w:rPr>
          <w:rFonts w:cs="Arial"/>
          <w:sz w:val="20"/>
          <w:szCs w:val="20"/>
          <w:lang w:val="en-US"/>
        </w:rPr>
        <w:t>207–215.</w:t>
      </w:r>
    </w:p>
    <w:p w14:paraId="1FB1AA09" w14:textId="77777777" w:rsidR="009C6E0E" w:rsidRPr="006103DD" w:rsidRDefault="009C6E0E" w:rsidP="009C6E0E">
      <w:pPr>
        <w:pStyle w:val="BodyText"/>
        <w:spacing w:before="60" w:after="60"/>
        <w:ind w:left="1134" w:hanging="567"/>
        <w:rPr>
          <w:rFonts w:cs="Arial"/>
          <w:szCs w:val="20"/>
          <w:lang w:eastAsia="en-US"/>
        </w:rPr>
      </w:pPr>
      <w:r w:rsidRPr="006103DD">
        <w:rPr>
          <w:rFonts w:cs="Arial"/>
          <w:szCs w:val="20"/>
          <w:lang w:eastAsia="en-US"/>
        </w:rPr>
        <w:t>Jones, I.S.F. and Padman. L. 1983. Semi-diurnal internal tides in eastern Bass Strait, Aust. J. Mar. Freshw. Res., 34, 159-171</w:t>
      </w:r>
    </w:p>
    <w:p w14:paraId="7DD4E0BA" w14:textId="77777777" w:rsidR="009C6E0E"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Jung, J. 2011. Biomarker Responses in Pelagic and Benthic Fish Over One Year Following the Hebei Spirit Oil Spill (Taean, Korea). </w:t>
      </w:r>
      <w:r w:rsidRPr="006103DD">
        <w:rPr>
          <w:rFonts w:cs="Arial"/>
          <w:i/>
          <w:sz w:val="20"/>
          <w:szCs w:val="20"/>
          <w:lang w:val="en-US"/>
        </w:rPr>
        <w:t>Marine Pollution Bulletin</w:t>
      </w:r>
      <w:r w:rsidRPr="006103DD">
        <w:rPr>
          <w:rFonts w:cs="Arial"/>
          <w:sz w:val="20"/>
          <w:szCs w:val="20"/>
          <w:lang w:val="en-US"/>
        </w:rPr>
        <w:t>. 62(8):1859–1866.</w:t>
      </w:r>
    </w:p>
    <w:p w14:paraId="6ABE2805" w14:textId="77777777" w:rsidR="009C6E0E" w:rsidRPr="000425E0" w:rsidRDefault="009C6E0E" w:rsidP="009C6E0E">
      <w:pPr>
        <w:pStyle w:val="MediumGrid1-Accent21"/>
        <w:spacing w:before="60" w:after="60" w:line="240" w:lineRule="auto"/>
        <w:ind w:left="993" w:hanging="426"/>
        <w:jc w:val="left"/>
        <w:rPr>
          <w:rFonts w:cs="Arial"/>
          <w:iCs/>
          <w:sz w:val="20"/>
          <w:szCs w:val="20"/>
          <w:lang w:val="en-US"/>
        </w:rPr>
      </w:pPr>
      <w:r w:rsidRPr="00FA36A5">
        <w:rPr>
          <w:rFonts w:cs="Arial"/>
          <w:sz w:val="20"/>
          <w:szCs w:val="20"/>
        </w:rPr>
        <w:t>Kailola, P.J., Williams, M.J., Stewart, P.C., Reighelt, R.E., McNee, A., and Grieve, C. (1993) – Australian Fisheries Resources, Published by the Bureau of Resource Sciences, Department of Primary Industries and Fisheries and the Fisheries Research and Development Corporation, Canberra, Australia</w:t>
      </w:r>
    </w:p>
    <w:p w14:paraId="1C1229C0" w14:textId="77777777" w:rsidR="009C6E0E" w:rsidRPr="006103DD" w:rsidRDefault="009C6E0E" w:rsidP="009C6E0E">
      <w:pPr>
        <w:pStyle w:val="BodyText"/>
        <w:spacing w:before="60" w:after="60"/>
        <w:ind w:left="993" w:hanging="426"/>
        <w:rPr>
          <w:rFonts w:cs="Arial"/>
          <w:szCs w:val="20"/>
        </w:rPr>
      </w:pPr>
      <w:r w:rsidRPr="006103DD">
        <w:rPr>
          <w:rFonts w:cs="Arial"/>
          <w:szCs w:val="20"/>
        </w:rPr>
        <w:t xml:space="preserve">Kasamatsu, F., Ensor, P. and Joyce, G. 1998. Clustering and aggregations of minke whales in the Antarctic feeding grounds. </w:t>
      </w:r>
      <w:r w:rsidRPr="006103DD">
        <w:rPr>
          <w:rFonts w:cs="Arial"/>
          <w:i/>
          <w:szCs w:val="20"/>
        </w:rPr>
        <w:t>Marine Ecology Progress Series</w:t>
      </w:r>
      <w:r w:rsidRPr="006103DD">
        <w:rPr>
          <w:rFonts w:cs="Arial"/>
          <w:szCs w:val="20"/>
        </w:rPr>
        <w:t xml:space="preserve"> </w:t>
      </w:r>
      <w:r w:rsidRPr="006103DD">
        <w:rPr>
          <w:rFonts w:cs="Arial"/>
          <w:b/>
          <w:szCs w:val="20"/>
        </w:rPr>
        <w:t>168</w:t>
      </w:r>
      <w:r w:rsidRPr="006103DD">
        <w:rPr>
          <w:rFonts w:cs="Arial"/>
          <w:szCs w:val="20"/>
        </w:rPr>
        <w:t>:1-11.</w:t>
      </w:r>
    </w:p>
    <w:p w14:paraId="7FD86DBB"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Kennish, M.J. 1996. Practical Handbook of Estuarine and Marine Pollution. CRC Press. Florida. </w:t>
      </w:r>
    </w:p>
    <w:p w14:paraId="2CF6ADF9" w14:textId="77777777" w:rsidR="009C6E0E" w:rsidRPr="006103DD" w:rsidRDefault="009C6E0E" w:rsidP="009C6E0E">
      <w:pPr>
        <w:pStyle w:val="BodyText"/>
        <w:spacing w:before="60" w:after="60"/>
        <w:ind w:left="993" w:hanging="426"/>
        <w:rPr>
          <w:rFonts w:cs="Arial"/>
          <w:szCs w:val="20"/>
        </w:rPr>
      </w:pPr>
      <w:r w:rsidRPr="006103DD">
        <w:rPr>
          <w:rFonts w:cs="Arial"/>
          <w:szCs w:val="20"/>
        </w:rPr>
        <w:lastRenderedPageBreak/>
        <w:t xml:space="preserve">Kimmerer, W.J. and McKinnon, A.D. 1984. Zooplankton Abundances in Bass Strait and Western Victorian Shelf Waters. March 1983. </w:t>
      </w:r>
      <w:r w:rsidRPr="006103DD">
        <w:rPr>
          <w:rFonts w:cs="Arial"/>
          <w:i/>
          <w:szCs w:val="20"/>
        </w:rPr>
        <w:t>Proc. Royal Soc. Vict</w:t>
      </w:r>
      <w:r w:rsidRPr="006103DD">
        <w:rPr>
          <w:rFonts w:cs="Arial"/>
          <w:szCs w:val="20"/>
        </w:rPr>
        <w:t>. 96:161-167.</w:t>
      </w:r>
    </w:p>
    <w:p w14:paraId="0E7CF9DC" w14:textId="77777777" w:rsidR="009C6E0E" w:rsidRPr="006103DD" w:rsidRDefault="009C6E0E" w:rsidP="009C6E0E">
      <w:pPr>
        <w:pStyle w:val="BodyText"/>
        <w:spacing w:before="60" w:after="60"/>
        <w:ind w:left="993" w:hanging="426"/>
        <w:rPr>
          <w:rFonts w:cs="Arial"/>
          <w:szCs w:val="20"/>
        </w:rPr>
      </w:pPr>
      <w:r w:rsidRPr="006103DD">
        <w:rPr>
          <w:rFonts w:cs="Arial"/>
          <w:szCs w:val="20"/>
        </w:rPr>
        <w:t xml:space="preserve">Kirkwood, R., Warneke, R.M., Arnould. J.P. 2009. Recolonization of Bass Strait, Australia, by the New Zealand fur seal, </w:t>
      </w:r>
      <w:r w:rsidRPr="006103DD">
        <w:rPr>
          <w:rFonts w:cs="Arial"/>
          <w:i/>
          <w:szCs w:val="20"/>
        </w:rPr>
        <w:t>Arctocephalus forsteri</w:t>
      </w:r>
      <w:r w:rsidRPr="006103DD">
        <w:rPr>
          <w:rFonts w:cs="Arial"/>
          <w:szCs w:val="20"/>
        </w:rPr>
        <w:t xml:space="preserve">. </w:t>
      </w:r>
      <w:r w:rsidRPr="006103DD">
        <w:rPr>
          <w:rFonts w:cs="Arial"/>
          <w:i/>
          <w:szCs w:val="20"/>
        </w:rPr>
        <w:t>Marine Mammal Science</w:t>
      </w:r>
      <w:r w:rsidRPr="006103DD">
        <w:rPr>
          <w:rFonts w:cs="Arial"/>
          <w:szCs w:val="20"/>
        </w:rPr>
        <w:t xml:space="preserve"> </w:t>
      </w:r>
      <w:r w:rsidRPr="006103DD">
        <w:rPr>
          <w:rFonts w:cs="Arial"/>
          <w:b/>
          <w:szCs w:val="20"/>
        </w:rPr>
        <w:t>25</w:t>
      </w:r>
      <w:r w:rsidRPr="006103DD">
        <w:rPr>
          <w:rFonts w:cs="Arial"/>
          <w:szCs w:val="20"/>
        </w:rPr>
        <w:t>(2):441–449.</w:t>
      </w:r>
    </w:p>
    <w:p w14:paraId="6B8A1C93"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Kooyman, G.L., R.L. Gentry and W.B. McAllister. 1976. Physiological impact of oil on pinnipeds. Report N.W. Fisheries Center, Natl. Mar. Fish. Serv. Seattle, WA. 23 pp.</w:t>
      </w:r>
    </w:p>
    <w:p w14:paraId="2C772153"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Kooyman, G.L., R.W. Davis and M.A. Castellini. 1977. Thermal conductance of immersed pinniped and sea otter pelts before and after oiling with Prudhoe Bay crude. pp. 151-157. In </w:t>
      </w:r>
      <w:r w:rsidRPr="006103DD">
        <w:rPr>
          <w:rFonts w:cs="Arial"/>
          <w:i/>
          <w:sz w:val="20"/>
          <w:szCs w:val="20"/>
          <w:lang w:val="en-US"/>
        </w:rPr>
        <w:t>Fate and Effects of Petroleum Hydrocarbons in Marine Ecosystems and Organisms</w:t>
      </w:r>
      <w:r w:rsidRPr="006103DD">
        <w:rPr>
          <w:rFonts w:cs="Arial"/>
          <w:sz w:val="20"/>
          <w:szCs w:val="20"/>
          <w:lang w:val="en-US"/>
        </w:rPr>
        <w:t>. D.A. Wolfe (ed.). Pergammon Press, New York, New York.</w:t>
      </w:r>
    </w:p>
    <w:p w14:paraId="7146329C" w14:textId="77777777" w:rsidR="009C6E0E" w:rsidRPr="006103DD" w:rsidRDefault="009C6E0E" w:rsidP="009C6E0E">
      <w:pPr>
        <w:pStyle w:val="BodyText"/>
        <w:spacing w:before="60" w:after="60"/>
        <w:ind w:left="993" w:hanging="426"/>
        <w:rPr>
          <w:rFonts w:cs="Arial"/>
          <w:szCs w:val="20"/>
        </w:rPr>
      </w:pPr>
      <w:r w:rsidRPr="006103DD">
        <w:rPr>
          <w:rFonts w:cs="Arial"/>
          <w:szCs w:val="20"/>
        </w:rPr>
        <w:t xml:space="preserve">Laist, D.W., Knowlton, A.R., Mead, J.G., Collet, A.S., &amp; Podesta, M. 2001. Collisions between Ships and Whales. </w:t>
      </w:r>
      <w:r w:rsidRPr="006103DD">
        <w:rPr>
          <w:rFonts w:cs="Arial"/>
          <w:i/>
          <w:szCs w:val="20"/>
        </w:rPr>
        <w:t xml:space="preserve">Marine Mammal Science </w:t>
      </w:r>
      <w:r w:rsidRPr="006103DD">
        <w:rPr>
          <w:rFonts w:cs="Arial"/>
          <w:b/>
          <w:szCs w:val="20"/>
        </w:rPr>
        <w:t>17</w:t>
      </w:r>
      <w:r w:rsidRPr="006103DD">
        <w:rPr>
          <w:rFonts w:cs="Arial"/>
          <w:szCs w:val="20"/>
        </w:rPr>
        <w:t>(1): 35-75.</w:t>
      </w:r>
    </w:p>
    <w:p w14:paraId="2D107320"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Lamandella, R., Strutt, S., Borglin, S., Chakraboty, R., Tas, N., Mason, O.U., Hultman, J., Prestat, E., Hazen, T.C. and Jansson, J.K. 2014. Assessment of the Deepwater Horizon oil spill impact on Gulf coast microbial communities. </w:t>
      </w:r>
      <w:r w:rsidRPr="006103DD">
        <w:rPr>
          <w:rFonts w:cs="Arial"/>
          <w:i/>
          <w:sz w:val="20"/>
          <w:szCs w:val="20"/>
          <w:lang w:val="en-US"/>
        </w:rPr>
        <w:t>Front. Microbiol</w:t>
      </w:r>
      <w:r w:rsidRPr="006103DD">
        <w:rPr>
          <w:rFonts w:cs="Arial"/>
          <w:sz w:val="20"/>
          <w:szCs w:val="20"/>
          <w:lang w:val="en-US"/>
        </w:rPr>
        <w:t xml:space="preserve">. 5:130. </w:t>
      </w:r>
    </w:p>
    <w:p w14:paraId="6B1D4E31"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Law, R.J. 1997. Hydrocarbons and PAH in Fish and Shellfish from Southwest Wales following the Sea Empress Oil Spill in 1996. International Oil Spill Conference Proceedings 1997 (1): 205–211.</w:t>
      </w:r>
    </w:p>
    <w:p w14:paraId="5E4D9726"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Lee, H.J., Shim, W.J., Lee, J. and Kim, G.B. 2011. Temporal and geographical trends in the genotoxic effects of marine sediments after accidental oil spill on the blood cells of striped beakperch (</w:t>
      </w:r>
      <w:r w:rsidRPr="006103DD">
        <w:rPr>
          <w:rFonts w:cs="Arial"/>
          <w:i/>
          <w:sz w:val="20"/>
          <w:szCs w:val="20"/>
          <w:lang w:val="en-US"/>
        </w:rPr>
        <w:t>Oplegnathus fasciatus</w:t>
      </w:r>
      <w:r w:rsidRPr="006103DD">
        <w:rPr>
          <w:rFonts w:cs="Arial"/>
          <w:sz w:val="20"/>
          <w:szCs w:val="20"/>
          <w:lang w:val="en-US"/>
        </w:rPr>
        <w:t xml:space="preserve">). </w:t>
      </w:r>
      <w:r w:rsidRPr="006103DD">
        <w:rPr>
          <w:rFonts w:cs="Arial"/>
          <w:i/>
          <w:sz w:val="20"/>
          <w:szCs w:val="20"/>
          <w:lang w:val="en-US"/>
        </w:rPr>
        <w:t>Marine Pollution Bulletin</w:t>
      </w:r>
      <w:r w:rsidRPr="006103DD">
        <w:rPr>
          <w:rFonts w:cs="Arial"/>
          <w:sz w:val="20"/>
          <w:szCs w:val="20"/>
          <w:lang w:val="en-US"/>
        </w:rPr>
        <w:t xml:space="preserve"> </w:t>
      </w:r>
      <w:r w:rsidRPr="006103DD">
        <w:rPr>
          <w:rFonts w:cs="Arial"/>
          <w:b/>
          <w:sz w:val="20"/>
          <w:szCs w:val="20"/>
          <w:lang w:val="en-US"/>
        </w:rPr>
        <w:t>62</w:t>
      </w:r>
      <w:r w:rsidRPr="006103DD">
        <w:rPr>
          <w:rFonts w:cs="Arial"/>
          <w:sz w:val="20"/>
          <w:szCs w:val="20"/>
          <w:lang w:val="en-US"/>
        </w:rPr>
        <w:t>:2264–2268.</w:t>
      </w:r>
    </w:p>
    <w:p w14:paraId="61AC75A1" w14:textId="77777777" w:rsidR="009C6E0E" w:rsidRPr="006103DD" w:rsidRDefault="009C6E0E" w:rsidP="009C6E0E">
      <w:pPr>
        <w:pStyle w:val="BodyText"/>
        <w:spacing w:before="60" w:after="60"/>
        <w:ind w:left="993" w:hanging="426"/>
        <w:rPr>
          <w:rFonts w:cs="Arial"/>
          <w:szCs w:val="20"/>
        </w:rPr>
      </w:pPr>
      <w:r w:rsidRPr="006103DD">
        <w:rPr>
          <w:rFonts w:cs="Arial"/>
          <w:szCs w:val="20"/>
        </w:rPr>
        <w:t xml:space="preserve">Levings, A.H. and Gill, P.C. 2010. ‘Seasonal winds drive water temperature cycle and migration patterns of southern Australian giant crab </w:t>
      </w:r>
      <w:r w:rsidRPr="006103DD">
        <w:rPr>
          <w:rFonts w:cs="Arial"/>
          <w:i/>
          <w:szCs w:val="20"/>
        </w:rPr>
        <w:t>Pseudocarcinus gigas</w:t>
      </w:r>
      <w:r w:rsidRPr="006103DD">
        <w:rPr>
          <w:rFonts w:cs="Arial"/>
          <w:szCs w:val="20"/>
        </w:rPr>
        <w:t xml:space="preserve">.’ In: </w:t>
      </w:r>
      <w:r w:rsidRPr="006103DD">
        <w:rPr>
          <w:rFonts w:cs="Arial"/>
          <w:i/>
          <w:szCs w:val="20"/>
        </w:rPr>
        <w:t>Biology and Management of Exploited Crab Populations under Climate Change</w:t>
      </w:r>
      <w:r w:rsidRPr="006103DD">
        <w:rPr>
          <w:rFonts w:cs="Arial"/>
          <w:szCs w:val="20"/>
        </w:rPr>
        <w:t>. Edited by G.H. Kruse, G.L. Eckert, R.J. Foy, R.N. Lipcius, B. Sainte-Marie, D.L. Stram and D. Woodby. Alaska Sea Grant, University of Alaska Fairbanks.</w:t>
      </w:r>
    </w:p>
    <w:p w14:paraId="30297FC0" w14:textId="77777777" w:rsidR="009C6E0E" w:rsidRPr="006103DD" w:rsidRDefault="009C6E0E" w:rsidP="009C6E0E">
      <w:pPr>
        <w:pStyle w:val="MediumGrid1-Accent21"/>
        <w:spacing w:before="60" w:after="60" w:line="240" w:lineRule="auto"/>
        <w:ind w:left="993" w:hanging="426"/>
        <w:jc w:val="left"/>
        <w:rPr>
          <w:rFonts w:cs="Arial"/>
          <w:iCs/>
          <w:sz w:val="20"/>
          <w:szCs w:val="20"/>
          <w:lang w:val="en-US"/>
        </w:rPr>
      </w:pPr>
      <w:r w:rsidRPr="006103DD">
        <w:rPr>
          <w:rFonts w:cs="Arial"/>
          <w:iCs/>
          <w:sz w:val="20"/>
          <w:szCs w:val="20"/>
          <w:lang w:val="en-US"/>
        </w:rPr>
        <w:t xml:space="preserve">Lewis, M. and Pryor, R. 2013. Toxicities of oils, dispersants and dispersed oils to algae and aquatic plants: Review and database value to resource sustainability. </w:t>
      </w:r>
      <w:r w:rsidRPr="006103DD">
        <w:rPr>
          <w:rFonts w:cs="Arial"/>
          <w:i/>
          <w:iCs/>
          <w:sz w:val="20"/>
          <w:szCs w:val="20"/>
          <w:lang w:val="en-US"/>
        </w:rPr>
        <w:t>Environmental Pollution</w:t>
      </w:r>
      <w:r w:rsidRPr="006103DD">
        <w:rPr>
          <w:rFonts w:cs="Arial"/>
          <w:iCs/>
          <w:sz w:val="20"/>
          <w:szCs w:val="20"/>
          <w:lang w:val="en-US"/>
        </w:rPr>
        <w:t xml:space="preserve"> 180:345–367.</w:t>
      </w:r>
    </w:p>
    <w:p w14:paraId="4316AF8F" w14:textId="77777777" w:rsidR="009C6E0E" w:rsidRPr="006103DD" w:rsidRDefault="009C6E0E" w:rsidP="009C6E0E">
      <w:pPr>
        <w:pStyle w:val="BodyText"/>
        <w:spacing w:before="60" w:after="60"/>
        <w:ind w:left="993" w:hanging="426"/>
        <w:rPr>
          <w:rFonts w:cs="Arial"/>
          <w:szCs w:val="20"/>
        </w:rPr>
      </w:pPr>
      <w:r w:rsidRPr="006103DD">
        <w:rPr>
          <w:rFonts w:cs="Arial"/>
          <w:szCs w:val="20"/>
        </w:rPr>
        <w:t xml:space="preserve">Limpus, C.J. 2008. A biological review of Australian Marine Turtles. 1. Loggerhead Turtle Carettacaretta (Linneaus). Queensland Environment Protection Agency. </w:t>
      </w:r>
    </w:p>
    <w:p w14:paraId="5859CD60" w14:textId="77777777" w:rsidR="009C6E0E" w:rsidRPr="006103DD" w:rsidRDefault="009C6E0E" w:rsidP="009C6E0E">
      <w:pPr>
        <w:pStyle w:val="BodyText"/>
        <w:spacing w:before="60" w:after="60"/>
        <w:ind w:left="993" w:hanging="426"/>
        <w:rPr>
          <w:rFonts w:cs="Arial"/>
          <w:szCs w:val="20"/>
        </w:rPr>
      </w:pPr>
      <w:r w:rsidRPr="006103DD">
        <w:rPr>
          <w:rFonts w:cs="Arial"/>
          <w:szCs w:val="20"/>
        </w:rPr>
        <w:t>Lindsey, T. R. 1986. The Seabirds of Australia. Angus and Robertson.</w:t>
      </w:r>
    </w:p>
    <w:p w14:paraId="0828C035" w14:textId="77777777" w:rsidR="009C6E0E" w:rsidRPr="006103DD" w:rsidRDefault="009C6E0E" w:rsidP="009C6E0E">
      <w:pPr>
        <w:pStyle w:val="BodyText"/>
        <w:spacing w:before="60" w:after="60"/>
        <w:ind w:left="993" w:hanging="426"/>
        <w:rPr>
          <w:rFonts w:cs="Arial"/>
          <w:szCs w:val="20"/>
        </w:rPr>
      </w:pPr>
      <w:r w:rsidRPr="006103DD">
        <w:rPr>
          <w:rFonts w:cs="Arial"/>
          <w:szCs w:val="20"/>
        </w:rPr>
        <w:t xml:space="preserve">Loyn, R.H., Lane, B.A., Chandler, C and Carr, G.W. 1986. Ecology of Orange-bellied Parrots </w:t>
      </w:r>
      <w:r w:rsidRPr="006103DD">
        <w:rPr>
          <w:rFonts w:cs="Arial"/>
          <w:i/>
          <w:szCs w:val="20"/>
        </w:rPr>
        <w:t>Neophema chrysogaster</w:t>
      </w:r>
      <w:r w:rsidRPr="006103DD">
        <w:rPr>
          <w:rFonts w:cs="Arial"/>
          <w:szCs w:val="20"/>
        </w:rPr>
        <w:t xml:space="preserve"> at their main remnant wintering site. </w:t>
      </w:r>
      <w:r w:rsidRPr="006103DD">
        <w:rPr>
          <w:rFonts w:cs="Arial"/>
          <w:i/>
          <w:szCs w:val="20"/>
        </w:rPr>
        <w:t>Emu</w:t>
      </w:r>
      <w:r w:rsidRPr="006103DD">
        <w:rPr>
          <w:rFonts w:cs="Arial"/>
          <w:szCs w:val="20"/>
        </w:rPr>
        <w:t xml:space="preserve">. </w:t>
      </w:r>
      <w:r w:rsidRPr="006103DD">
        <w:rPr>
          <w:rFonts w:cs="Arial"/>
          <w:b/>
          <w:szCs w:val="20"/>
        </w:rPr>
        <w:t>86</w:t>
      </w:r>
      <w:r w:rsidRPr="006103DD">
        <w:rPr>
          <w:rFonts w:cs="Arial"/>
          <w:szCs w:val="20"/>
        </w:rPr>
        <w:t>:195-206.</w:t>
      </w:r>
    </w:p>
    <w:p w14:paraId="1E626D0D" w14:textId="77777777" w:rsidR="009C6E0E" w:rsidRPr="006103DD" w:rsidRDefault="009C6E0E" w:rsidP="009C6E0E">
      <w:pPr>
        <w:autoSpaceDE w:val="0"/>
        <w:autoSpaceDN w:val="0"/>
        <w:adjustRightInd w:val="0"/>
        <w:spacing w:before="60" w:after="60"/>
        <w:ind w:left="993" w:hanging="426"/>
        <w:outlineLvl w:val="9"/>
        <w:rPr>
          <w:rFonts w:cs="Arial"/>
          <w:sz w:val="20"/>
          <w:szCs w:val="20"/>
        </w:rPr>
      </w:pPr>
      <w:r w:rsidRPr="006103DD">
        <w:rPr>
          <w:rFonts w:cs="Arial"/>
          <w:sz w:val="20"/>
          <w:szCs w:val="20"/>
        </w:rPr>
        <w:t>Mackay, A.I., Bailluel, F., Childerhouse, S, Donnelly, D, Harcourt, R, Parra, G.J.and Goldsworthy, S.D. (2015). Offshore migratory movement of southern right whales: addressing critical conservation and management needs. South Australian Research and Development Institute (Aquatic Sciences), Adelaide. SARDI Publication No. F2015/000526-1. SARDI Research Report Series No. 859. 40pp</w:t>
      </w:r>
    </w:p>
    <w:p w14:paraId="40FE3D40" w14:textId="77777777" w:rsidR="009C6E0E" w:rsidRPr="00284FCB" w:rsidRDefault="009C6E0E" w:rsidP="009C6E0E">
      <w:pPr>
        <w:spacing w:before="60" w:after="60"/>
        <w:ind w:left="993" w:hanging="426"/>
        <w:outlineLvl w:val="9"/>
        <w:rPr>
          <w:rFonts w:cs="Arial"/>
          <w:sz w:val="20"/>
          <w:szCs w:val="20"/>
          <w:lang w:eastAsia="en-US"/>
        </w:rPr>
      </w:pPr>
      <w:r w:rsidRPr="00284FCB">
        <w:rPr>
          <w:rFonts w:cs="Arial"/>
          <w:sz w:val="20"/>
          <w:szCs w:val="20"/>
          <w:lang w:eastAsia="en-US"/>
        </w:rPr>
        <w:t>Marquenie, J., Donners, M., Poot, H., Steckel, W., de Wit, B (2008) – Adapting the spectral composition of artificial lighting to safeguard the environment, Petroleum and Chemical Industry Conference Europe – Electrical and Instrumentation Applications, 2008, PCIC Europe 2008</w:t>
      </w:r>
    </w:p>
    <w:p w14:paraId="74809C8F"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McCauley, R. D. 1994. Seismic Survey. In: Environmental Implications of Offshore Oil and Gas Developments in Australia – the Findings of an Independent Scientific Review. Swan J.M., Neff J.M. and Young P.C. (eds). Australian Petroleum Exploration Association, Sydney. Pp 19-121.</w:t>
      </w:r>
    </w:p>
    <w:p w14:paraId="050311C3"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McCauley, R.D. and Duncan, A.J. 2001. Marine Acoustic Effects Study, Blue Whale Feeding Aggregations, Otway Basin, Bass Strait Victoria. Prepared for: Ecos Consulting. Curtin University Centre for Marine Science and Technology.</w:t>
      </w:r>
    </w:p>
    <w:p w14:paraId="61CD2A66" w14:textId="77777777" w:rsidR="009C6E0E" w:rsidRPr="006103DD" w:rsidRDefault="009C6E0E" w:rsidP="009C6E0E">
      <w:pPr>
        <w:pStyle w:val="BodyText"/>
        <w:spacing w:before="60" w:after="60"/>
        <w:ind w:left="993" w:hanging="426"/>
        <w:rPr>
          <w:rFonts w:cs="Arial"/>
          <w:szCs w:val="20"/>
        </w:rPr>
      </w:pPr>
      <w:r w:rsidRPr="006103DD">
        <w:rPr>
          <w:rFonts w:cs="Arial"/>
          <w:szCs w:val="20"/>
        </w:rPr>
        <w:t xml:space="preserve">McInnes, K. L. and Hubbert, G. D. 2003. A numerical modelling study of storm surges in Bass Strait. </w:t>
      </w:r>
      <w:r w:rsidRPr="006103DD">
        <w:rPr>
          <w:rFonts w:cs="Arial"/>
          <w:i/>
          <w:szCs w:val="20"/>
        </w:rPr>
        <w:t>Australian Meteorological Magazine</w:t>
      </w:r>
      <w:r w:rsidRPr="006103DD">
        <w:rPr>
          <w:rFonts w:cs="Arial"/>
          <w:szCs w:val="20"/>
        </w:rPr>
        <w:t xml:space="preserve"> 52(3). </w:t>
      </w:r>
    </w:p>
    <w:p w14:paraId="16E06C9D" w14:textId="77777777" w:rsidR="009C6E0E" w:rsidRPr="006103DD" w:rsidRDefault="009C6E0E" w:rsidP="009C6E0E">
      <w:pPr>
        <w:pStyle w:val="BodyText"/>
        <w:spacing w:before="60" w:after="60"/>
        <w:ind w:left="993" w:hanging="426"/>
        <w:rPr>
          <w:rFonts w:cs="Arial"/>
          <w:szCs w:val="20"/>
        </w:rPr>
      </w:pPr>
      <w:r w:rsidRPr="006103DD">
        <w:rPr>
          <w:rFonts w:cs="Arial"/>
          <w:szCs w:val="20"/>
        </w:rPr>
        <w:lastRenderedPageBreak/>
        <w:t xml:space="preserve">Middleton, J.F., Arthur, C., Van Ruth, P, Ward, T.M., McClean, J.L, Maltrud, M.E., Gill, P, Levings, A. and Middleton, S. 2007. El Nino Effects and Upwelling off South Australia. </w:t>
      </w:r>
      <w:r w:rsidRPr="006103DD">
        <w:rPr>
          <w:rFonts w:cs="Arial"/>
          <w:i/>
          <w:szCs w:val="20"/>
        </w:rPr>
        <w:t>Journal of Physical Oceanography</w:t>
      </w:r>
      <w:r w:rsidRPr="006103DD">
        <w:rPr>
          <w:rFonts w:cs="Arial"/>
          <w:szCs w:val="20"/>
        </w:rPr>
        <w:t xml:space="preserve"> </w:t>
      </w:r>
      <w:r w:rsidRPr="006103DD">
        <w:rPr>
          <w:rFonts w:cs="Arial"/>
          <w:b/>
          <w:szCs w:val="20"/>
        </w:rPr>
        <w:t>37</w:t>
      </w:r>
      <w:r w:rsidRPr="006103DD">
        <w:rPr>
          <w:rFonts w:cs="Arial"/>
          <w:szCs w:val="20"/>
        </w:rPr>
        <w:t>: 2,458–2,477.</w:t>
      </w:r>
    </w:p>
    <w:p w14:paraId="3AB3898B"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Milicich, M. J., Meekan, M. G. and Doherty, P. J. 1992. Larval supply: a good predictor of recruitment in three species of reef fish (Pomacentridae). </w:t>
      </w:r>
      <w:r w:rsidRPr="006103DD">
        <w:rPr>
          <w:rFonts w:cs="Arial"/>
          <w:i/>
          <w:sz w:val="20"/>
          <w:szCs w:val="20"/>
          <w:lang w:val="en-US"/>
        </w:rPr>
        <w:t>Mar Ecol Prog Ser</w:t>
      </w:r>
      <w:r w:rsidRPr="006103DD">
        <w:rPr>
          <w:rFonts w:cs="Arial"/>
          <w:sz w:val="20"/>
          <w:szCs w:val="20"/>
          <w:lang w:val="en-US"/>
        </w:rPr>
        <w:t>. 86: 153-166.</w:t>
      </w:r>
    </w:p>
    <w:p w14:paraId="14B0706A"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 xml:space="preserve">Minerals Management Service. 1983. Draft Environmental Impact Statement. Proposed 1983 Outer Continental Shelf Oil and Gas Lease Sale Offshore Central California. Department of the Interior, Minerals Management Service. Los Angeles, California. </w:t>
      </w:r>
    </w:p>
    <w:p w14:paraId="4FD560F5" w14:textId="77777777" w:rsidR="009C6E0E" w:rsidRPr="006103DD" w:rsidRDefault="009C6E0E" w:rsidP="009C6E0E">
      <w:pPr>
        <w:pStyle w:val="BodyText"/>
        <w:spacing w:before="60" w:after="60"/>
        <w:ind w:left="993" w:hanging="426"/>
        <w:rPr>
          <w:rFonts w:cs="Arial"/>
          <w:szCs w:val="20"/>
        </w:rPr>
      </w:pPr>
      <w:r w:rsidRPr="006103DD">
        <w:rPr>
          <w:rFonts w:cs="Arial"/>
          <w:szCs w:val="20"/>
        </w:rPr>
        <w:t xml:space="preserve">Mollet, H.F., Cliff, G., Pratt Jr, H.L. and Stevens, J.D. 2000. Reproductive Biology of the female shortfin mako, </w:t>
      </w:r>
      <w:r w:rsidRPr="006103DD">
        <w:rPr>
          <w:rFonts w:cs="Arial"/>
          <w:i/>
          <w:szCs w:val="20"/>
        </w:rPr>
        <w:t>Isurus oxyrinchus</w:t>
      </w:r>
      <w:r w:rsidRPr="006103DD">
        <w:rPr>
          <w:rFonts w:cs="Arial"/>
          <w:szCs w:val="20"/>
        </w:rPr>
        <w:t xml:space="preserve"> Rafinesque, 1820, with comments on the embryonic development of lamnoids. </w:t>
      </w:r>
      <w:r w:rsidRPr="006103DD">
        <w:rPr>
          <w:rFonts w:cs="Arial"/>
          <w:i/>
          <w:szCs w:val="20"/>
        </w:rPr>
        <w:t>Fish. Bull</w:t>
      </w:r>
      <w:r w:rsidRPr="006103DD">
        <w:rPr>
          <w:rFonts w:cs="Arial"/>
          <w:szCs w:val="20"/>
        </w:rPr>
        <w:t xml:space="preserve">. </w:t>
      </w:r>
      <w:r w:rsidRPr="006103DD">
        <w:rPr>
          <w:rFonts w:cs="Arial"/>
          <w:b/>
          <w:szCs w:val="20"/>
        </w:rPr>
        <w:t>98</w:t>
      </w:r>
      <w:r w:rsidRPr="006103DD">
        <w:rPr>
          <w:rFonts w:cs="Arial"/>
          <w:szCs w:val="20"/>
        </w:rPr>
        <w:t>: 299-318.</w:t>
      </w:r>
    </w:p>
    <w:p w14:paraId="2EFC7460" w14:textId="77777777" w:rsidR="009C6E0E" w:rsidRPr="006103DD" w:rsidRDefault="009C6E0E" w:rsidP="009C6E0E">
      <w:pPr>
        <w:pStyle w:val="BodyText"/>
        <w:spacing w:before="60" w:after="60"/>
        <w:ind w:left="993" w:hanging="426"/>
        <w:rPr>
          <w:rFonts w:cs="Arial"/>
          <w:szCs w:val="20"/>
        </w:rPr>
      </w:pPr>
      <w:r w:rsidRPr="006103DD">
        <w:rPr>
          <w:rFonts w:cs="Arial"/>
          <w:szCs w:val="20"/>
        </w:rPr>
        <w:t>Morrice, M.G., Gill, P.C., Hughes, J. and Levings, A.H. 2004. Summary of mitigation aerial surveys for the Santos Ltd EPP32 seismic survey, 2-13 December 2003. Report # WEG-SO 02/2004, Whale Ecology Group-Southern Ocean, Deakin University.</w:t>
      </w:r>
    </w:p>
    <w:p w14:paraId="26094285" w14:textId="77777777" w:rsidR="009C6E0E" w:rsidRPr="006103DD" w:rsidRDefault="009C6E0E" w:rsidP="009C6E0E">
      <w:pPr>
        <w:pStyle w:val="BodyText"/>
        <w:spacing w:before="60" w:after="60"/>
        <w:ind w:left="993" w:hanging="426"/>
        <w:rPr>
          <w:rFonts w:cs="Arial"/>
          <w:szCs w:val="20"/>
        </w:rPr>
      </w:pPr>
      <w:r w:rsidRPr="006103DD">
        <w:rPr>
          <w:rFonts w:cs="Arial"/>
          <w:szCs w:val="20"/>
        </w:rPr>
        <w:t>Mustoe, S.H. 2008. Killer Whale (</w:t>
      </w:r>
      <w:r w:rsidRPr="006103DD">
        <w:rPr>
          <w:rFonts w:cs="Arial"/>
          <w:i/>
          <w:szCs w:val="20"/>
        </w:rPr>
        <w:t>Orchinus orca</w:t>
      </w:r>
      <w:r w:rsidRPr="006103DD">
        <w:rPr>
          <w:rFonts w:cs="Arial"/>
          <w:szCs w:val="20"/>
        </w:rPr>
        <w:t xml:space="preserve">) sightings in Victoria. </w:t>
      </w:r>
      <w:r w:rsidRPr="006103DD">
        <w:rPr>
          <w:rFonts w:cs="Arial"/>
          <w:i/>
          <w:szCs w:val="20"/>
        </w:rPr>
        <w:t>Victorian Naturalist</w:t>
      </w:r>
      <w:r w:rsidRPr="006103DD">
        <w:rPr>
          <w:rFonts w:cs="Arial"/>
          <w:szCs w:val="20"/>
        </w:rPr>
        <w:t xml:space="preserve"> </w:t>
      </w:r>
      <w:r w:rsidRPr="006103DD">
        <w:rPr>
          <w:rFonts w:cs="Arial"/>
          <w:b/>
          <w:szCs w:val="20"/>
        </w:rPr>
        <w:t>125</w:t>
      </w:r>
      <w:r w:rsidRPr="006103DD">
        <w:rPr>
          <w:rFonts w:cs="Arial"/>
          <w:szCs w:val="20"/>
        </w:rPr>
        <w:t xml:space="preserve"> (3): 76-81.</w:t>
      </w:r>
    </w:p>
    <w:p w14:paraId="4C49B245" w14:textId="77777777" w:rsidR="009C6E0E" w:rsidRDefault="009C6E0E" w:rsidP="009C6E0E">
      <w:pPr>
        <w:pStyle w:val="BodyText"/>
        <w:spacing w:before="60" w:after="60"/>
        <w:ind w:left="1134" w:hanging="567"/>
        <w:rPr>
          <w:rFonts w:eastAsiaTheme="minorHAnsi" w:cs="Arial"/>
          <w:kern w:val="0"/>
          <w:szCs w:val="20"/>
          <w:lang w:eastAsia="en-US"/>
        </w:rPr>
      </w:pPr>
      <w:r w:rsidRPr="006103DD">
        <w:rPr>
          <w:rFonts w:eastAsiaTheme="minorHAnsi" w:cs="Arial"/>
          <w:kern w:val="0"/>
          <w:szCs w:val="20"/>
          <w:lang w:eastAsia="en-US"/>
        </w:rPr>
        <w:t>Mustoe, S. and Ross, G. 2004. SEARCH Australian Whales and Dolphins. Version 1. Australian Petroleum Production and Exploration Association and AES Applied Ecology Solutions Pty Ltd.</w:t>
      </w:r>
    </w:p>
    <w:p w14:paraId="4248E59F" w14:textId="77777777" w:rsidR="009C6E0E" w:rsidRDefault="009C6E0E" w:rsidP="009C6E0E">
      <w:pPr>
        <w:pStyle w:val="BodyText"/>
        <w:spacing w:before="60" w:after="60"/>
        <w:ind w:left="1134" w:hanging="567"/>
        <w:rPr>
          <w:rFonts w:eastAsiaTheme="minorHAnsi" w:cs="Arial"/>
          <w:kern w:val="0"/>
          <w:szCs w:val="20"/>
          <w:lang w:eastAsia="en-US"/>
        </w:rPr>
      </w:pPr>
      <w:r>
        <w:rPr>
          <w:rFonts w:eastAsiaTheme="minorHAnsi" w:cs="Arial"/>
          <w:kern w:val="0"/>
          <w:szCs w:val="20"/>
          <w:lang w:eastAsia="en-US"/>
        </w:rPr>
        <w:t>Nicol, S. &amp; Endo, Y. (1997) – Krill Fisheries of the world, FAO Fisheries Technical Paper 367 ISBN 92-5-104012-5</w:t>
      </w:r>
    </w:p>
    <w:p w14:paraId="019DD577" w14:textId="77777777" w:rsidR="009C6E0E" w:rsidRPr="006103DD" w:rsidRDefault="009C6E0E" w:rsidP="009C6E0E">
      <w:pPr>
        <w:pStyle w:val="BodyText"/>
        <w:spacing w:before="60" w:after="60"/>
        <w:ind w:left="1134" w:hanging="567"/>
        <w:rPr>
          <w:rFonts w:cs="Arial"/>
          <w:szCs w:val="20"/>
          <w:lang w:eastAsia="en-US"/>
        </w:rPr>
      </w:pPr>
      <w:r>
        <w:rPr>
          <w:rFonts w:eastAsiaTheme="minorHAnsi" w:cs="Arial"/>
          <w:kern w:val="0"/>
          <w:szCs w:val="20"/>
          <w:lang w:eastAsia="en-US"/>
        </w:rPr>
        <w:t>Nichol, S., &amp; Endo, Y. (1999) – Krill Fisheries: Development, management and ecosystem implications. Aquat. Living  Resour. 12 (2) (1999) 105-120</w:t>
      </w:r>
    </w:p>
    <w:p w14:paraId="1F12DB66"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 xml:space="preserve">Nieblas, A-E., Sloyan, B.M., Hobday, A.J., Coleman, R. and Richardson, A.J. 2009. Variability of biological production in low wind-forced regional upwelling systems: a case study off southeastern Australia. </w:t>
      </w:r>
      <w:r w:rsidRPr="006103DD">
        <w:rPr>
          <w:rFonts w:cs="Arial"/>
          <w:i/>
          <w:sz w:val="20"/>
          <w:szCs w:val="20"/>
        </w:rPr>
        <w:t>Limnol. Oceanogra.</w:t>
      </w:r>
      <w:r w:rsidRPr="006103DD">
        <w:rPr>
          <w:rFonts w:cs="Arial"/>
          <w:sz w:val="20"/>
          <w:szCs w:val="20"/>
        </w:rPr>
        <w:t xml:space="preserve"> </w:t>
      </w:r>
      <w:r w:rsidRPr="006103DD">
        <w:rPr>
          <w:rFonts w:cs="Arial"/>
          <w:b/>
          <w:sz w:val="20"/>
          <w:szCs w:val="20"/>
        </w:rPr>
        <w:t>54</w:t>
      </w:r>
      <w:r w:rsidRPr="006103DD">
        <w:rPr>
          <w:rFonts w:cs="Arial"/>
          <w:sz w:val="20"/>
          <w:szCs w:val="20"/>
        </w:rPr>
        <w:t>(5): 1548-1558.</w:t>
      </w:r>
    </w:p>
    <w:p w14:paraId="31778F21" w14:textId="77777777" w:rsidR="009C6E0E" w:rsidRPr="006103DD" w:rsidRDefault="009C6E0E" w:rsidP="009C6E0E">
      <w:pPr>
        <w:pStyle w:val="BodyText"/>
        <w:spacing w:before="60" w:after="60"/>
        <w:ind w:left="993" w:hanging="426"/>
        <w:rPr>
          <w:rFonts w:cs="Arial"/>
          <w:szCs w:val="20"/>
        </w:rPr>
      </w:pPr>
      <w:r w:rsidRPr="006103DD">
        <w:rPr>
          <w:rFonts w:cs="Arial"/>
          <w:szCs w:val="20"/>
        </w:rPr>
        <w:t>NMFS. 2001. Biological Opinion on the Endangered Species Act 1973 - Section 7 Consultation relating to the minerals management Service's (MMS) proposed approval of a development and production plan for the construction and operation of the Liberty project in the Beaufort Sea, Alaska. Consultation No. F/AKR/2001/00889. National Marine Fisheries Service, Alaska region, Office of protected resources. pp. 1-51.</w:t>
      </w:r>
    </w:p>
    <w:p w14:paraId="52BAB75F" w14:textId="77777777" w:rsidR="009C6E0E" w:rsidRPr="006103DD" w:rsidRDefault="009C6E0E" w:rsidP="009C6E0E">
      <w:pPr>
        <w:pStyle w:val="BodyText"/>
        <w:spacing w:before="60" w:after="60"/>
        <w:ind w:left="993" w:hanging="426"/>
        <w:rPr>
          <w:rFonts w:cs="Arial"/>
          <w:szCs w:val="20"/>
        </w:rPr>
      </w:pPr>
      <w:r w:rsidRPr="006103DD">
        <w:rPr>
          <w:rFonts w:cs="Arial"/>
          <w:szCs w:val="20"/>
        </w:rPr>
        <w:t xml:space="preserve">NMSC. 2010. Marine Incidents during 2009. Preliminary Data Analysis. A WWW database accessed at http://www.nmsc.gov.au. Australian National Marine Safety Committee.  </w:t>
      </w:r>
    </w:p>
    <w:p w14:paraId="6019998E"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NNTT. 2016a. Native Title claims map. A WWW database accessed in 2016 at http://www.nntt.gov.au/mediation-and-agreement-making-services/geospatial-services/maps/pages/national-maps.aspx. National Native Title Tribunal. Canberra.</w:t>
      </w:r>
    </w:p>
    <w:p w14:paraId="5124BD3E"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NNTT. 2016b. Extract from Register of Indigenous Land Use Agreements. A WWW database accessed in 2016 at http://www.nntt.gov.au/searchRegApps/NativeTitleRegisters/ILUA%20Register/1999/VIA1999.001/ILUARegisterExport.pdf. National Native Title Tribunal. Canberra.</w:t>
      </w:r>
    </w:p>
    <w:p w14:paraId="097CD981"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NOAA. 2002. Environmental Sensitivity Index Guidelines. Version 3. March 2002. National Oceanic and Atmospheric Administration. Washington. </w:t>
      </w:r>
    </w:p>
    <w:p w14:paraId="15B0E582" w14:textId="77777777" w:rsidR="009C6E0E" w:rsidRPr="006103DD" w:rsidRDefault="009C6E0E" w:rsidP="009C6E0E">
      <w:pPr>
        <w:pStyle w:val="MediumGrid1-Accent21"/>
        <w:spacing w:before="60" w:after="60" w:line="240" w:lineRule="auto"/>
        <w:ind w:left="993" w:hanging="426"/>
        <w:jc w:val="left"/>
        <w:rPr>
          <w:rFonts w:cs="Arial"/>
          <w:iCs/>
          <w:sz w:val="20"/>
          <w:szCs w:val="20"/>
          <w:lang w:val="en-US"/>
        </w:rPr>
      </w:pPr>
      <w:r w:rsidRPr="006103DD">
        <w:rPr>
          <w:rFonts w:cs="Arial"/>
          <w:iCs/>
          <w:sz w:val="20"/>
          <w:szCs w:val="20"/>
          <w:lang w:val="en-US"/>
        </w:rPr>
        <w:t>NOAA. 2013. Deepwater Horizon Oil Spill: Assessment of Potential Impacts on the Deep Soft-bottom Benthos. Interim data summary report. NOAA Technical Memorandum NOS NCCOS 166. National Oceanic and Atmospheric Administration. Washington.</w:t>
      </w:r>
    </w:p>
    <w:p w14:paraId="3E61762E" w14:textId="77777777" w:rsidR="009C6E0E" w:rsidRPr="006103DD" w:rsidRDefault="009C6E0E" w:rsidP="009C6E0E">
      <w:pPr>
        <w:pStyle w:val="BodyText"/>
        <w:spacing w:before="60" w:after="60"/>
        <w:ind w:left="1134" w:hanging="567"/>
        <w:rPr>
          <w:rFonts w:cs="Arial"/>
          <w:szCs w:val="20"/>
          <w:lang w:eastAsia="en-US"/>
        </w:rPr>
      </w:pPr>
      <w:r w:rsidRPr="006103DD">
        <w:rPr>
          <w:rFonts w:cs="Arial"/>
          <w:szCs w:val="20"/>
          <w:lang w:eastAsia="en-US"/>
        </w:rPr>
        <w:t xml:space="preserve">NOAA, 2017- </w:t>
      </w:r>
      <w:r w:rsidRPr="006103DD">
        <w:rPr>
          <w:rFonts w:cs="Arial"/>
          <w:szCs w:val="20"/>
        </w:rPr>
        <w:t xml:space="preserve">Automated Data Inquiry for Oil Spills (ADIOS) available at </w:t>
      </w:r>
      <w:hyperlink r:id="rId57" w:history="1">
        <w:r w:rsidRPr="006103DD">
          <w:rPr>
            <w:rStyle w:val="Hyperlink"/>
            <w:rFonts w:cs="Arial"/>
            <w:szCs w:val="20"/>
          </w:rPr>
          <w:t>http://response.restoration.noaa.gov/adios</w:t>
        </w:r>
      </w:hyperlink>
    </w:p>
    <w:p w14:paraId="3BFFA744"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Noad, M.J., Dunlop, R.A., Paton, D. and Kniest, H. 2011. Abundance estimates of the east Australian humpback whale population: 2010 survey and update. IWC Report SC/63/SH22.</w:t>
      </w:r>
    </w:p>
    <w:p w14:paraId="59C0AC66" w14:textId="77777777" w:rsidR="009C6E0E" w:rsidRPr="006103DD" w:rsidRDefault="009C6E0E" w:rsidP="009C6E0E">
      <w:pPr>
        <w:pStyle w:val="BodyText"/>
        <w:spacing w:before="60" w:after="60"/>
        <w:ind w:left="993" w:hanging="426"/>
        <w:rPr>
          <w:rFonts w:cs="Arial"/>
          <w:szCs w:val="20"/>
        </w:rPr>
      </w:pPr>
      <w:r w:rsidRPr="006103DD">
        <w:rPr>
          <w:rFonts w:cs="Arial"/>
          <w:szCs w:val="20"/>
        </w:rPr>
        <w:t xml:space="preserve">NOO. 2001.  South East Regional Marine Plan. Impacts on the Natural System. Prepared by Ecos Consulting Pty Ltd for the National Oceans Office. </w:t>
      </w:r>
    </w:p>
    <w:p w14:paraId="4FA2B6F2"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NOO. 2002. Ecosystems – Nature’s diversity: The South-east Regional Marine Plan Assessment Reports. National Oceans Office, Hobart, Tasmania.</w:t>
      </w:r>
    </w:p>
    <w:p w14:paraId="30513F5A" w14:textId="77777777" w:rsidR="009C6E0E" w:rsidRPr="006103DD" w:rsidRDefault="009C6E0E" w:rsidP="009C6E0E">
      <w:pPr>
        <w:autoSpaceDE w:val="0"/>
        <w:autoSpaceDN w:val="0"/>
        <w:adjustRightInd w:val="0"/>
        <w:spacing w:before="60" w:after="60"/>
        <w:ind w:left="993" w:hanging="426"/>
        <w:outlineLvl w:val="9"/>
        <w:rPr>
          <w:rFonts w:cs="Arial"/>
          <w:sz w:val="20"/>
          <w:szCs w:val="20"/>
        </w:rPr>
      </w:pPr>
      <w:r w:rsidRPr="006103DD">
        <w:rPr>
          <w:rFonts w:cs="Arial"/>
          <w:sz w:val="20"/>
          <w:szCs w:val="20"/>
        </w:rPr>
        <w:lastRenderedPageBreak/>
        <w:t>NOO. 2004. South-east Regional Marine Plan; Implementing Australia‟s Oceans Policy in the South-east Marine Region. National Oceans Office. Hobart.</w:t>
      </w:r>
    </w:p>
    <w:p w14:paraId="6E9FFAC0" w14:textId="77777777" w:rsidR="009C6E0E" w:rsidRPr="006103DD" w:rsidRDefault="009C6E0E" w:rsidP="009C6E0E">
      <w:pPr>
        <w:spacing w:before="60" w:after="60"/>
        <w:ind w:left="993" w:hanging="426"/>
        <w:outlineLvl w:val="9"/>
        <w:rPr>
          <w:rFonts w:cs="Arial"/>
          <w:sz w:val="20"/>
          <w:szCs w:val="20"/>
          <w:lang w:val="en-GB"/>
        </w:rPr>
      </w:pPr>
      <w:r w:rsidRPr="006103DD">
        <w:rPr>
          <w:rFonts w:cs="Arial"/>
          <w:sz w:val="20"/>
          <w:szCs w:val="20"/>
          <w:lang w:val="en-GB"/>
        </w:rPr>
        <w:t xml:space="preserve">NRC. 2003. Oil in the sea III. Inputs, Fates and Effects. The National Academies Press. Washington, D.C.  </w:t>
      </w:r>
    </w:p>
    <w:p w14:paraId="0A637B09" w14:textId="77777777" w:rsidR="009C6E0E" w:rsidRPr="00C2078D" w:rsidRDefault="009C6E0E" w:rsidP="009C6E0E">
      <w:pPr>
        <w:spacing w:before="60" w:after="60"/>
        <w:ind w:left="993" w:hanging="426"/>
        <w:outlineLvl w:val="9"/>
        <w:rPr>
          <w:rFonts w:cs="Arial"/>
          <w:sz w:val="20"/>
          <w:szCs w:val="20"/>
          <w:lang w:val="en-GB"/>
        </w:rPr>
      </w:pPr>
      <w:r w:rsidRPr="00C2078D">
        <w:rPr>
          <w:rFonts w:cs="Arial"/>
          <w:sz w:val="20"/>
          <w:szCs w:val="20"/>
          <w:lang w:val="en-US"/>
        </w:rPr>
        <w:t xml:space="preserve">NRDA. 2012. April 2012 Status Update for the Deepwater Horizon Oil Spill. A WWW publication accessed at: </w:t>
      </w:r>
      <w:hyperlink r:id="rId58" w:history="1">
        <w:r w:rsidRPr="00C2078D">
          <w:rPr>
            <w:rStyle w:val="Hyperlink"/>
            <w:rFonts w:cs="Arial"/>
            <w:sz w:val="20"/>
            <w:szCs w:val="20"/>
            <w:lang w:val="en-US"/>
          </w:rPr>
          <w:t>http://www.gulfspillrestoration.noaa.gov</w:t>
        </w:r>
      </w:hyperlink>
      <w:r w:rsidRPr="00C2078D">
        <w:rPr>
          <w:rFonts w:cs="Arial"/>
          <w:sz w:val="20"/>
          <w:szCs w:val="20"/>
          <w:lang w:val="en-US"/>
        </w:rPr>
        <w:t>. Natural Resource Damage Assessment</w:t>
      </w:r>
    </w:p>
    <w:p w14:paraId="2573AF4F"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O'Brian, P. and Dixon, P. 1976. The effects of oils and oil components on algae: A review. </w:t>
      </w:r>
      <w:r w:rsidRPr="006103DD">
        <w:rPr>
          <w:rFonts w:cs="Arial"/>
          <w:i/>
          <w:sz w:val="20"/>
          <w:szCs w:val="20"/>
          <w:lang w:val="en-US"/>
        </w:rPr>
        <w:t>British Phycological Journal</w:t>
      </w:r>
      <w:r w:rsidRPr="006103DD">
        <w:rPr>
          <w:rFonts w:cs="Arial"/>
          <w:sz w:val="20"/>
          <w:szCs w:val="20"/>
          <w:lang w:val="en-US"/>
        </w:rPr>
        <w:t xml:space="preserve"> 11:115–141.</w:t>
      </w:r>
    </w:p>
    <w:p w14:paraId="62193586" w14:textId="77777777" w:rsidR="009C6E0E" w:rsidRPr="006103DD" w:rsidRDefault="009C6E0E" w:rsidP="009C6E0E">
      <w:pPr>
        <w:autoSpaceDE w:val="0"/>
        <w:autoSpaceDN w:val="0"/>
        <w:adjustRightInd w:val="0"/>
        <w:spacing w:before="60" w:after="60"/>
        <w:ind w:left="993" w:hanging="426"/>
        <w:outlineLvl w:val="9"/>
        <w:rPr>
          <w:rFonts w:cs="Arial"/>
          <w:sz w:val="20"/>
          <w:szCs w:val="20"/>
        </w:rPr>
      </w:pPr>
      <w:r w:rsidRPr="006103DD">
        <w:rPr>
          <w:rFonts w:cs="Arial"/>
          <w:sz w:val="20"/>
          <w:szCs w:val="20"/>
        </w:rPr>
        <w:t xml:space="preserve">O'Hara, T. 2002. Endemism, rarity and vulnerability of marine species along a temperate coastline. </w:t>
      </w:r>
      <w:r w:rsidRPr="006103DD">
        <w:rPr>
          <w:rFonts w:cs="Arial"/>
          <w:i/>
          <w:sz w:val="20"/>
          <w:szCs w:val="20"/>
        </w:rPr>
        <w:t>Invertebrate Systematics</w:t>
      </w:r>
      <w:r w:rsidRPr="006103DD">
        <w:rPr>
          <w:rFonts w:cs="Arial"/>
          <w:sz w:val="20"/>
          <w:szCs w:val="20"/>
        </w:rPr>
        <w:t xml:space="preserve"> </w:t>
      </w:r>
      <w:r w:rsidRPr="006103DD">
        <w:rPr>
          <w:rFonts w:cs="Arial"/>
          <w:b/>
          <w:sz w:val="20"/>
          <w:szCs w:val="20"/>
        </w:rPr>
        <w:t>16</w:t>
      </w:r>
      <w:r w:rsidRPr="006103DD">
        <w:rPr>
          <w:rFonts w:cs="Arial"/>
          <w:sz w:val="20"/>
          <w:szCs w:val="20"/>
        </w:rPr>
        <w:t>: 671-684.</w:t>
      </w:r>
    </w:p>
    <w:p w14:paraId="7C274EFC" w14:textId="77777777" w:rsidR="009C6E0E" w:rsidRPr="006103DD" w:rsidRDefault="009C6E0E" w:rsidP="009C6E0E">
      <w:pPr>
        <w:spacing w:before="60" w:after="60"/>
        <w:ind w:left="993" w:hanging="426"/>
        <w:outlineLvl w:val="9"/>
        <w:rPr>
          <w:rFonts w:cs="Arial"/>
          <w:sz w:val="20"/>
          <w:szCs w:val="20"/>
        </w:rPr>
      </w:pPr>
      <w:r w:rsidRPr="006103DD">
        <w:rPr>
          <w:rFonts w:cs="Arial"/>
          <w:sz w:val="20"/>
          <w:szCs w:val="20"/>
        </w:rPr>
        <w:t>Oil Spill Response Atlas (OSRA) coastal sensitivity mapping.</w:t>
      </w:r>
    </w:p>
    <w:p w14:paraId="0B0E1CAD"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Oritsland, N.A. 1975. Insulation in marine mammals: the effect of crude oil on ringed seal pelts. pp. 48-67. In </w:t>
      </w:r>
      <w:r w:rsidRPr="006103DD">
        <w:rPr>
          <w:rFonts w:cs="Arial"/>
          <w:i/>
          <w:sz w:val="20"/>
          <w:szCs w:val="20"/>
          <w:lang w:val="en-US"/>
        </w:rPr>
        <w:t>The Effect of Contact and Ingestion of Crude Oil on Ringed Seals of the Beaufort Sea</w:t>
      </w:r>
      <w:r w:rsidRPr="006103DD">
        <w:rPr>
          <w:rFonts w:cs="Arial"/>
          <w:sz w:val="20"/>
          <w:szCs w:val="20"/>
          <w:lang w:val="en-US"/>
        </w:rPr>
        <w:t>. T.G. Smith and J.R. Geraci (eds.). Beaufort Sea Project. Inst. of Ocean Sci., Sidney, British Columbia. Technical Report No. 5.</w:t>
      </w:r>
    </w:p>
    <w:p w14:paraId="376EC787" w14:textId="77777777" w:rsidR="009C6E0E" w:rsidRPr="006103DD" w:rsidRDefault="009C6E0E" w:rsidP="009C6E0E">
      <w:pPr>
        <w:pStyle w:val="BodyText"/>
        <w:spacing w:before="60" w:after="60"/>
        <w:ind w:left="993" w:hanging="426"/>
        <w:rPr>
          <w:rFonts w:cs="Arial"/>
          <w:szCs w:val="20"/>
        </w:rPr>
      </w:pPr>
      <w:r w:rsidRPr="006103DD">
        <w:rPr>
          <w:rFonts w:cs="Arial"/>
          <w:szCs w:val="20"/>
        </w:rPr>
        <w:t>OSPAR. 2012. OSPAR guidelines in support of recommendation 2012/5 for risk-based approach to the management of produced water discharges from offshore installations. OSPAR Commission.</w:t>
      </w:r>
    </w:p>
    <w:p w14:paraId="2FE9661A" w14:textId="77777777" w:rsidR="009C6E0E" w:rsidRPr="006103DD" w:rsidRDefault="009C6E0E" w:rsidP="009C6E0E">
      <w:pPr>
        <w:pStyle w:val="BodyText"/>
        <w:spacing w:before="60" w:after="60"/>
        <w:ind w:left="992" w:hanging="425"/>
        <w:rPr>
          <w:rFonts w:cs="Arial"/>
          <w:szCs w:val="20"/>
        </w:rPr>
      </w:pPr>
      <w:r w:rsidRPr="006103DD">
        <w:rPr>
          <w:rFonts w:cs="Arial"/>
          <w:szCs w:val="20"/>
        </w:rPr>
        <w:t xml:space="preserve">Pade N. G., Queiroz N., Humphries N. E., Witt M. J., Jones C. S., Noble L. R., Sims D. W. 2009. First results from satellite-linked archival tagging of porbeagle shark, Lamna nasus: area fidelity, wider-scale movements and plasticity in diel depth changes. </w:t>
      </w:r>
      <w:r w:rsidRPr="006103DD">
        <w:rPr>
          <w:rFonts w:cs="Arial"/>
          <w:i/>
          <w:szCs w:val="20"/>
        </w:rPr>
        <w:t>Journal of Experimental Marine Biology and Ecology</w:t>
      </w:r>
      <w:r w:rsidRPr="006103DD">
        <w:rPr>
          <w:rFonts w:cs="Arial"/>
          <w:szCs w:val="20"/>
        </w:rPr>
        <w:t xml:space="preserve"> </w:t>
      </w:r>
      <w:r w:rsidRPr="006103DD">
        <w:rPr>
          <w:rFonts w:cs="Arial"/>
          <w:i/>
          <w:szCs w:val="20"/>
        </w:rPr>
        <w:t xml:space="preserve">2009 </w:t>
      </w:r>
      <w:r w:rsidRPr="006103DD">
        <w:rPr>
          <w:rFonts w:cs="Arial"/>
          <w:szCs w:val="20"/>
        </w:rPr>
        <w:t>370:64-74.</w:t>
      </w:r>
    </w:p>
    <w:p w14:paraId="3649C032" w14:textId="77777777" w:rsidR="009C6E0E" w:rsidRPr="006103DD" w:rsidRDefault="009C6E0E" w:rsidP="009C6E0E">
      <w:pPr>
        <w:pStyle w:val="BodyText"/>
        <w:spacing w:before="60" w:after="60"/>
        <w:ind w:left="992" w:hanging="425"/>
        <w:rPr>
          <w:rFonts w:cs="Arial"/>
          <w:szCs w:val="20"/>
        </w:rPr>
      </w:pPr>
      <w:r w:rsidRPr="006103DD">
        <w:rPr>
          <w:rFonts w:cs="Arial"/>
          <w:szCs w:val="20"/>
        </w:rPr>
        <w:t>ParksVic, 1998. Port Campbell National Park and Bay of Islands Coastal Park Management Plan. Parks Victoria, Melbourne.</w:t>
      </w:r>
    </w:p>
    <w:p w14:paraId="465F1F45" w14:textId="77777777" w:rsidR="009C6E0E" w:rsidRPr="006103DD" w:rsidRDefault="009C6E0E" w:rsidP="009C6E0E">
      <w:pPr>
        <w:spacing w:before="60" w:after="60"/>
        <w:ind w:left="992" w:hanging="425"/>
        <w:outlineLvl w:val="9"/>
        <w:rPr>
          <w:rFonts w:cs="Arial"/>
          <w:sz w:val="20"/>
          <w:szCs w:val="20"/>
        </w:rPr>
      </w:pPr>
      <w:r w:rsidRPr="006103DD">
        <w:rPr>
          <w:rFonts w:cs="Arial"/>
          <w:sz w:val="20"/>
          <w:szCs w:val="20"/>
        </w:rPr>
        <w:t xml:space="preserve">Patil, J., Gunasekera, R., McEnnulty, F. and Bax, N. 2004. Development of genetic probes for rapid assessment of the impacts of marine invasive species on native biodiversity – </w:t>
      </w:r>
      <w:r w:rsidRPr="006103DD">
        <w:rPr>
          <w:rFonts w:cs="Arial"/>
          <w:i/>
          <w:sz w:val="20"/>
          <w:szCs w:val="20"/>
        </w:rPr>
        <w:t>Maoricolpus roseus.</w:t>
      </w:r>
      <w:r w:rsidRPr="006103DD">
        <w:rPr>
          <w:rFonts w:cs="Arial"/>
          <w:sz w:val="20"/>
          <w:szCs w:val="20"/>
        </w:rPr>
        <w:t xml:space="preserve"> CSIRO. Hobart. </w:t>
      </w:r>
    </w:p>
    <w:p w14:paraId="4A3F837D" w14:textId="77777777" w:rsidR="009C6E0E" w:rsidRPr="006103DD" w:rsidRDefault="009C6E0E" w:rsidP="009C6E0E">
      <w:pPr>
        <w:spacing w:before="60" w:after="60"/>
        <w:ind w:left="992" w:hanging="425"/>
        <w:outlineLvl w:val="9"/>
        <w:rPr>
          <w:rFonts w:cs="Arial"/>
          <w:sz w:val="20"/>
          <w:szCs w:val="20"/>
        </w:rPr>
      </w:pPr>
      <w:r w:rsidRPr="006103DD">
        <w:rPr>
          <w:rFonts w:cs="Arial"/>
          <w:sz w:val="20"/>
          <w:szCs w:val="20"/>
        </w:rPr>
        <w:t xml:space="preserve">Patterson, H., Noriega, R., Georgeson, L., Stobutzki, I. and Curtotti, R. 2016. Fishery status reports 2016. Australian Bureau of Agricultural and Resource Economics and Sciences. Canberra. </w:t>
      </w:r>
    </w:p>
    <w:p w14:paraId="01A4420F" w14:textId="77777777" w:rsidR="009C6E0E" w:rsidRPr="006103DD" w:rsidRDefault="009C6E0E" w:rsidP="009C6E0E">
      <w:pPr>
        <w:pStyle w:val="BodyText"/>
        <w:spacing w:before="60" w:after="60"/>
        <w:ind w:left="992" w:hanging="425"/>
        <w:rPr>
          <w:rFonts w:cs="Arial"/>
          <w:szCs w:val="20"/>
        </w:rPr>
      </w:pPr>
      <w:r w:rsidRPr="006103DD">
        <w:rPr>
          <w:rFonts w:cs="Arial"/>
          <w:szCs w:val="20"/>
        </w:rPr>
        <w:t xml:space="preserve">Peel, D., Kelly, N., Smith, J., Childerhouse, S. 2016. National Environmental Science Program Project Project C5 – Scoping of Potential Species for Ship Strike Risk Analysis, Pressures and impacts. </w:t>
      </w:r>
    </w:p>
    <w:p w14:paraId="1586DF4A" w14:textId="77777777" w:rsidR="009C6E0E" w:rsidRPr="006103DD" w:rsidRDefault="009C6E0E" w:rsidP="009C6E0E">
      <w:pPr>
        <w:spacing w:before="60" w:after="60"/>
        <w:ind w:left="992" w:hanging="425"/>
        <w:outlineLvl w:val="9"/>
        <w:rPr>
          <w:rFonts w:cs="Arial"/>
          <w:sz w:val="20"/>
          <w:szCs w:val="20"/>
        </w:rPr>
      </w:pPr>
      <w:r w:rsidRPr="006103DD">
        <w:rPr>
          <w:rFonts w:cs="Arial"/>
          <w:sz w:val="20"/>
          <w:szCs w:val="20"/>
        </w:rPr>
        <w:t xml:space="preserve">Phillip Island Penguin Foundation. 2016. About little penguins. A WWW database accessed at https://penguinfoundation.org.au/about-little-penguins/. Phillip Island Penguin Foundation. Victoria. </w:t>
      </w:r>
    </w:p>
    <w:p w14:paraId="7230E94E" w14:textId="77777777" w:rsidR="009C6E0E" w:rsidRPr="006103DD" w:rsidRDefault="009C6E0E" w:rsidP="009C6E0E">
      <w:pPr>
        <w:pStyle w:val="BodyText"/>
        <w:spacing w:before="60" w:after="60"/>
        <w:ind w:left="992" w:hanging="425"/>
        <w:rPr>
          <w:rFonts w:cs="Arial"/>
          <w:szCs w:val="20"/>
        </w:rPr>
      </w:pPr>
      <w:r w:rsidRPr="006103DD">
        <w:rPr>
          <w:rFonts w:cs="Arial"/>
          <w:szCs w:val="20"/>
        </w:rPr>
        <w:t xml:space="preserve">Pinzone, G. 2013. Personal observations of resting seabirds on the </w:t>
      </w:r>
      <w:r w:rsidRPr="006103DD">
        <w:rPr>
          <w:rFonts w:cs="Arial"/>
          <w:i/>
          <w:szCs w:val="20"/>
        </w:rPr>
        <w:t>Stena Clyde</w:t>
      </w:r>
      <w:r w:rsidRPr="006103DD">
        <w:rPr>
          <w:rFonts w:cs="Arial"/>
          <w:szCs w:val="20"/>
        </w:rPr>
        <w:t xml:space="preserve"> semi-submersible drill rig. Kidukidu-1 well, Gulf of Papua. August 2013. Giulio Pinzone, Principal Environmental Consultant, Aventus Consulting Pty Ltd.  </w:t>
      </w:r>
    </w:p>
    <w:p w14:paraId="59734F5B" w14:textId="77777777" w:rsidR="009C6E0E" w:rsidRPr="006103DD" w:rsidRDefault="009C6E0E" w:rsidP="009C6E0E">
      <w:pPr>
        <w:spacing w:before="60" w:after="60"/>
        <w:ind w:left="992" w:hanging="425"/>
        <w:outlineLvl w:val="9"/>
        <w:rPr>
          <w:rFonts w:cs="Arial"/>
          <w:sz w:val="20"/>
          <w:szCs w:val="20"/>
        </w:rPr>
      </w:pPr>
      <w:r w:rsidRPr="006103DD">
        <w:rPr>
          <w:rFonts w:cs="Arial"/>
          <w:sz w:val="20"/>
          <w:szCs w:val="20"/>
        </w:rPr>
        <w:t>Plummer, A., Morris, L., Blake, S and Ball, D. 2003. Marine Natural Values Study, Victorian Marine National Parks and Sanctuaries. Parks Victoria Technical Series No. 1, Parks Victoria, Melbourne.</w:t>
      </w:r>
    </w:p>
    <w:p w14:paraId="37B83B96" w14:textId="77777777" w:rsidR="009C6E0E" w:rsidRPr="006103DD" w:rsidRDefault="009C6E0E" w:rsidP="009C6E0E">
      <w:pPr>
        <w:pStyle w:val="MediumGrid1-Accent21"/>
        <w:spacing w:before="60" w:after="60" w:line="240" w:lineRule="auto"/>
        <w:ind w:left="992" w:hanging="425"/>
        <w:jc w:val="left"/>
        <w:rPr>
          <w:rFonts w:cs="Arial"/>
          <w:sz w:val="20"/>
          <w:szCs w:val="20"/>
          <w:lang w:val="en-US"/>
        </w:rPr>
      </w:pPr>
      <w:r w:rsidRPr="006103DD">
        <w:rPr>
          <w:rFonts w:cs="Arial"/>
          <w:sz w:val="20"/>
          <w:szCs w:val="20"/>
        </w:rPr>
        <w:t>Poore, G.C.B., Wilson, R.S., Gomon, M. and Lu, C.C. 1985 Museum of Victoria Bass Strait Survey, 1979-1984. Museum of Victoria, Melbourne, Australia</w:t>
      </w:r>
      <w:r w:rsidRPr="006103DD">
        <w:rPr>
          <w:rFonts w:cs="Arial"/>
          <w:sz w:val="20"/>
          <w:szCs w:val="20"/>
          <w:lang w:val="en-US"/>
        </w:rPr>
        <w:t xml:space="preserve"> </w:t>
      </w:r>
    </w:p>
    <w:p w14:paraId="31D2C80E" w14:textId="77777777" w:rsidR="009C6E0E" w:rsidRPr="006103DD" w:rsidRDefault="009C6E0E" w:rsidP="009C6E0E">
      <w:pPr>
        <w:pStyle w:val="MediumGrid1-Accent21"/>
        <w:spacing w:before="60" w:after="60" w:line="240" w:lineRule="auto"/>
        <w:ind w:left="992" w:hanging="425"/>
        <w:jc w:val="left"/>
        <w:rPr>
          <w:rFonts w:cs="Arial"/>
          <w:sz w:val="20"/>
          <w:szCs w:val="20"/>
          <w:lang w:val="en-US"/>
        </w:rPr>
      </w:pPr>
    </w:p>
    <w:p w14:paraId="7E517D66" w14:textId="77777777" w:rsidR="009C6E0E" w:rsidRPr="006103DD" w:rsidRDefault="009C6E0E" w:rsidP="009C6E0E">
      <w:pPr>
        <w:pStyle w:val="MediumGrid1-Accent21"/>
        <w:spacing w:before="60" w:after="60" w:line="240" w:lineRule="auto"/>
        <w:ind w:left="992" w:hanging="425"/>
        <w:jc w:val="left"/>
        <w:rPr>
          <w:rFonts w:cs="Arial"/>
          <w:sz w:val="20"/>
          <w:szCs w:val="20"/>
          <w:lang w:val="en-US"/>
        </w:rPr>
      </w:pPr>
      <w:r w:rsidRPr="006103DD">
        <w:rPr>
          <w:rFonts w:cs="Arial"/>
          <w:sz w:val="20"/>
          <w:szCs w:val="20"/>
          <w:lang w:val="en-US"/>
        </w:rPr>
        <w:t xml:space="preserve">PTTEP. 2013. Montara Environmental Monitoring Program. Report of Research. A WWW publication accessed at: www.au.pttep.com/sustainable-development/environmental-monitoring. PTTEP Australasia. Perth. </w:t>
      </w:r>
    </w:p>
    <w:p w14:paraId="1744BABA" w14:textId="77777777" w:rsidR="009C6E0E" w:rsidRDefault="009C6E0E" w:rsidP="009C6E0E">
      <w:pPr>
        <w:pStyle w:val="BodyText"/>
        <w:spacing w:before="60" w:after="60"/>
        <w:ind w:left="992" w:hanging="425"/>
        <w:rPr>
          <w:rFonts w:cs="Arial"/>
          <w:color w:val="333333"/>
          <w:szCs w:val="20"/>
          <w:shd w:val="clear" w:color="auto" w:fill="FFFFFF"/>
        </w:rPr>
      </w:pPr>
      <w:r w:rsidRPr="006103DD">
        <w:rPr>
          <w:rFonts w:cs="Arial"/>
          <w:color w:val="333333"/>
          <w:szCs w:val="20"/>
          <w:shd w:val="clear" w:color="auto" w:fill="FFFFFF"/>
        </w:rPr>
        <w:t>Pulham, G. and Wilson, D. 2013. ‘Fairy tern.’ In</w:t>
      </w:r>
      <w:r w:rsidRPr="006103DD">
        <w:rPr>
          <w:rStyle w:val="apple-converted-space"/>
          <w:rFonts w:cs="Arial"/>
          <w:color w:val="333333"/>
          <w:szCs w:val="20"/>
          <w:shd w:val="clear" w:color="auto" w:fill="FFFFFF"/>
        </w:rPr>
        <w:t> </w:t>
      </w:r>
      <w:r w:rsidRPr="006103DD">
        <w:rPr>
          <w:rFonts w:cs="Arial"/>
          <w:color w:val="333333"/>
          <w:szCs w:val="20"/>
          <w:shd w:val="clear" w:color="auto" w:fill="FFFFFF"/>
        </w:rPr>
        <w:t xml:space="preserve">New Zealand Birds Online. Edited by Miskelly, C.M. </w:t>
      </w:r>
    </w:p>
    <w:p w14:paraId="42BC3109" w14:textId="77777777" w:rsidR="009C6E0E" w:rsidRPr="006103DD" w:rsidRDefault="009C6E0E" w:rsidP="009C6E0E">
      <w:pPr>
        <w:pStyle w:val="BodyText"/>
        <w:spacing w:before="60" w:after="60"/>
        <w:ind w:left="992" w:hanging="425"/>
        <w:rPr>
          <w:rFonts w:cs="Arial"/>
          <w:szCs w:val="20"/>
        </w:rPr>
      </w:pPr>
      <w:r>
        <w:rPr>
          <w:rFonts w:cs="Arial"/>
          <w:color w:val="333333"/>
          <w:szCs w:val="20"/>
          <w:shd w:val="clear" w:color="auto" w:fill="FFFFFF"/>
        </w:rPr>
        <w:t xml:space="preserve">PWS, 2012 – Crested Tern, </w:t>
      </w:r>
      <w:r w:rsidRPr="00BB1806">
        <w:rPr>
          <w:rFonts w:cs="Arial"/>
          <w:i/>
          <w:color w:val="333333"/>
          <w:szCs w:val="20"/>
          <w:shd w:val="clear" w:color="auto" w:fill="FFFFFF"/>
        </w:rPr>
        <w:t>Sterna bergii</w:t>
      </w:r>
      <w:r>
        <w:rPr>
          <w:rFonts w:cs="Arial"/>
          <w:color w:val="333333"/>
          <w:szCs w:val="20"/>
          <w:shd w:val="clear" w:color="auto" w:fill="FFFFFF"/>
        </w:rPr>
        <w:t>. Parks and Wildlife Service Tasmania. A www publication accessed on 21</w:t>
      </w:r>
      <w:r w:rsidRPr="00BB1806">
        <w:rPr>
          <w:rFonts w:cs="Arial"/>
          <w:color w:val="333333"/>
          <w:szCs w:val="20"/>
          <w:shd w:val="clear" w:color="auto" w:fill="FFFFFF"/>
          <w:vertAlign w:val="superscript"/>
        </w:rPr>
        <w:t>st</w:t>
      </w:r>
      <w:r>
        <w:rPr>
          <w:rFonts w:cs="Arial"/>
          <w:color w:val="333333"/>
          <w:szCs w:val="20"/>
          <w:shd w:val="clear" w:color="auto" w:fill="FFFFFF"/>
        </w:rPr>
        <w:t xml:space="preserve"> March 2017 at </w:t>
      </w:r>
      <w:hyperlink r:id="rId59" w:history="1">
        <w:r w:rsidRPr="00E60F8A">
          <w:rPr>
            <w:rStyle w:val="Hyperlink"/>
            <w:rFonts w:cs="Arial"/>
            <w:szCs w:val="20"/>
            <w:shd w:val="clear" w:color="auto" w:fill="FFFFFF"/>
          </w:rPr>
          <w:t>http://www.parks.tas.gov.au/indeX.aspX?base=17244</w:t>
        </w:r>
      </w:hyperlink>
      <w:r>
        <w:rPr>
          <w:rFonts w:cs="Arial"/>
          <w:color w:val="333333"/>
          <w:szCs w:val="20"/>
          <w:shd w:val="clear" w:color="auto" w:fill="FFFFFF"/>
        </w:rPr>
        <w:t xml:space="preserve"> </w:t>
      </w:r>
    </w:p>
    <w:p w14:paraId="48B1FA57" w14:textId="77777777" w:rsidR="009C6E0E" w:rsidRPr="006103DD" w:rsidRDefault="009C6E0E" w:rsidP="009C6E0E">
      <w:pPr>
        <w:pStyle w:val="MediumGrid1-Accent21"/>
        <w:spacing w:before="60" w:after="60" w:line="240" w:lineRule="auto"/>
        <w:ind w:left="992" w:hanging="425"/>
        <w:jc w:val="left"/>
        <w:rPr>
          <w:rFonts w:cs="Arial"/>
          <w:sz w:val="20"/>
          <w:szCs w:val="20"/>
          <w:lang w:val="en-US"/>
        </w:rPr>
      </w:pPr>
      <w:r w:rsidRPr="006103DD">
        <w:rPr>
          <w:rFonts w:cs="Arial"/>
          <w:sz w:val="20"/>
          <w:szCs w:val="20"/>
          <w:lang w:val="en-US"/>
        </w:rPr>
        <w:lastRenderedPageBreak/>
        <w:t xml:space="preserve">Ramachandran, S.D., Hodson, P.V., Khan, C.W. and Lee, K. 2004. Oil dispersant increases PAH uptake by fish exposed to crude oil. </w:t>
      </w:r>
      <w:r w:rsidRPr="006103DD">
        <w:rPr>
          <w:rFonts w:cs="Arial"/>
          <w:i/>
          <w:sz w:val="20"/>
          <w:szCs w:val="20"/>
          <w:lang w:val="en-US"/>
        </w:rPr>
        <w:t>Ecotoxicology and Environmental Safety</w:t>
      </w:r>
      <w:r w:rsidRPr="006103DD">
        <w:rPr>
          <w:rFonts w:cs="Arial"/>
          <w:sz w:val="20"/>
          <w:szCs w:val="20"/>
          <w:lang w:val="en-US"/>
        </w:rPr>
        <w:t xml:space="preserve"> </w:t>
      </w:r>
      <w:r w:rsidRPr="006103DD">
        <w:rPr>
          <w:rFonts w:cs="Arial"/>
          <w:b/>
          <w:sz w:val="20"/>
          <w:szCs w:val="20"/>
          <w:lang w:val="en-US"/>
        </w:rPr>
        <w:t>59</w:t>
      </w:r>
      <w:r w:rsidRPr="006103DD">
        <w:rPr>
          <w:rFonts w:cs="Arial"/>
          <w:sz w:val="20"/>
          <w:szCs w:val="20"/>
          <w:lang w:val="en-US"/>
        </w:rPr>
        <w:t>:300–308.</w:t>
      </w:r>
    </w:p>
    <w:p w14:paraId="6EDDADCD" w14:textId="77777777" w:rsidR="009C6E0E" w:rsidRPr="006103DD" w:rsidRDefault="009C6E0E" w:rsidP="009C6E0E">
      <w:pPr>
        <w:pStyle w:val="MediumGrid1-Accent21"/>
        <w:spacing w:before="60" w:after="60" w:line="240" w:lineRule="auto"/>
        <w:ind w:left="992" w:hanging="425"/>
        <w:jc w:val="left"/>
        <w:rPr>
          <w:rFonts w:cs="Arial"/>
          <w:sz w:val="20"/>
          <w:szCs w:val="20"/>
          <w:lang w:val="en-US"/>
        </w:rPr>
      </w:pPr>
      <w:r w:rsidRPr="006103DD">
        <w:rPr>
          <w:rFonts w:cs="Arial"/>
          <w:sz w:val="20"/>
          <w:szCs w:val="20"/>
          <w:lang w:val="en-US"/>
        </w:rPr>
        <w:t>Rawson, C., Gagnon, M.M. and Williams, H. 2011. Montara Well Release Olfactory Analysis of Timor Sea Fish Fillets. Curtin University, Perth, Western Australia, November 2011.</w:t>
      </w:r>
    </w:p>
    <w:p w14:paraId="49617547" w14:textId="77777777" w:rsidR="009C6E0E" w:rsidRPr="006103DD" w:rsidRDefault="009C6E0E" w:rsidP="009C6E0E">
      <w:pPr>
        <w:pStyle w:val="BodyText"/>
        <w:spacing w:before="60" w:after="60"/>
        <w:ind w:left="992" w:hanging="425"/>
        <w:rPr>
          <w:rFonts w:cs="Arial"/>
          <w:szCs w:val="20"/>
        </w:rPr>
      </w:pPr>
      <w:r w:rsidRPr="006103DD">
        <w:rPr>
          <w:rFonts w:cs="Arial"/>
          <w:szCs w:val="20"/>
        </w:rPr>
        <w:t xml:space="preserve">Reilly, S.B., Bannister, J.L., Best, P.B., Brown, M., Brownell Jr, R.L., Butterworth, D.S, Clapham, D.J., Cooke, J., Donovan, G.P., Urbán, J. and Zerbini, A.N. 2008. </w:t>
      </w:r>
      <w:r w:rsidRPr="006103DD">
        <w:rPr>
          <w:rFonts w:cs="Arial"/>
          <w:i/>
          <w:szCs w:val="20"/>
        </w:rPr>
        <w:t>Caperea marginata</w:t>
      </w:r>
      <w:r w:rsidRPr="006103DD">
        <w:rPr>
          <w:rFonts w:cs="Arial"/>
          <w:szCs w:val="20"/>
        </w:rPr>
        <w:t xml:space="preserve">. In: IUCN Red List of Threatened Species. Version 2011.2. </w:t>
      </w:r>
    </w:p>
    <w:p w14:paraId="3ADCFC89" w14:textId="77777777" w:rsidR="009C6E0E" w:rsidRPr="006103DD" w:rsidRDefault="009C6E0E" w:rsidP="009C6E0E">
      <w:pPr>
        <w:spacing w:before="60" w:after="60"/>
        <w:ind w:left="992" w:hanging="425"/>
        <w:outlineLvl w:val="9"/>
        <w:rPr>
          <w:rFonts w:cs="Arial"/>
          <w:sz w:val="20"/>
          <w:szCs w:val="20"/>
        </w:rPr>
      </w:pPr>
      <w:r w:rsidRPr="006103DD">
        <w:rPr>
          <w:rFonts w:cs="Arial"/>
          <w:sz w:val="20"/>
          <w:szCs w:val="20"/>
        </w:rPr>
        <w:t>Richardson W.J., Greene Jnr. C.R., Malme C.I. and Thomson D.H., 1995. Marine Mammals and Noise. Academic Press, California.</w:t>
      </w:r>
    </w:p>
    <w:p w14:paraId="4AD0E225" w14:textId="77777777" w:rsidR="009C6E0E" w:rsidRPr="006103DD" w:rsidRDefault="009C6E0E" w:rsidP="009C6E0E">
      <w:pPr>
        <w:pStyle w:val="BodyText"/>
        <w:spacing w:before="60" w:after="60"/>
        <w:ind w:left="992" w:hanging="425"/>
        <w:rPr>
          <w:rFonts w:cs="Arial"/>
          <w:szCs w:val="20"/>
        </w:rPr>
      </w:pPr>
      <w:r w:rsidRPr="006103DD">
        <w:rPr>
          <w:rFonts w:cs="Arial"/>
          <w:szCs w:val="20"/>
        </w:rPr>
        <w:t xml:space="preserve">Richardson, W.J. and Malme, C.I. 1993. ‘Man-made noise and behavioural responses.’ In: </w:t>
      </w:r>
      <w:r w:rsidRPr="006103DD">
        <w:rPr>
          <w:rFonts w:cs="Arial"/>
          <w:i/>
          <w:szCs w:val="20"/>
        </w:rPr>
        <w:t>The Bowhead Whales Book</w:t>
      </w:r>
      <w:r w:rsidRPr="006103DD">
        <w:rPr>
          <w:rFonts w:cs="Arial"/>
          <w:szCs w:val="20"/>
        </w:rPr>
        <w:t xml:space="preserve">, Special publication of The Society for Marine Mammology 2. Edited by D. Wartzok and K.S. Lawrence. </w:t>
      </w:r>
      <w:r w:rsidRPr="006103DD">
        <w:rPr>
          <w:rFonts w:cs="Arial"/>
          <w:i/>
          <w:szCs w:val="20"/>
        </w:rPr>
        <w:t>The Society for Marine Mammology</w:t>
      </w:r>
      <w:r w:rsidRPr="006103DD">
        <w:rPr>
          <w:rFonts w:cs="Arial"/>
          <w:szCs w:val="20"/>
        </w:rPr>
        <w:t>, pp. 631-700.</w:t>
      </w:r>
    </w:p>
    <w:p w14:paraId="4A807F21" w14:textId="77777777" w:rsidR="009C6E0E" w:rsidRPr="006103DD" w:rsidRDefault="009C6E0E" w:rsidP="009C6E0E">
      <w:pPr>
        <w:pStyle w:val="BodyText"/>
        <w:spacing w:before="60" w:after="60"/>
        <w:ind w:left="992" w:hanging="425"/>
        <w:rPr>
          <w:rFonts w:cs="Arial"/>
          <w:szCs w:val="20"/>
        </w:rPr>
      </w:pPr>
      <w:r w:rsidRPr="006103DD">
        <w:rPr>
          <w:rFonts w:cs="Arial"/>
          <w:szCs w:val="20"/>
        </w:rPr>
        <w:t xml:space="preserve">Robinson S., Gales R., Terauds A. &amp; Greenwood M. 2008. Movements of fur seals following relocation from fish farms. </w:t>
      </w:r>
      <w:r w:rsidRPr="006103DD">
        <w:rPr>
          <w:rFonts w:cs="Arial"/>
          <w:i/>
          <w:szCs w:val="20"/>
        </w:rPr>
        <w:t>Aquatic Conservation: Marine and Freshwater Ecosystems</w:t>
      </w:r>
      <w:r w:rsidRPr="006103DD">
        <w:rPr>
          <w:rFonts w:cs="Arial"/>
          <w:szCs w:val="20"/>
        </w:rPr>
        <w:t xml:space="preserve"> 18(7): 1,189-1,199.</w:t>
      </w:r>
    </w:p>
    <w:p w14:paraId="3E99FF16" w14:textId="77777777" w:rsidR="009C6E0E" w:rsidRPr="006103DD" w:rsidRDefault="009C6E0E" w:rsidP="009C6E0E">
      <w:pPr>
        <w:pStyle w:val="BodyText"/>
        <w:spacing w:before="60" w:after="60"/>
        <w:ind w:left="992" w:hanging="425"/>
        <w:rPr>
          <w:rFonts w:cs="Arial"/>
          <w:szCs w:val="20"/>
        </w:rPr>
      </w:pPr>
      <w:r w:rsidRPr="006103DD">
        <w:rPr>
          <w:rFonts w:cs="Arial"/>
          <w:szCs w:val="20"/>
        </w:rPr>
        <w:t xml:space="preserve">Ross, G.J.B. 2006. Review of the Conservation Status of Australia's Smaller Whales and Dolphins. Report to the Australian Department of the Environment and Heritage, Canberra. </w:t>
      </w:r>
    </w:p>
    <w:p w14:paraId="34DBD0A0" w14:textId="77777777" w:rsidR="009C6E0E" w:rsidRPr="006103DD" w:rsidRDefault="009C6E0E" w:rsidP="009C6E0E">
      <w:pPr>
        <w:pStyle w:val="MediumGrid1-Accent21"/>
        <w:spacing w:before="60" w:after="60" w:line="240" w:lineRule="auto"/>
        <w:ind w:left="992" w:hanging="425"/>
        <w:jc w:val="left"/>
        <w:rPr>
          <w:rFonts w:cs="Arial"/>
          <w:sz w:val="20"/>
          <w:szCs w:val="20"/>
          <w:lang w:val="en-US"/>
        </w:rPr>
      </w:pPr>
      <w:r w:rsidRPr="006103DD">
        <w:rPr>
          <w:rFonts w:cs="Arial"/>
          <w:sz w:val="20"/>
          <w:szCs w:val="20"/>
          <w:lang w:val="en-US"/>
        </w:rPr>
        <w:t xml:space="preserve">Rowe, C.L., Mitchelmore, C.L. and Baker, J.E. 2009. Lack of Biological Effects of Water Accommodated Fractions of Chemically and Physically Dispersed Oil on Molecular, Physiological, and Behavioural Traits of Juvenile Snapping Turtles Following Embryonic Exposure. </w:t>
      </w:r>
      <w:r w:rsidRPr="006103DD">
        <w:rPr>
          <w:rFonts w:cs="Arial"/>
          <w:i/>
          <w:sz w:val="20"/>
          <w:szCs w:val="20"/>
          <w:lang w:val="en-US"/>
        </w:rPr>
        <w:t>Science of The Total Environment.</w:t>
      </w:r>
      <w:r w:rsidRPr="006103DD">
        <w:rPr>
          <w:rFonts w:cs="Arial"/>
          <w:sz w:val="20"/>
          <w:szCs w:val="20"/>
          <w:lang w:val="en-US"/>
        </w:rPr>
        <w:t xml:space="preserve"> </w:t>
      </w:r>
      <w:r w:rsidRPr="006103DD">
        <w:rPr>
          <w:rFonts w:cs="Arial"/>
          <w:b/>
          <w:sz w:val="20"/>
          <w:szCs w:val="20"/>
          <w:lang w:val="en-US"/>
        </w:rPr>
        <w:t>407</w:t>
      </w:r>
      <w:r w:rsidRPr="006103DD">
        <w:rPr>
          <w:rFonts w:cs="Arial"/>
          <w:sz w:val="20"/>
          <w:szCs w:val="20"/>
          <w:lang w:val="en-US"/>
        </w:rPr>
        <w:t>(20): 5344–5355.</w:t>
      </w:r>
    </w:p>
    <w:p w14:paraId="6FDF5799" w14:textId="77777777" w:rsidR="009C6E0E" w:rsidRPr="006103DD" w:rsidRDefault="009C6E0E" w:rsidP="009C6E0E">
      <w:pPr>
        <w:spacing w:before="60" w:after="60"/>
        <w:ind w:left="992" w:hanging="425"/>
        <w:outlineLvl w:val="9"/>
        <w:rPr>
          <w:rFonts w:cs="Arial"/>
          <w:sz w:val="20"/>
          <w:szCs w:val="20"/>
          <w:highlight w:val="yellow"/>
        </w:rPr>
      </w:pPr>
      <w:r w:rsidRPr="006103DD">
        <w:rPr>
          <w:rFonts w:cs="Arial"/>
          <w:sz w:val="20"/>
          <w:szCs w:val="20"/>
        </w:rPr>
        <w:t>RPS APASA 2017 – Reinterpretation of Entrained Phase Levels in Santos (2013) VIC/P44 Spill Modelling report</w:t>
      </w:r>
      <w:r>
        <w:rPr>
          <w:rFonts w:cs="Arial"/>
          <w:sz w:val="20"/>
          <w:szCs w:val="20"/>
        </w:rPr>
        <w:t>, March 2017</w:t>
      </w:r>
    </w:p>
    <w:p w14:paraId="663081BD" w14:textId="77777777" w:rsidR="009C6E0E" w:rsidRPr="006103DD" w:rsidRDefault="009C6E0E" w:rsidP="009C6E0E">
      <w:pPr>
        <w:pStyle w:val="BodyText"/>
        <w:spacing w:before="60" w:after="60"/>
        <w:ind w:left="992" w:hanging="425"/>
        <w:rPr>
          <w:rFonts w:cs="Arial"/>
          <w:szCs w:val="20"/>
        </w:rPr>
      </w:pPr>
      <w:r w:rsidRPr="006103DD">
        <w:rPr>
          <w:rFonts w:cs="Arial"/>
          <w:szCs w:val="20"/>
        </w:rPr>
        <w:t>RPS. 2014. Marine Fauna Observer’s Report during Enterprise 3D Marine Seismic Survey 30</w:t>
      </w:r>
      <w:r w:rsidRPr="006103DD">
        <w:rPr>
          <w:rFonts w:cs="Arial"/>
          <w:szCs w:val="20"/>
          <w:vertAlign w:val="superscript"/>
        </w:rPr>
        <w:t>th</w:t>
      </w:r>
      <w:r w:rsidRPr="006103DD">
        <w:rPr>
          <w:rFonts w:cs="Arial"/>
          <w:szCs w:val="20"/>
        </w:rPr>
        <w:t xml:space="preserve"> October 2014 to 9</w:t>
      </w:r>
      <w:r w:rsidRPr="006103DD">
        <w:rPr>
          <w:rFonts w:cs="Arial"/>
          <w:szCs w:val="20"/>
          <w:vertAlign w:val="superscript"/>
        </w:rPr>
        <w:t>th</w:t>
      </w:r>
      <w:r w:rsidRPr="006103DD">
        <w:rPr>
          <w:rFonts w:cs="Arial"/>
          <w:szCs w:val="20"/>
        </w:rPr>
        <w:t xml:space="preserve"> November 2014. Report prepared by RPS for Origin Energy Resources Ltd. Perth.</w:t>
      </w:r>
    </w:p>
    <w:p w14:paraId="6DEE24EC" w14:textId="77777777" w:rsidR="009C6E0E" w:rsidRPr="006103DD" w:rsidRDefault="009C6E0E" w:rsidP="009C6E0E">
      <w:pPr>
        <w:spacing w:before="60" w:after="60"/>
        <w:ind w:left="992" w:hanging="425"/>
        <w:outlineLvl w:val="9"/>
        <w:rPr>
          <w:rFonts w:cs="Arial"/>
          <w:sz w:val="20"/>
          <w:szCs w:val="20"/>
        </w:rPr>
      </w:pPr>
      <w:r w:rsidRPr="006103DD">
        <w:rPr>
          <w:rFonts w:cs="Arial"/>
          <w:sz w:val="20"/>
          <w:szCs w:val="20"/>
        </w:rPr>
        <w:t xml:space="preserve">Saddlier, S. and Hammer, M. 2010. National recovery Plan for the Yarra Pygmy Perch </w:t>
      </w:r>
      <w:r w:rsidRPr="006103DD">
        <w:rPr>
          <w:rFonts w:cs="Arial"/>
          <w:i/>
          <w:sz w:val="20"/>
          <w:szCs w:val="20"/>
        </w:rPr>
        <w:t>Nannoperca obscura</w:t>
      </w:r>
      <w:r w:rsidRPr="006103DD">
        <w:rPr>
          <w:rFonts w:cs="Arial"/>
          <w:sz w:val="20"/>
          <w:szCs w:val="20"/>
        </w:rPr>
        <w:t xml:space="preserve">. Department of Sustainability and Environment. Melbourne. </w:t>
      </w:r>
    </w:p>
    <w:p w14:paraId="640B55D6" w14:textId="77777777" w:rsidR="009C6E0E" w:rsidRPr="006103DD" w:rsidRDefault="009C6E0E" w:rsidP="009C6E0E">
      <w:pPr>
        <w:spacing w:before="60" w:after="60"/>
        <w:ind w:left="992" w:hanging="425"/>
        <w:outlineLvl w:val="9"/>
        <w:rPr>
          <w:rFonts w:cs="Arial"/>
          <w:sz w:val="20"/>
          <w:szCs w:val="20"/>
        </w:rPr>
      </w:pPr>
      <w:r w:rsidRPr="006103DD">
        <w:rPr>
          <w:rFonts w:cs="Arial"/>
          <w:sz w:val="20"/>
          <w:szCs w:val="20"/>
        </w:rPr>
        <w:t xml:space="preserve">Saddlier, S. Jackson, J. and Hammer, M. 2010. National Recovery Plan for the Dwarf Galaxia </w:t>
      </w:r>
      <w:r w:rsidRPr="006103DD">
        <w:rPr>
          <w:rFonts w:cs="Arial"/>
          <w:i/>
          <w:sz w:val="20"/>
          <w:szCs w:val="20"/>
        </w:rPr>
        <w:t>Galaxiella pusilla.</w:t>
      </w:r>
      <w:r w:rsidRPr="006103DD">
        <w:rPr>
          <w:rFonts w:cs="Arial"/>
          <w:sz w:val="20"/>
          <w:szCs w:val="20"/>
        </w:rPr>
        <w:t xml:space="preserve"> Department of Sustainability and Environment. Melbourne.</w:t>
      </w:r>
    </w:p>
    <w:p w14:paraId="21E8E65C" w14:textId="77777777" w:rsidR="009C6E0E" w:rsidRPr="006103DD" w:rsidRDefault="009C6E0E" w:rsidP="009C6E0E">
      <w:pPr>
        <w:pStyle w:val="MediumGrid1-Accent21"/>
        <w:spacing w:before="60" w:after="60" w:line="240" w:lineRule="auto"/>
        <w:ind w:left="992" w:hanging="425"/>
        <w:jc w:val="left"/>
        <w:rPr>
          <w:rFonts w:cs="Arial"/>
          <w:iCs/>
          <w:sz w:val="20"/>
          <w:szCs w:val="20"/>
          <w:lang w:val="en-US"/>
        </w:rPr>
      </w:pPr>
      <w:r w:rsidRPr="006103DD">
        <w:rPr>
          <w:rFonts w:cs="Arial"/>
          <w:iCs/>
          <w:sz w:val="20"/>
          <w:szCs w:val="20"/>
          <w:lang w:val="en-US"/>
        </w:rPr>
        <w:t>Sandegren, F.E. 1970. Breeding and maternal behavior of the Steller sea lion (Eumeto~ias jubata) in Alaska. M.Sc. Thesis, Univ. Alaska, Anchorage, AK. Sergeant.</w:t>
      </w:r>
    </w:p>
    <w:p w14:paraId="7EDA154F" w14:textId="77777777" w:rsidR="009C6E0E" w:rsidRPr="006103DD" w:rsidRDefault="009C6E0E" w:rsidP="009C6E0E">
      <w:pPr>
        <w:pStyle w:val="BodyText"/>
        <w:spacing w:before="60" w:after="60"/>
        <w:ind w:left="992" w:hanging="425"/>
        <w:rPr>
          <w:rFonts w:cs="Arial"/>
          <w:szCs w:val="20"/>
        </w:rPr>
      </w:pPr>
      <w:r w:rsidRPr="006103DD">
        <w:rPr>
          <w:rFonts w:cs="Arial"/>
          <w:szCs w:val="20"/>
        </w:rPr>
        <w:t xml:space="preserve">Santos. 2004. Casino Gas Field Development Environment Report. Prepared by Enesar Consulting Pty Ltd. Hawthorn East, Victoria, for Santos Ltd, Adelaide. </w:t>
      </w:r>
    </w:p>
    <w:p w14:paraId="0F707941" w14:textId="77777777" w:rsidR="009C6E0E" w:rsidRPr="006103DD" w:rsidRDefault="009C6E0E" w:rsidP="009C6E0E">
      <w:pPr>
        <w:pStyle w:val="BodyText"/>
        <w:spacing w:before="60" w:after="60"/>
        <w:ind w:left="992" w:hanging="425"/>
        <w:rPr>
          <w:rFonts w:cs="Arial"/>
          <w:szCs w:val="20"/>
        </w:rPr>
      </w:pPr>
      <w:r w:rsidRPr="006103DD">
        <w:rPr>
          <w:rFonts w:cs="Arial"/>
          <w:szCs w:val="20"/>
        </w:rPr>
        <w:t>Santos 2008a – Netherby-1DW: Cost Estimate and Basis for Well Design Questionnaire, Document No: OA-5000-L32-D012</w:t>
      </w:r>
    </w:p>
    <w:p w14:paraId="68E86856" w14:textId="77777777" w:rsidR="009C6E0E" w:rsidRDefault="009C6E0E" w:rsidP="009C6E0E">
      <w:pPr>
        <w:pStyle w:val="BodyText"/>
        <w:spacing w:before="60" w:after="60"/>
        <w:ind w:left="992" w:hanging="425"/>
        <w:rPr>
          <w:rFonts w:cs="Arial"/>
          <w:szCs w:val="20"/>
        </w:rPr>
      </w:pPr>
      <w:r w:rsidRPr="006103DD">
        <w:rPr>
          <w:rFonts w:cs="Arial"/>
          <w:szCs w:val="20"/>
        </w:rPr>
        <w:t>Santos, 2008b – Henry-2DW: Cost Estimate and Basis for Well Design Questionnaire, Document No: OA-5000-L32-D007</w:t>
      </w:r>
    </w:p>
    <w:p w14:paraId="36F78E26" w14:textId="77777777" w:rsidR="009C6E0E" w:rsidRDefault="009C6E0E" w:rsidP="009C6E0E">
      <w:pPr>
        <w:pStyle w:val="BodyText"/>
        <w:spacing w:before="60" w:after="60"/>
        <w:ind w:left="992" w:hanging="425"/>
        <w:rPr>
          <w:rFonts w:cs="Arial"/>
          <w:szCs w:val="20"/>
        </w:rPr>
      </w:pPr>
      <w:r>
        <w:rPr>
          <w:rFonts w:cs="Arial"/>
          <w:szCs w:val="20"/>
        </w:rPr>
        <w:t>Santos 2008c – Vic/P44 Stage 2 Gas Field Development Environment Plan, Enesar, 2008</w:t>
      </w:r>
    </w:p>
    <w:p w14:paraId="521518A7" w14:textId="77777777" w:rsidR="009C6E0E" w:rsidRDefault="009C6E0E" w:rsidP="009C6E0E">
      <w:pPr>
        <w:pStyle w:val="BodyText"/>
        <w:spacing w:before="60" w:after="60"/>
        <w:ind w:left="992" w:hanging="425"/>
        <w:rPr>
          <w:rFonts w:cs="Arial"/>
          <w:szCs w:val="20"/>
        </w:rPr>
      </w:pPr>
      <w:r>
        <w:rPr>
          <w:rFonts w:cs="Arial"/>
          <w:szCs w:val="20"/>
        </w:rPr>
        <w:t>Santos 2010 – Update to Casino Internal Corrosion Modelling, IICorr (Report No: 5331-279/RT6921)</w:t>
      </w:r>
    </w:p>
    <w:p w14:paraId="0E5F9823" w14:textId="77777777" w:rsidR="009C6E0E" w:rsidRPr="006103DD" w:rsidRDefault="009C6E0E" w:rsidP="009C6E0E">
      <w:pPr>
        <w:pStyle w:val="BodyText"/>
        <w:spacing w:before="60" w:after="60"/>
        <w:ind w:left="992" w:hanging="425"/>
        <w:rPr>
          <w:rFonts w:cs="Arial"/>
          <w:szCs w:val="20"/>
        </w:rPr>
      </w:pPr>
      <w:r>
        <w:rPr>
          <w:rFonts w:cs="Arial"/>
          <w:szCs w:val="20"/>
        </w:rPr>
        <w:t xml:space="preserve">Santos 2016 – Casino Flow Assurance Parametric Study report, prepared by Advisian for Santos (Report No: 401312-13461-PR-REP-0001) </w:t>
      </w:r>
    </w:p>
    <w:p w14:paraId="045C258D" w14:textId="77777777" w:rsidR="009C6E0E" w:rsidRPr="006103DD" w:rsidRDefault="009C6E0E" w:rsidP="009C6E0E">
      <w:pPr>
        <w:pStyle w:val="BodyText"/>
        <w:spacing w:before="60" w:after="60"/>
        <w:ind w:left="992" w:hanging="425"/>
        <w:rPr>
          <w:rFonts w:cs="Arial"/>
          <w:szCs w:val="20"/>
        </w:rPr>
      </w:pPr>
      <w:r w:rsidRPr="006103DD">
        <w:rPr>
          <w:rFonts w:cs="Arial"/>
          <w:szCs w:val="20"/>
        </w:rPr>
        <w:t xml:space="preserve">Sause, B.L. Gwyther, D., Hanna, P.J. and O’Connor, N.A. 1987. Evidence for winter – spring spawning of the scallop </w:t>
      </w:r>
      <w:r w:rsidRPr="006103DD">
        <w:rPr>
          <w:rFonts w:cs="Arial"/>
          <w:i/>
          <w:szCs w:val="20"/>
        </w:rPr>
        <w:t>Pectan alba</w:t>
      </w:r>
      <w:r w:rsidRPr="006103DD">
        <w:rPr>
          <w:rFonts w:cs="Arial"/>
          <w:szCs w:val="20"/>
        </w:rPr>
        <w:t xml:space="preserve"> (Tate) in Port Phillip bay, Victoria, Australia.</w:t>
      </w:r>
    </w:p>
    <w:p w14:paraId="5E19337D" w14:textId="77777777" w:rsidR="009C6E0E" w:rsidRPr="006103DD" w:rsidRDefault="009C6E0E" w:rsidP="009C6E0E">
      <w:pPr>
        <w:pStyle w:val="BodyText"/>
        <w:spacing w:before="60" w:after="60"/>
        <w:ind w:left="992" w:hanging="425"/>
        <w:rPr>
          <w:rFonts w:cs="Arial"/>
          <w:szCs w:val="20"/>
        </w:rPr>
      </w:pPr>
      <w:r w:rsidRPr="006103DD">
        <w:rPr>
          <w:rFonts w:cs="Arial"/>
          <w:szCs w:val="20"/>
        </w:rPr>
        <w:t xml:space="preserve">Schahinger, R.B. 1987. Structure of coastal upwelling events observed off the south-east coast of South Australia during February 1983-April 1984. </w:t>
      </w:r>
      <w:r w:rsidRPr="006103DD">
        <w:rPr>
          <w:rFonts w:cs="Arial"/>
          <w:i/>
          <w:szCs w:val="20"/>
        </w:rPr>
        <w:t>Australian Journal of Marine and Freshwater Research</w:t>
      </w:r>
      <w:r w:rsidRPr="006103DD">
        <w:rPr>
          <w:rFonts w:cs="Arial"/>
          <w:szCs w:val="20"/>
        </w:rPr>
        <w:t xml:space="preserve"> 38: 439-459.</w:t>
      </w:r>
    </w:p>
    <w:p w14:paraId="07D93521" w14:textId="77777777" w:rsidR="009C6E0E" w:rsidRPr="006103DD" w:rsidRDefault="009C6E0E" w:rsidP="009C6E0E">
      <w:pPr>
        <w:spacing w:before="60" w:after="60"/>
        <w:ind w:left="992" w:hanging="425"/>
        <w:outlineLvl w:val="9"/>
        <w:rPr>
          <w:rFonts w:cs="Arial"/>
          <w:sz w:val="20"/>
          <w:szCs w:val="20"/>
          <w:lang w:val="en-GB"/>
        </w:rPr>
      </w:pPr>
      <w:r w:rsidRPr="006103DD">
        <w:rPr>
          <w:rFonts w:cs="Arial"/>
          <w:iCs/>
          <w:sz w:val="20"/>
          <w:szCs w:val="20"/>
          <w:lang w:val="en-US"/>
        </w:rPr>
        <w:t>Scholten, M.C., Kaag, T., Dokkum, N.H.B.M., Jak, H.P., Jak, R.G., Schobben, H.P.M. and Slob, W. 1996. Toxic Effects of Oil in the Aquatic Environment. TNO-MEP– R96/230. Den Helder, The Netherlands.</w:t>
      </w:r>
    </w:p>
    <w:p w14:paraId="32D7E9FD" w14:textId="77777777" w:rsidR="009C6E0E" w:rsidRDefault="009C6E0E" w:rsidP="009C6E0E">
      <w:pPr>
        <w:spacing w:before="60" w:after="60"/>
        <w:ind w:left="993" w:hanging="426"/>
        <w:outlineLvl w:val="9"/>
        <w:rPr>
          <w:rFonts w:cs="Arial"/>
          <w:sz w:val="20"/>
          <w:szCs w:val="20"/>
          <w:lang w:val="en-US"/>
        </w:rPr>
      </w:pPr>
      <w:r w:rsidRPr="00C2078D">
        <w:rPr>
          <w:rFonts w:cs="Arial"/>
          <w:sz w:val="20"/>
          <w:szCs w:val="20"/>
          <w:lang w:val="en-US"/>
        </w:rPr>
        <w:lastRenderedPageBreak/>
        <w:t>Shaw, R. F., Lindquist, D. C., Benfield, M. C., Farooqi, T., Plunket, J. T. 2002. Offshore petroleum platforms: functional significance for larval fish across longitudinal and latitudinal gradients. Prepared by the Coastal Fisheries Institute, Louisiana State University. U.S. Department of the Interior, Minerals Management Service, Gulf of Mexico OCS Region, New Orleans, LA. OCS Study MMS 2002-077, p. 107</w:t>
      </w:r>
    </w:p>
    <w:p w14:paraId="20384ED4" w14:textId="77777777" w:rsidR="009C6E0E" w:rsidRPr="007826D7" w:rsidRDefault="009C6E0E" w:rsidP="009C6E0E">
      <w:pPr>
        <w:spacing w:before="60" w:after="60"/>
        <w:ind w:left="993" w:hanging="426"/>
        <w:outlineLvl w:val="9"/>
        <w:rPr>
          <w:rFonts w:cs="Arial"/>
          <w:sz w:val="20"/>
          <w:szCs w:val="20"/>
        </w:rPr>
      </w:pPr>
      <w:r w:rsidRPr="00FA36A5">
        <w:rPr>
          <w:rFonts w:cs="Arial"/>
          <w:sz w:val="20"/>
          <w:szCs w:val="20"/>
        </w:rPr>
        <w:t xml:space="preserve">Shenkar, N (2008) – Ecological aspects of the ascidian community along the Israeli coasts. Thesis submitted for the Degree “Doctor of Philosophy to the Senate of Tel-Aviv University available at </w:t>
      </w:r>
      <w:hyperlink r:id="rId60" w:history="1">
        <w:r w:rsidRPr="00FA36A5">
          <w:rPr>
            <w:rStyle w:val="Hyperlink"/>
            <w:rFonts w:cs="Arial"/>
            <w:sz w:val="20"/>
            <w:szCs w:val="20"/>
          </w:rPr>
          <w:t>http://primage.tau.ac.il/libraries/theses/lifemed/free/2173881.pdf</w:t>
        </w:r>
      </w:hyperlink>
    </w:p>
    <w:p w14:paraId="2B34CC2C" w14:textId="77777777" w:rsidR="009C6E0E" w:rsidRPr="006103DD" w:rsidRDefault="009C6E0E" w:rsidP="009C6E0E">
      <w:pPr>
        <w:pStyle w:val="BodyText"/>
        <w:spacing w:before="60" w:after="60"/>
        <w:ind w:left="993" w:hanging="426"/>
        <w:rPr>
          <w:rFonts w:cs="Arial"/>
          <w:szCs w:val="20"/>
        </w:rPr>
      </w:pPr>
      <w:r w:rsidRPr="006103DD">
        <w:rPr>
          <w:rFonts w:cs="Arial"/>
          <w:szCs w:val="20"/>
        </w:rPr>
        <w:t xml:space="preserve">Shepherd, S.A. 1981. Ecological strategies in a deep water red algal community. </w:t>
      </w:r>
      <w:r w:rsidRPr="006103DD">
        <w:rPr>
          <w:rFonts w:cs="Arial"/>
          <w:i/>
          <w:szCs w:val="20"/>
        </w:rPr>
        <w:t>Botanica Marina</w:t>
      </w:r>
      <w:r w:rsidRPr="006103DD">
        <w:rPr>
          <w:rFonts w:cs="Arial"/>
          <w:szCs w:val="20"/>
        </w:rPr>
        <w:t xml:space="preserve"> </w:t>
      </w:r>
      <w:r w:rsidRPr="006103DD">
        <w:rPr>
          <w:rFonts w:cs="Arial"/>
          <w:b/>
          <w:szCs w:val="20"/>
        </w:rPr>
        <w:t>24</w:t>
      </w:r>
      <w:r w:rsidRPr="006103DD">
        <w:rPr>
          <w:rFonts w:cs="Arial"/>
          <w:szCs w:val="20"/>
        </w:rPr>
        <w:t>: 457-463.</w:t>
      </w:r>
    </w:p>
    <w:p w14:paraId="23896D75" w14:textId="77777777" w:rsidR="009C6E0E" w:rsidRPr="006103DD" w:rsidRDefault="009C6E0E" w:rsidP="009C6E0E">
      <w:pPr>
        <w:pStyle w:val="MediumGrid1-Accent21"/>
        <w:spacing w:before="60" w:after="60" w:line="240" w:lineRule="auto"/>
        <w:ind w:left="993" w:hanging="426"/>
        <w:jc w:val="left"/>
        <w:rPr>
          <w:rFonts w:cs="Arial"/>
          <w:iCs/>
          <w:sz w:val="20"/>
          <w:szCs w:val="20"/>
          <w:lang w:val="en-US"/>
        </w:rPr>
      </w:pPr>
      <w:r w:rsidRPr="006103DD">
        <w:rPr>
          <w:rFonts w:cs="Arial"/>
          <w:iCs/>
          <w:sz w:val="20"/>
          <w:szCs w:val="20"/>
          <w:lang w:val="en-US"/>
        </w:rPr>
        <w:t>Shigenaka, G. 2003. Oil and Sea Turtles: Biology, Planning, and Response. National Oceanographic and Atmospheric Administration, United States of America.</w:t>
      </w:r>
    </w:p>
    <w:p w14:paraId="6A38E131" w14:textId="77777777" w:rsidR="009C6E0E" w:rsidRPr="006103DD" w:rsidRDefault="009C6E0E" w:rsidP="009C6E0E">
      <w:pPr>
        <w:pStyle w:val="MediumGrid1-Accent21"/>
        <w:spacing w:before="60" w:after="60" w:line="240" w:lineRule="auto"/>
        <w:ind w:left="993" w:hanging="426"/>
        <w:jc w:val="left"/>
        <w:rPr>
          <w:rFonts w:cs="Arial"/>
          <w:iCs/>
          <w:sz w:val="20"/>
          <w:szCs w:val="20"/>
          <w:lang w:val="en-US"/>
        </w:rPr>
      </w:pPr>
      <w:r w:rsidRPr="006103DD">
        <w:rPr>
          <w:rFonts w:cs="Arial"/>
          <w:iCs/>
          <w:sz w:val="20"/>
          <w:szCs w:val="20"/>
          <w:lang w:val="en-US"/>
        </w:rPr>
        <w:t xml:space="preserve">Short, M. 2011. Pacific Adventurer Oil Spill: Big Birds, Sea Snakes and a Couple of Turtles. </w:t>
      </w:r>
      <w:r w:rsidRPr="006103DD">
        <w:rPr>
          <w:rFonts w:cs="Arial"/>
          <w:i/>
          <w:iCs/>
          <w:sz w:val="20"/>
          <w:szCs w:val="20"/>
          <w:lang w:val="en-US"/>
        </w:rPr>
        <w:t>International Oil Spill Conference Proceedings</w:t>
      </w:r>
      <w:r w:rsidRPr="006103DD">
        <w:rPr>
          <w:rFonts w:cs="Arial"/>
          <w:iCs/>
          <w:sz w:val="20"/>
          <w:szCs w:val="20"/>
          <w:lang w:val="en-US"/>
        </w:rPr>
        <w:t xml:space="preserve">: March 2011. </w:t>
      </w:r>
      <w:r w:rsidRPr="006103DD">
        <w:rPr>
          <w:rFonts w:cs="Arial"/>
          <w:b/>
          <w:iCs/>
          <w:sz w:val="20"/>
          <w:szCs w:val="20"/>
          <w:lang w:val="en-US"/>
        </w:rPr>
        <w:t>2011</w:t>
      </w:r>
      <w:r w:rsidRPr="006103DD">
        <w:rPr>
          <w:rFonts w:cs="Arial"/>
          <w:iCs/>
          <w:sz w:val="20"/>
          <w:szCs w:val="20"/>
          <w:lang w:val="en-US"/>
        </w:rPr>
        <w:t>(1):.</w:t>
      </w:r>
    </w:p>
    <w:p w14:paraId="2323FDC7" w14:textId="77777777" w:rsidR="009C6E0E" w:rsidRPr="006103DD" w:rsidRDefault="009C6E0E" w:rsidP="009C6E0E">
      <w:pPr>
        <w:pStyle w:val="BodyText"/>
        <w:spacing w:before="60" w:after="60"/>
        <w:ind w:left="993" w:hanging="426"/>
        <w:rPr>
          <w:rFonts w:cs="Arial"/>
          <w:szCs w:val="20"/>
        </w:rPr>
      </w:pPr>
      <w:r w:rsidRPr="006103DD">
        <w:rPr>
          <w:rFonts w:cs="Arial"/>
          <w:szCs w:val="20"/>
        </w:rPr>
        <w:t>Simmonds, M., Dolman, S. and Weilgart, L. 2004. Oceans of Noise. Whale and Dolphin Conservation Society. Wiltshire.</w:t>
      </w:r>
    </w:p>
    <w:p w14:paraId="36CB8121" w14:textId="77777777" w:rsidR="009C6E0E" w:rsidRPr="006103DD" w:rsidRDefault="009C6E0E" w:rsidP="009C6E0E">
      <w:pPr>
        <w:pStyle w:val="MediumGrid1-Accent21"/>
        <w:spacing w:before="60" w:after="60" w:line="240" w:lineRule="auto"/>
        <w:ind w:left="993" w:hanging="426"/>
        <w:jc w:val="left"/>
        <w:rPr>
          <w:rStyle w:val="Hyperlink"/>
          <w:rFonts w:cs="Arial"/>
          <w:sz w:val="20"/>
          <w:szCs w:val="20"/>
        </w:rPr>
      </w:pPr>
      <w:r w:rsidRPr="006103DD">
        <w:rPr>
          <w:rFonts w:cs="Arial"/>
          <w:sz w:val="20"/>
          <w:szCs w:val="20"/>
        </w:rPr>
        <w:t>SIV, 2017 – Victorian Commercial Fisheries – Securing Local Jobs. A www publication accessed on 17</w:t>
      </w:r>
      <w:r w:rsidRPr="006103DD">
        <w:rPr>
          <w:rFonts w:cs="Arial"/>
          <w:sz w:val="20"/>
          <w:szCs w:val="20"/>
          <w:vertAlign w:val="superscript"/>
        </w:rPr>
        <w:t>th</w:t>
      </w:r>
      <w:r w:rsidRPr="006103DD">
        <w:rPr>
          <w:rFonts w:cs="Arial"/>
          <w:sz w:val="20"/>
          <w:szCs w:val="20"/>
        </w:rPr>
        <w:t xml:space="preserve"> January 2017 at </w:t>
      </w:r>
      <w:hyperlink r:id="rId61" w:history="1">
        <w:r w:rsidRPr="006103DD">
          <w:rPr>
            <w:rStyle w:val="Hyperlink"/>
            <w:rFonts w:cs="Arial"/>
            <w:sz w:val="20"/>
            <w:szCs w:val="20"/>
          </w:rPr>
          <w:t>http://siv.com.au/victorian-seafood/securing-local-jobs/</w:t>
        </w:r>
      </w:hyperlink>
    </w:p>
    <w:p w14:paraId="38258D8E" w14:textId="77777777" w:rsidR="009C6E0E"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Smit, M.G.D., Bechmann, R.K., Hendriks, A.J., Skadsheim, A., Larsen, B.K., Baussant, T., Bamber, S. and Sanni, S. 2009. Relating biomarkers to whole-organism effects using species sensitivity distributions: A pilot study for marine species exposed to oil. </w:t>
      </w:r>
      <w:r w:rsidRPr="006103DD">
        <w:rPr>
          <w:rFonts w:cs="Arial"/>
          <w:i/>
          <w:sz w:val="20"/>
          <w:szCs w:val="20"/>
          <w:lang w:val="en-US"/>
        </w:rPr>
        <w:t>Environmental Toxicology and Chemistry</w:t>
      </w:r>
      <w:r w:rsidRPr="006103DD">
        <w:rPr>
          <w:rFonts w:cs="Arial"/>
          <w:sz w:val="20"/>
          <w:szCs w:val="20"/>
          <w:lang w:val="en-US"/>
        </w:rPr>
        <w:t xml:space="preserve"> </w:t>
      </w:r>
      <w:r w:rsidRPr="006103DD">
        <w:rPr>
          <w:rFonts w:cs="Arial"/>
          <w:b/>
          <w:sz w:val="20"/>
          <w:szCs w:val="20"/>
          <w:lang w:val="en-US"/>
        </w:rPr>
        <w:t>28</w:t>
      </w:r>
      <w:r w:rsidRPr="006103DD">
        <w:rPr>
          <w:rFonts w:cs="Arial"/>
          <w:sz w:val="20"/>
          <w:szCs w:val="20"/>
          <w:lang w:val="en-US"/>
        </w:rPr>
        <w:t>(5):1104-1109.</w:t>
      </w:r>
    </w:p>
    <w:p w14:paraId="13B44DC4" w14:textId="77777777" w:rsidR="009C6E0E" w:rsidRPr="00B05802" w:rsidRDefault="009C6E0E" w:rsidP="009C6E0E">
      <w:pPr>
        <w:pStyle w:val="MediumGrid1-Accent21"/>
        <w:spacing w:before="60" w:after="60" w:line="240" w:lineRule="auto"/>
        <w:ind w:left="993" w:hanging="426"/>
        <w:jc w:val="left"/>
        <w:rPr>
          <w:rFonts w:cs="Arial"/>
          <w:sz w:val="20"/>
          <w:szCs w:val="20"/>
          <w:lang w:val="en-US"/>
        </w:rPr>
      </w:pPr>
      <w:r w:rsidRPr="00FA36A5">
        <w:rPr>
          <w:rFonts w:cs="Arial"/>
          <w:sz w:val="20"/>
          <w:szCs w:val="20"/>
        </w:rPr>
        <w:t xml:space="preserve">Smithsonian Institute (2014) - Marine Station at Fort Pierce – What is a Bryozoan? A www publication available at </w:t>
      </w:r>
      <w:hyperlink r:id="rId62" w:history="1">
        <w:r w:rsidRPr="00FA36A5">
          <w:rPr>
            <w:rStyle w:val="Hyperlink"/>
            <w:rFonts w:cs="Arial"/>
            <w:sz w:val="20"/>
            <w:szCs w:val="20"/>
          </w:rPr>
          <w:t>http://www.sms.si.edu/irlspec/IntroBryozoa.htm</w:t>
        </w:r>
      </w:hyperlink>
    </w:p>
    <w:p w14:paraId="07180F21" w14:textId="77777777" w:rsidR="009C6E0E" w:rsidRPr="006103DD" w:rsidRDefault="009C6E0E" w:rsidP="009C6E0E">
      <w:pPr>
        <w:pStyle w:val="BodyText"/>
        <w:spacing w:before="60" w:after="60"/>
        <w:ind w:left="993" w:hanging="426"/>
        <w:rPr>
          <w:rFonts w:cs="Arial"/>
          <w:szCs w:val="20"/>
        </w:rPr>
      </w:pPr>
      <w:r w:rsidRPr="006103DD">
        <w:rPr>
          <w:rFonts w:cs="Arial"/>
          <w:szCs w:val="20"/>
        </w:rPr>
        <w:t>Stephenson, L.H. 1991. Orange-bellied Parrot Recovery Plan: Management Phase. Tasmanian Department of Parks, Wildlife &amp; Heritage. Hobart.</w:t>
      </w:r>
    </w:p>
    <w:p w14:paraId="41091DEF"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Tasmanian SMPC. 1999. Iron Baron oil spill, July 1995: long term environmental impact and recovery. Tasmania State Marine Pollution Committee. Long Term Impact Assessment Group. </w:t>
      </w:r>
    </w:p>
    <w:p w14:paraId="15CE3577" w14:textId="77777777" w:rsidR="009C6E0E" w:rsidRPr="006103DD" w:rsidRDefault="009C6E0E" w:rsidP="009C6E0E">
      <w:pPr>
        <w:pStyle w:val="BodyText"/>
        <w:spacing w:before="60" w:after="60"/>
        <w:ind w:left="993" w:hanging="426"/>
        <w:rPr>
          <w:rFonts w:cs="Arial"/>
          <w:szCs w:val="20"/>
        </w:rPr>
      </w:pPr>
      <w:r w:rsidRPr="006103DD">
        <w:rPr>
          <w:rFonts w:cs="Arial"/>
          <w:szCs w:val="20"/>
        </w:rPr>
        <w:t>Taylor, B.L., Chivers, S.J., Larese, J. and Perrin, W.F. 2007. Generation length and percent mature estimates for IUCN assessments of Cetaceans. Southwest Fisheries Science Center.</w:t>
      </w:r>
    </w:p>
    <w:p w14:paraId="22E5CF54" w14:textId="77777777" w:rsidR="009C6E0E" w:rsidRDefault="009C6E0E" w:rsidP="009C6E0E">
      <w:pPr>
        <w:spacing w:before="60" w:after="60"/>
        <w:ind w:left="993" w:hanging="426"/>
        <w:outlineLvl w:val="9"/>
        <w:rPr>
          <w:rFonts w:cs="Arial"/>
          <w:sz w:val="20"/>
          <w:szCs w:val="20"/>
          <w:lang w:val="en-GB"/>
        </w:rPr>
      </w:pPr>
      <w:r w:rsidRPr="006103DD">
        <w:rPr>
          <w:rFonts w:cs="Arial"/>
          <w:sz w:val="20"/>
          <w:szCs w:val="20"/>
          <w:lang w:val="en-GB"/>
        </w:rPr>
        <w:t xml:space="preserve">Thursby, G.B. and Steele, R. L. 2004. Toxicity of arsenite and arsenate to the marine macroalga </w:t>
      </w:r>
      <w:r w:rsidRPr="006103DD">
        <w:rPr>
          <w:rFonts w:cs="Arial"/>
          <w:i/>
          <w:sz w:val="20"/>
          <w:szCs w:val="20"/>
          <w:lang w:val="en-GB"/>
        </w:rPr>
        <w:t>Champia parvula</w:t>
      </w:r>
      <w:r w:rsidRPr="006103DD">
        <w:rPr>
          <w:rFonts w:cs="Arial"/>
          <w:sz w:val="20"/>
          <w:szCs w:val="20"/>
          <w:lang w:val="en-GB"/>
        </w:rPr>
        <w:t xml:space="preserve"> (rhodophyta). Environmental Toxicology and Chemistry. </w:t>
      </w:r>
      <w:r w:rsidRPr="006103DD">
        <w:rPr>
          <w:rFonts w:cs="Arial"/>
          <w:b/>
          <w:sz w:val="20"/>
          <w:szCs w:val="20"/>
          <w:lang w:val="en-GB"/>
        </w:rPr>
        <w:t>3</w:t>
      </w:r>
      <w:r w:rsidRPr="006103DD">
        <w:rPr>
          <w:rFonts w:cs="Arial"/>
          <w:sz w:val="20"/>
          <w:szCs w:val="20"/>
          <w:lang w:val="en-GB"/>
        </w:rPr>
        <w:t>(3):391-397.</w:t>
      </w:r>
    </w:p>
    <w:p w14:paraId="654F8CB9" w14:textId="77777777" w:rsidR="009C6E0E" w:rsidRPr="006103DD" w:rsidRDefault="009C6E0E" w:rsidP="009C6E0E">
      <w:pPr>
        <w:spacing w:before="60" w:after="60"/>
        <w:ind w:left="993" w:hanging="426"/>
        <w:outlineLvl w:val="9"/>
        <w:rPr>
          <w:rFonts w:cs="Arial"/>
          <w:sz w:val="20"/>
          <w:szCs w:val="20"/>
          <w:lang w:val="en-GB"/>
        </w:rPr>
      </w:pPr>
      <w:r>
        <w:rPr>
          <w:rFonts w:cs="Arial"/>
          <w:sz w:val="20"/>
          <w:szCs w:val="20"/>
          <w:lang w:val="en-GB"/>
        </w:rPr>
        <w:t xml:space="preserve">Tourism Victoria, 2017 – Great Ocean Road Market Profile: Year Ending December 2014 Tourism Victoria, accessed in May 2017 at </w:t>
      </w:r>
      <w:hyperlink r:id="rId63" w:history="1">
        <w:r w:rsidRPr="00CA3B56">
          <w:rPr>
            <w:rStyle w:val="Hyperlink"/>
            <w:rFonts w:cs="Arial"/>
            <w:sz w:val="21"/>
            <w:szCs w:val="21"/>
            <w:shd w:val="clear" w:color="auto" w:fill="FFFFFF"/>
          </w:rPr>
          <w:t>https://www.tourism.vic.gov.au</w:t>
        </w:r>
      </w:hyperlink>
      <w:r>
        <w:rPr>
          <w:rFonts w:cs="Arial"/>
          <w:color w:val="006621"/>
          <w:sz w:val="21"/>
          <w:szCs w:val="21"/>
          <w:shd w:val="clear" w:color="auto" w:fill="FFFFFF"/>
        </w:rPr>
        <w:t xml:space="preserve"> </w:t>
      </w:r>
    </w:p>
    <w:p w14:paraId="37D692CA" w14:textId="77777777" w:rsidR="009C6E0E" w:rsidRPr="006103DD" w:rsidRDefault="009C6E0E" w:rsidP="009C6E0E">
      <w:pPr>
        <w:autoSpaceDE w:val="0"/>
        <w:autoSpaceDN w:val="0"/>
        <w:adjustRightInd w:val="0"/>
        <w:spacing w:before="60" w:after="60"/>
        <w:ind w:left="993" w:hanging="426"/>
        <w:outlineLvl w:val="9"/>
        <w:rPr>
          <w:rFonts w:cs="Arial"/>
          <w:sz w:val="20"/>
          <w:szCs w:val="20"/>
        </w:rPr>
      </w:pPr>
      <w:r w:rsidRPr="006103DD">
        <w:rPr>
          <w:rFonts w:cs="Arial"/>
          <w:sz w:val="20"/>
          <w:szCs w:val="20"/>
        </w:rPr>
        <w:t xml:space="preserve">Tormosov, D.D, Mikhaliev, Y.A., Best, P.B, Zemsky, V.A., Sekiguchi, K. and Brownell, R. 1998. Soviet catches of southern right whales </w:t>
      </w:r>
      <w:r w:rsidRPr="006103DD">
        <w:rPr>
          <w:rFonts w:cs="Arial"/>
          <w:i/>
          <w:iCs/>
          <w:sz w:val="20"/>
          <w:szCs w:val="20"/>
        </w:rPr>
        <w:t>Eubalaena australis</w:t>
      </w:r>
      <w:r w:rsidRPr="006103DD">
        <w:rPr>
          <w:rFonts w:cs="Arial"/>
          <w:sz w:val="20"/>
          <w:szCs w:val="20"/>
        </w:rPr>
        <w:t xml:space="preserve">, 1951-1971. Biological data and conservation implications. </w:t>
      </w:r>
      <w:r w:rsidRPr="006103DD">
        <w:rPr>
          <w:rFonts w:cs="Arial"/>
          <w:i/>
          <w:sz w:val="20"/>
          <w:szCs w:val="20"/>
        </w:rPr>
        <w:t>Biological Conservation</w:t>
      </w:r>
      <w:r w:rsidRPr="006103DD">
        <w:rPr>
          <w:rFonts w:cs="Arial"/>
          <w:sz w:val="20"/>
          <w:szCs w:val="20"/>
        </w:rPr>
        <w:t xml:space="preserve"> </w:t>
      </w:r>
      <w:r w:rsidRPr="006103DD">
        <w:rPr>
          <w:rFonts w:cs="Arial"/>
          <w:b/>
          <w:sz w:val="20"/>
          <w:szCs w:val="20"/>
        </w:rPr>
        <w:t>86</w:t>
      </w:r>
      <w:r w:rsidRPr="006103DD">
        <w:rPr>
          <w:rFonts w:cs="Arial"/>
          <w:sz w:val="20"/>
          <w:szCs w:val="20"/>
        </w:rPr>
        <w:t>:185-197.</w:t>
      </w:r>
    </w:p>
    <w:p w14:paraId="3DCA1358" w14:textId="77777777" w:rsidR="009C6E0E" w:rsidRPr="006103DD" w:rsidRDefault="009C6E0E" w:rsidP="009C6E0E">
      <w:pPr>
        <w:autoSpaceDE w:val="0"/>
        <w:autoSpaceDN w:val="0"/>
        <w:adjustRightInd w:val="0"/>
        <w:spacing w:before="60" w:after="60"/>
        <w:ind w:left="993" w:hanging="426"/>
        <w:outlineLvl w:val="9"/>
        <w:rPr>
          <w:rFonts w:cs="Arial"/>
          <w:sz w:val="20"/>
          <w:szCs w:val="20"/>
        </w:rPr>
      </w:pPr>
      <w:r w:rsidRPr="006103DD">
        <w:rPr>
          <w:rFonts w:cs="Arial"/>
          <w:color w:val="000000"/>
          <w:sz w:val="20"/>
          <w:szCs w:val="20"/>
        </w:rPr>
        <w:t xml:space="preserve">Townsend, C.H. 1935. The distribution of certain whales as shown by logbook records of American whaleships. </w:t>
      </w:r>
      <w:r w:rsidRPr="006103DD">
        <w:rPr>
          <w:rFonts w:cs="Arial"/>
          <w:i/>
          <w:color w:val="000000"/>
          <w:sz w:val="20"/>
          <w:szCs w:val="20"/>
        </w:rPr>
        <w:t>Zoological</w:t>
      </w:r>
      <w:r w:rsidRPr="006103DD">
        <w:rPr>
          <w:rFonts w:cs="Arial"/>
          <w:color w:val="000000"/>
          <w:sz w:val="20"/>
          <w:szCs w:val="20"/>
        </w:rPr>
        <w:t xml:space="preserve"> </w:t>
      </w:r>
      <w:r w:rsidRPr="006103DD">
        <w:rPr>
          <w:rFonts w:cs="Arial"/>
          <w:b/>
          <w:color w:val="000000"/>
          <w:sz w:val="20"/>
          <w:szCs w:val="20"/>
        </w:rPr>
        <w:t>19</w:t>
      </w:r>
      <w:r w:rsidRPr="006103DD">
        <w:rPr>
          <w:rFonts w:cs="Arial"/>
          <w:color w:val="000000"/>
          <w:sz w:val="20"/>
          <w:szCs w:val="20"/>
        </w:rPr>
        <w:t xml:space="preserve">:1-50. </w:t>
      </w:r>
    </w:p>
    <w:p w14:paraId="690131DC" w14:textId="77777777" w:rsidR="009C6E0E" w:rsidRPr="006103DD" w:rsidRDefault="009C6E0E" w:rsidP="009C6E0E">
      <w:pPr>
        <w:spacing w:before="60" w:after="60"/>
        <w:ind w:left="993" w:hanging="426"/>
        <w:outlineLvl w:val="9"/>
        <w:rPr>
          <w:rFonts w:cs="Arial"/>
          <w:sz w:val="20"/>
          <w:szCs w:val="20"/>
          <w:lang w:eastAsia="en-US"/>
        </w:rPr>
      </w:pPr>
      <w:r w:rsidRPr="006103DD">
        <w:rPr>
          <w:rFonts w:cs="Arial"/>
          <w:sz w:val="20"/>
          <w:szCs w:val="20"/>
          <w:lang w:eastAsia="en-US"/>
        </w:rPr>
        <w:t xml:space="preserve">TSSC. 2015a. Conservation Advice </w:t>
      </w:r>
      <w:r w:rsidRPr="006103DD">
        <w:rPr>
          <w:rFonts w:cs="Arial"/>
          <w:i/>
          <w:sz w:val="20"/>
          <w:szCs w:val="20"/>
          <w:lang w:eastAsia="en-US"/>
        </w:rPr>
        <w:t>Megaptera novaeangliae</w:t>
      </w:r>
      <w:r w:rsidRPr="006103DD">
        <w:rPr>
          <w:rFonts w:cs="Arial"/>
          <w:sz w:val="20"/>
          <w:szCs w:val="20"/>
          <w:lang w:eastAsia="en-US"/>
        </w:rPr>
        <w:t xml:space="preserve"> humpback whale. Threatened Species Scientific Committee. </w:t>
      </w:r>
    </w:p>
    <w:p w14:paraId="7EE3BBCB"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iCs/>
          <w:sz w:val="20"/>
          <w:szCs w:val="20"/>
          <w:lang w:val="en-US"/>
        </w:rPr>
        <w:t xml:space="preserve">Tsvetnenko, Y. 1998. Derivation of Australian Tropical Marine Water Quality Criteria for Protection of Aquatic Life from Adverse Effects of Petroleum Hydrocarbons. </w:t>
      </w:r>
      <w:r w:rsidRPr="006103DD">
        <w:rPr>
          <w:rFonts w:cs="Arial"/>
          <w:i/>
          <w:iCs/>
          <w:sz w:val="20"/>
          <w:szCs w:val="20"/>
          <w:lang w:val="en-US"/>
        </w:rPr>
        <w:t>Environmental Toxicology and Water Quality</w:t>
      </w:r>
      <w:r w:rsidRPr="006103DD">
        <w:rPr>
          <w:rFonts w:cs="Arial"/>
          <w:iCs/>
          <w:sz w:val="20"/>
          <w:szCs w:val="20"/>
          <w:lang w:val="en-US"/>
        </w:rPr>
        <w:t>. 13(4):273-284.</w:t>
      </w:r>
    </w:p>
    <w:p w14:paraId="01A85C60" w14:textId="77777777" w:rsidR="009C6E0E" w:rsidRDefault="009C6E0E" w:rsidP="009C6E0E">
      <w:pPr>
        <w:pStyle w:val="BodyText"/>
        <w:spacing w:before="60" w:after="60"/>
        <w:ind w:left="993" w:hanging="426"/>
        <w:rPr>
          <w:rFonts w:cs="Arial"/>
          <w:szCs w:val="20"/>
        </w:rPr>
      </w:pPr>
      <w:r w:rsidRPr="006103DD">
        <w:rPr>
          <w:rFonts w:cs="Arial"/>
          <w:szCs w:val="20"/>
        </w:rPr>
        <w:t>Turnpenny, A. and Nedwell, J. 1994. The effects on marine fish, diving mammals and birds of underwater sound generated by seismic surveys. FARL Report Reference: FCR 089/94, October 1994.</w:t>
      </w:r>
    </w:p>
    <w:p w14:paraId="32EC8BA5" w14:textId="77777777" w:rsidR="009C6E0E" w:rsidRPr="006103DD" w:rsidRDefault="009C6E0E" w:rsidP="009C6E0E">
      <w:pPr>
        <w:pStyle w:val="BodyText"/>
        <w:spacing w:before="60" w:after="60"/>
        <w:ind w:left="993" w:hanging="426"/>
        <w:rPr>
          <w:rFonts w:cs="Arial"/>
          <w:szCs w:val="20"/>
        </w:rPr>
      </w:pPr>
      <w:r>
        <w:rPr>
          <w:rFonts w:cs="Arial"/>
          <w:szCs w:val="20"/>
        </w:rPr>
        <w:t xml:space="preserve">University of Michigan, 2017 – Animal Diveristy Web – Hydrozoa. Museum of Zoology,  A www database accessed in May 2017 at </w:t>
      </w:r>
      <w:hyperlink r:id="rId64" w:history="1">
        <w:r w:rsidRPr="00A46598">
          <w:rPr>
            <w:rStyle w:val="Hyperlink"/>
            <w:rFonts w:cs="Arial"/>
            <w:szCs w:val="20"/>
          </w:rPr>
          <w:t>http://animaldiversity.org/accounts/Hydrozoa/</w:t>
        </w:r>
      </w:hyperlink>
      <w:r>
        <w:rPr>
          <w:rFonts w:cs="Arial"/>
          <w:szCs w:val="20"/>
        </w:rPr>
        <w:t xml:space="preserve"> </w:t>
      </w:r>
    </w:p>
    <w:p w14:paraId="5D802CAF"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 xml:space="preserve">Van Meter, R.J., Spotila, J.R. and Avery, H.W. 2006. Polycyclic Aromatic Hydrocarbons Affect Survival and Development of Common Snapping Turtle (Chelydra serpentina) Embryos and Hatchlings. </w:t>
      </w:r>
      <w:r w:rsidRPr="006103DD">
        <w:rPr>
          <w:rFonts w:cs="Arial"/>
          <w:i/>
          <w:sz w:val="20"/>
          <w:szCs w:val="20"/>
          <w:lang w:val="en-US"/>
        </w:rPr>
        <w:t>Environmental Pollution</w:t>
      </w:r>
      <w:r w:rsidRPr="006103DD">
        <w:rPr>
          <w:rFonts w:cs="Arial"/>
          <w:sz w:val="20"/>
          <w:szCs w:val="20"/>
          <w:lang w:val="en-US"/>
        </w:rPr>
        <w:t>. 142(3): 466–475.</w:t>
      </w:r>
    </w:p>
    <w:p w14:paraId="193F3016" w14:textId="77777777" w:rsidR="009C6E0E" w:rsidRPr="006103DD" w:rsidRDefault="009C6E0E" w:rsidP="009C6E0E">
      <w:pPr>
        <w:pStyle w:val="BodyText"/>
        <w:spacing w:before="60" w:after="60"/>
        <w:ind w:left="993" w:hanging="426"/>
        <w:rPr>
          <w:rFonts w:cs="Arial"/>
          <w:szCs w:val="20"/>
        </w:rPr>
      </w:pPr>
      <w:r w:rsidRPr="006103DD">
        <w:rPr>
          <w:rFonts w:cs="Arial"/>
          <w:szCs w:val="20"/>
        </w:rPr>
        <w:lastRenderedPageBreak/>
        <w:t xml:space="preserve">Victorian Government 2016. Marine Pests and Disease, Abalone Disease, Background and Impact downloaded on July 3 2016 at http://agriculture.vic.gov.au/fisheries/policy-and-planning/marine-pests-and-diseases/abalone-disease/background-and-impact </w:t>
      </w:r>
    </w:p>
    <w:p w14:paraId="28246ECC" w14:textId="77777777" w:rsidR="009C6E0E" w:rsidRDefault="009C6E0E" w:rsidP="009C6E0E">
      <w:pPr>
        <w:spacing w:before="60" w:after="60"/>
        <w:ind w:left="993" w:hanging="426"/>
        <w:outlineLvl w:val="9"/>
        <w:rPr>
          <w:rFonts w:cs="Arial"/>
          <w:sz w:val="20"/>
          <w:szCs w:val="20"/>
        </w:rPr>
      </w:pPr>
      <w:r w:rsidRPr="006103DD">
        <w:rPr>
          <w:rFonts w:cs="Arial"/>
          <w:sz w:val="20"/>
          <w:szCs w:val="20"/>
        </w:rPr>
        <w:t xml:space="preserve">Victorian Heritage Database. 2016. A WWW database accessed in 2016 at http://vhd.heritagecouncil.vic.gov.au. Heritage Council Victoria. Melbourne. </w:t>
      </w:r>
    </w:p>
    <w:p w14:paraId="18BB416F" w14:textId="77777777" w:rsidR="009C6E0E" w:rsidRPr="006103DD" w:rsidRDefault="009C6E0E" w:rsidP="009C6E0E">
      <w:pPr>
        <w:spacing w:before="60" w:after="60"/>
        <w:ind w:left="993" w:hanging="426"/>
        <w:outlineLvl w:val="9"/>
        <w:rPr>
          <w:rFonts w:cs="Arial"/>
          <w:sz w:val="20"/>
          <w:szCs w:val="20"/>
        </w:rPr>
      </w:pPr>
      <w:r>
        <w:rPr>
          <w:rFonts w:cs="Arial"/>
          <w:sz w:val="20"/>
          <w:szCs w:val="20"/>
        </w:rPr>
        <w:t>Victorian Saltmarsh Study*, 2011. Mangroves and coastal saltmarsh: distribution, condition, threats and management. Institute for Sustainability and Innovation, Victoria University, Melbourne * Pail.I. Boon, Tim Allen, Jennifer Brook, Geoff Carr, Doug Frood, Chris Harty, Jasmine Hoye, Andrew McMahon, Steve Mathews, Neville Rosengren, Steve Sinclair, Matt White and Jeff Yugovic.</w:t>
      </w:r>
    </w:p>
    <w:p w14:paraId="62C9F113" w14:textId="77777777" w:rsidR="009C6E0E" w:rsidRPr="006103DD" w:rsidRDefault="009C6E0E" w:rsidP="009C6E0E">
      <w:pPr>
        <w:pStyle w:val="MediumGrid1-Accent21"/>
        <w:spacing w:before="60" w:after="60" w:line="240" w:lineRule="auto"/>
        <w:ind w:left="993" w:hanging="426"/>
        <w:jc w:val="left"/>
        <w:rPr>
          <w:rFonts w:cs="Arial"/>
          <w:sz w:val="20"/>
          <w:szCs w:val="20"/>
          <w:lang w:val="en-US"/>
        </w:rPr>
      </w:pPr>
      <w:r w:rsidRPr="006103DD">
        <w:rPr>
          <w:rFonts w:cs="Arial"/>
          <w:sz w:val="20"/>
          <w:szCs w:val="20"/>
          <w:lang w:val="en-US"/>
        </w:rPr>
        <w:t>Volkman, J.K., Miller, G.J., Revill, A.T. and Connell, D.W. 1994. 'Oil spills.' In </w:t>
      </w:r>
      <w:r w:rsidRPr="006103DD">
        <w:rPr>
          <w:rFonts w:cs="Arial"/>
          <w:i/>
          <w:sz w:val="20"/>
          <w:szCs w:val="20"/>
          <w:lang w:val="en-US"/>
        </w:rPr>
        <w:t>Environmental Implications of offshore oil and gas development in Australia - the findings of an independent scientific review</w:t>
      </w:r>
      <w:r w:rsidRPr="006103DD">
        <w:rPr>
          <w:rFonts w:cs="Arial"/>
          <w:sz w:val="20"/>
          <w:szCs w:val="20"/>
          <w:lang w:val="en-US"/>
        </w:rPr>
        <w:t xml:space="preserve">. Edited by Swan, J.M., Neff, J.M. and Young, P.C. Australian Petroleum Exploration Association. Sydney. </w:t>
      </w:r>
    </w:p>
    <w:p w14:paraId="3E450559" w14:textId="77777777" w:rsidR="009C6E0E" w:rsidRPr="006103DD" w:rsidRDefault="009C6E0E" w:rsidP="009C6E0E">
      <w:pPr>
        <w:pStyle w:val="BodyText"/>
        <w:spacing w:before="60" w:after="60"/>
        <w:ind w:left="993" w:hanging="426"/>
        <w:rPr>
          <w:rFonts w:cs="Arial"/>
          <w:szCs w:val="20"/>
        </w:rPr>
      </w:pPr>
      <w:r w:rsidRPr="006103DD">
        <w:rPr>
          <w:rFonts w:cs="Arial"/>
          <w:szCs w:val="20"/>
        </w:rPr>
        <w:t xml:space="preserve">WDCS. 2006. Vessel collisions and cetaceans: What happens when they don’t miss the boat. Whale and Dolphin Conservation Society. United Kingdom. </w:t>
      </w:r>
    </w:p>
    <w:p w14:paraId="67966950" w14:textId="77777777" w:rsidR="009C6E0E" w:rsidRPr="00C2078D" w:rsidRDefault="009C6E0E" w:rsidP="009C6E0E">
      <w:pPr>
        <w:spacing w:before="60" w:after="60"/>
        <w:ind w:left="993" w:hanging="426"/>
        <w:outlineLvl w:val="9"/>
        <w:rPr>
          <w:rFonts w:cs="Arial"/>
          <w:sz w:val="20"/>
          <w:szCs w:val="20"/>
          <w:lang w:eastAsia="en-US"/>
        </w:rPr>
      </w:pPr>
      <w:r w:rsidRPr="00C2078D">
        <w:rPr>
          <w:rFonts w:cs="Arial"/>
          <w:sz w:val="20"/>
          <w:szCs w:val="20"/>
          <w:lang w:val="en-US"/>
        </w:rPr>
        <w:t xml:space="preserve">Wiese, F. K., Montevecci, W. A., Davoren, G. K., Huettmann, F., Diamond, A. W. and Linke, J. 2001. Seabirds at risk around off shore oil platforms in the northwest Atlantic. </w:t>
      </w:r>
      <w:r w:rsidRPr="00C2078D">
        <w:rPr>
          <w:rFonts w:cs="Arial"/>
          <w:i/>
          <w:iCs/>
          <w:sz w:val="20"/>
          <w:szCs w:val="20"/>
          <w:lang w:val="en-US"/>
        </w:rPr>
        <w:t>Marine Pollution Bulletin</w:t>
      </w:r>
      <w:r w:rsidRPr="00C2078D">
        <w:rPr>
          <w:rFonts w:cs="Arial"/>
          <w:sz w:val="20"/>
          <w:szCs w:val="20"/>
          <w:lang w:val="en-US"/>
        </w:rPr>
        <w:t>. 42:1285-1290</w:t>
      </w:r>
    </w:p>
    <w:p w14:paraId="105319E0" w14:textId="77777777" w:rsidR="009C6E0E" w:rsidRPr="006103DD" w:rsidRDefault="009C6E0E" w:rsidP="009C6E0E">
      <w:pPr>
        <w:pStyle w:val="BodyText"/>
        <w:spacing w:before="60" w:after="60"/>
        <w:ind w:left="993" w:hanging="426"/>
        <w:rPr>
          <w:rFonts w:cs="Arial"/>
          <w:szCs w:val="20"/>
          <w:lang w:eastAsia="en-US"/>
        </w:rPr>
      </w:pPr>
      <w:r w:rsidRPr="006103DD">
        <w:rPr>
          <w:rFonts w:cs="Arial"/>
          <w:szCs w:val="20"/>
        </w:rPr>
        <w:t xml:space="preserve">Wild Fisheries Research Program. 2012. Yellowfin Tuna. A WWW document accessed at http://www.dpi.nsw.gov.au/__data/assets/pdf_file/0011/375968/Yellowfin-Tuna.pdf. </w:t>
      </w:r>
    </w:p>
    <w:p w14:paraId="5F146ADC" w14:textId="77777777" w:rsidR="009C6E0E" w:rsidRPr="006103DD" w:rsidRDefault="009C6E0E" w:rsidP="009C6E0E">
      <w:pPr>
        <w:pStyle w:val="BodyText"/>
        <w:spacing w:before="60" w:after="60"/>
        <w:ind w:left="993" w:hanging="426"/>
        <w:rPr>
          <w:rFonts w:cs="Arial"/>
          <w:szCs w:val="20"/>
        </w:rPr>
      </w:pPr>
      <w:r w:rsidRPr="006103DD">
        <w:rPr>
          <w:rFonts w:cs="Arial"/>
          <w:szCs w:val="20"/>
        </w:rPr>
        <w:t>Wilson, R. and Poore, G. 1987. The Bass Strait survey: biological sampling stations, 1979-1984. Occasional papers from the Museum of Victoria 3, 1-14.</w:t>
      </w:r>
    </w:p>
    <w:p w14:paraId="2D545483" w14:textId="77777777" w:rsidR="009C6E0E" w:rsidRPr="00C2078D" w:rsidRDefault="009C6E0E" w:rsidP="009C6E0E">
      <w:pPr>
        <w:spacing w:before="60" w:after="60"/>
        <w:ind w:left="993" w:hanging="426"/>
        <w:outlineLvl w:val="9"/>
        <w:rPr>
          <w:rFonts w:cs="Arial"/>
          <w:sz w:val="20"/>
          <w:szCs w:val="20"/>
        </w:rPr>
      </w:pPr>
      <w:r w:rsidRPr="00C2078D">
        <w:rPr>
          <w:rFonts w:cs="Arial"/>
          <w:sz w:val="20"/>
          <w:szCs w:val="20"/>
        </w:rPr>
        <w:t>Womersley, H.B.S. 1984. The marine benthic flora of southern Australia. Part 1. D.J. Woolman, Government Pinter, South Australia</w:t>
      </w:r>
    </w:p>
    <w:p w14:paraId="173AF039" w14:textId="77777777" w:rsidR="009C6E0E" w:rsidRPr="006103DD" w:rsidRDefault="009C6E0E" w:rsidP="009C6E0E">
      <w:pPr>
        <w:pStyle w:val="BodyText"/>
        <w:spacing w:before="60" w:after="60"/>
        <w:ind w:left="993" w:hanging="426"/>
        <w:rPr>
          <w:rFonts w:cs="Arial"/>
          <w:szCs w:val="20"/>
        </w:rPr>
      </w:pPr>
      <w:r w:rsidRPr="006103DD">
        <w:rPr>
          <w:rFonts w:cs="Arial"/>
          <w:szCs w:val="20"/>
        </w:rPr>
        <w:t>Womersley, H.B.S. 1984. The marine benthic flora of southern Australia. Part 1. D.J. Woolman. Government Printer, South Australia.</w:t>
      </w:r>
    </w:p>
    <w:p w14:paraId="68F7586F" w14:textId="77777777" w:rsidR="009C6E0E" w:rsidRPr="006103DD" w:rsidRDefault="009C6E0E" w:rsidP="009C6E0E">
      <w:pPr>
        <w:pStyle w:val="BodyText"/>
        <w:spacing w:before="60" w:after="60"/>
        <w:ind w:left="993" w:hanging="426"/>
        <w:rPr>
          <w:rFonts w:cs="Arial"/>
          <w:szCs w:val="20"/>
        </w:rPr>
      </w:pPr>
      <w:r w:rsidRPr="006103DD">
        <w:rPr>
          <w:rFonts w:cs="Arial"/>
          <w:szCs w:val="20"/>
        </w:rPr>
        <w:t>Woodside. 2008. Browse LNG Development. Torosa South-1 Pilot Appraisal Well Environment Plan. Woodside Energy Ltd. Perth.</w:t>
      </w:r>
    </w:p>
    <w:p w14:paraId="74088F96" w14:textId="77777777" w:rsidR="009C6E0E" w:rsidRDefault="009C6E0E" w:rsidP="009C6E0E">
      <w:pPr>
        <w:pStyle w:val="BodyText"/>
        <w:spacing w:before="60" w:after="60"/>
        <w:ind w:left="1134" w:hanging="567"/>
        <w:rPr>
          <w:lang w:eastAsia="en-US"/>
        </w:rPr>
      </w:pPr>
      <w:r w:rsidRPr="006103DD">
        <w:rPr>
          <w:rFonts w:cs="Arial"/>
          <w:bCs/>
          <w:iCs/>
          <w:color w:val="002F2F"/>
          <w:szCs w:val="20"/>
        </w:rPr>
        <w:t>Woodside, 2011 – Browse LNG Development, Draft Upstream Environmental Impact Assessment, EPBC Referral 2008/4111, November 2011</w:t>
      </w:r>
    </w:p>
    <w:p w14:paraId="42DBFF77" w14:textId="77777777" w:rsidR="009C6E0E" w:rsidRPr="009C6E0E" w:rsidRDefault="009C6E0E" w:rsidP="009C6E0E">
      <w:pPr>
        <w:rPr>
          <w:lang w:eastAsia="en-US"/>
        </w:rPr>
      </w:pPr>
    </w:p>
    <w:p w14:paraId="6DDDC8E7" w14:textId="7AE9076D" w:rsidR="00B9660C" w:rsidRPr="00B9660C" w:rsidRDefault="00B9660C" w:rsidP="00B9660C">
      <w:pPr>
        <w:autoSpaceDE w:val="0"/>
        <w:autoSpaceDN w:val="0"/>
        <w:adjustRightInd w:val="0"/>
        <w:spacing w:after="0"/>
        <w:outlineLvl w:val="9"/>
        <w:rPr>
          <w:rFonts w:ascii="ArialMT" w:eastAsia="Calibri" w:hAnsi="ArialMT" w:cs="ArialMT"/>
          <w:color w:val="0000FF"/>
          <w:kern w:val="0"/>
          <w:sz w:val="20"/>
          <w:szCs w:val="20"/>
          <w:lang w:eastAsia="en-US"/>
        </w:rPr>
      </w:pPr>
    </w:p>
    <w:sectPr w:rsidR="00B9660C" w:rsidRPr="00B9660C" w:rsidSect="00E439A6">
      <w:pgSz w:w="11907" w:h="16840" w:code="9"/>
      <w:pgMar w:top="1861" w:right="1440" w:bottom="1440" w:left="1440" w:header="680" w:footer="28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D70E26" w14:textId="77777777" w:rsidR="009C6E0E" w:rsidRDefault="009C6E0E" w:rsidP="00A665B1">
      <w:r>
        <w:separator/>
      </w:r>
    </w:p>
  </w:endnote>
  <w:endnote w:type="continuationSeparator" w:id="0">
    <w:p w14:paraId="642BE9A1" w14:textId="77777777" w:rsidR="009C6E0E" w:rsidRDefault="009C6E0E" w:rsidP="00A66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pleMyungjo">
    <w:altName w:val="Malgun Gothic"/>
    <w:charset w:val="4F"/>
    <w:family w:val="auto"/>
    <w:pitch w:val="variable"/>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Segoe UI Semilight">
    <w:panose1 w:val="020B04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yriad Pro">
    <w:altName w:val="Times New Roman"/>
    <w:charset w:val="00"/>
    <w:family w:val="auto"/>
    <w:pitch w:val="variable"/>
    <w:sig w:usb0="00000001"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TE185D0F0t00">
    <w:altName w:val="Arial Unicode MS"/>
    <w:panose1 w:val="00000000000000000000"/>
    <w:charset w:val="88"/>
    <w:family w:val="auto"/>
    <w:notTrueType/>
    <w:pitch w:val="default"/>
    <w:sig w:usb0="00000001" w:usb1="08080000" w:usb2="00000010" w:usb3="00000000" w:csb0="00100000" w:csb1="00000000"/>
  </w:font>
  <w:font w:name="ArialMT">
    <w:altName w:val="Arial"/>
    <w:charset w:val="00"/>
    <w:family w:val="auto"/>
    <w:pitch w:val="variable"/>
    <w:sig w:usb0="E0002AFF" w:usb1="C0007843" w:usb2="00000009" w:usb3="00000000" w:csb0="000001FF" w:csb1="00000000"/>
  </w:font>
  <w:font w:name="Arial-ItalicMT">
    <w:altName w:val="Arial"/>
    <w:charset w:val="00"/>
    <w:family w:val="auto"/>
    <w:pitch w:val="variable"/>
    <w:sig w:usb0="E0000AFF" w:usb1="00007843" w:usb2="00000001" w:usb3="00000000" w:csb0="000001BF" w:csb1="00000000"/>
  </w:font>
  <w:font w:name="Cambria Math">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Layout w:type="fixed"/>
      <w:tblLook w:val="0000" w:firstRow="0" w:lastRow="0" w:firstColumn="0" w:lastColumn="0" w:noHBand="0" w:noVBand="0"/>
    </w:tblPr>
    <w:tblGrid>
      <w:gridCol w:w="6096"/>
      <w:gridCol w:w="2659"/>
      <w:gridCol w:w="992"/>
    </w:tblGrid>
    <w:tr w:rsidR="009C6E0E" w:rsidRPr="00D160B4" w14:paraId="04B3EB2D" w14:textId="77777777" w:rsidTr="00136A5A">
      <w:trPr>
        <w:cantSplit/>
      </w:trPr>
      <w:tc>
        <w:tcPr>
          <w:tcW w:w="6096" w:type="dxa"/>
          <w:vAlign w:val="center"/>
        </w:tcPr>
        <w:p w14:paraId="2D98281C" w14:textId="77777777" w:rsidR="009C6E0E" w:rsidRDefault="009C6E0E" w:rsidP="00A665B1"/>
      </w:tc>
      <w:tc>
        <w:tcPr>
          <w:tcW w:w="2659" w:type="dxa"/>
          <w:tcBorders>
            <w:right w:val="single" w:sz="2" w:space="0" w:color="A6A6A6"/>
          </w:tcBorders>
          <w:vAlign w:val="bottom"/>
        </w:tcPr>
        <w:p w14:paraId="41477ECE" w14:textId="77777777" w:rsidR="009C6E0E" w:rsidRPr="0091628A" w:rsidRDefault="009C6E0E" w:rsidP="00A665B1">
          <w:r w:rsidRPr="0091628A">
            <w:t>“ZERO INCIDENTS”</w:t>
          </w:r>
          <w:r w:rsidRPr="0091628A">
            <w:rPr>
              <w:noProof/>
            </w:rPr>
            <w:t xml:space="preserve"> </w:t>
          </w:r>
        </w:p>
      </w:tc>
      <w:tc>
        <w:tcPr>
          <w:tcW w:w="992" w:type="dxa"/>
          <w:tcBorders>
            <w:left w:val="single" w:sz="2" w:space="0" w:color="A6A6A6"/>
          </w:tcBorders>
          <w:vAlign w:val="bottom"/>
        </w:tcPr>
        <w:p w14:paraId="6ED88D5C" w14:textId="77777777" w:rsidR="009C6E0E" w:rsidRPr="00626BBF" w:rsidRDefault="009C6E0E" w:rsidP="00A665B1">
          <w:pPr>
            <w:rPr>
              <w:rStyle w:val="PageNumber"/>
            </w:rPr>
          </w:pPr>
          <w:r w:rsidRPr="00626BBF">
            <w:rPr>
              <w:rStyle w:val="PageNumber"/>
            </w:rPr>
            <w:t xml:space="preserve">Page </w:t>
          </w:r>
          <w:r w:rsidRPr="00626BBF">
            <w:rPr>
              <w:rStyle w:val="PageNumber"/>
            </w:rPr>
            <w:fldChar w:fldCharType="begin"/>
          </w:r>
          <w:r w:rsidRPr="00626BBF">
            <w:rPr>
              <w:rStyle w:val="PageNumber"/>
            </w:rPr>
            <w:instrText xml:space="preserve"> PAGE </w:instrText>
          </w:r>
          <w:r w:rsidRPr="00626BBF">
            <w:rPr>
              <w:rStyle w:val="PageNumber"/>
            </w:rPr>
            <w:fldChar w:fldCharType="separate"/>
          </w:r>
          <w:r>
            <w:rPr>
              <w:rStyle w:val="PageNumber"/>
              <w:noProof/>
            </w:rPr>
            <w:t>10</w:t>
          </w:r>
          <w:r w:rsidRPr="00626BBF">
            <w:rPr>
              <w:rStyle w:val="PageNumber"/>
            </w:rPr>
            <w:fldChar w:fldCharType="end"/>
          </w:r>
          <w:r w:rsidRPr="00626BBF">
            <w:rPr>
              <w:rStyle w:val="PageNumber"/>
            </w:rPr>
            <w:t xml:space="preserve"> </w:t>
          </w:r>
        </w:p>
      </w:tc>
    </w:tr>
    <w:tr w:rsidR="009C6E0E" w:rsidRPr="00D160B4" w14:paraId="2E690477" w14:textId="77777777" w:rsidTr="002D6675">
      <w:trPr>
        <w:cantSplit/>
      </w:trPr>
      <w:tc>
        <w:tcPr>
          <w:tcW w:w="9747" w:type="dxa"/>
          <w:gridSpan w:val="3"/>
          <w:vAlign w:val="center"/>
        </w:tcPr>
        <w:p w14:paraId="0551CE6E" w14:textId="77777777" w:rsidR="009C6E0E" w:rsidRPr="00626BBF" w:rsidRDefault="009C6E0E" w:rsidP="00A665B1">
          <w:r w:rsidRPr="00626BBF">
            <w:t>Quality Assurance System Manual / Uncontrolled When Printed / COE-QAS-MAN-001 / Revision 0 / 20/04/2012</w:t>
          </w:r>
        </w:p>
      </w:tc>
    </w:tr>
  </w:tbl>
  <w:p w14:paraId="0DDD0D0B" w14:textId="77777777" w:rsidR="009C6E0E" w:rsidRPr="00866A92" w:rsidRDefault="009C6E0E" w:rsidP="00A665B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text" w:tblpXSpec="right" w:tblpY="1"/>
      <w:tblOverlap w:val="never"/>
      <w:tblW w:w="141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CellMar>
        <w:left w:w="0" w:type="dxa"/>
        <w:right w:w="0" w:type="dxa"/>
      </w:tblCellMar>
      <w:tblLook w:val="04A0" w:firstRow="1" w:lastRow="0" w:firstColumn="1" w:lastColumn="0" w:noHBand="0" w:noVBand="1"/>
    </w:tblPr>
    <w:tblGrid>
      <w:gridCol w:w="1415"/>
    </w:tblGrid>
    <w:tr w:rsidR="009C6E0E" w:rsidRPr="00DE3E9C" w14:paraId="213126C9" w14:textId="77777777" w:rsidTr="00C52CB7">
      <w:trPr>
        <w:trHeight w:val="567"/>
        <w:tblHeader/>
      </w:trPr>
      <w:tc>
        <w:tcPr>
          <w:tcW w:w="1415" w:type="dxa"/>
          <w:tcBorders>
            <w:top w:val="nil"/>
            <w:left w:val="single" w:sz="2" w:space="0" w:color="A6A6A6"/>
            <w:bottom w:val="nil"/>
            <w:right w:val="nil"/>
          </w:tcBorders>
          <w:shd w:val="clear" w:color="auto" w:fill="auto"/>
        </w:tcPr>
        <w:p w14:paraId="5ED2B163" w14:textId="77777777" w:rsidR="009C6E0E" w:rsidRPr="00136A5A" w:rsidRDefault="009C6E0E" w:rsidP="00136A5A">
          <w:pPr>
            <w:spacing w:after="0" w:line="168" w:lineRule="auto"/>
            <w:rPr>
              <w:rFonts w:cs="Arial"/>
              <w:b/>
              <w:sz w:val="18"/>
              <w:szCs w:val="22"/>
            </w:rPr>
          </w:pPr>
        </w:p>
        <w:p w14:paraId="53EC0964" w14:textId="03F29792" w:rsidR="009C6E0E" w:rsidRPr="00136A5A" w:rsidRDefault="009C6E0E" w:rsidP="00136A5A">
          <w:pPr>
            <w:spacing w:after="0"/>
            <w:jc w:val="center"/>
            <w:rPr>
              <w:rFonts w:cs="Arial"/>
              <w:b/>
              <w:szCs w:val="22"/>
            </w:rPr>
          </w:pPr>
          <w:r w:rsidRPr="00136A5A">
            <w:rPr>
              <w:rFonts w:cs="Arial"/>
              <w:b/>
              <w:sz w:val="18"/>
              <w:szCs w:val="22"/>
            </w:rPr>
            <w:t xml:space="preserve">Page </w:t>
          </w:r>
          <w:r w:rsidRPr="00136A5A">
            <w:rPr>
              <w:rFonts w:cs="Arial"/>
              <w:b/>
              <w:sz w:val="18"/>
              <w:szCs w:val="22"/>
            </w:rPr>
            <w:fldChar w:fldCharType="begin"/>
          </w:r>
          <w:r w:rsidRPr="00136A5A">
            <w:rPr>
              <w:rFonts w:cs="Arial"/>
              <w:b/>
              <w:sz w:val="18"/>
              <w:szCs w:val="22"/>
            </w:rPr>
            <w:instrText xml:space="preserve"> PAGE </w:instrText>
          </w:r>
          <w:r w:rsidRPr="00136A5A">
            <w:rPr>
              <w:rFonts w:cs="Arial"/>
              <w:b/>
              <w:sz w:val="18"/>
              <w:szCs w:val="22"/>
            </w:rPr>
            <w:fldChar w:fldCharType="separate"/>
          </w:r>
          <w:r w:rsidR="003B3E7F">
            <w:rPr>
              <w:rFonts w:cs="Arial"/>
              <w:b/>
              <w:noProof/>
              <w:sz w:val="18"/>
              <w:szCs w:val="22"/>
            </w:rPr>
            <w:t>6</w:t>
          </w:r>
          <w:r w:rsidRPr="00136A5A">
            <w:rPr>
              <w:rFonts w:cs="Arial"/>
              <w:b/>
              <w:sz w:val="18"/>
              <w:szCs w:val="22"/>
            </w:rPr>
            <w:fldChar w:fldCharType="end"/>
          </w:r>
          <w:r w:rsidRPr="00136A5A">
            <w:rPr>
              <w:rFonts w:cs="Arial"/>
              <w:b/>
              <w:sz w:val="18"/>
              <w:szCs w:val="22"/>
            </w:rPr>
            <w:t xml:space="preserve"> of </w:t>
          </w:r>
          <w:r w:rsidRPr="00136A5A">
            <w:rPr>
              <w:rFonts w:cs="Arial"/>
              <w:b/>
              <w:sz w:val="18"/>
              <w:szCs w:val="22"/>
            </w:rPr>
            <w:fldChar w:fldCharType="begin"/>
          </w:r>
          <w:r w:rsidRPr="00136A5A">
            <w:rPr>
              <w:rFonts w:cs="Arial"/>
              <w:b/>
              <w:sz w:val="18"/>
              <w:szCs w:val="22"/>
            </w:rPr>
            <w:instrText>=</w:instrText>
          </w:r>
          <w:r w:rsidRPr="00136A5A">
            <w:rPr>
              <w:rFonts w:cs="Arial"/>
              <w:b/>
              <w:sz w:val="18"/>
              <w:szCs w:val="22"/>
            </w:rPr>
            <w:fldChar w:fldCharType="begin"/>
          </w:r>
          <w:r w:rsidRPr="00136A5A">
            <w:rPr>
              <w:rFonts w:cs="Arial"/>
              <w:b/>
              <w:sz w:val="18"/>
              <w:szCs w:val="22"/>
            </w:rPr>
            <w:instrText xml:space="preserve"> NUMPAGES </w:instrText>
          </w:r>
          <w:r w:rsidRPr="00136A5A">
            <w:rPr>
              <w:rFonts w:cs="Arial"/>
              <w:b/>
              <w:sz w:val="18"/>
              <w:szCs w:val="22"/>
            </w:rPr>
            <w:fldChar w:fldCharType="separate"/>
          </w:r>
          <w:r w:rsidR="003B3E7F">
            <w:rPr>
              <w:rFonts w:cs="Arial"/>
              <w:b/>
              <w:noProof/>
              <w:sz w:val="18"/>
              <w:szCs w:val="22"/>
            </w:rPr>
            <w:instrText>140</w:instrText>
          </w:r>
          <w:r w:rsidRPr="00136A5A">
            <w:rPr>
              <w:rFonts w:cs="Arial"/>
              <w:b/>
              <w:sz w:val="18"/>
              <w:szCs w:val="22"/>
            </w:rPr>
            <w:fldChar w:fldCharType="end"/>
          </w:r>
          <w:r w:rsidRPr="00136A5A">
            <w:rPr>
              <w:rFonts w:cs="Arial"/>
              <w:b/>
              <w:sz w:val="18"/>
              <w:szCs w:val="22"/>
            </w:rPr>
            <w:instrText xml:space="preserve">-1 </w:instrText>
          </w:r>
          <w:r w:rsidRPr="00136A5A">
            <w:rPr>
              <w:rFonts w:cs="Arial"/>
              <w:b/>
              <w:sz w:val="18"/>
              <w:szCs w:val="22"/>
            </w:rPr>
            <w:fldChar w:fldCharType="separate"/>
          </w:r>
          <w:r w:rsidR="003B3E7F">
            <w:rPr>
              <w:rFonts w:cs="Arial"/>
              <w:b/>
              <w:noProof/>
              <w:sz w:val="18"/>
              <w:szCs w:val="22"/>
            </w:rPr>
            <w:t>139</w:t>
          </w:r>
          <w:r w:rsidRPr="00136A5A">
            <w:rPr>
              <w:rFonts w:cs="Arial"/>
              <w:b/>
              <w:sz w:val="18"/>
              <w:szCs w:val="22"/>
            </w:rPr>
            <w:fldChar w:fldCharType="end"/>
          </w:r>
        </w:p>
      </w:tc>
    </w:tr>
  </w:tbl>
  <w:p w14:paraId="75A99E3F" w14:textId="77777777" w:rsidR="009C6E0E" w:rsidRPr="00136A5A" w:rsidRDefault="009C6E0E" w:rsidP="00DE3E9C">
    <w:pPr>
      <w:pBdr>
        <w:top w:val="single" w:sz="12" w:space="1" w:color="0F243E"/>
      </w:pBdr>
      <w:spacing w:after="0" w:line="120" w:lineRule="auto"/>
      <w:rPr>
        <w:rFonts w:eastAsia="Calibri" w:cs="Arial"/>
        <w:color w:val="0F243E"/>
        <w:sz w:val="18"/>
      </w:rPr>
    </w:pPr>
  </w:p>
  <w:p w14:paraId="0728BDB1" w14:textId="2E0689EF" w:rsidR="009C6E0E" w:rsidRPr="00136A5A" w:rsidRDefault="009C6E0E" w:rsidP="00DE3E9C">
    <w:pPr>
      <w:spacing w:after="0"/>
      <w:rPr>
        <w:rFonts w:eastAsia="Calibri" w:cs="Arial"/>
        <w:color w:val="0F243E"/>
        <w:sz w:val="18"/>
        <w:lang w:val="fr-FR"/>
      </w:rPr>
    </w:pPr>
    <w:r w:rsidRPr="00136A5A">
      <w:rPr>
        <w:rFonts w:eastAsia="Calibri" w:cs="Arial"/>
        <w:color w:val="0F243E"/>
        <w:sz w:val="18"/>
      </w:rPr>
      <w:fldChar w:fldCharType="begin"/>
    </w:r>
    <w:r w:rsidRPr="00136A5A">
      <w:rPr>
        <w:rFonts w:eastAsia="Calibri" w:cs="Arial"/>
        <w:color w:val="0F243E"/>
        <w:sz w:val="18"/>
        <w:lang w:val="fr-FR"/>
      </w:rPr>
      <w:instrText xml:space="preserve"> STYLEREF  Code </w:instrText>
    </w:r>
    <w:r w:rsidRPr="00136A5A">
      <w:rPr>
        <w:rFonts w:eastAsia="Calibri" w:cs="Arial"/>
        <w:color w:val="0F243E"/>
        <w:sz w:val="18"/>
      </w:rPr>
      <w:fldChar w:fldCharType="separate"/>
    </w:r>
    <w:r w:rsidR="003B3E7F">
      <w:rPr>
        <w:rFonts w:eastAsia="Calibri" w:cs="Arial"/>
        <w:noProof/>
        <w:color w:val="0F243E"/>
        <w:sz w:val="18"/>
        <w:lang w:val="fr-FR"/>
      </w:rPr>
      <w:t>CHN-EN-EMP-0006</w:t>
    </w:r>
    <w:r w:rsidRPr="00136A5A">
      <w:rPr>
        <w:rFonts w:eastAsia="Calibri" w:cs="Arial"/>
        <w:color w:val="0F243E"/>
        <w:sz w:val="18"/>
      </w:rPr>
      <w:fldChar w:fldCharType="end"/>
    </w:r>
    <w:r w:rsidRPr="00136A5A">
      <w:rPr>
        <w:rFonts w:eastAsia="Calibri" w:cs="Arial"/>
        <w:color w:val="0F243E"/>
        <w:sz w:val="18"/>
        <w:lang w:val="fr-FR"/>
      </w:rPr>
      <w:t xml:space="preserve"> / </w:t>
    </w:r>
    <w:r w:rsidRPr="00136A5A">
      <w:rPr>
        <w:rFonts w:eastAsia="Calibri" w:cs="Arial"/>
        <w:color w:val="0F243E"/>
        <w:sz w:val="18"/>
      </w:rPr>
      <w:fldChar w:fldCharType="begin"/>
    </w:r>
    <w:r w:rsidRPr="00136A5A">
      <w:rPr>
        <w:rFonts w:eastAsia="Calibri" w:cs="Arial"/>
        <w:color w:val="0F243E"/>
        <w:sz w:val="18"/>
        <w:lang w:val="fr-FR"/>
      </w:rPr>
      <w:instrText xml:space="preserve"> STYLEREF  Version </w:instrText>
    </w:r>
    <w:r w:rsidRPr="00136A5A">
      <w:rPr>
        <w:rFonts w:eastAsia="Calibri" w:cs="Arial"/>
        <w:color w:val="0F243E"/>
        <w:sz w:val="18"/>
      </w:rPr>
      <w:fldChar w:fldCharType="separate"/>
    </w:r>
    <w:r w:rsidR="003B3E7F">
      <w:rPr>
        <w:rFonts w:eastAsia="Calibri" w:cs="Arial"/>
        <w:noProof/>
        <w:color w:val="0F243E"/>
        <w:sz w:val="18"/>
        <w:lang w:val="fr-FR"/>
      </w:rPr>
      <w:t>Revision 0</w:t>
    </w:r>
    <w:r w:rsidRPr="00136A5A">
      <w:rPr>
        <w:rFonts w:eastAsia="Calibri" w:cs="Arial"/>
        <w:color w:val="0F243E"/>
        <w:sz w:val="18"/>
      </w:rPr>
      <w:fldChar w:fldCharType="end"/>
    </w:r>
    <w:bookmarkStart w:id="2" w:name="_Toc520524320"/>
    <w:bookmarkStart w:id="3" w:name="_Toc73871737"/>
    <w:bookmarkStart w:id="4" w:name="_Toc77435734"/>
    <w:bookmarkStart w:id="5" w:name="_Toc520524324"/>
    <w:r>
      <w:rPr>
        <w:rFonts w:eastAsia="Calibri" w:cs="Arial"/>
        <w:color w:val="0F243E"/>
        <w:sz w:val="18"/>
        <w:lang w:val="fr-FR"/>
      </w:rPr>
      <w:t xml:space="preserve"> /</w:t>
    </w:r>
  </w:p>
  <w:p w14:paraId="4101EADE" w14:textId="77777777" w:rsidR="009C6E0E" w:rsidRPr="00136A5A" w:rsidRDefault="009C6E0E" w:rsidP="00DE3E9C">
    <w:pPr>
      <w:spacing w:after="0"/>
      <w:rPr>
        <w:rFonts w:eastAsia="Calibri" w:cs="Arial"/>
        <w:color w:val="0F243E"/>
        <w:sz w:val="18"/>
      </w:rPr>
    </w:pPr>
    <w:r w:rsidRPr="00136A5A">
      <w:rPr>
        <w:rFonts w:eastAsia="Calibri" w:cs="Arial"/>
        <w:color w:val="0F243E"/>
        <w:sz w:val="18"/>
      </w:rPr>
      <w:t>Uncontrolled When Printed</w:t>
    </w:r>
  </w:p>
  <w:bookmarkEnd w:id="2"/>
  <w:bookmarkEnd w:id="3"/>
  <w:bookmarkEnd w:id="4"/>
  <w:bookmarkEnd w:id="5"/>
  <w:p w14:paraId="019C3000" w14:textId="77777777" w:rsidR="009C6E0E" w:rsidRPr="00136A5A" w:rsidRDefault="009C6E0E" w:rsidP="00DE3E9C">
    <w:pPr>
      <w:spacing w:after="0"/>
      <w:rPr>
        <w:rFonts w:eastAsia="Calibri" w:cs="Arial"/>
        <w:color w:val="0F243E"/>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728" w:type="dxa"/>
      <w:tblInd w:w="108" w:type="dxa"/>
      <w:tblLayout w:type="fixed"/>
      <w:tblLook w:val="0000" w:firstRow="0" w:lastRow="0" w:firstColumn="0" w:lastColumn="0" w:noHBand="0" w:noVBand="0"/>
    </w:tblPr>
    <w:tblGrid>
      <w:gridCol w:w="9315"/>
      <w:gridCol w:w="4435"/>
      <w:gridCol w:w="978"/>
    </w:tblGrid>
    <w:tr w:rsidR="009C6E0E" w:rsidRPr="00D160B4" w14:paraId="57ACF011" w14:textId="77777777" w:rsidTr="00136A5A">
      <w:trPr>
        <w:cantSplit/>
        <w:trHeight w:val="344"/>
      </w:trPr>
      <w:tc>
        <w:tcPr>
          <w:tcW w:w="9315" w:type="dxa"/>
          <w:vAlign w:val="center"/>
        </w:tcPr>
        <w:p w14:paraId="4E2B7608" w14:textId="77777777" w:rsidR="009C6E0E" w:rsidRDefault="009C6E0E" w:rsidP="00A665B1"/>
      </w:tc>
      <w:tc>
        <w:tcPr>
          <w:tcW w:w="4435" w:type="dxa"/>
          <w:tcBorders>
            <w:right w:val="single" w:sz="2" w:space="0" w:color="A6A6A6"/>
          </w:tcBorders>
          <w:vAlign w:val="bottom"/>
        </w:tcPr>
        <w:p w14:paraId="745BFDC6" w14:textId="77777777" w:rsidR="009C6E0E" w:rsidRPr="0091628A" w:rsidRDefault="009C6E0E" w:rsidP="00A665B1">
          <w:r w:rsidRPr="0091628A">
            <w:t>“ZERO INCIDENTS”</w:t>
          </w:r>
          <w:r w:rsidRPr="0091628A">
            <w:rPr>
              <w:noProof/>
            </w:rPr>
            <w:t xml:space="preserve"> </w:t>
          </w:r>
        </w:p>
      </w:tc>
      <w:tc>
        <w:tcPr>
          <w:tcW w:w="978" w:type="dxa"/>
          <w:tcBorders>
            <w:left w:val="single" w:sz="2" w:space="0" w:color="A6A6A6"/>
          </w:tcBorders>
          <w:vAlign w:val="bottom"/>
        </w:tcPr>
        <w:p w14:paraId="08239237" w14:textId="77777777" w:rsidR="009C6E0E" w:rsidRPr="00626BBF" w:rsidRDefault="009C6E0E" w:rsidP="00A665B1">
          <w:pPr>
            <w:rPr>
              <w:rStyle w:val="PageNumber"/>
            </w:rPr>
          </w:pPr>
          <w:r w:rsidRPr="00626BBF">
            <w:rPr>
              <w:rStyle w:val="PageNumber"/>
            </w:rPr>
            <w:t xml:space="preserve">Page </w:t>
          </w:r>
          <w:r w:rsidRPr="00626BBF">
            <w:rPr>
              <w:rStyle w:val="PageNumber"/>
            </w:rPr>
            <w:fldChar w:fldCharType="begin"/>
          </w:r>
          <w:r w:rsidRPr="00626BBF">
            <w:rPr>
              <w:rStyle w:val="PageNumber"/>
            </w:rPr>
            <w:instrText xml:space="preserve"> PAGE </w:instrText>
          </w:r>
          <w:r w:rsidRPr="00626BBF">
            <w:rPr>
              <w:rStyle w:val="PageNumber"/>
            </w:rPr>
            <w:fldChar w:fldCharType="separate"/>
          </w:r>
          <w:r>
            <w:rPr>
              <w:rStyle w:val="PageNumber"/>
              <w:noProof/>
            </w:rPr>
            <w:t>29</w:t>
          </w:r>
          <w:r w:rsidRPr="00626BBF">
            <w:rPr>
              <w:rStyle w:val="PageNumber"/>
            </w:rPr>
            <w:fldChar w:fldCharType="end"/>
          </w:r>
          <w:r w:rsidRPr="00626BBF">
            <w:rPr>
              <w:rStyle w:val="PageNumber"/>
            </w:rPr>
            <w:t xml:space="preserve"> </w:t>
          </w:r>
        </w:p>
      </w:tc>
    </w:tr>
    <w:tr w:rsidR="009C6E0E" w:rsidRPr="00D160B4" w14:paraId="4DC77D5B" w14:textId="77777777" w:rsidTr="00531366">
      <w:trPr>
        <w:cantSplit/>
        <w:trHeight w:val="215"/>
      </w:trPr>
      <w:tc>
        <w:tcPr>
          <w:tcW w:w="14728" w:type="dxa"/>
          <w:gridSpan w:val="3"/>
          <w:vAlign w:val="center"/>
        </w:tcPr>
        <w:p w14:paraId="20829CD6" w14:textId="77777777" w:rsidR="009C6E0E" w:rsidRPr="00626BBF" w:rsidRDefault="009C6E0E" w:rsidP="00A665B1">
          <w:r w:rsidRPr="00626BBF">
            <w:t>Quality Assurance System Manual / Uncontrolled When Printed / COE-QAS-MAN-001 / Revision 0 / 20/04/2012</w:t>
          </w:r>
        </w:p>
      </w:tc>
    </w:tr>
  </w:tbl>
  <w:p w14:paraId="7920EE10" w14:textId="77777777" w:rsidR="009C6E0E" w:rsidRPr="00866A92" w:rsidRDefault="009C6E0E" w:rsidP="00A665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941B1" w14:textId="77777777" w:rsidR="009C6E0E" w:rsidRDefault="009C6E0E" w:rsidP="00A665B1">
      <w:r>
        <w:separator/>
      </w:r>
    </w:p>
  </w:footnote>
  <w:footnote w:type="continuationSeparator" w:id="0">
    <w:p w14:paraId="71F673AA" w14:textId="77777777" w:rsidR="009C6E0E" w:rsidRDefault="009C6E0E" w:rsidP="00A665B1">
      <w:r>
        <w:continuationSeparator/>
      </w:r>
    </w:p>
  </w:footnote>
  <w:footnote w:id="1">
    <w:p w14:paraId="1002E51C" w14:textId="297BA595" w:rsidR="009C6E0E" w:rsidRPr="00FA36A5" w:rsidRDefault="009C6E0E">
      <w:pPr>
        <w:pStyle w:val="FootnoteText"/>
        <w:rPr>
          <w:sz w:val="16"/>
          <w:szCs w:val="16"/>
        </w:rPr>
      </w:pPr>
      <w:r w:rsidRPr="00FA36A5">
        <w:rPr>
          <w:rStyle w:val="FootnoteReference"/>
          <w:sz w:val="16"/>
          <w:szCs w:val="16"/>
        </w:rPr>
        <w:footnoteRef/>
      </w:r>
      <w:r w:rsidRPr="00FA36A5">
        <w:rPr>
          <w:sz w:val="16"/>
          <w:szCs w:val="16"/>
        </w:rPr>
        <w:t xml:space="preserve"> A consequence of moderate (3) is assigned to tourism impacts resulting from a diesel spill. This consequence has been assigned based upon a business reputation risk and not environmental impact.</w:t>
      </w:r>
    </w:p>
  </w:footnote>
  <w:footnote w:id="2">
    <w:p w14:paraId="27A1F96D" w14:textId="68D08AF9" w:rsidR="009C6E0E" w:rsidRPr="002B2C69" w:rsidRDefault="009C6E0E">
      <w:pPr>
        <w:pStyle w:val="FootnoteText"/>
        <w:rPr>
          <w:sz w:val="16"/>
          <w:szCs w:val="16"/>
        </w:rPr>
      </w:pPr>
      <w:r w:rsidRPr="002B2C69">
        <w:rPr>
          <w:rStyle w:val="FootnoteReference"/>
          <w:sz w:val="16"/>
          <w:szCs w:val="16"/>
        </w:rPr>
        <w:footnoteRef/>
      </w:r>
      <w:r w:rsidRPr="002B2C69">
        <w:rPr>
          <w:sz w:val="16"/>
          <w:szCs w:val="16"/>
        </w:rPr>
        <w:t xml:space="preserve"> Note the Santos 2013 modelling defined low level exposure at 1-10g/m</w:t>
      </w:r>
      <w:r w:rsidRPr="002B2C69">
        <w:rPr>
          <w:sz w:val="16"/>
          <w:szCs w:val="16"/>
          <w:vertAlign w:val="superscript"/>
        </w:rPr>
        <w:t>2</w:t>
      </w:r>
      <w:r w:rsidRPr="002B2C69">
        <w:rPr>
          <w:sz w:val="16"/>
          <w:szCs w:val="16"/>
        </w:rPr>
        <w:t>; moderate level exposure at 10-25g/m</w:t>
      </w:r>
      <w:r w:rsidRPr="002B2C69">
        <w:rPr>
          <w:sz w:val="16"/>
          <w:szCs w:val="16"/>
          <w:vertAlign w:val="superscript"/>
        </w:rPr>
        <w:t>2</w:t>
      </w:r>
      <w:r w:rsidRPr="002B2C69">
        <w:rPr>
          <w:sz w:val="16"/>
          <w:szCs w:val="16"/>
        </w:rPr>
        <w:t>, and high exposure at &gt;25g/m</w:t>
      </w:r>
      <w:r w:rsidRPr="002B2C69">
        <w:rPr>
          <w:sz w:val="16"/>
          <w:szCs w:val="16"/>
          <w:vertAlign w:val="superscript"/>
        </w:rPr>
        <w:t>2</w:t>
      </w:r>
      <w:r w:rsidRPr="002B2C69">
        <w:rPr>
          <w:sz w:val="16"/>
          <w:szCs w:val="16"/>
        </w:rPr>
        <w:t xml:space="preserve">. Exposures within this assessment utilise the new threshold values.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45D7D" w14:textId="77777777" w:rsidR="009C6E0E" w:rsidRDefault="009C6E0E" w:rsidP="00A665B1">
    <w:r>
      <w:rPr>
        <w:noProof/>
        <w:lang w:eastAsia="en-US"/>
      </w:rPr>
      <w:pict w14:anchorId="27D571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15.6pt;height:171.85pt;rotation:315;z-index:-251657216;mso-wrap-edited:f;mso-position-horizontal:center;mso-position-horizontal-relative:margin;mso-position-vertical:center;mso-position-vertical-relative:margin" wrapcoords="21411 3395 14305 3395 14179 3584 14117 4338 14148 5093 14148 9243 11601 3018 11444 3395 11161 3489 11098 3489 10406 8772 8929 5376 8080 3395 5156 3489 5093 7734 3489 4338 3112 3584 2263 3301 471 3489 440 3584 471 16978 628 17544 2672 17544 3206 17072 3647 16223 3961 15091 4275 15940 5407 17827 5502 17544 5785 17449 5848 17261 5879 12262 6288 11413 7703 15468 8834 18110 9117 17638 9746 17544 9966 17638 10029 17355 10564 13488 11193 13299 11790 14903 13205 17827 13299 17544 13676 17449 13708 17449 13551 16129 13896 16978 14588 17921 14840 17449 14871 17166 14903 11507 16915 11224 18015 14431 19556 18015 19713 17544 19933 17544 19965 17355 19996 5470 21474 5376 21505 4999 21505 3772 21411 3395" fillcolor="silver" stroked="f">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81FFE" w14:textId="7E93AEC0" w:rsidR="009C6E0E" w:rsidRDefault="009C6E0E" w:rsidP="00A665B1">
    <w:pPr>
      <w:pStyle w:val="Header"/>
    </w:pPr>
    <w:r>
      <w:rPr>
        <w:noProof/>
        <w:lang w:val="en-GB" w:eastAsia="en-GB"/>
      </w:rPr>
      <w:drawing>
        <wp:anchor distT="0" distB="0" distL="114300" distR="114300" simplePos="0" relativeHeight="251653120" behindDoc="0" locked="0" layoutInCell="1" allowOverlap="1" wp14:anchorId="3AB334C8" wp14:editId="678E48F9">
          <wp:simplePos x="0" y="0"/>
          <wp:positionH relativeFrom="column">
            <wp:posOffset>-29845</wp:posOffset>
          </wp:positionH>
          <wp:positionV relativeFrom="paragraph">
            <wp:posOffset>158115</wp:posOffset>
          </wp:positionV>
          <wp:extent cx="2434590" cy="1115060"/>
          <wp:effectExtent l="0" t="0" r="3810" b="2540"/>
          <wp:wrapNone/>
          <wp:docPr id="288" name="Picture 64" descr="Description: Description: C:\Temp\Temporary Directory 1 for Cooper Logo Package.zip\Logo Package\JPG\Print\Logo-Cmyk-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Description: C:\Temp\Temporary Directory 1 for Cooper Logo Package.zip\Logo Package\JPG\Print\Logo-Cmyk-Lar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4590" cy="1115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4144" behindDoc="1" locked="0" layoutInCell="1" allowOverlap="1" wp14:anchorId="4D4BE6C7" wp14:editId="58925E6F">
          <wp:simplePos x="0" y="0"/>
          <wp:positionH relativeFrom="margin">
            <wp:posOffset>2551430</wp:posOffset>
          </wp:positionH>
          <wp:positionV relativeFrom="margin">
            <wp:posOffset>-935990</wp:posOffset>
          </wp:positionV>
          <wp:extent cx="4710430" cy="10882630"/>
          <wp:effectExtent l="0" t="0" r="0" b="0"/>
          <wp:wrapNone/>
          <wp:docPr id="28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10430" cy="10882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6B815" w14:textId="74161B3D" w:rsidR="009C6E0E" w:rsidRDefault="009C6E0E" w:rsidP="00A665B1">
    <w:pPr>
      <w:rPr>
        <w:sz w:val="28"/>
      </w:rPr>
    </w:pPr>
    <w:r>
      <w:rPr>
        <w:noProof/>
        <w:lang w:eastAsia="en-US"/>
      </w:rPr>
      <w:pict w14:anchorId="75B705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15.6pt;height:171.85pt;rotation:315;z-index:-251656192;mso-wrap-edited:f;mso-position-horizontal:center;mso-position-horizontal-relative:margin;mso-position-vertical:center;mso-position-vertical-relative:margin" wrapcoords="21411 3395 14305 3395 14179 3584 14117 4338 14148 5093 14148 9243 11601 3018 11444 3395 11161 3489 11098 3489 10406 8772 8929 5376 8080 3395 5156 3489 5093 7734 3489 4338 3112 3584 2263 3301 471 3489 440 3584 471 16978 628 17544 2672 17544 3206 17072 3647 16223 3961 15091 4275 15940 5407 17827 5502 17544 5785 17449 5848 17261 5879 12262 6288 11413 7703 15468 8834 18110 9117 17638 9746 17544 9966 17638 10029 17355 10564 13488 11193 13299 11790 14903 13205 17827 13299 17544 13676 17449 13708 17449 13551 16129 13896 16978 14588 17921 14840 17449 14871 17166 14903 11507 16915 11224 18015 14431 19556 18015 19713 17544 19933 17544 19965 17355 19996 5470 21474 5376 21505 4999 21505 3772 21411 3395" fillcolor="silver" stroked="f">
          <v:textpath style="font-family:&quot;Arial&quot;;font-size:1pt" string="DRAFT"/>
          <w10:wrap anchorx="margin" anchory="margin"/>
        </v:shape>
      </w:pict>
    </w:r>
    <w:r>
      <w:rPr>
        <w:noProof/>
        <w:lang w:val="en-GB" w:eastAsia="en-GB"/>
      </w:rPr>
      <w:drawing>
        <wp:anchor distT="0" distB="0" distL="114300" distR="114300" simplePos="0" relativeHeight="251652096" behindDoc="1" locked="0" layoutInCell="1" allowOverlap="1" wp14:anchorId="65538C65" wp14:editId="023DAA56">
          <wp:simplePos x="0" y="0"/>
          <wp:positionH relativeFrom="column">
            <wp:posOffset>-767080</wp:posOffset>
          </wp:positionH>
          <wp:positionV relativeFrom="paragraph">
            <wp:posOffset>-427355</wp:posOffset>
          </wp:positionV>
          <wp:extent cx="5414645" cy="1121410"/>
          <wp:effectExtent l="0" t="0" r="0" b="0"/>
          <wp:wrapNone/>
          <wp:docPr id="29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4645"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COE-QAS-MAN-001</w:t>
    </w:r>
  </w:p>
  <w:p w14:paraId="04E0F43F" w14:textId="77777777" w:rsidR="009C6E0E" w:rsidRPr="00C45D35" w:rsidRDefault="009C6E0E" w:rsidP="00A665B1">
    <w:r>
      <w:t>QUALITY</w:t>
    </w:r>
    <w:r w:rsidRPr="00A21C5F">
      <w:t xml:space="preserve"> </w:t>
    </w:r>
    <w:r>
      <w:t>ASSURANCE SYSTEM MANUAL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9C426" w14:textId="77777777" w:rsidR="009C6E0E" w:rsidRDefault="009C6E0E" w:rsidP="00A665B1">
    <w:r>
      <w:rPr>
        <w:noProof/>
        <w:lang w:eastAsia="en-US"/>
      </w:rPr>
      <w:pict w14:anchorId="19C581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515.6pt;height:171.85pt;rotation:315;z-index:-251655168;mso-wrap-edited:f;mso-position-horizontal:center;mso-position-horizontal-relative:margin;mso-position-vertical:center;mso-position-vertical-relative:margin" wrapcoords="21411 3395 14305 3395 14179 3584 14117 4338 14148 5093 14148 9243 11601 3018 11444 3395 11161 3489 11098 3489 10406 8772 8929 5376 8080 3395 5156 3489 5093 7734 3489 4338 3112 3584 2263 3301 471 3489 440 3584 471 16978 628 17544 2672 17544 3206 17072 3647 16223 3961 15091 4275 15940 5407 17827 5502 17544 5785 17449 5848 17261 5879 12262 6288 11413 7703 15468 8834 18110 9117 17638 9746 17544 9966 17638 10029 17355 10564 13488 11193 13299 11790 14903 13205 17827 13299 17544 13676 17449 13708 17449 13551 16129 13896 16978 14588 17921 14840 17449 14871 17166 14903 11507 16915 11224 18015 14431 19556 18015 19713 17544 19933 17544 19965 17355 19996 5470 21474 5376 21505 4999 21505 3772 21411 3395" fillcolor="silver" stroked="f">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5B7C7" w14:textId="77777777" w:rsidR="009C6E0E" w:rsidRPr="00136A5A" w:rsidRDefault="009C6E0E" w:rsidP="00DE3E9C">
    <w:pPr>
      <w:spacing w:after="0"/>
      <w:ind w:left="1135" w:hanging="851"/>
      <w:jc w:val="right"/>
      <w:rPr>
        <w:rFonts w:ascii="Arial Bold" w:eastAsia="Calibri" w:hAnsi="Arial Bold" w:cs="Arial"/>
        <w:b/>
        <w:color w:val="0F243E"/>
      </w:rPr>
    </w:pPr>
  </w:p>
  <w:tbl>
    <w:tblPr>
      <w:tblpPr w:leftFromText="181" w:rightFromText="181" w:vertAnchor="text" w:tblpY="-481"/>
      <w:tblOverlap w:val="never"/>
      <w:tblW w:w="0" w:type="auto"/>
      <w:tblBorders>
        <w:bottom w:val="single" w:sz="12" w:space="0" w:color="0F243E"/>
      </w:tblBorders>
      <w:tblCellMar>
        <w:left w:w="0" w:type="dxa"/>
        <w:right w:w="0" w:type="dxa"/>
      </w:tblCellMar>
      <w:tblLook w:val="04A0" w:firstRow="1" w:lastRow="0" w:firstColumn="1" w:lastColumn="0" w:noHBand="0" w:noVBand="1"/>
    </w:tblPr>
    <w:tblGrid>
      <w:gridCol w:w="2268"/>
    </w:tblGrid>
    <w:tr w:rsidR="009C6E0E" w:rsidRPr="00DE3E9C" w14:paraId="6CBBB7CB" w14:textId="77777777" w:rsidTr="00136A5A">
      <w:trPr>
        <w:trHeight w:hRule="exact" w:val="936"/>
      </w:trPr>
      <w:tc>
        <w:tcPr>
          <w:tcW w:w="2268" w:type="dxa"/>
          <w:tcBorders>
            <w:bottom w:val="nil"/>
          </w:tcBorders>
          <w:shd w:val="clear" w:color="auto" w:fill="auto"/>
          <w:vAlign w:val="bottom"/>
        </w:tcPr>
        <w:p w14:paraId="49E83811" w14:textId="782A87E8" w:rsidR="009C6E0E" w:rsidRPr="00136A5A" w:rsidRDefault="009C6E0E" w:rsidP="00136A5A">
          <w:pPr>
            <w:spacing w:after="0"/>
            <w:jc w:val="right"/>
            <w:rPr>
              <w:rFonts w:ascii="Arial Bold" w:eastAsia="Calibri" w:hAnsi="Arial Bold" w:cs="Arial"/>
              <w:b/>
              <w:color w:val="0F243E"/>
              <w:sz w:val="22"/>
            </w:rPr>
          </w:pPr>
          <w:r>
            <w:rPr>
              <w:noProof/>
              <w:lang w:val="en-GB" w:eastAsia="en-GB"/>
            </w:rPr>
            <w:drawing>
              <wp:anchor distT="0" distB="0" distL="0" distR="0" simplePos="0" relativeHeight="251656192" behindDoc="0" locked="0" layoutInCell="1" allowOverlap="1" wp14:anchorId="077574C7" wp14:editId="12BC48D6">
                <wp:simplePos x="0" y="0"/>
                <wp:positionH relativeFrom="margin">
                  <wp:posOffset>18415</wp:posOffset>
                </wp:positionH>
                <wp:positionV relativeFrom="margin">
                  <wp:posOffset>0</wp:posOffset>
                </wp:positionV>
                <wp:extent cx="1237615" cy="565150"/>
                <wp:effectExtent l="0" t="0" r="6985" b="0"/>
                <wp:wrapSquare wrapText="right"/>
                <wp:docPr id="2" name="Picture 67" descr="Description: Description: C:\Temp\Temporary Directory 1 for Cooper Logo Package.zip\Logo Package\JPG\Print\Logo-Cmyk-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Description: C:\Temp\Temporary Directory 1 for Cooper Logo Package.zip\Logo Package\JPG\Print\Logo-Cmyk-Lar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7615" cy="565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886DBDB" w14:textId="77777777" w:rsidR="009C6E0E" w:rsidRPr="00136A5A" w:rsidRDefault="009C6E0E" w:rsidP="00DE3E9C">
    <w:pPr>
      <w:spacing w:after="0"/>
      <w:ind w:left="1135" w:hanging="851"/>
      <w:jc w:val="right"/>
      <w:rPr>
        <w:rFonts w:ascii="Arial Bold" w:eastAsia="Calibri" w:hAnsi="Arial Bold" w:cs="Arial"/>
        <w:b/>
        <w:color w:val="0F243E"/>
      </w:rPr>
    </w:pPr>
  </w:p>
  <w:p w14:paraId="68AD5D2A" w14:textId="4F0AFCF5" w:rsidR="009C6E0E" w:rsidRPr="00136A5A" w:rsidRDefault="009C6E0E" w:rsidP="00DE3E9C">
    <w:pPr>
      <w:spacing w:after="0"/>
      <w:ind w:left="1135" w:hanging="851"/>
      <w:jc w:val="right"/>
      <w:rPr>
        <w:rFonts w:ascii="Arial Bold" w:eastAsia="Calibri" w:hAnsi="Arial Bold" w:cs="Arial"/>
        <w:b/>
        <w:color w:val="0F243E"/>
      </w:rPr>
    </w:pPr>
    <w:r>
      <w:rPr>
        <w:rFonts w:ascii="Arial Bold" w:eastAsia="Calibri" w:hAnsi="Arial Bold" w:cs="Arial"/>
        <w:b/>
        <w:color w:val="0F243E"/>
      </w:rPr>
      <w:t xml:space="preserve">Casino, Henry and Netherby </w:t>
    </w:r>
    <w:r w:rsidRPr="00136A5A">
      <w:rPr>
        <w:rFonts w:ascii="Arial Bold" w:eastAsia="Calibri" w:hAnsi="Arial Bold" w:cs="Arial"/>
        <w:b/>
        <w:color w:val="0F243E"/>
      </w:rPr>
      <w:t>Environment Plan</w:t>
    </w:r>
    <w:r>
      <w:rPr>
        <w:rFonts w:ascii="Arial Bold" w:eastAsia="Calibri" w:hAnsi="Arial Bold" w:cs="Arial"/>
        <w:b/>
        <w:color w:val="0F243E"/>
      </w:rPr>
      <w:t xml:space="preserve"> Summary</w:t>
    </w:r>
  </w:p>
  <w:p w14:paraId="59B18219" w14:textId="77777777" w:rsidR="009C6E0E" w:rsidRPr="00136A5A" w:rsidRDefault="009C6E0E" w:rsidP="00DE3E9C">
    <w:pPr>
      <w:pBdr>
        <w:bottom w:val="single" w:sz="12" w:space="1" w:color="0F243E"/>
      </w:pBdr>
      <w:spacing w:after="0" w:line="120" w:lineRule="auto"/>
      <w:jc w:val="right"/>
      <w:rPr>
        <w:rFonts w:ascii="Arial Bold" w:eastAsia="Calibri" w:hAnsi="Arial Bold" w:cs="Arial"/>
        <w:b/>
        <w:color w:val="0F243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8F763" w14:textId="77777777" w:rsidR="009C6E0E" w:rsidRDefault="009C6E0E" w:rsidP="00A665B1">
    <w:r>
      <w:rPr>
        <w:noProof/>
        <w:lang w:eastAsia="en-US"/>
      </w:rPr>
      <w:pict w14:anchorId="72849A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515.6pt;height:171.85pt;rotation:315;z-index:-251654144;mso-wrap-edited:f;mso-position-horizontal:center;mso-position-horizontal-relative:margin;mso-position-vertical:center;mso-position-vertical-relative:margin" wrapcoords="21411 3395 14305 3395 14179 3584 14117 4338 14148 5093 14148 9243 11601 3018 11444 3395 11161 3489 11098 3489 10406 8772 8929 5376 8080 3395 5156 3489 5093 7734 3489 4338 3112 3584 2263 3301 471 3489 440 3584 471 16978 628 17544 2672 17544 3206 17072 3647 16223 3961 15091 4275 15940 5407 17827 5502 17544 5785 17449 5848 17261 5879 12262 6288 11413 7703 15468 8834 18110 9117 17638 9746 17544 9966 17638 10029 17355 10564 13488 11193 13299 11790 14903 13205 17827 13299 17544 13676 17449 13708 17449 13551 16129 13896 16978 14588 17921 14840 17449 14871 17166 14903 11507 16915 11224 18015 14431 19556 18015 19713 17544 19933 17544 19965 17355 19996 5470 21474 5376 21505 4999 21505 3772 21411 3395" fillcolor="silver" stroked="f">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4D429" w14:textId="7008F947" w:rsidR="009C6E0E" w:rsidRDefault="009C6E0E" w:rsidP="00A665B1">
    <w:r>
      <w:rPr>
        <w:noProof/>
        <w:lang w:val="en-GB" w:eastAsia="en-GB"/>
      </w:rPr>
      <mc:AlternateContent>
        <mc:Choice Requires="wps">
          <w:drawing>
            <wp:anchor distT="0" distB="0" distL="114300" distR="114300" simplePos="0" relativeHeight="251658240" behindDoc="1" locked="0" layoutInCell="1" allowOverlap="1" wp14:anchorId="54F3DB6A" wp14:editId="22A6B20A">
              <wp:simplePos x="0" y="0"/>
              <wp:positionH relativeFrom="margin">
                <wp:align>center</wp:align>
              </wp:positionH>
              <wp:positionV relativeFrom="margin">
                <wp:align>center</wp:align>
              </wp:positionV>
              <wp:extent cx="6548120" cy="106045"/>
              <wp:effectExtent l="0" t="1857375" r="0" b="1570355"/>
              <wp:wrapNone/>
              <wp:docPr id="6"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48120" cy="106045"/>
                      </a:xfrm>
                      <a:prstGeom prst="rect">
                        <a:avLst/>
                      </a:prstGeom>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48D15BEC" w14:textId="77777777" w:rsidR="009C6E0E" w:rsidRDefault="009C6E0E" w:rsidP="00B6035B">
                          <w:pPr>
                            <w:pStyle w:val="NormalWeb"/>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F3DB6A" id="_x0000_t202" coordsize="21600,21600" o:spt="202" path="m,l,21600r21600,l21600,xe">
              <v:stroke joinstyle="miter"/>
              <v:path gradientshapeok="t" o:connecttype="rect"/>
            </v:shapetype>
            <v:shape id="WordArt 11" o:spid="_x0000_s1026" type="#_x0000_t202" style="position:absolute;margin-left:0;margin-top:0;width:515.6pt;height:8.3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ENNQIAADMEAAAOAAAAZHJzL2Uyb0RvYy54bWysU8GO2jAQvVfqP1i+QxIELIkIK1hKL9t2&#10;paXas7EdkjbOuLYhQdX+e8dOoKv2VjUHKx6P38x7b7y871RNztLYCpqcJuOYEtlwEFVzzOnX/W60&#10;oMQ61ghWQyNzepGW3q/ev1u2OpMTKKEW0hAEaWzW6pyWzuksiiwvpWJ2DFo2eFiAUczh1hwjYViL&#10;6KqOJnE8j1owQhvg0lqMbvtDugr4RSG5+1IUVjpS5xR7c2E1YT34NVotWXY0TJcVH9pg/9CFYlWD&#10;RW9QW+YYOZnqLyhVcQMWCjfmoCIoiorLwAHZJPEfbJ5LpmXgguJYfZPJ/j9Y/vn8ZEglcjqnpGEK&#10;LXpBRdfGkSTx6rTaZpj0rDHNdRvo0OXA1OpH4N8taeChZM1Rro2BtpRMYHcJYg3hwGF/0QgconvZ&#10;uQ+iQiMCfPQGvy9mfaVD+wkEXmEnB6FaVxhFDPhrizT2XwijgAQ7QmcvNzexAOEYnM+mi2SCRxzP&#10;kngeT2eeUMQyD+bN0sa6jxIU8T85NTgtAZWdH63rU68pPh2BMT789e7+TJPJNN5M0tFuvrgbTYvp&#10;bJTexYtRnKSbFEum0+3udSh7vR84e5o9YdcdukHoA4gLsm9xHnNqf5yYkajkST0Aji/KVxhQgz1+&#10;f+Ww716Y0QMLh2We6us8Bio+7ygGe5n4hkCqxjE/s5rMgpY92SEZFfK0e1R/1+o1+rCrgibesL5P&#10;1NJvcDKDqsMr8qP/dh+yfr/11S8AAAD//wMAUEsDBBQABgAIAAAAIQCMriOa2gAAAAUBAAAPAAAA&#10;ZHJzL2Rvd25yZXYueG1sTI9Bb8IwDIXvk/gPkZF2GykgMdQ1RdOqHTgCE2fTmLZb4nRNSst+/cIu&#10;42I961nvfc42ozXiQp1vHCuYzxIQxKXTDVcKPg7vT2sQPiBrNI5JwZU8bPLJQ4apdgPv6LIPlYgh&#10;7FNUUIfQplL6siaLfuZa4uidXWcxxLWrpO5wiOHWyEWSrKTFhmNDjS291VR+7XurQP+cr+1yGA7b&#10;7a7ov01TFHT8VOpxOr6+gAg0hv9juOFHdMgj08n1rL0wCuIj4W/evGQ5X4A4RbV6Bpln8p4+/wUA&#10;AP//AwBQSwECLQAUAAYACAAAACEAtoM4kv4AAADhAQAAEwAAAAAAAAAAAAAAAAAAAAAAW0NvbnRl&#10;bnRfVHlwZXNdLnhtbFBLAQItABQABgAIAAAAIQA4/SH/1gAAAJQBAAALAAAAAAAAAAAAAAAAAC8B&#10;AABfcmVscy8ucmVsc1BLAQItABQABgAIAAAAIQDfmyENNQIAADMEAAAOAAAAAAAAAAAAAAAAAC4C&#10;AABkcnMvZTJvRG9jLnhtbFBLAQItABQABgAIAAAAIQCMriOa2gAAAAUBAAAPAAAAAAAAAAAAAAAA&#10;AI8EAABkcnMvZG93bnJldi54bWxQSwUGAAAAAAQABADzAAAAlgUAAAAA&#10;" filled="f" stroked="f">
              <o:lock v:ext="edit" shapetype="t"/>
              <v:textbox style="mso-fit-shape-to-text:t">
                <w:txbxContent>
                  <w:p w14:paraId="48D15BEC" w14:textId="77777777" w:rsidR="009C6E0E" w:rsidRDefault="009C6E0E" w:rsidP="00B6035B">
                    <w:pPr>
                      <w:pStyle w:val="Normal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DC463" w14:textId="3BC7420C" w:rsidR="009C6E0E" w:rsidRPr="00626BBF" w:rsidRDefault="009C6E0E" w:rsidP="00A665B1">
    <w:r>
      <w:rPr>
        <w:noProof/>
        <w:lang w:val="en-GB" w:eastAsia="en-GB"/>
      </w:rPr>
      <w:drawing>
        <wp:anchor distT="0" distB="0" distL="114300" distR="114300" simplePos="0" relativeHeight="251655168" behindDoc="0" locked="0" layoutInCell="1" allowOverlap="1" wp14:anchorId="2BF3117E" wp14:editId="5C42F7EF">
          <wp:simplePos x="0" y="0"/>
          <wp:positionH relativeFrom="column">
            <wp:posOffset>68580</wp:posOffset>
          </wp:positionH>
          <wp:positionV relativeFrom="paragraph">
            <wp:posOffset>-212090</wp:posOffset>
          </wp:positionV>
          <wp:extent cx="1236980" cy="566420"/>
          <wp:effectExtent l="0" t="0" r="7620" b="0"/>
          <wp:wrapNone/>
          <wp:docPr id="3" name="Picture 14" descr="Description: Description: C:\Temp\Temporary Directory 1 for Cooper Logo Package.zip\Logo Package\JPG\Print\Logo-Cmyk-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C:\Temp\Temporary Directory 1 for Cooper Logo Package.zip\Logo Package\JPG\Print\Logo-Cmyk-Lar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980" cy="56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BBF">
      <w:t>COE-QAS-MAN-001</w:t>
    </w:r>
  </w:p>
  <w:p w14:paraId="0663C8FC" w14:textId="77777777" w:rsidR="009C6E0E" w:rsidRPr="00626BBF" w:rsidRDefault="009C6E0E" w:rsidP="00A665B1">
    <w:r w:rsidRPr="00626BBF">
      <w:t>QUALITY ASSURANCE SYSTEM MANUAL</w:t>
    </w:r>
  </w:p>
  <w:p w14:paraId="3D2215CF" w14:textId="77777777" w:rsidR="009C6E0E" w:rsidRDefault="009C6E0E" w:rsidP="00A665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4984D10"/>
    <w:lvl w:ilvl="0">
      <w:start w:val="1"/>
      <w:numFmt w:val="decimal"/>
      <w:pStyle w:val="ListNumber5"/>
      <w:lvlText w:val="%1."/>
      <w:lvlJc w:val="left"/>
      <w:pPr>
        <w:tabs>
          <w:tab w:val="num" w:pos="1492"/>
        </w:tabs>
        <w:ind w:left="1492" w:hanging="360"/>
      </w:pPr>
    </w:lvl>
  </w:abstractNum>
  <w:abstractNum w:abstractNumId="1" w15:restartNumberingAfterBreak="0">
    <w:nsid w:val="FFFFFF83"/>
    <w:multiLevelType w:val="singleLevel"/>
    <w:tmpl w:val="9F28673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1B06F04"/>
    <w:multiLevelType w:val="hybridMultilevel"/>
    <w:tmpl w:val="2B68793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1F82D1C"/>
    <w:multiLevelType w:val="hybridMultilevel"/>
    <w:tmpl w:val="A9BC15A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704660C"/>
    <w:multiLevelType w:val="hybridMultilevel"/>
    <w:tmpl w:val="7110E7FC"/>
    <w:lvl w:ilvl="0" w:tplc="0C090001">
      <w:start w:val="1"/>
      <w:numFmt w:val="bullet"/>
      <w:lvlText w:val=""/>
      <w:lvlJc w:val="left"/>
      <w:pPr>
        <w:ind w:left="1433" w:hanging="360"/>
      </w:pPr>
      <w:rPr>
        <w:rFonts w:ascii="Symbol" w:hAnsi="Symbol" w:hint="default"/>
      </w:rPr>
    </w:lvl>
    <w:lvl w:ilvl="1" w:tplc="0C090003" w:tentative="1">
      <w:start w:val="1"/>
      <w:numFmt w:val="bullet"/>
      <w:lvlText w:val="o"/>
      <w:lvlJc w:val="left"/>
      <w:pPr>
        <w:ind w:left="2153" w:hanging="360"/>
      </w:pPr>
      <w:rPr>
        <w:rFonts w:ascii="Courier New" w:hAnsi="Courier New" w:cs="Courier New" w:hint="default"/>
      </w:rPr>
    </w:lvl>
    <w:lvl w:ilvl="2" w:tplc="0C090005" w:tentative="1">
      <w:start w:val="1"/>
      <w:numFmt w:val="bullet"/>
      <w:lvlText w:val=""/>
      <w:lvlJc w:val="left"/>
      <w:pPr>
        <w:ind w:left="2873" w:hanging="360"/>
      </w:pPr>
      <w:rPr>
        <w:rFonts w:ascii="Wingdings" w:hAnsi="Wingdings" w:hint="default"/>
      </w:rPr>
    </w:lvl>
    <w:lvl w:ilvl="3" w:tplc="0C090001" w:tentative="1">
      <w:start w:val="1"/>
      <w:numFmt w:val="bullet"/>
      <w:lvlText w:val=""/>
      <w:lvlJc w:val="left"/>
      <w:pPr>
        <w:ind w:left="3593" w:hanging="360"/>
      </w:pPr>
      <w:rPr>
        <w:rFonts w:ascii="Symbol" w:hAnsi="Symbol" w:hint="default"/>
      </w:rPr>
    </w:lvl>
    <w:lvl w:ilvl="4" w:tplc="0C090003" w:tentative="1">
      <w:start w:val="1"/>
      <w:numFmt w:val="bullet"/>
      <w:lvlText w:val="o"/>
      <w:lvlJc w:val="left"/>
      <w:pPr>
        <w:ind w:left="4313" w:hanging="360"/>
      </w:pPr>
      <w:rPr>
        <w:rFonts w:ascii="Courier New" w:hAnsi="Courier New" w:cs="Courier New" w:hint="default"/>
      </w:rPr>
    </w:lvl>
    <w:lvl w:ilvl="5" w:tplc="0C090005" w:tentative="1">
      <w:start w:val="1"/>
      <w:numFmt w:val="bullet"/>
      <w:lvlText w:val=""/>
      <w:lvlJc w:val="left"/>
      <w:pPr>
        <w:ind w:left="5033" w:hanging="360"/>
      </w:pPr>
      <w:rPr>
        <w:rFonts w:ascii="Wingdings" w:hAnsi="Wingdings" w:hint="default"/>
      </w:rPr>
    </w:lvl>
    <w:lvl w:ilvl="6" w:tplc="0C090001" w:tentative="1">
      <w:start w:val="1"/>
      <w:numFmt w:val="bullet"/>
      <w:lvlText w:val=""/>
      <w:lvlJc w:val="left"/>
      <w:pPr>
        <w:ind w:left="5753" w:hanging="360"/>
      </w:pPr>
      <w:rPr>
        <w:rFonts w:ascii="Symbol" w:hAnsi="Symbol" w:hint="default"/>
      </w:rPr>
    </w:lvl>
    <w:lvl w:ilvl="7" w:tplc="0C090003" w:tentative="1">
      <w:start w:val="1"/>
      <w:numFmt w:val="bullet"/>
      <w:lvlText w:val="o"/>
      <w:lvlJc w:val="left"/>
      <w:pPr>
        <w:ind w:left="6473" w:hanging="360"/>
      </w:pPr>
      <w:rPr>
        <w:rFonts w:ascii="Courier New" w:hAnsi="Courier New" w:cs="Courier New" w:hint="default"/>
      </w:rPr>
    </w:lvl>
    <w:lvl w:ilvl="8" w:tplc="0C090005" w:tentative="1">
      <w:start w:val="1"/>
      <w:numFmt w:val="bullet"/>
      <w:lvlText w:val=""/>
      <w:lvlJc w:val="left"/>
      <w:pPr>
        <w:ind w:left="7193" w:hanging="360"/>
      </w:pPr>
      <w:rPr>
        <w:rFonts w:ascii="Wingdings" w:hAnsi="Wingdings" w:hint="default"/>
      </w:rPr>
    </w:lvl>
  </w:abstractNum>
  <w:abstractNum w:abstractNumId="5" w15:restartNumberingAfterBreak="0">
    <w:nsid w:val="08D163F5"/>
    <w:multiLevelType w:val="multilevel"/>
    <w:tmpl w:val="7E702060"/>
    <w:lvl w:ilvl="0">
      <w:start w:val="1"/>
      <w:numFmt w:val="bullet"/>
      <w:pStyle w:val="bullet"/>
      <w:lvlText w:val=""/>
      <w:lvlJc w:val="left"/>
      <w:pPr>
        <w:tabs>
          <w:tab w:val="num" w:pos="1304"/>
        </w:tabs>
        <w:ind w:left="1304" w:hanging="453"/>
      </w:pPr>
      <w:rPr>
        <w:rFonts w:ascii="Symbol" w:hAnsi="Symbol" w:hint="default"/>
        <w:color w:val="auto"/>
      </w:rPr>
    </w:lvl>
    <w:lvl w:ilvl="1">
      <w:start w:val="1"/>
      <w:numFmt w:val="bullet"/>
      <w:lvlText w:val=""/>
      <w:lvlJc w:val="left"/>
      <w:pPr>
        <w:tabs>
          <w:tab w:val="num" w:pos="1588"/>
        </w:tabs>
        <w:ind w:left="1588" w:hanging="284"/>
      </w:pPr>
      <w:rPr>
        <w:rFonts w:ascii="Wingdings" w:hAnsi="Wingdings" w:hint="default"/>
        <w:sz w:val="1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C41E62"/>
    <w:multiLevelType w:val="hybridMultilevel"/>
    <w:tmpl w:val="89588B16"/>
    <w:lvl w:ilvl="0" w:tplc="EA0EA5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F74488"/>
    <w:multiLevelType w:val="hybridMultilevel"/>
    <w:tmpl w:val="AD3C59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CD4493E"/>
    <w:multiLevelType w:val="hybridMultilevel"/>
    <w:tmpl w:val="71683E2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F420268"/>
    <w:multiLevelType w:val="multilevel"/>
    <w:tmpl w:val="FB4667D4"/>
    <w:styleLink w:val="ListBullet"/>
    <w:lvl w:ilvl="0">
      <w:start w:val="1"/>
      <w:numFmt w:val="bullet"/>
      <w:lvlText w:val=""/>
      <w:lvlJc w:val="left"/>
      <w:pPr>
        <w:tabs>
          <w:tab w:val="num" w:pos="1134"/>
        </w:tabs>
        <w:ind w:left="1701" w:hanging="567"/>
      </w:pPr>
      <w:rPr>
        <w:rFonts w:ascii="Symbol" w:hAnsi="Symbol" w:hint="default"/>
        <w:color w:val="auto"/>
      </w:rPr>
    </w:lvl>
    <w:lvl w:ilvl="1">
      <w:start w:val="1"/>
      <w:numFmt w:val="bullet"/>
      <w:lvlText w:val=""/>
      <w:lvlJc w:val="left"/>
      <w:pPr>
        <w:tabs>
          <w:tab w:val="num" w:pos="1701"/>
        </w:tabs>
        <w:ind w:left="2268" w:hanging="567"/>
      </w:pPr>
      <w:rPr>
        <w:rFonts w:ascii="Symbol" w:hAnsi="Symbol" w:hint="default"/>
        <w:color w:val="auto"/>
      </w:rPr>
    </w:lvl>
    <w:lvl w:ilvl="2">
      <w:start w:val="1"/>
      <w:numFmt w:val="bullet"/>
      <w:lvlText w:val=""/>
      <w:lvlJc w:val="left"/>
      <w:pPr>
        <w:tabs>
          <w:tab w:val="num" w:pos="2268"/>
        </w:tabs>
        <w:ind w:left="2835" w:hanging="567"/>
      </w:pPr>
      <w:rPr>
        <w:rFonts w:ascii="Symbol" w:hAnsi="Symbol" w:hint="default"/>
        <w:color w:val="auto"/>
      </w:rPr>
    </w:lvl>
    <w:lvl w:ilvl="3">
      <w:start w:val="1"/>
      <w:numFmt w:val="bullet"/>
      <w:lvlText w:val=""/>
      <w:lvlJc w:val="left"/>
      <w:pPr>
        <w:tabs>
          <w:tab w:val="num" w:pos="2835"/>
        </w:tabs>
        <w:ind w:left="3402" w:hanging="567"/>
      </w:pPr>
      <w:rPr>
        <w:rFonts w:ascii="Symbol" w:hAnsi="Symbol" w:hint="default"/>
        <w:color w:val="auto"/>
      </w:rPr>
    </w:lvl>
    <w:lvl w:ilvl="4">
      <w:start w:val="1"/>
      <w:numFmt w:val="none"/>
      <w:lvlText w:val=""/>
      <w:lvlJc w:val="left"/>
      <w:pPr>
        <w:tabs>
          <w:tab w:val="num" w:pos="3402"/>
        </w:tabs>
        <w:ind w:left="3969" w:hanging="567"/>
      </w:pPr>
      <w:rPr>
        <w:rFonts w:hint="default"/>
      </w:rPr>
    </w:lvl>
    <w:lvl w:ilvl="5">
      <w:start w:val="1"/>
      <w:numFmt w:val="none"/>
      <w:lvlText w:val=""/>
      <w:lvlJc w:val="left"/>
      <w:pPr>
        <w:tabs>
          <w:tab w:val="num" w:pos="3969"/>
        </w:tabs>
        <w:ind w:left="4536" w:hanging="567"/>
      </w:pPr>
      <w:rPr>
        <w:rFonts w:hint="default"/>
      </w:rPr>
    </w:lvl>
    <w:lvl w:ilvl="6">
      <w:start w:val="1"/>
      <w:numFmt w:val="none"/>
      <w:lvlText w:val=""/>
      <w:lvlJc w:val="left"/>
      <w:pPr>
        <w:tabs>
          <w:tab w:val="num" w:pos="4536"/>
        </w:tabs>
        <w:ind w:left="5103" w:hanging="567"/>
      </w:pPr>
      <w:rPr>
        <w:rFonts w:hint="default"/>
      </w:rPr>
    </w:lvl>
    <w:lvl w:ilvl="7">
      <w:start w:val="1"/>
      <w:numFmt w:val="none"/>
      <w:lvlText w:val=""/>
      <w:lvlJc w:val="left"/>
      <w:pPr>
        <w:tabs>
          <w:tab w:val="num" w:pos="5103"/>
        </w:tabs>
        <w:ind w:left="5670" w:hanging="567"/>
      </w:pPr>
      <w:rPr>
        <w:rFonts w:hint="default"/>
      </w:rPr>
    </w:lvl>
    <w:lvl w:ilvl="8">
      <w:start w:val="1"/>
      <w:numFmt w:val="none"/>
      <w:lvlText w:val=""/>
      <w:lvlJc w:val="left"/>
      <w:pPr>
        <w:tabs>
          <w:tab w:val="num" w:pos="5670"/>
        </w:tabs>
        <w:ind w:left="6237" w:hanging="567"/>
      </w:pPr>
      <w:rPr>
        <w:rFonts w:hint="default"/>
      </w:rPr>
    </w:lvl>
  </w:abstractNum>
  <w:abstractNum w:abstractNumId="10" w15:restartNumberingAfterBreak="0">
    <w:nsid w:val="0FD51F06"/>
    <w:multiLevelType w:val="hybridMultilevel"/>
    <w:tmpl w:val="BD1C807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897382"/>
    <w:multiLevelType w:val="hybridMultilevel"/>
    <w:tmpl w:val="E5EE9E92"/>
    <w:lvl w:ilvl="0" w:tplc="C3F64322">
      <w:start w:val="1"/>
      <w:numFmt w:val="bullet"/>
      <w:pStyle w:val="Bullet1"/>
      <w:lvlText w:val=""/>
      <w:lvlJc w:val="left"/>
      <w:pPr>
        <w:ind w:left="567" w:firstLine="0"/>
      </w:pPr>
      <w:rPr>
        <w:rFonts w:ascii="Symbol" w:hAnsi="Symbol" w:hint="default"/>
      </w:rPr>
    </w:lvl>
    <w:lvl w:ilvl="1" w:tplc="5F1058F8">
      <w:start w:val="1"/>
      <w:numFmt w:val="bullet"/>
      <w:lvlText w:val="–"/>
      <w:lvlJc w:val="left"/>
      <w:pPr>
        <w:ind w:left="567" w:firstLine="567"/>
      </w:pPr>
      <w:rPr>
        <w:rFonts w:ascii="Corbel" w:hAnsi="Corbel"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4F370D9"/>
    <w:multiLevelType w:val="hybridMultilevel"/>
    <w:tmpl w:val="187CC9CA"/>
    <w:lvl w:ilvl="0" w:tplc="0C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56F0388"/>
    <w:multiLevelType w:val="multilevel"/>
    <w:tmpl w:val="FA60C5EA"/>
    <w:styleLink w:val="TableBullet"/>
    <w:lvl w:ilvl="0">
      <w:start w:val="1"/>
      <w:numFmt w:val="bullet"/>
      <w:lvlText w:val=""/>
      <w:lvlJc w:val="left"/>
      <w:pPr>
        <w:ind w:left="360" w:hanging="360"/>
      </w:pPr>
      <w:rPr>
        <w:rFonts w:ascii="Symbol" w:hAnsi="Symbol" w:hint="default"/>
        <w:color w:val="auto"/>
        <w:sz w:val="20"/>
      </w:rPr>
    </w:lvl>
    <w:lvl w:ilvl="1">
      <w:start w:val="1"/>
      <w:numFmt w:val="bullet"/>
      <w:lvlText w:val=""/>
      <w:lvlJc w:val="left"/>
      <w:pPr>
        <w:tabs>
          <w:tab w:val="num" w:pos="0"/>
        </w:tabs>
        <w:ind w:left="0" w:firstLine="0"/>
      </w:pPr>
      <w:rPr>
        <w:rFonts w:ascii="Symbol" w:hAnsi="Symbol" w:hint="default"/>
        <w:color w:val="auto"/>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76250DC"/>
    <w:multiLevelType w:val="hybridMultilevel"/>
    <w:tmpl w:val="ACF48A9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18367A6C"/>
    <w:multiLevelType w:val="hybridMultilevel"/>
    <w:tmpl w:val="862A63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545184"/>
    <w:multiLevelType w:val="multilevel"/>
    <w:tmpl w:val="EB2E0B5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19BD248F"/>
    <w:multiLevelType w:val="hybridMultilevel"/>
    <w:tmpl w:val="8D00A6BC"/>
    <w:lvl w:ilvl="0" w:tplc="0C090001">
      <w:start w:val="1"/>
      <w:numFmt w:val="bullet"/>
      <w:lvlText w:val=""/>
      <w:lvlJc w:val="left"/>
      <w:pPr>
        <w:ind w:left="1584" w:hanging="360"/>
      </w:pPr>
      <w:rPr>
        <w:rFonts w:ascii="Symbol" w:hAnsi="Symbol" w:hint="default"/>
      </w:rPr>
    </w:lvl>
    <w:lvl w:ilvl="1" w:tplc="0C090003">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8" w15:restartNumberingAfterBreak="0">
    <w:nsid w:val="1EEE3706"/>
    <w:multiLevelType w:val="hybridMultilevel"/>
    <w:tmpl w:val="543A8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6E5720"/>
    <w:multiLevelType w:val="multilevel"/>
    <w:tmpl w:val="2AB0011A"/>
    <w:lvl w:ilvl="0">
      <w:start w:val="1"/>
      <w:numFmt w:val="upperLetter"/>
      <w:pStyle w:val="AppLettered"/>
      <w:lvlText w:val="Appendix %1."/>
      <w:lvlJc w:val="left"/>
      <w:pPr>
        <w:tabs>
          <w:tab w:val="num" w:pos="2552"/>
        </w:tabs>
        <w:ind w:left="2552" w:hanging="2552"/>
      </w:pPr>
      <w:rPr>
        <w:rFonts w:hint="default"/>
      </w:rPr>
    </w:lvl>
    <w:lvl w:ilvl="1">
      <w:start w:val="1"/>
      <w:numFmt w:val="decimal"/>
      <w:pStyle w:val="AppA1"/>
      <w:lvlText w:val="%1.%2"/>
      <w:lvlJc w:val="left"/>
      <w:pPr>
        <w:tabs>
          <w:tab w:val="num" w:pos="1134"/>
        </w:tabs>
        <w:ind w:left="1134" w:hanging="1134"/>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0" w15:restartNumberingAfterBreak="0">
    <w:nsid w:val="26F409FF"/>
    <w:multiLevelType w:val="multilevel"/>
    <w:tmpl w:val="A7586B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Aventus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296536AB"/>
    <w:multiLevelType w:val="multilevel"/>
    <w:tmpl w:val="433A9114"/>
    <w:lvl w:ilvl="0">
      <w:start w:val="1"/>
      <w:numFmt w:val="decimal"/>
      <w:pStyle w:val="AppendixHeading"/>
      <w:suff w:val="space"/>
      <w:lvlText w:val="Appendix %1 -"/>
      <w:lvlJc w:val="left"/>
      <w:pPr>
        <w:ind w:left="0" w:firstLine="0"/>
      </w:pPr>
      <w:rPr>
        <w:rFonts w:ascii="Arial Bold" w:hAnsi="Arial Bold" w:hint="default"/>
        <w:b/>
        <w:i w:val="0"/>
        <w:sz w:val="32"/>
      </w:rPr>
    </w:lvl>
    <w:lvl w:ilvl="1">
      <w:start w:val="1"/>
      <w:numFmt w:val="decimalZero"/>
      <w:isLgl/>
      <w:lvlText w:val="A.%1.%2"/>
      <w:lvlJc w:val="left"/>
      <w:pPr>
        <w:ind w:left="0" w:firstLine="0"/>
      </w:pPr>
      <w:rPr>
        <w:rFonts w:ascii="Arial Bold" w:hAnsi="Arial Bold" w:hint="default"/>
        <w:b/>
        <w:i w:val="0"/>
        <w:sz w:val="24"/>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2" w15:restartNumberingAfterBreak="0">
    <w:nsid w:val="2C1604A2"/>
    <w:multiLevelType w:val="multilevel"/>
    <w:tmpl w:val="D144D7BA"/>
    <w:styleLink w:val="AppendixLetter"/>
    <w:lvl w:ilvl="0">
      <w:start w:val="1"/>
      <w:numFmt w:val="upperLetter"/>
      <w:lvlText w:val="%1"/>
      <w:lvlJc w:val="left"/>
      <w:pPr>
        <w:tabs>
          <w:tab w:val="num" w:pos="1134"/>
        </w:tabs>
        <w:ind w:left="1701" w:hanging="567"/>
      </w:pPr>
      <w:rPr>
        <w:rFonts w:hint="default"/>
      </w:rPr>
    </w:lvl>
    <w:lvl w:ilvl="1">
      <w:start w:val="1"/>
      <w:numFmt w:val="decimal"/>
      <w:lvlText w:val="%1.%2"/>
      <w:lvlJc w:val="left"/>
      <w:pPr>
        <w:tabs>
          <w:tab w:val="num" w:pos="1701"/>
        </w:tabs>
        <w:ind w:left="2268" w:hanging="567"/>
      </w:pPr>
      <w:rPr>
        <w:rFonts w:hint="default"/>
      </w:rPr>
    </w:lvl>
    <w:lvl w:ilvl="2">
      <w:start w:val="1"/>
      <w:numFmt w:val="decimal"/>
      <w:lvlText w:val="%1.%2.%3"/>
      <w:lvlJc w:val="left"/>
      <w:pPr>
        <w:tabs>
          <w:tab w:val="num" w:pos="2268"/>
        </w:tabs>
        <w:ind w:left="2835" w:hanging="567"/>
      </w:pPr>
      <w:rPr>
        <w:rFonts w:hint="default"/>
      </w:rPr>
    </w:lvl>
    <w:lvl w:ilvl="3">
      <w:start w:val="1"/>
      <w:numFmt w:val="decimal"/>
      <w:lvlText w:val="%1.%2.%3.%4"/>
      <w:lvlJc w:val="left"/>
      <w:pPr>
        <w:tabs>
          <w:tab w:val="num" w:pos="2835"/>
        </w:tabs>
        <w:ind w:left="3402" w:hanging="567"/>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3" w15:restartNumberingAfterBreak="0">
    <w:nsid w:val="33283094"/>
    <w:multiLevelType w:val="hybridMultilevel"/>
    <w:tmpl w:val="B17A0CB2"/>
    <w:lvl w:ilvl="0" w:tplc="08090003">
      <w:start w:val="1"/>
      <w:numFmt w:val="bullet"/>
      <w:lvlText w:val="o"/>
      <w:lvlJc w:val="left"/>
      <w:pPr>
        <w:ind w:left="2007" w:hanging="360"/>
      </w:pPr>
      <w:rPr>
        <w:rFonts w:ascii="Courier New" w:hAnsi="Courier New" w:cs="Courier New" w:hint="default"/>
      </w:rPr>
    </w:lvl>
    <w:lvl w:ilvl="1" w:tplc="0C090003" w:tentative="1">
      <w:start w:val="1"/>
      <w:numFmt w:val="bullet"/>
      <w:lvlText w:val="o"/>
      <w:lvlJc w:val="left"/>
      <w:pPr>
        <w:ind w:left="2727" w:hanging="360"/>
      </w:pPr>
      <w:rPr>
        <w:rFonts w:ascii="Courier New" w:hAnsi="Courier New" w:cs="Courier New" w:hint="default"/>
      </w:rPr>
    </w:lvl>
    <w:lvl w:ilvl="2" w:tplc="0C090005" w:tentative="1">
      <w:start w:val="1"/>
      <w:numFmt w:val="bullet"/>
      <w:lvlText w:val=""/>
      <w:lvlJc w:val="left"/>
      <w:pPr>
        <w:ind w:left="3447" w:hanging="360"/>
      </w:pPr>
      <w:rPr>
        <w:rFonts w:ascii="Wingdings" w:hAnsi="Wingdings" w:hint="default"/>
      </w:rPr>
    </w:lvl>
    <w:lvl w:ilvl="3" w:tplc="0C090001" w:tentative="1">
      <w:start w:val="1"/>
      <w:numFmt w:val="bullet"/>
      <w:lvlText w:val=""/>
      <w:lvlJc w:val="left"/>
      <w:pPr>
        <w:ind w:left="4167" w:hanging="360"/>
      </w:pPr>
      <w:rPr>
        <w:rFonts w:ascii="Symbol" w:hAnsi="Symbol" w:hint="default"/>
      </w:rPr>
    </w:lvl>
    <w:lvl w:ilvl="4" w:tplc="0C090003" w:tentative="1">
      <w:start w:val="1"/>
      <w:numFmt w:val="bullet"/>
      <w:lvlText w:val="o"/>
      <w:lvlJc w:val="left"/>
      <w:pPr>
        <w:ind w:left="4887" w:hanging="360"/>
      </w:pPr>
      <w:rPr>
        <w:rFonts w:ascii="Courier New" w:hAnsi="Courier New" w:cs="Courier New" w:hint="default"/>
      </w:rPr>
    </w:lvl>
    <w:lvl w:ilvl="5" w:tplc="0C090005" w:tentative="1">
      <w:start w:val="1"/>
      <w:numFmt w:val="bullet"/>
      <w:lvlText w:val=""/>
      <w:lvlJc w:val="left"/>
      <w:pPr>
        <w:ind w:left="5607" w:hanging="360"/>
      </w:pPr>
      <w:rPr>
        <w:rFonts w:ascii="Wingdings" w:hAnsi="Wingdings" w:hint="default"/>
      </w:rPr>
    </w:lvl>
    <w:lvl w:ilvl="6" w:tplc="0C090001" w:tentative="1">
      <w:start w:val="1"/>
      <w:numFmt w:val="bullet"/>
      <w:lvlText w:val=""/>
      <w:lvlJc w:val="left"/>
      <w:pPr>
        <w:ind w:left="6327" w:hanging="360"/>
      </w:pPr>
      <w:rPr>
        <w:rFonts w:ascii="Symbol" w:hAnsi="Symbol" w:hint="default"/>
      </w:rPr>
    </w:lvl>
    <w:lvl w:ilvl="7" w:tplc="0C090003" w:tentative="1">
      <w:start w:val="1"/>
      <w:numFmt w:val="bullet"/>
      <w:lvlText w:val="o"/>
      <w:lvlJc w:val="left"/>
      <w:pPr>
        <w:ind w:left="7047" w:hanging="360"/>
      </w:pPr>
      <w:rPr>
        <w:rFonts w:ascii="Courier New" w:hAnsi="Courier New" w:cs="Courier New" w:hint="default"/>
      </w:rPr>
    </w:lvl>
    <w:lvl w:ilvl="8" w:tplc="0C090005" w:tentative="1">
      <w:start w:val="1"/>
      <w:numFmt w:val="bullet"/>
      <w:lvlText w:val=""/>
      <w:lvlJc w:val="left"/>
      <w:pPr>
        <w:ind w:left="7767" w:hanging="360"/>
      </w:pPr>
      <w:rPr>
        <w:rFonts w:ascii="Wingdings" w:hAnsi="Wingdings" w:hint="default"/>
      </w:rPr>
    </w:lvl>
  </w:abstractNum>
  <w:abstractNum w:abstractNumId="24" w15:restartNumberingAfterBreak="0">
    <w:nsid w:val="35A77F21"/>
    <w:multiLevelType w:val="hybridMultilevel"/>
    <w:tmpl w:val="E7FC4F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5B77861"/>
    <w:multiLevelType w:val="multilevel"/>
    <w:tmpl w:val="137A7B0C"/>
    <w:lvl w:ilvl="0">
      <w:start w:val="1"/>
      <w:numFmt w:val="bullet"/>
      <w:pStyle w:val="tablebullet0"/>
      <w:lvlText w:val=""/>
      <w:lvlJc w:val="left"/>
      <w:pPr>
        <w:ind w:left="284" w:hanging="284"/>
      </w:pPr>
      <w:rPr>
        <w:rFonts w:ascii="Wingdings" w:hAnsi="Wingdings" w:hint="default"/>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66866C3"/>
    <w:multiLevelType w:val="hybridMultilevel"/>
    <w:tmpl w:val="095419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88160E5"/>
    <w:multiLevelType w:val="hybridMultilevel"/>
    <w:tmpl w:val="F7A074E0"/>
    <w:lvl w:ilvl="0" w:tplc="1D76BEAA">
      <w:start w:val="1"/>
      <w:numFmt w:val="bullet"/>
      <w:pStyle w:val="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C107BCB"/>
    <w:multiLevelType w:val="multilevel"/>
    <w:tmpl w:val="6D5E471C"/>
    <w:lvl w:ilvl="0">
      <w:start w:val="1"/>
      <w:numFmt w:val="upperLetter"/>
      <w:pStyle w:val="AppendixLetter0"/>
      <w:lvlText w:val="Appendix %1"/>
      <w:lvlJc w:val="left"/>
      <w:pPr>
        <w:tabs>
          <w:tab w:val="num" w:pos="1134"/>
        </w:tabs>
        <w:ind w:left="1134" w:hanging="1134"/>
      </w:pPr>
      <w:rPr>
        <w:rFonts w:hint="default"/>
      </w:rPr>
    </w:lvl>
    <w:lvl w:ilvl="1">
      <w:start w:val="1"/>
      <w:numFmt w:val="decimal"/>
      <w:pStyle w:val="AppendixLetterA1"/>
      <w:lvlText w:val="Appendix %1.%2"/>
      <w:lvlJc w:val="left"/>
      <w:pPr>
        <w:tabs>
          <w:tab w:val="num" w:pos="1134"/>
        </w:tabs>
        <w:ind w:left="1134" w:hanging="1134"/>
      </w:pPr>
      <w:rPr>
        <w:rFonts w:hint="default"/>
      </w:rPr>
    </w:lvl>
    <w:lvl w:ilvl="2">
      <w:start w:val="1"/>
      <w:numFmt w:val="decimal"/>
      <w:pStyle w:val="AppendixLetterA11"/>
      <w:lvlText w:val="Appendix %1.%2.%3"/>
      <w:lvlJc w:val="left"/>
      <w:pPr>
        <w:tabs>
          <w:tab w:val="num" w:pos="1134"/>
        </w:tabs>
        <w:ind w:left="1134" w:hanging="1134"/>
      </w:pPr>
      <w:rPr>
        <w:rFonts w:hint="default"/>
      </w:rPr>
    </w:lvl>
    <w:lvl w:ilvl="3">
      <w:start w:val="1"/>
      <w:numFmt w:val="decimal"/>
      <w:pStyle w:val="AppendixLetterA111"/>
      <w:lvlText w:val="Appendix %1.%2.%3.%4"/>
      <w:lvlJc w:val="left"/>
      <w:pPr>
        <w:tabs>
          <w:tab w:val="num" w:pos="1134"/>
        </w:tabs>
        <w:ind w:left="1134" w:hanging="1134"/>
      </w:pPr>
      <w:rPr>
        <w:rFonts w:hint="default"/>
      </w:rPr>
    </w:lvl>
    <w:lvl w:ilvl="4">
      <w:start w:val="1"/>
      <w:numFmt w:val="none"/>
      <w:lvlText w:val=""/>
      <w:lvlJc w:val="left"/>
      <w:pPr>
        <w:tabs>
          <w:tab w:val="num" w:pos="1134"/>
        </w:tabs>
        <w:ind w:left="1134" w:hanging="1134"/>
      </w:pPr>
      <w:rPr>
        <w:rFonts w:hint="default"/>
      </w:rPr>
    </w:lvl>
    <w:lvl w:ilvl="5">
      <w:start w:val="1"/>
      <w:numFmt w:val="none"/>
      <w:lvlText w:val=""/>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9" w15:restartNumberingAfterBreak="0">
    <w:nsid w:val="3C944A35"/>
    <w:multiLevelType w:val="hybridMultilevel"/>
    <w:tmpl w:val="25A44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D383D64"/>
    <w:multiLevelType w:val="multilevel"/>
    <w:tmpl w:val="EBD050AA"/>
    <w:styleLink w:val="ListNumber"/>
    <w:lvl w:ilvl="0">
      <w:start w:val="1"/>
      <w:numFmt w:val="decimal"/>
      <w:lvlText w:val="%1"/>
      <w:lvlJc w:val="left"/>
      <w:pPr>
        <w:ind w:left="1134" w:hanging="1134"/>
      </w:pPr>
      <w:rPr>
        <w:rFonts w:asciiTheme="minorHAnsi" w:hAnsiTheme="minorHAnsi" w:hint="default"/>
      </w:rPr>
    </w:lvl>
    <w:lvl w:ilvl="1">
      <w:start w:val="1"/>
      <w:numFmt w:val="decimal"/>
      <w:lvlText w:val="%2%1.1"/>
      <w:lvlJc w:val="left"/>
      <w:pPr>
        <w:ind w:left="1134" w:hanging="1134"/>
      </w:pPr>
      <w:rPr>
        <w:rFonts w:hint="default"/>
      </w:rPr>
    </w:lvl>
    <w:lvl w:ilvl="2">
      <w:start w:val="1"/>
      <w:numFmt w:val="decimal"/>
      <w:lvlText w:val="%3.%2.1"/>
      <w:lvlJc w:val="left"/>
      <w:pPr>
        <w:ind w:left="1134" w:hanging="1134"/>
      </w:pPr>
      <w:rPr>
        <w:rFonts w:hint="default"/>
      </w:rPr>
    </w:lvl>
    <w:lvl w:ilvl="3">
      <w:start w:val="1"/>
      <w:numFmt w:val="decimal"/>
      <w:lvlText w:val="%4.%2.%3.1"/>
      <w:lvlJc w:val="left"/>
      <w:pPr>
        <w:ind w:left="1134" w:hanging="1134"/>
      </w:pPr>
      <w:rPr>
        <w:rFonts w:hint="default"/>
      </w:rPr>
    </w:lvl>
    <w:lvl w:ilvl="4">
      <w:start w:val="1"/>
      <w:numFmt w:val="lowerLetter"/>
      <w:lvlText w:val="(%5)"/>
      <w:lvlJc w:val="left"/>
      <w:pPr>
        <w:ind w:left="1134" w:hanging="1134"/>
      </w:pPr>
      <w:rPr>
        <w:rFonts w:hint="default"/>
      </w:rPr>
    </w:lvl>
    <w:lvl w:ilvl="5">
      <w:start w:val="1"/>
      <w:numFmt w:val="lowerRoman"/>
      <w:lvlText w:val="(%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31" w15:restartNumberingAfterBreak="0">
    <w:nsid w:val="413C541C"/>
    <w:multiLevelType w:val="hybridMultilevel"/>
    <w:tmpl w:val="65E0D1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34E4166"/>
    <w:multiLevelType w:val="hybridMultilevel"/>
    <w:tmpl w:val="8AC072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58E0D5A"/>
    <w:multiLevelType w:val="hybridMultilevel"/>
    <w:tmpl w:val="DABC18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4D24A43"/>
    <w:multiLevelType w:val="hybridMultilevel"/>
    <w:tmpl w:val="4F04B008"/>
    <w:lvl w:ilvl="0" w:tplc="0C090001">
      <w:start w:val="1"/>
      <w:numFmt w:val="bullet"/>
      <w:lvlText w:val=""/>
      <w:lvlJc w:val="left"/>
      <w:pPr>
        <w:ind w:left="2007" w:hanging="360"/>
      </w:pPr>
      <w:rPr>
        <w:rFonts w:ascii="Symbol" w:hAnsi="Symbol" w:hint="default"/>
      </w:rPr>
    </w:lvl>
    <w:lvl w:ilvl="1" w:tplc="0C090003" w:tentative="1">
      <w:start w:val="1"/>
      <w:numFmt w:val="bullet"/>
      <w:lvlText w:val="o"/>
      <w:lvlJc w:val="left"/>
      <w:pPr>
        <w:ind w:left="2727" w:hanging="360"/>
      </w:pPr>
      <w:rPr>
        <w:rFonts w:ascii="Courier New" w:hAnsi="Courier New" w:cs="Courier New" w:hint="default"/>
      </w:rPr>
    </w:lvl>
    <w:lvl w:ilvl="2" w:tplc="0C090005" w:tentative="1">
      <w:start w:val="1"/>
      <w:numFmt w:val="bullet"/>
      <w:lvlText w:val=""/>
      <w:lvlJc w:val="left"/>
      <w:pPr>
        <w:ind w:left="3447" w:hanging="360"/>
      </w:pPr>
      <w:rPr>
        <w:rFonts w:ascii="Wingdings" w:hAnsi="Wingdings" w:hint="default"/>
      </w:rPr>
    </w:lvl>
    <w:lvl w:ilvl="3" w:tplc="0C090001" w:tentative="1">
      <w:start w:val="1"/>
      <w:numFmt w:val="bullet"/>
      <w:lvlText w:val=""/>
      <w:lvlJc w:val="left"/>
      <w:pPr>
        <w:ind w:left="4167" w:hanging="360"/>
      </w:pPr>
      <w:rPr>
        <w:rFonts w:ascii="Symbol" w:hAnsi="Symbol" w:hint="default"/>
      </w:rPr>
    </w:lvl>
    <w:lvl w:ilvl="4" w:tplc="0C090003" w:tentative="1">
      <w:start w:val="1"/>
      <w:numFmt w:val="bullet"/>
      <w:lvlText w:val="o"/>
      <w:lvlJc w:val="left"/>
      <w:pPr>
        <w:ind w:left="4887" w:hanging="360"/>
      </w:pPr>
      <w:rPr>
        <w:rFonts w:ascii="Courier New" w:hAnsi="Courier New" w:cs="Courier New" w:hint="default"/>
      </w:rPr>
    </w:lvl>
    <w:lvl w:ilvl="5" w:tplc="0C090005" w:tentative="1">
      <w:start w:val="1"/>
      <w:numFmt w:val="bullet"/>
      <w:lvlText w:val=""/>
      <w:lvlJc w:val="left"/>
      <w:pPr>
        <w:ind w:left="5607" w:hanging="360"/>
      </w:pPr>
      <w:rPr>
        <w:rFonts w:ascii="Wingdings" w:hAnsi="Wingdings" w:hint="default"/>
      </w:rPr>
    </w:lvl>
    <w:lvl w:ilvl="6" w:tplc="0C090001" w:tentative="1">
      <w:start w:val="1"/>
      <w:numFmt w:val="bullet"/>
      <w:lvlText w:val=""/>
      <w:lvlJc w:val="left"/>
      <w:pPr>
        <w:ind w:left="6327" w:hanging="360"/>
      </w:pPr>
      <w:rPr>
        <w:rFonts w:ascii="Symbol" w:hAnsi="Symbol" w:hint="default"/>
      </w:rPr>
    </w:lvl>
    <w:lvl w:ilvl="7" w:tplc="0C090003" w:tentative="1">
      <w:start w:val="1"/>
      <w:numFmt w:val="bullet"/>
      <w:lvlText w:val="o"/>
      <w:lvlJc w:val="left"/>
      <w:pPr>
        <w:ind w:left="7047" w:hanging="360"/>
      </w:pPr>
      <w:rPr>
        <w:rFonts w:ascii="Courier New" w:hAnsi="Courier New" w:cs="Courier New" w:hint="default"/>
      </w:rPr>
    </w:lvl>
    <w:lvl w:ilvl="8" w:tplc="0C090005" w:tentative="1">
      <w:start w:val="1"/>
      <w:numFmt w:val="bullet"/>
      <w:lvlText w:val=""/>
      <w:lvlJc w:val="left"/>
      <w:pPr>
        <w:ind w:left="7767" w:hanging="360"/>
      </w:pPr>
      <w:rPr>
        <w:rFonts w:ascii="Wingdings" w:hAnsi="Wingdings" w:hint="default"/>
      </w:rPr>
    </w:lvl>
  </w:abstractNum>
  <w:abstractNum w:abstractNumId="35" w15:restartNumberingAfterBreak="0">
    <w:nsid w:val="56EF4C9F"/>
    <w:multiLevelType w:val="hybridMultilevel"/>
    <w:tmpl w:val="73E21F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6F24E26"/>
    <w:multiLevelType w:val="multilevel"/>
    <w:tmpl w:val="EED60A74"/>
    <w:styleLink w:val="ListBulletNumber"/>
    <w:lvl w:ilvl="0">
      <w:start w:val="1"/>
      <w:numFmt w:val="decimal"/>
      <w:lvlText w:val="(%1)"/>
      <w:lvlJc w:val="left"/>
      <w:pPr>
        <w:tabs>
          <w:tab w:val="num" w:pos="1134"/>
        </w:tabs>
        <w:ind w:left="1701" w:hanging="567"/>
      </w:pPr>
      <w:rPr>
        <w:rFonts w:ascii="Arial" w:hAnsi="Arial" w:hint="default"/>
        <w:color w:val="auto"/>
        <w:sz w:val="20"/>
      </w:rPr>
    </w:lvl>
    <w:lvl w:ilvl="1">
      <w:start w:val="1"/>
      <w:numFmt w:val="decimal"/>
      <w:lvlText w:val="(%1.%2)"/>
      <w:lvlJc w:val="left"/>
      <w:pPr>
        <w:tabs>
          <w:tab w:val="num" w:pos="1701"/>
        </w:tabs>
        <w:ind w:left="2268" w:hanging="567"/>
      </w:pPr>
      <w:rPr>
        <w:rFonts w:hint="default"/>
      </w:rPr>
    </w:lvl>
    <w:lvl w:ilvl="2">
      <w:start w:val="1"/>
      <w:numFmt w:val="decimal"/>
      <w:lvlText w:val="(%1.%2.%3)"/>
      <w:lvlJc w:val="left"/>
      <w:pPr>
        <w:tabs>
          <w:tab w:val="num" w:pos="2268"/>
        </w:tabs>
        <w:ind w:left="2835" w:hanging="567"/>
      </w:pPr>
      <w:rPr>
        <w:rFonts w:hint="default"/>
      </w:rPr>
    </w:lvl>
    <w:lvl w:ilvl="3">
      <w:start w:val="1"/>
      <w:numFmt w:val="decimal"/>
      <w:lvlText w:val="(%1.%2.%3.%4)"/>
      <w:lvlJc w:val="left"/>
      <w:pPr>
        <w:tabs>
          <w:tab w:val="num" w:pos="2835"/>
        </w:tabs>
        <w:ind w:left="3402" w:hanging="567"/>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7" w15:restartNumberingAfterBreak="0">
    <w:nsid w:val="57FE6EF8"/>
    <w:multiLevelType w:val="hybridMultilevel"/>
    <w:tmpl w:val="5A108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174583"/>
    <w:multiLevelType w:val="hybridMultilevel"/>
    <w:tmpl w:val="8ACE7054"/>
    <w:lvl w:ilvl="0" w:tplc="B09025B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B7A2501"/>
    <w:multiLevelType w:val="multilevel"/>
    <w:tmpl w:val="72B86C72"/>
    <w:styleLink w:val="TableNumber"/>
    <w:lvl w:ilvl="0">
      <w:start w:val="1"/>
      <w:numFmt w:val="decimal"/>
      <w:lvlText w:val="%1)"/>
      <w:lvlJc w:val="left"/>
      <w:pPr>
        <w:ind w:left="360" w:hanging="360"/>
      </w:pPr>
      <w:rPr>
        <w:rFonts w:asciiTheme="minorHAnsi" w:hAnsiTheme="minorHAnsi" w:hint="default"/>
        <w:sz w:val="20"/>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64665794"/>
    <w:multiLevelType w:val="hybridMultilevel"/>
    <w:tmpl w:val="15FE34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E11FC6"/>
    <w:multiLevelType w:val="hybridMultilevel"/>
    <w:tmpl w:val="6B9E146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2" w15:restartNumberingAfterBreak="0">
    <w:nsid w:val="671B37B1"/>
    <w:multiLevelType w:val="hybridMultilevel"/>
    <w:tmpl w:val="8D687390"/>
    <w:lvl w:ilvl="0" w:tplc="0C090001">
      <w:start w:val="1"/>
      <w:numFmt w:val="bullet"/>
      <w:lvlText w:val=""/>
      <w:lvlJc w:val="left"/>
      <w:pPr>
        <w:ind w:left="725" w:hanging="360"/>
      </w:pPr>
      <w:rPr>
        <w:rFonts w:ascii="Symbol" w:hAnsi="Symbol" w:hint="default"/>
      </w:rPr>
    </w:lvl>
    <w:lvl w:ilvl="1" w:tplc="0C090003" w:tentative="1">
      <w:start w:val="1"/>
      <w:numFmt w:val="bullet"/>
      <w:lvlText w:val="o"/>
      <w:lvlJc w:val="left"/>
      <w:pPr>
        <w:ind w:left="1445" w:hanging="360"/>
      </w:pPr>
      <w:rPr>
        <w:rFonts w:ascii="Courier New" w:hAnsi="Courier New" w:cs="Courier New" w:hint="default"/>
      </w:rPr>
    </w:lvl>
    <w:lvl w:ilvl="2" w:tplc="0C090005" w:tentative="1">
      <w:start w:val="1"/>
      <w:numFmt w:val="bullet"/>
      <w:lvlText w:val=""/>
      <w:lvlJc w:val="left"/>
      <w:pPr>
        <w:ind w:left="2165" w:hanging="360"/>
      </w:pPr>
      <w:rPr>
        <w:rFonts w:ascii="Wingdings" w:hAnsi="Wingdings" w:hint="default"/>
      </w:rPr>
    </w:lvl>
    <w:lvl w:ilvl="3" w:tplc="0C090001" w:tentative="1">
      <w:start w:val="1"/>
      <w:numFmt w:val="bullet"/>
      <w:lvlText w:val=""/>
      <w:lvlJc w:val="left"/>
      <w:pPr>
        <w:ind w:left="2885" w:hanging="360"/>
      </w:pPr>
      <w:rPr>
        <w:rFonts w:ascii="Symbol" w:hAnsi="Symbol" w:hint="default"/>
      </w:rPr>
    </w:lvl>
    <w:lvl w:ilvl="4" w:tplc="0C090003" w:tentative="1">
      <w:start w:val="1"/>
      <w:numFmt w:val="bullet"/>
      <w:lvlText w:val="o"/>
      <w:lvlJc w:val="left"/>
      <w:pPr>
        <w:ind w:left="3605" w:hanging="360"/>
      </w:pPr>
      <w:rPr>
        <w:rFonts w:ascii="Courier New" w:hAnsi="Courier New" w:cs="Courier New" w:hint="default"/>
      </w:rPr>
    </w:lvl>
    <w:lvl w:ilvl="5" w:tplc="0C090005" w:tentative="1">
      <w:start w:val="1"/>
      <w:numFmt w:val="bullet"/>
      <w:lvlText w:val=""/>
      <w:lvlJc w:val="left"/>
      <w:pPr>
        <w:ind w:left="4325" w:hanging="360"/>
      </w:pPr>
      <w:rPr>
        <w:rFonts w:ascii="Wingdings" w:hAnsi="Wingdings" w:hint="default"/>
      </w:rPr>
    </w:lvl>
    <w:lvl w:ilvl="6" w:tplc="0C090001" w:tentative="1">
      <w:start w:val="1"/>
      <w:numFmt w:val="bullet"/>
      <w:lvlText w:val=""/>
      <w:lvlJc w:val="left"/>
      <w:pPr>
        <w:ind w:left="5045" w:hanging="360"/>
      </w:pPr>
      <w:rPr>
        <w:rFonts w:ascii="Symbol" w:hAnsi="Symbol" w:hint="default"/>
      </w:rPr>
    </w:lvl>
    <w:lvl w:ilvl="7" w:tplc="0C090003" w:tentative="1">
      <w:start w:val="1"/>
      <w:numFmt w:val="bullet"/>
      <w:lvlText w:val="o"/>
      <w:lvlJc w:val="left"/>
      <w:pPr>
        <w:ind w:left="5765" w:hanging="360"/>
      </w:pPr>
      <w:rPr>
        <w:rFonts w:ascii="Courier New" w:hAnsi="Courier New" w:cs="Courier New" w:hint="default"/>
      </w:rPr>
    </w:lvl>
    <w:lvl w:ilvl="8" w:tplc="0C090005" w:tentative="1">
      <w:start w:val="1"/>
      <w:numFmt w:val="bullet"/>
      <w:lvlText w:val=""/>
      <w:lvlJc w:val="left"/>
      <w:pPr>
        <w:ind w:left="6485" w:hanging="360"/>
      </w:pPr>
      <w:rPr>
        <w:rFonts w:ascii="Wingdings" w:hAnsi="Wingdings" w:hint="default"/>
      </w:rPr>
    </w:lvl>
  </w:abstractNum>
  <w:abstractNum w:abstractNumId="43" w15:restartNumberingAfterBreak="0">
    <w:nsid w:val="67817F53"/>
    <w:multiLevelType w:val="hybridMultilevel"/>
    <w:tmpl w:val="BA666728"/>
    <w:lvl w:ilvl="0" w:tplc="82B035D0">
      <w:start w:val="3"/>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A3C5028"/>
    <w:multiLevelType w:val="hybridMultilevel"/>
    <w:tmpl w:val="CE0E8A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71C552B7"/>
    <w:multiLevelType w:val="multilevel"/>
    <w:tmpl w:val="EA007F30"/>
    <w:lvl w:ilvl="0">
      <w:start w:val="1"/>
      <w:numFmt w:val="decimal"/>
      <w:pStyle w:val="TableNumber0"/>
      <w:lvlText w:val="(%1)"/>
      <w:lvlJc w:val="left"/>
      <w:pPr>
        <w:ind w:left="567" w:hanging="567"/>
      </w:pPr>
      <w:rPr>
        <w:rFonts w:asciiTheme="minorHAnsi" w:hAnsiTheme="minorHAnsi" w:hint="default"/>
        <w:sz w:val="20"/>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6" w15:restartNumberingAfterBreak="0">
    <w:nsid w:val="73B12141"/>
    <w:multiLevelType w:val="hybridMultilevel"/>
    <w:tmpl w:val="C0E83198"/>
    <w:lvl w:ilvl="0" w:tplc="FD8EEA6E">
      <w:start w:val="4"/>
      <w:numFmt w:val="upperLetter"/>
      <w:lvlText w:val="%1."/>
      <w:lvlJc w:val="left"/>
      <w:pPr>
        <w:ind w:left="842" w:hanging="360"/>
      </w:pPr>
      <w:rPr>
        <w:rFonts w:hint="default"/>
      </w:rPr>
    </w:lvl>
    <w:lvl w:ilvl="1" w:tplc="0C090019" w:tentative="1">
      <w:start w:val="1"/>
      <w:numFmt w:val="lowerLetter"/>
      <w:lvlText w:val="%2."/>
      <w:lvlJc w:val="left"/>
      <w:pPr>
        <w:ind w:left="1562" w:hanging="360"/>
      </w:pPr>
    </w:lvl>
    <w:lvl w:ilvl="2" w:tplc="0C09001B" w:tentative="1">
      <w:start w:val="1"/>
      <w:numFmt w:val="lowerRoman"/>
      <w:lvlText w:val="%3."/>
      <w:lvlJc w:val="right"/>
      <w:pPr>
        <w:ind w:left="2282" w:hanging="180"/>
      </w:pPr>
    </w:lvl>
    <w:lvl w:ilvl="3" w:tplc="0C09000F" w:tentative="1">
      <w:start w:val="1"/>
      <w:numFmt w:val="decimal"/>
      <w:lvlText w:val="%4."/>
      <w:lvlJc w:val="left"/>
      <w:pPr>
        <w:ind w:left="3002" w:hanging="360"/>
      </w:pPr>
    </w:lvl>
    <w:lvl w:ilvl="4" w:tplc="0C090019" w:tentative="1">
      <w:start w:val="1"/>
      <w:numFmt w:val="lowerLetter"/>
      <w:lvlText w:val="%5."/>
      <w:lvlJc w:val="left"/>
      <w:pPr>
        <w:ind w:left="3722" w:hanging="360"/>
      </w:pPr>
    </w:lvl>
    <w:lvl w:ilvl="5" w:tplc="0C09001B" w:tentative="1">
      <w:start w:val="1"/>
      <w:numFmt w:val="lowerRoman"/>
      <w:lvlText w:val="%6."/>
      <w:lvlJc w:val="right"/>
      <w:pPr>
        <w:ind w:left="4442" w:hanging="180"/>
      </w:pPr>
    </w:lvl>
    <w:lvl w:ilvl="6" w:tplc="0C09000F" w:tentative="1">
      <w:start w:val="1"/>
      <w:numFmt w:val="decimal"/>
      <w:lvlText w:val="%7."/>
      <w:lvlJc w:val="left"/>
      <w:pPr>
        <w:ind w:left="5162" w:hanging="360"/>
      </w:pPr>
    </w:lvl>
    <w:lvl w:ilvl="7" w:tplc="0C090019" w:tentative="1">
      <w:start w:val="1"/>
      <w:numFmt w:val="lowerLetter"/>
      <w:lvlText w:val="%8."/>
      <w:lvlJc w:val="left"/>
      <w:pPr>
        <w:ind w:left="5882" w:hanging="360"/>
      </w:pPr>
    </w:lvl>
    <w:lvl w:ilvl="8" w:tplc="0C09001B" w:tentative="1">
      <w:start w:val="1"/>
      <w:numFmt w:val="lowerRoman"/>
      <w:lvlText w:val="%9."/>
      <w:lvlJc w:val="right"/>
      <w:pPr>
        <w:ind w:left="6602" w:hanging="180"/>
      </w:pPr>
    </w:lvl>
  </w:abstractNum>
  <w:abstractNum w:abstractNumId="47" w15:restartNumberingAfterBreak="0">
    <w:nsid w:val="781D3256"/>
    <w:multiLevelType w:val="hybridMultilevel"/>
    <w:tmpl w:val="EAB81B9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AC65EB2"/>
    <w:multiLevelType w:val="multilevel"/>
    <w:tmpl w:val="A000A5A6"/>
    <w:lvl w:ilvl="0">
      <w:start w:val="1"/>
      <w:numFmt w:val="upperLetter"/>
      <w:pStyle w:val="AppendixN1"/>
      <w:lvlText w:val="%1."/>
      <w:lvlJc w:val="left"/>
      <w:pPr>
        <w:ind w:left="567" w:hanging="567"/>
      </w:pPr>
      <w:rPr>
        <w:rFonts w:hint="default"/>
        <w:b/>
        <w:i w:val="0"/>
      </w:rPr>
    </w:lvl>
    <w:lvl w:ilvl="1">
      <w:start w:val="1"/>
      <w:numFmt w:val="upperLetter"/>
      <w:lvlText w:val="%2."/>
      <w:lvlJc w:val="left"/>
      <w:pPr>
        <w:ind w:left="1134" w:hanging="567"/>
      </w:pPr>
      <w:rPr>
        <w:rFonts w:hint="default"/>
      </w:rPr>
    </w:lvl>
    <w:lvl w:ilvl="2">
      <w:start w:val="1"/>
      <w:numFmt w:val="decimal"/>
      <w:lvlText w:val="%3."/>
      <w:lvlJc w:val="lef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lowerLetter"/>
      <w:lvlText w:val="(%6)"/>
      <w:lvlJc w:val="left"/>
      <w:pPr>
        <w:ind w:left="3402" w:hanging="567"/>
      </w:pPr>
      <w:rPr>
        <w:rFonts w:hint="default"/>
      </w:rPr>
    </w:lvl>
    <w:lvl w:ilvl="6">
      <w:start w:val="1"/>
      <w:numFmt w:val="lowerRoman"/>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9" w15:restartNumberingAfterBreak="0">
    <w:nsid w:val="7D8767CD"/>
    <w:multiLevelType w:val="hybridMultilevel"/>
    <w:tmpl w:val="1FC2D952"/>
    <w:lvl w:ilvl="0" w:tplc="4F5A8762">
      <w:start w:val="1"/>
      <w:numFmt w:val="bullet"/>
      <w:lvlText w:val=""/>
      <w:lvlJc w:val="left"/>
      <w:pPr>
        <w:ind w:left="567" w:firstLine="0"/>
      </w:pPr>
      <w:rPr>
        <w:rFonts w:ascii="Symbol" w:hAnsi="Symbol" w:hint="default"/>
      </w:rPr>
    </w:lvl>
    <w:lvl w:ilvl="1" w:tplc="C3007714">
      <w:start w:val="1"/>
      <w:numFmt w:val="bullet"/>
      <w:pStyle w:val="Bullet2"/>
      <w:lvlText w:val="o"/>
      <w:lvlJc w:val="left"/>
      <w:pPr>
        <w:ind w:left="567" w:firstLine="567"/>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0" w15:restartNumberingAfterBreak="0">
    <w:nsid w:val="7D962518"/>
    <w:multiLevelType w:val="multilevel"/>
    <w:tmpl w:val="FB4C1A24"/>
    <w:styleLink w:val="ListBulletLetter"/>
    <w:lvl w:ilvl="0">
      <w:start w:val="1"/>
      <w:numFmt w:val="lowerLetter"/>
      <w:lvlText w:val="(%1)"/>
      <w:lvlJc w:val="left"/>
      <w:pPr>
        <w:tabs>
          <w:tab w:val="num" w:pos="1134"/>
        </w:tabs>
        <w:ind w:left="1701" w:hanging="567"/>
      </w:pPr>
      <w:rPr>
        <w:rFonts w:hint="default"/>
      </w:rPr>
    </w:lvl>
    <w:lvl w:ilvl="1">
      <w:start w:val="1"/>
      <w:numFmt w:val="lowerRoman"/>
      <w:lvlText w:val="(%2)"/>
      <w:lvlJc w:val="left"/>
      <w:pPr>
        <w:tabs>
          <w:tab w:val="num" w:pos="1701"/>
        </w:tabs>
        <w:ind w:left="2268" w:hanging="567"/>
      </w:pPr>
      <w:rPr>
        <w:rFonts w:hint="default"/>
      </w:rPr>
    </w:lvl>
    <w:lvl w:ilvl="2">
      <w:start w:val="1"/>
      <w:numFmt w:val="lowerLetter"/>
      <w:lvlText w:val="(%3)"/>
      <w:lvlJc w:val="left"/>
      <w:pPr>
        <w:tabs>
          <w:tab w:val="num" w:pos="2268"/>
        </w:tabs>
        <w:ind w:left="2835" w:hanging="567"/>
      </w:pPr>
      <w:rPr>
        <w:rFonts w:hint="default"/>
      </w:rPr>
    </w:lvl>
    <w:lvl w:ilvl="3">
      <w:start w:val="1"/>
      <w:numFmt w:val="lowerRoman"/>
      <w:lvlText w:val="(%4)"/>
      <w:lvlJc w:val="left"/>
      <w:pPr>
        <w:tabs>
          <w:tab w:val="num" w:pos="2835"/>
        </w:tabs>
        <w:ind w:left="3402" w:hanging="567"/>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1" w15:restartNumberingAfterBreak="0">
    <w:nsid w:val="7F9B28C0"/>
    <w:multiLevelType w:val="hybridMultilevel"/>
    <w:tmpl w:val="1B2E0C8A"/>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513" w:hanging="360"/>
      </w:pPr>
      <w:rPr>
        <w:rFonts w:ascii="Courier New" w:hAnsi="Courier New" w:cs="Courier New" w:hint="default"/>
      </w:rPr>
    </w:lvl>
    <w:lvl w:ilvl="2" w:tplc="0C090005" w:tentative="1">
      <w:start w:val="1"/>
      <w:numFmt w:val="bullet"/>
      <w:lvlText w:val=""/>
      <w:lvlJc w:val="left"/>
      <w:pPr>
        <w:ind w:left="1233" w:hanging="360"/>
      </w:pPr>
      <w:rPr>
        <w:rFonts w:ascii="Wingdings" w:hAnsi="Wingdings" w:hint="default"/>
      </w:rPr>
    </w:lvl>
    <w:lvl w:ilvl="3" w:tplc="0C090001" w:tentative="1">
      <w:start w:val="1"/>
      <w:numFmt w:val="bullet"/>
      <w:lvlText w:val=""/>
      <w:lvlJc w:val="left"/>
      <w:pPr>
        <w:ind w:left="1953" w:hanging="360"/>
      </w:pPr>
      <w:rPr>
        <w:rFonts w:ascii="Symbol" w:hAnsi="Symbol" w:hint="default"/>
      </w:rPr>
    </w:lvl>
    <w:lvl w:ilvl="4" w:tplc="0C090003" w:tentative="1">
      <w:start w:val="1"/>
      <w:numFmt w:val="bullet"/>
      <w:lvlText w:val="o"/>
      <w:lvlJc w:val="left"/>
      <w:pPr>
        <w:ind w:left="2673" w:hanging="360"/>
      </w:pPr>
      <w:rPr>
        <w:rFonts w:ascii="Courier New" w:hAnsi="Courier New" w:cs="Courier New" w:hint="default"/>
      </w:rPr>
    </w:lvl>
    <w:lvl w:ilvl="5" w:tplc="0C090005" w:tentative="1">
      <w:start w:val="1"/>
      <w:numFmt w:val="bullet"/>
      <w:lvlText w:val=""/>
      <w:lvlJc w:val="left"/>
      <w:pPr>
        <w:ind w:left="3393" w:hanging="360"/>
      </w:pPr>
      <w:rPr>
        <w:rFonts w:ascii="Wingdings" w:hAnsi="Wingdings" w:hint="default"/>
      </w:rPr>
    </w:lvl>
    <w:lvl w:ilvl="6" w:tplc="0C090001" w:tentative="1">
      <w:start w:val="1"/>
      <w:numFmt w:val="bullet"/>
      <w:lvlText w:val=""/>
      <w:lvlJc w:val="left"/>
      <w:pPr>
        <w:ind w:left="4113" w:hanging="360"/>
      </w:pPr>
      <w:rPr>
        <w:rFonts w:ascii="Symbol" w:hAnsi="Symbol" w:hint="default"/>
      </w:rPr>
    </w:lvl>
    <w:lvl w:ilvl="7" w:tplc="0C090003" w:tentative="1">
      <w:start w:val="1"/>
      <w:numFmt w:val="bullet"/>
      <w:lvlText w:val="o"/>
      <w:lvlJc w:val="left"/>
      <w:pPr>
        <w:ind w:left="4833" w:hanging="360"/>
      </w:pPr>
      <w:rPr>
        <w:rFonts w:ascii="Courier New" w:hAnsi="Courier New" w:cs="Courier New" w:hint="default"/>
      </w:rPr>
    </w:lvl>
    <w:lvl w:ilvl="8" w:tplc="0C090005" w:tentative="1">
      <w:start w:val="1"/>
      <w:numFmt w:val="bullet"/>
      <w:lvlText w:val=""/>
      <w:lvlJc w:val="left"/>
      <w:pPr>
        <w:ind w:left="5553" w:hanging="360"/>
      </w:pPr>
      <w:rPr>
        <w:rFonts w:ascii="Wingdings" w:hAnsi="Wingdings" w:hint="default"/>
      </w:rPr>
    </w:lvl>
  </w:abstractNum>
  <w:num w:numId="1">
    <w:abstractNumId w:val="20"/>
  </w:num>
  <w:num w:numId="2">
    <w:abstractNumId w:val="11"/>
  </w:num>
  <w:num w:numId="3">
    <w:abstractNumId w:val="21"/>
  </w:num>
  <w:num w:numId="4">
    <w:abstractNumId w:val="27"/>
  </w:num>
  <w:num w:numId="5">
    <w:abstractNumId w:val="48"/>
  </w:num>
  <w:num w:numId="6">
    <w:abstractNumId w:val="1"/>
  </w:num>
  <w:num w:numId="7">
    <w:abstractNumId w:val="25"/>
  </w:num>
  <w:num w:numId="8">
    <w:abstractNumId w:val="5"/>
  </w:num>
  <w:num w:numId="9">
    <w:abstractNumId w:val="31"/>
  </w:num>
  <w:num w:numId="10">
    <w:abstractNumId w:val="38"/>
  </w:num>
  <w:num w:numId="11">
    <w:abstractNumId w:val="43"/>
  </w:num>
  <w:num w:numId="12">
    <w:abstractNumId w:val="46"/>
  </w:num>
  <w:num w:numId="13">
    <w:abstractNumId w:val="3"/>
  </w:num>
  <w:num w:numId="14">
    <w:abstractNumId w:val="18"/>
  </w:num>
  <w:num w:numId="15">
    <w:abstractNumId w:val="51"/>
  </w:num>
  <w:num w:numId="16">
    <w:abstractNumId w:val="49"/>
  </w:num>
  <w:num w:numId="17">
    <w:abstractNumId w:val="16"/>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33"/>
  </w:num>
  <w:num w:numId="21">
    <w:abstractNumId w:val="32"/>
  </w:num>
  <w:num w:numId="22">
    <w:abstractNumId w:val="2"/>
  </w:num>
  <w:num w:numId="23">
    <w:abstractNumId w:val="12"/>
  </w:num>
  <w:num w:numId="24">
    <w:abstractNumId w:val="16"/>
    <w:lvlOverride w:ilvl="0">
      <w:startOverride w:val="8"/>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8"/>
  </w:num>
  <w:num w:numId="27">
    <w:abstractNumId w:val="35"/>
  </w:num>
  <w:num w:numId="28">
    <w:abstractNumId w:val="9"/>
  </w:num>
  <w:num w:numId="29">
    <w:abstractNumId w:val="30"/>
  </w:num>
  <w:num w:numId="30">
    <w:abstractNumId w:val="36"/>
  </w:num>
  <w:num w:numId="31">
    <w:abstractNumId w:val="50"/>
  </w:num>
  <w:num w:numId="32">
    <w:abstractNumId w:val="22"/>
  </w:num>
  <w:num w:numId="33">
    <w:abstractNumId w:val="28"/>
  </w:num>
  <w:num w:numId="34">
    <w:abstractNumId w:val="13"/>
  </w:num>
  <w:num w:numId="35">
    <w:abstractNumId w:val="39"/>
  </w:num>
  <w:num w:numId="36">
    <w:abstractNumId w:val="45"/>
  </w:num>
  <w:num w:numId="37">
    <w:abstractNumId w:val="19"/>
  </w:num>
  <w:num w:numId="38">
    <w:abstractNumId w:val="0"/>
  </w:num>
  <w:num w:numId="39">
    <w:abstractNumId w:val="6"/>
  </w:num>
  <w:num w:numId="40">
    <w:abstractNumId w:val="4"/>
  </w:num>
  <w:num w:numId="41">
    <w:abstractNumId w:val="26"/>
  </w:num>
  <w:num w:numId="42">
    <w:abstractNumId w:val="17"/>
  </w:num>
  <w:num w:numId="43">
    <w:abstractNumId w:val="40"/>
  </w:num>
  <w:num w:numId="44">
    <w:abstractNumId w:val="15"/>
  </w:num>
  <w:num w:numId="45">
    <w:abstractNumId w:val="44"/>
  </w:num>
  <w:num w:numId="46">
    <w:abstractNumId w:val="41"/>
  </w:num>
  <w:num w:numId="47">
    <w:abstractNumId w:val="34"/>
  </w:num>
  <w:num w:numId="48">
    <w:abstractNumId w:val="37"/>
  </w:num>
  <w:num w:numId="49">
    <w:abstractNumId w:val="29"/>
  </w:num>
  <w:num w:numId="50">
    <w:abstractNumId w:val="24"/>
  </w:num>
  <w:num w:numId="51">
    <w:abstractNumId w:val="42"/>
  </w:num>
  <w:num w:numId="52">
    <w:abstractNumId w:val="16"/>
  </w:num>
  <w:num w:numId="53">
    <w:abstractNumId w:val="47"/>
  </w:num>
  <w:num w:numId="54">
    <w:abstractNumId w:val="10"/>
  </w:num>
  <w:num w:numId="55">
    <w:abstractNumId w:val="11"/>
  </w:num>
  <w:num w:numId="56">
    <w:abstractNumId w:val="11"/>
  </w:num>
  <w:num w:numId="57">
    <w:abstractNumId w:val="11"/>
  </w:num>
  <w:num w:numId="58">
    <w:abstractNumId w:val="23"/>
  </w:num>
  <w:num w:numId="59">
    <w:abstractNumId w:val="11"/>
  </w:num>
  <w:num w:numId="60">
    <w:abstractNumId w:val="11"/>
  </w:num>
  <w:num w:numId="61">
    <w:abstractNumId w:val="11"/>
  </w:num>
  <w:num w:numId="62">
    <w:abstractNumId w:val="11"/>
  </w:num>
  <w:num w:numId="63">
    <w:abstractNumId w:val="11"/>
  </w:num>
  <w:num w:numId="64">
    <w:abstractNumId w:val="11"/>
  </w:num>
  <w:num w:numId="65">
    <w:abstractNumId w:val="11"/>
  </w:num>
  <w:num w:numId="66">
    <w:abstractNumId w:val="11"/>
  </w:num>
  <w:num w:numId="67">
    <w:abstractNumId w:val="11"/>
  </w:num>
  <w:num w:numId="68">
    <w:abstractNumId w:val="11"/>
  </w:num>
  <w:num w:numId="69">
    <w:abstractNumId w:val="11"/>
  </w:num>
  <w:num w:numId="70">
    <w:abstractNumId w:val="11"/>
  </w:num>
  <w:num w:numId="71">
    <w:abstractNumId w:val="11"/>
  </w:num>
  <w:num w:numId="72">
    <w:abstractNumId w:val="11"/>
  </w:num>
  <w:num w:numId="73">
    <w:abstractNumId w:val="11"/>
  </w:num>
  <w:num w:numId="74">
    <w:abstractNumId w:val="11"/>
  </w:num>
  <w:num w:numId="75">
    <w:abstractNumId w:val="1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doNotHyphenateCaps/>
  <w:drawingGridHorizontalSpacing w:val="197"/>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1E1"/>
    <w:rsid w:val="00000800"/>
    <w:rsid w:val="000008A2"/>
    <w:rsid w:val="00003103"/>
    <w:rsid w:val="000031FD"/>
    <w:rsid w:val="000047E2"/>
    <w:rsid w:val="00004861"/>
    <w:rsid w:val="00004E78"/>
    <w:rsid w:val="00004EC2"/>
    <w:rsid w:val="00005C7A"/>
    <w:rsid w:val="000069AD"/>
    <w:rsid w:val="00006C65"/>
    <w:rsid w:val="00006D61"/>
    <w:rsid w:val="000071A9"/>
    <w:rsid w:val="0000725F"/>
    <w:rsid w:val="0000747C"/>
    <w:rsid w:val="00007E97"/>
    <w:rsid w:val="000103CC"/>
    <w:rsid w:val="00011165"/>
    <w:rsid w:val="00011228"/>
    <w:rsid w:val="000115D4"/>
    <w:rsid w:val="00011B06"/>
    <w:rsid w:val="00011CA4"/>
    <w:rsid w:val="00012357"/>
    <w:rsid w:val="00012885"/>
    <w:rsid w:val="00012CD2"/>
    <w:rsid w:val="000138D1"/>
    <w:rsid w:val="000138DC"/>
    <w:rsid w:val="00014496"/>
    <w:rsid w:val="00014738"/>
    <w:rsid w:val="00014C38"/>
    <w:rsid w:val="00014D93"/>
    <w:rsid w:val="000157CC"/>
    <w:rsid w:val="00015E30"/>
    <w:rsid w:val="000175A7"/>
    <w:rsid w:val="0001785E"/>
    <w:rsid w:val="00017993"/>
    <w:rsid w:val="0002029E"/>
    <w:rsid w:val="000209AF"/>
    <w:rsid w:val="00020C86"/>
    <w:rsid w:val="0002104D"/>
    <w:rsid w:val="000210BB"/>
    <w:rsid w:val="00021D97"/>
    <w:rsid w:val="000221E0"/>
    <w:rsid w:val="0002320A"/>
    <w:rsid w:val="00024A95"/>
    <w:rsid w:val="00024AAD"/>
    <w:rsid w:val="00024BA3"/>
    <w:rsid w:val="0002504B"/>
    <w:rsid w:val="0002599F"/>
    <w:rsid w:val="00025B6C"/>
    <w:rsid w:val="00025E51"/>
    <w:rsid w:val="00026577"/>
    <w:rsid w:val="00030AA8"/>
    <w:rsid w:val="00030E58"/>
    <w:rsid w:val="000310D0"/>
    <w:rsid w:val="000312EB"/>
    <w:rsid w:val="000318EE"/>
    <w:rsid w:val="0003261E"/>
    <w:rsid w:val="000329A7"/>
    <w:rsid w:val="00032EFB"/>
    <w:rsid w:val="00033E92"/>
    <w:rsid w:val="00033F3E"/>
    <w:rsid w:val="000340A1"/>
    <w:rsid w:val="00034132"/>
    <w:rsid w:val="0003442B"/>
    <w:rsid w:val="000346DF"/>
    <w:rsid w:val="0003498E"/>
    <w:rsid w:val="00034D9F"/>
    <w:rsid w:val="00035575"/>
    <w:rsid w:val="000358CC"/>
    <w:rsid w:val="0003626D"/>
    <w:rsid w:val="00036527"/>
    <w:rsid w:val="0003680F"/>
    <w:rsid w:val="00037458"/>
    <w:rsid w:val="000377A3"/>
    <w:rsid w:val="00037BFB"/>
    <w:rsid w:val="00040DB9"/>
    <w:rsid w:val="000412B3"/>
    <w:rsid w:val="000425E0"/>
    <w:rsid w:val="00042FBF"/>
    <w:rsid w:val="00042FC6"/>
    <w:rsid w:val="00042FFA"/>
    <w:rsid w:val="00043232"/>
    <w:rsid w:val="0004355B"/>
    <w:rsid w:val="0004381A"/>
    <w:rsid w:val="000439F5"/>
    <w:rsid w:val="00043B66"/>
    <w:rsid w:val="00044134"/>
    <w:rsid w:val="00044C78"/>
    <w:rsid w:val="000452FA"/>
    <w:rsid w:val="00046542"/>
    <w:rsid w:val="00047266"/>
    <w:rsid w:val="00047B47"/>
    <w:rsid w:val="00050A05"/>
    <w:rsid w:val="00050A69"/>
    <w:rsid w:val="00050E9C"/>
    <w:rsid w:val="00050FF2"/>
    <w:rsid w:val="000511D6"/>
    <w:rsid w:val="0005135C"/>
    <w:rsid w:val="00051458"/>
    <w:rsid w:val="000519D6"/>
    <w:rsid w:val="00051F80"/>
    <w:rsid w:val="00052FE2"/>
    <w:rsid w:val="00053377"/>
    <w:rsid w:val="0005370C"/>
    <w:rsid w:val="0005374F"/>
    <w:rsid w:val="000538F4"/>
    <w:rsid w:val="00053B12"/>
    <w:rsid w:val="0005441A"/>
    <w:rsid w:val="0005479D"/>
    <w:rsid w:val="000547E3"/>
    <w:rsid w:val="000548CC"/>
    <w:rsid w:val="00054900"/>
    <w:rsid w:val="00055B51"/>
    <w:rsid w:val="0005639C"/>
    <w:rsid w:val="00056721"/>
    <w:rsid w:val="00057663"/>
    <w:rsid w:val="0005776C"/>
    <w:rsid w:val="00057EFD"/>
    <w:rsid w:val="000602CA"/>
    <w:rsid w:val="000603D4"/>
    <w:rsid w:val="0006086D"/>
    <w:rsid w:val="000609AB"/>
    <w:rsid w:val="0006150F"/>
    <w:rsid w:val="00061753"/>
    <w:rsid w:val="00061A2C"/>
    <w:rsid w:val="00061F18"/>
    <w:rsid w:val="00062289"/>
    <w:rsid w:val="000622FA"/>
    <w:rsid w:val="000625E1"/>
    <w:rsid w:val="00062EF5"/>
    <w:rsid w:val="000638C2"/>
    <w:rsid w:val="00063C62"/>
    <w:rsid w:val="00064495"/>
    <w:rsid w:val="00064B72"/>
    <w:rsid w:val="00065261"/>
    <w:rsid w:val="00065388"/>
    <w:rsid w:val="00065699"/>
    <w:rsid w:val="00065CF9"/>
    <w:rsid w:val="00065F7B"/>
    <w:rsid w:val="00066095"/>
    <w:rsid w:val="0006693B"/>
    <w:rsid w:val="00066B75"/>
    <w:rsid w:val="00066C80"/>
    <w:rsid w:val="00066ED9"/>
    <w:rsid w:val="00066F0D"/>
    <w:rsid w:val="00066FF1"/>
    <w:rsid w:val="00067224"/>
    <w:rsid w:val="00067745"/>
    <w:rsid w:val="00067E25"/>
    <w:rsid w:val="0007031C"/>
    <w:rsid w:val="00071301"/>
    <w:rsid w:val="00071D10"/>
    <w:rsid w:val="00072144"/>
    <w:rsid w:val="00072D38"/>
    <w:rsid w:val="000736D8"/>
    <w:rsid w:val="00073969"/>
    <w:rsid w:val="000739BA"/>
    <w:rsid w:val="00073B28"/>
    <w:rsid w:val="00073F5D"/>
    <w:rsid w:val="00074DF5"/>
    <w:rsid w:val="00074F46"/>
    <w:rsid w:val="00075483"/>
    <w:rsid w:val="00076778"/>
    <w:rsid w:val="00077670"/>
    <w:rsid w:val="00077707"/>
    <w:rsid w:val="00077821"/>
    <w:rsid w:val="00077F11"/>
    <w:rsid w:val="00080284"/>
    <w:rsid w:val="000804FD"/>
    <w:rsid w:val="000808DC"/>
    <w:rsid w:val="00080D72"/>
    <w:rsid w:val="00080E90"/>
    <w:rsid w:val="00080ECC"/>
    <w:rsid w:val="0008163A"/>
    <w:rsid w:val="00081DF5"/>
    <w:rsid w:val="00082064"/>
    <w:rsid w:val="0008216E"/>
    <w:rsid w:val="0008217F"/>
    <w:rsid w:val="000826D9"/>
    <w:rsid w:val="000831CE"/>
    <w:rsid w:val="00083759"/>
    <w:rsid w:val="00084877"/>
    <w:rsid w:val="00085499"/>
    <w:rsid w:val="00085551"/>
    <w:rsid w:val="000856FF"/>
    <w:rsid w:val="00085C62"/>
    <w:rsid w:val="00085E17"/>
    <w:rsid w:val="00086369"/>
    <w:rsid w:val="000864AE"/>
    <w:rsid w:val="00086A08"/>
    <w:rsid w:val="00086C0A"/>
    <w:rsid w:val="000876AA"/>
    <w:rsid w:val="000877BE"/>
    <w:rsid w:val="00087F32"/>
    <w:rsid w:val="000907A4"/>
    <w:rsid w:val="00090C87"/>
    <w:rsid w:val="00092DAE"/>
    <w:rsid w:val="00092E25"/>
    <w:rsid w:val="00092E8D"/>
    <w:rsid w:val="00093C54"/>
    <w:rsid w:val="00093F9C"/>
    <w:rsid w:val="00093FD2"/>
    <w:rsid w:val="000942BE"/>
    <w:rsid w:val="000952EB"/>
    <w:rsid w:val="00095B8E"/>
    <w:rsid w:val="00096071"/>
    <w:rsid w:val="00096741"/>
    <w:rsid w:val="000973C2"/>
    <w:rsid w:val="000973F6"/>
    <w:rsid w:val="00097C77"/>
    <w:rsid w:val="000A091C"/>
    <w:rsid w:val="000A0A44"/>
    <w:rsid w:val="000A0CD7"/>
    <w:rsid w:val="000A2008"/>
    <w:rsid w:val="000A22E0"/>
    <w:rsid w:val="000A2B4A"/>
    <w:rsid w:val="000A49D8"/>
    <w:rsid w:val="000A4BA1"/>
    <w:rsid w:val="000A50EC"/>
    <w:rsid w:val="000A5120"/>
    <w:rsid w:val="000A5380"/>
    <w:rsid w:val="000A5AF2"/>
    <w:rsid w:val="000A680A"/>
    <w:rsid w:val="000A6C7F"/>
    <w:rsid w:val="000A7873"/>
    <w:rsid w:val="000A794D"/>
    <w:rsid w:val="000A7C71"/>
    <w:rsid w:val="000B039D"/>
    <w:rsid w:val="000B062F"/>
    <w:rsid w:val="000B0B36"/>
    <w:rsid w:val="000B174C"/>
    <w:rsid w:val="000B1861"/>
    <w:rsid w:val="000B215E"/>
    <w:rsid w:val="000B269D"/>
    <w:rsid w:val="000B2C3B"/>
    <w:rsid w:val="000B31FC"/>
    <w:rsid w:val="000B4432"/>
    <w:rsid w:val="000B44F7"/>
    <w:rsid w:val="000B496D"/>
    <w:rsid w:val="000B5597"/>
    <w:rsid w:val="000B5D38"/>
    <w:rsid w:val="000B5DAA"/>
    <w:rsid w:val="000B5E46"/>
    <w:rsid w:val="000B5FA6"/>
    <w:rsid w:val="000B6835"/>
    <w:rsid w:val="000B68B6"/>
    <w:rsid w:val="000B6B04"/>
    <w:rsid w:val="000B6E87"/>
    <w:rsid w:val="000B70C7"/>
    <w:rsid w:val="000B710D"/>
    <w:rsid w:val="000B731B"/>
    <w:rsid w:val="000B79F2"/>
    <w:rsid w:val="000B7AA2"/>
    <w:rsid w:val="000C06A7"/>
    <w:rsid w:val="000C0AAE"/>
    <w:rsid w:val="000C16A6"/>
    <w:rsid w:val="000C1E75"/>
    <w:rsid w:val="000C1F6F"/>
    <w:rsid w:val="000C2810"/>
    <w:rsid w:val="000C3604"/>
    <w:rsid w:val="000C37DC"/>
    <w:rsid w:val="000C3B54"/>
    <w:rsid w:val="000C4066"/>
    <w:rsid w:val="000C465A"/>
    <w:rsid w:val="000C489B"/>
    <w:rsid w:val="000C4B4A"/>
    <w:rsid w:val="000C5415"/>
    <w:rsid w:val="000C5839"/>
    <w:rsid w:val="000C591D"/>
    <w:rsid w:val="000C5AB6"/>
    <w:rsid w:val="000C6356"/>
    <w:rsid w:val="000C65A3"/>
    <w:rsid w:val="000C6D7A"/>
    <w:rsid w:val="000C7137"/>
    <w:rsid w:val="000C7FFC"/>
    <w:rsid w:val="000D03DC"/>
    <w:rsid w:val="000D06C7"/>
    <w:rsid w:val="000D0B77"/>
    <w:rsid w:val="000D0C79"/>
    <w:rsid w:val="000D0CF5"/>
    <w:rsid w:val="000D1089"/>
    <w:rsid w:val="000D12B0"/>
    <w:rsid w:val="000D15D4"/>
    <w:rsid w:val="000D1D69"/>
    <w:rsid w:val="000D22A1"/>
    <w:rsid w:val="000D2DB7"/>
    <w:rsid w:val="000D37D8"/>
    <w:rsid w:val="000D42A0"/>
    <w:rsid w:val="000D46AB"/>
    <w:rsid w:val="000D49C3"/>
    <w:rsid w:val="000D4F09"/>
    <w:rsid w:val="000D57EF"/>
    <w:rsid w:val="000D60C2"/>
    <w:rsid w:val="000D6430"/>
    <w:rsid w:val="000D673A"/>
    <w:rsid w:val="000D6894"/>
    <w:rsid w:val="000D68A6"/>
    <w:rsid w:val="000D6E51"/>
    <w:rsid w:val="000D7060"/>
    <w:rsid w:val="000D7072"/>
    <w:rsid w:val="000D7CCE"/>
    <w:rsid w:val="000D7D6C"/>
    <w:rsid w:val="000D7D7E"/>
    <w:rsid w:val="000D7DFB"/>
    <w:rsid w:val="000E1916"/>
    <w:rsid w:val="000E35D3"/>
    <w:rsid w:val="000E36C8"/>
    <w:rsid w:val="000E3D7D"/>
    <w:rsid w:val="000E3D91"/>
    <w:rsid w:val="000E403F"/>
    <w:rsid w:val="000E4051"/>
    <w:rsid w:val="000E45F6"/>
    <w:rsid w:val="000E48EF"/>
    <w:rsid w:val="000E4982"/>
    <w:rsid w:val="000E5D29"/>
    <w:rsid w:val="000E5F15"/>
    <w:rsid w:val="000E72F1"/>
    <w:rsid w:val="000E79E7"/>
    <w:rsid w:val="000E7B3E"/>
    <w:rsid w:val="000F0C2C"/>
    <w:rsid w:val="000F1452"/>
    <w:rsid w:val="000F19AB"/>
    <w:rsid w:val="000F2121"/>
    <w:rsid w:val="000F22D3"/>
    <w:rsid w:val="000F271C"/>
    <w:rsid w:val="000F3009"/>
    <w:rsid w:val="000F389A"/>
    <w:rsid w:val="000F40A6"/>
    <w:rsid w:val="000F4424"/>
    <w:rsid w:val="000F4BFC"/>
    <w:rsid w:val="000F4C60"/>
    <w:rsid w:val="000F5385"/>
    <w:rsid w:val="000F53E1"/>
    <w:rsid w:val="000F57B8"/>
    <w:rsid w:val="000F5CFF"/>
    <w:rsid w:val="000F5E6E"/>
    <w:rsid w:val="000F611E"/>
    <w:rsid w:val="000F66A8"/>
    <w:rsid w:val="000F6991"/>
    <w:rsid w:val="000F6C18"/>
    <w:rsid w:val="000F70CF"/>
    <w:rsid w:val="000F720E"/>
    <w:rsid w:val="000F754A"/>
    <w:rsid w:val="000F7C08"/>
    <w:rsid w:val="000F7FEF"/>
    <w:rsid w:val="00100020"/>
    <w:rsid w:val="00100173"/>
    <w:rsid w:val="0010024A"/>
    <w:rsid w:val="00100A8E"/>
    <w:rsid w:val="00100E5C"/>
    <w:rsid w:val="0010172B"/>
    <w:rsid w:val="0010189E"/>
    <w:rsid w:val="00101C92"/>
    <w:rsid w:val="00101D8C"/>
    <w:rsid w:val="00101F66"/>
    <w:rsid w:val="00102755"/>
    <w:rsid w:val="00103027"/>
    <w:rsid w:val="00103328"/>
    <w:rsid w:val="0010339D"/>
    <w:rsid w:val="0010375D"/>
    <w:rsid w:val="00103962"/>
    <w:rsid w:val="0010434D"/>
    <w:rsid w:val="00104805"/>
    <w:rsid w:val="001078AA"/>
    <w:rsid w:val="00107999"/>
    <w:rsid w:val="001100A4"/>
    <w:rsid w:val="0011011A"/>
    <w:rsid w:val="00110178"/>
    <w:rsid w:val="001108D0"/>
    <w:rsid w:val="00110C57"/>
    <w:rsid w:val="0011170E"/>
    <w:rsid w:val="00111838"/>
    <w:rsid w:val="0011251C"/>
    <w:rsid w:val="001127AC"/>
    <w:rsid w:val="00112C66"/>
    <w:rsid w:val="001130AA"/>
    <w:rsid w:val="001131EA"/>
    <w:rsid w:val="00113972"/>
    <w:rsid w:val="00113A16"/>
    <w:rsid w:val="00113C00"/>
    <w:rsid w:val="00113EE7"/>
    <w:rsid w:val="00114776"/>
    <w:rsid w:val="00114DA0"/>
    <w:rsid w:val="001163BA"/>
    <w:rsid w:val="00116596"/>
    <w:rsid w:val="00116ADC"/>
    <w:rsid w:val="0011784A"/>
    <w:rsid w:val="001205B2"/>
    <w:rsid w:val="00120D9A"/>
    <w:rsid w:val="001212FE"/>
    <w:rsid w:val="00121FB6"/>
    <w:rsid w:val="00123320"/>
    <w:rsid w:val="00123499"/>
    <w:rsid w:val="0012431A"/>
    <w:rsid w:val="0012449F"/>
    <w:rsid w:val="00125C27"/>
    <w:rsid w:val="00125F62"/>
    <w:rsid w:val="0012623F"/>
    <w:rsid w:val="00126584"/>
    <w:rsid w:val="00126A3B"/>
    <w:rsid w:val="001270C1"/>
    <w:rsid w:val="00127992"/>
    <w:rsid w:val="001279B1"/>
    <w:rsid w:val="001301D9"/>
    <w:rsid w:val="001302EC"/>
    <w:rsid w:val="001308BD"/>
    <w:rsid w:val="00130A90"/>
    <w:rsid w:val="00130D39"/>
    <w:rsid w:val="001312BE"/>
    <w:rsid w:val="001313DC"/>
    <w:rsid w:val="00132363"/>
    <w:rsid w:val="0013244F"/>
    <w:rsid w:val="00132508"/>
    <w:rsid w:val="0013291A"/>
    <w:rsid w:val="00132B4D"/>
    <w:rsid w:val="00132F50"/>
    <w:rsid w:val="0013362D"/>
    <w:rsid w:val="00133880"/>
    <w:rsid w:val="00133937"/>
    <w:rsid w:val="00133BBB"/>
    <w:rsid w:val="00133DC7"/>
    <w:rsid w:val="00133F72"/>
    <w:rsid w:val="0013405C"/>
    <w:rsid w:val="00134C57"/>
    <w:rsid w:val="00135B2F"/>
    <w:rsid w:val="00135E39"/>
    <w:rsid w:val="00136146"/>
    <w:rsid w:val="001364A3"/>
    <w:rsid w:val="00136A5A"/>
    <w:rsid w:val="001370D4"/>
    <w:rsid w:val="001371AD"/>
    <w:rsid w:val="00137693"/>
    <w:rsid w:val="00137898"/>
    <w:rsid w:val="00137A2D"/>
    <w:rsid w:val="00137E2E"/>
    <w:rsid w:val="001403B0"/>
    <w:rsid w:val="00140E59"/>
    <w:rsid w:val="001412C7"/>
    <w:rsid w:val="00141954"/>
    <w:rsid w:val="00141B26"/>
    <w:rsid w:val="00141C35"/>
    <w:rsid w:val="0014246B"/>
    <w:rsid w:val="001427ED"/>
    <w:rsid w:val="00142F8F"/>
    <w:rsid w:val="00143265"/>
    <w:rsid w:val="00143E0D"/>
    <w:rsid w:val="00144309"/>
    <w:rsid w:val="0014502A"/>
    <w:rsid w:val="0014526E"/>
    <w:rsid w:val="00145639"/>
    <w:rsid w:val="0014577B"/>
    <w:rsid w:val="00145C8B"/>
    <w:rsid w:val="0014613D"/>
    <w:rsid w:val="001462EF"/>
    <w:rsid w:val="001463D8"/>
    <w:rsid w:val="0014669A"/>
    <w:rsid w:val="00146FC7"/>
    <w:rsid w:val="0014710A"/>
    <w:rsid w:val="001471B7"/>
    <w:rsid w:val="0014771D"/>
    <w:rsid w:val="00147B8F"/>
    <w:rsid w:val="00147CD3"/>
    <w:rsid w:val="00147EFF"/>
    <w:rsid w:val="0015071F"/>
    <w:rsid w:val="00150992"/>
    <w:rsid w:val="0015149C"/>
    <w:rsid w:val="00151E89"/>
    <w:rsid w:val="00151F0D"/>
    <w:rsid w:val="00152203"/>
    <w:rsid w:val="00152634"/>
    <w:rsid w:val="0015282D"/>
    <w:rsid w:val="0015304A"/>
    <w:rsid w:val="00153C7C"/>
    <w:rsid w:val="00153F4C"/>
    <w:rsid w:val="001545DE"/>
    <w:rsid w:val="00154D01"/>
    <w:rsid w:val="00155232"/>
    <w:rsid w:val="0015569D"/>
    <w:rsid w:val="00155DB9"/>
    <w:rsid w:val="00156037"/>
    <w:rsid w:val="00156794"/>
    <w:rsid w:val="001568BA"/>
    <w:rsid w:val="00156D5E"/>
    <w:rsid w:val="00156E92"/>
    <w:rsid w:val="00157439"/>
    <w:rsid w:val="00157BB6"/>
    <w:rsid w:val="001604E8"/>
    <w:rsid w:val="00160AF3"/>
    <w:rsid w:val="00160B80"/>
    <w:rsid w:val="00160C13"/>
    <w:rsid w:val="00160FF0"/>
    <w:rsid w:val="0016171B"/>
    <w:rsid w:val="00161F67"/>
    <w:rsid w:val="001635EA"/>
    <w:rsid w:val="001639FB"/>
    <w:rsid w:val="00163C6D"/>
    <w:rsid w:val="00163CBD"/>
    <w:rsid w:val="00163DB0"/>
    <w:rsid w:val="00163DB7"/>
    <w:rsid w:val="00163F61"/>
    <w:rsid w:val="00164030"/>
    <w:rsid w:val="001646A0"/>
    <w:rsid w:val="00164BD9"/>
    <w:rsid w:val="00164D81"/>
    <w:rsid w:val="00164F17"/>
    <w:rsid w:val="00165490"/>
    <w:rsid w:val="00165C02"/>
    <w:rsid w:val="00165E69"/>
    <w:rsid w:val="00167925"/>
    <w:rsid w:val="00167B52"/>
    <w:rsid w:val="0017043D"/>
    <w:rsid w:val="001704B2"/>
    <w:rsid w:val="001706D8"/>
    <w:rsid w:val="00170817"/>
    <w:rsid w:val="00170A4E"/>
    <w:rsid w:val="00171786"/>
    <w:rsid w:val="00171CA3"/>
    <w:rsid w:val="00172327"/>
    <w:rsid w:val="00172842"/>
    <w:rsid w:val="00174971"/>
    <w:rsid w:val="00175200"/>
    <w:rsid w:val="0017568E"/>
    <w:rsid w:val="00175B32"/>
    <w:rsid w:val="00175DB6"/>
    <w:rsid w:val="00175E94"/>
    <w:rsid w:val="001769B7"/>
    <w:rsid w:val="00177403"/>
    <w:rsid w:val="00177999"/>
    <w:rsid w:val="00177D45"/>
    <w:rsid w:val="0018031A"/>
    <w:rsid w:val="0018082F"/>
    <w:rsid w:val="001808E4"/>
    <w:rsid w:val="00180970"/>
    <w:rsid w:val="00180AA7"/>
    <w:rsid w:val="00180BCF"/>
    <w:rsid w:val="00180C09"/>
    <w:rsid w:val="00180E97"/>
    <w:rsid w:val="001810BE"/>
    <w:rsid w:val="00181BB9"/>
    <w:rsid w:val="00182919"/>
    <w:rsid w:val="001832B6"/>
    <w:rsid w:val="0018383A"/>
    <w:rsid w:val="00183914"/>
    <w:rsid w:val="00183BA6"/>
    <w:rsid w:val="00184594"/>
    <w:rsid w:val="00184E10"/>
    <w:rsid w:val="00185943"/>
    <w:rsid w:val="00185AB0"/>
    <w:rsid w:val="00185BCD"/>
    <w:rsid w:val="0018621C"/>
    <w:rsid w:val="001863DD"/>
    <w:rsid w:val="0018721A"/>
    <w:rsid w:val="00187BA1"/>
    <w:rsid w:val="001915E5"/>
    <w:rsid w:val="00191BF6"/>
    <w:rsid w:val="00193BF5"/>
    <w:rsid w:val="001946B9"/>
    <w:rsid w:val="00195A11"/>
    <w:rsid w:val="00195CD7"/>
    <w:rsid w:val="0019629C"/>
    <w:rsid w:val="0019692F"/>
    <w:rsid w:val="00196F3A"/>
    <w:rsid w:val="00197478"/>
    <w:rsid w:val="00197F51"/>
    <w:rsid w:val="001A0BD3"/>
    <w:rsid w:val="001A0E00"/>
    <w:rsid w:val="001A15A1"/>
    <w:rsid w:val="001A182C"/>
    <w:rsid w:val="001A211F"/>
    <w:rsid w:val="001A24F3"/>
    <w:rsid w:val="001A30E0"/>
    <w:rsid w:val="001A3149"/>
    <w:rsid w:val="001A32C6"/>
    <w:rsid w:val="001A3A1E"/>
    <w:rsid w:val="001A3CB4"/>
    <w:rsid w:val="001A3EC7"/>
    <w:rsid w:val="001A4431"/>
    <w:rsid w:val="001A4492"/>
    <w:rsid w:val="001A5164"/>
    <w:rsid w:val="001A582E"/>
    <w:rsid w:val="001A5897"/>
    <w:rsid w:val="001A7401"/>
    <w:rsid w:val="001B03EE"/>
    <w:rsid w:val="001B070A"/>
    <w:rsid w:val="001B0913"/>
    <w:rsid w:val="001B0AC9"/>
    <w:rsid w:val="001B1447"/>
    <w:rsid w:val="001B1474"/>
    <w:rsid w:val="001B1B5E"/>
    <w:rsid w:val="001B311C"/>
    <w:rsid w:val="001B3253"/>
    <w:rsid w:val="001B36B9"/>
    <w:rsid w:val="001B471B"/>
    <w:rsid w:val="001B4A59"/>
    <w:rsid w:val="001B4AF4"/>
    <w:rsid w:val="001B52A7"/>
    <w:rsid w:val="001B5939"/>
    <w:rsid w:val="001B654C"/>
    <w:rsid w:val="001B6990"/>
    <w:rsid w:val="001B77E1"/>
    <w:rsid w:val="001B79C6"/>
    <w:rsid w:val="001C15E4"/>
    <w:rsid w:val="001C1815"/>
    <w:rsid w:val="001C181B"/>
    <w:rsid w:val="001C1C2E"/>
    <w:rsid w:val="001C2025"/>
    <w:rsid w:val="001C2447"/>
    <w:rsid w:val="001C2610"/>
    <w:rsid w:val="001C285C"/>
    <w:rsid w:val="001C28C4"/>
    <w:rsid w:val="001C2DDD"/>
    <w:rsid w:val="001C3275"/>
    <w:rsid w:val="001C3649"/>
    <w:rsid w:val="001C3848"/>
    <w:rsid w:val="001C38BD"/>
    <w:rsid w:val="001C42DA"/>
    <w:rsid w:val="001C48F4"/>
    <w:rsid w:val="001C4CC2"/>
    <w:rsid w:val="001C5652"/>
    <w:rsid w:val="001C5D1F"/>
    <w:rsid w:val="001C5DAD"/>
    <w:rsid w:val="001C6692"/>
    <w:rsid w:val="001C784F"/>
    <w:rsid w:val="001C785B"/>
    <w:rsid w:val="001D036B"/>
    <w:rsid w:val="001D0C54"/>
    <w:rsid w:val="001D0E90"/>
    <w:rsid w:val="001D1120"/>
    <w:rsid w:val="001D1B43"/>
    <w:rsid w:val="001D1CA5"/>
    <w:rsid w:val="001D20EF"/>
    <w:rsid w:val="001D24EC"/>
    <w:rsid w:val="001D27C9"/>
    <w:rsid w:val="001D290E"/>
    <w:rsid w:val="001D2B73"/>
    <w:rsid w:val="001D35C5"/>
    <w:rsid w:val="001D3687"/>
    <w:rsid w:val="001D3A6F"/>
    <w:rsid w:val="001D3D34"/>
    <w:rsid w:val="001D3DB7"/>
    <w:rsid w:val="001D413A"/>
    <w:rsid w:val="001D4247"/>
    <w:rsid w:val="001D47CE"/>
    <w:rsid w:val="001D4E36"/>
    <w:rsid w:val="001D5008"/>
    <w:rsid w:val="001D51DC"/>
    <w:rsid w:val="001D5F36"/>
    <w:rsid w:val="001D604E"/>
    <w:rsid w:val="001D6AC8"/>
    <w:rsid w:val="001D6DCA"/>
    <w:rsid w:val="001D74C5"/>
    <w:rsid w:val="001D7924"/>
    <w:rsid w:val="001D7985"/>
    <w:rsid w:val="001D7A68"/>
    <w:rsid w:val="001D7DAF"/>
    <w:rsid w:val="001E05AC"/>
    <w:rsid w:val="001E3165"/>
    <w:rsid w:val="001E31FA"/>
    <w:rsid w:val="001E4114"/>
    <w:rsid w:val="001E4244"/>
    <w:rsid w:val="001E46D1"/>
    <w:rsid w:val="001E5024"/>
    <w:rsid w:val="001E5628"/>
    <w:rsid w:val="001E5C01"/>
    <w:rsid w:val="001E61A0"/>
    <w:rsid w:val="001E69C7"/>
    <w:rsid w:val="001E71FF"/>
    <w:rsid w:val="001E75D2"/>
    <w:rsid w:val="001E7697"/>
    <w:rsid w:val="001E7ABD"/>
    <w:rsid w:val="001F0052"/>
    <w:rsid w:val="001F04CD"/>
    <w:rsid w:val="001F093C"/>
    <w:rsid w:val="001F1757"/>
    <w:rsid w:val="001F18C5"/>
    <w:rsid w:val="001F21F2"/>
    <w:rsid w:val="001F28D2"/>
    <w:rsid w:val="001F46A5"/>
    <w:rsid w:val="001F49C7"/>
    <w:rsid w:val="001F4A03"/>
    <w:rsid w:val="001F4AC6"/>
    <w:rsid w:val="001F5132"/>
    <w:rsid w:val="001F51D4"/>
    <w:rsid w:val="001F5537"/>
    <w:rsid w:val="001F6CCD"/>
    <w:rsid w:val="001F77CA"/>
    <w:rsid w:val="001F7EF4"/>
    <w:rsid w:val="00200929"/>
    <w:rsid w:val="00200BD5"/>
    <w:rsid w:val="00200CFE"/>
    <w:rsid w:val="00200D4D"/>
    <w:rsid w:val="00200F27"/>
    <w:rsid w:val="00201403"/>
    <w:rsid w:val="00201663"/>
    <w:rsid w:val="00201FC8"/>
    <w:rsid w:val="002027A5"/>
    <w:rsid w:val="00203A92"/>
    <w:rsid w:val="00203BEE"/>
    <w:rsid w:val="002046FF"/>
    <w:rsid w:val="00204964"/>
    <w:rsid w:val="0020504D"/>
    <w:rsid w:val="00206460"/>
    <w:rsid w:val="002067EE"/>
    <w:rsid w:val="002069E1"/>
    <w:rsid w:val="00207075"/>
    <w:rsid w:val="00207176"/>
    <w:rsid w:val="002075AD"/>
    <w:rsid w:val="00207798"/>
    <w:rsid w:val="0020788F"/>
    <w:rsid w:val="00207D8E"/>
    <w:rsid w:val="002110FE"/>
    <w:rsid w:val="00211D1A"/>
    <w:rsid w:val="00212119"/>
    <w:rsid w:val="00212173"/>
    <w:rsid w:val="00212838"/>
    <w:rsid w:val="002128A2"/>
    <w:rsid w:val="00212AF2"/>
    <w:rsid w:val="00212C6F"/>
    <w:rsid w:val="0021319F"/>
    <w:rsid w:val="00213285"/>
    <w:rsid w:val="00213A97"/>
    <w:rsid w:val="00214048"/>
    <w:rsid w:val="002147D3"/>
    <w:rsid w:val="002159EE"/>
    <w:rsid w:val="00215C0B"/>
    <w:rsid w:val="00215C91"/>
    <w:rsid w:val="002165E2"/>
    <w:rsid w:val="00216A8F"/>
    <w:rsid w:val="00216A97"/>
    <w:rsid w:val="00217D6E"/>
    <w:rsid w:val="00220635"/>
    <w:rsid w:val="0022169C"/>
    <w:rsid w:val="00221E94"/>
    <w:rsid w:val="002220BA"/>
    <w:rsid w:val="002227B9"/>
    <w:rsid w:val="00222A7D"/>
    <w:rsid w:val="00222C74"/>
    <w:rsid w:val="00222DDE"/>
    <w:rsid w:val="002231CA"/>
    <w:rsid w:val="00223477"/>
    <w:rsid w:val="002234AB"/>
    <w:rsid w:val="002237F3"/>
    <w:rsid w:val="002249F7"/>
    <w:rsid w:val="00225AAC"/>
    <w:rsid w:val="00226552"/>
    <w:rsid w:val="0022687A"/>
    <w:rsid w:val="00226EB2"/>
    <w:rsid w:val="00227FA8"/>
    <w:rsid w:val="0023023B"/>
    <w:rsid w:val="00230700"/>
    <w:rsid w:val="00230AB9"/>
    <w:rsid w:val="00230BCE"/>
    <w:rsid w:val="00231451"/>
    <w:rsid w:val="002319A9"/>
    <w:rsid w:val="0023207F"/>
    <w:rsid w:val="002325BC"/>
    <w:rsid w:val="0023314D"/>
    <w:rsid w:val="00233A0C"/>
    <w:rsid w:val="00233EA9"/>
    <w:rsid w:val="00234295"/>
    <w:rsid w:val="0023438D"/>
    <w:rsid w:val="00234591"/>
    <w:rsid w:val="00234E2E"/>
    <w:rsid w:val="00235754"/>
    <w:rsid w:val="00235A67"/>
    <w:rsid w:val="00235EAE"/>
    <w:rsid w:val="00236525"/>
    <w:rsid w:val="0023657E"/>
    <w:rsid w:val="00237840"/>
    <w:rsid w:val="00237847"/>
    <w:rsid w:val="002401F2"/>
    <w:rsid w:val="00240AB2"/>
    <w:rsid w:val="00241247"/>
    <w:rsid w:val="00241A68"/>
    <w:rsid w:val="00241F92"/>
    <w:rsid w:val="002426B0"/>
    <w:rsid w:val="00242839"/>
    <w:rsid w:val="00242881"/>
    <w:rsid w:val="00242AC6"/>
    <w:rsid w:val="00242C3F"/>
    <w:rsid w:val="0024530C"/>
    <w:rsid w:val="002455B9"/>
    <w:rsid w:val="00245A79"/>
    <w:rsid w:val="00245DE7"/>
    <w:rsid w:val="00246CF1"/>
    <w:rsid w:val="002472AC"/>
    <w:rsid w:val="00247458"/>
    <w:rsid w:val="00247B9A"/>
    <w:rsid w:val="00250493"/>
    <w:rsid w:val="00250998"/>
    <w:rsid w:val="00250DE0"/>
    <w:rsid w:val="00251178"/>
    <w:rsid w:val="00251645"/>
    <w:rsid w:val="00251779"/>
    <w:rsid w:val="00251955"/>
    <w:rsid w:val="00251F43"/>
    <w:rsid w:val="0025202E"/>
    <w:rsid w:val="0025205D"/>
    <w:rsid w:val="00253FCA"/>
    <w:rsid w:val="00255415"/>
    <w:rsid w:val="00255920"/>
    <w:rsid w:val="0025713E"/>
    <w:rsid w:val="002606C3"/>
    <w:rsid w:val="00260EA9"/>
    <w:rsid w:val="00261316"/>
    <w:rsid w:val="0026143A"/>
    <w:rsid w:val="00261A1A"/>
    <w:rsid w:val="00261C66"/>
    <w:rsid w:val="00261E7A"/>
    <w:rsid w:val="002621D1"/>
    <w:rsid w:val="00262AA1"/>
    <w:rsid w:val="00262E6B"/>
    <w:rsid w:val="00263031"/>
    <w:rsid w:val="002631D8"/>
    <w:rsid w:val="00263300"/>
    <w:rsid w:val="00264E2D"/>
    <w:rsid w:val="00265161"/>
    <w:rsid w:val="00265290"/>
    <w:rsid w:val="002656FE"/>
    <w:rsid w:val="00265D00"/>
    <w:rsid w:val="00265D8C"/>
    <w:rsid w:val="00265E4D"/>
    <w:rsid w:val="00265F1A"/>
    <w:rsid w:val="00265F20"/>
    <w:rsid w:val="002668DA"/>
    <w:rsid w:val="00266ED7"/>
    <w:rsid w:val="002675FD"/>
    <w:rsid w:val="0027014C"/>
    <w:rsid w:val="00270226"/>
    <w:rsid w:val="002702B5"/>
    <w:rsid w:val="002703A7"/>
    <w:rsid w:val="0027044D"/>
    <w:rsid w:val="00270C4D"/>
    <w:rsid w:val="00270D7C"/>
    <w:rsid w:val="002718E1"/>
    <w:rsid w:val="00271933"/>
    <w:rsid w:val="00271AFB"/>
    <w:rsid w:val="00271E64"/>
    <w:rsid w:val="0027210B"/>
    <w:rsid w:val="00272246"/>
    <w:rsid w:val="00272B2C"/>
    <w:rsid w:val="00272D49"/>
    <w:rsid w:val="00273A82"/>
    <w:rsid w:val="002747DC"/>
    <w:rsid w:val="00274B00"/>
    <w:rsid w:val="00274CB8"/>
    <w:rsid w:val="00274E85"/>
    <w:rsid w:val="002763FE"/>
    <w:rsid w:val="0027644B"/>
    <w:rsid w:val="00276E7B"/>
    <w:rsid w:val="00277978"/>
    <w:rsid w:val="00277E47"/>
    <w:rsid w:val="0028060D"/>
    <w:rsid w:val="00280AD9"/>
    <w:rsid w:val="0028120F"/>
    <w:rsid w:val="002813FF"/>
    <w:rsid w:val="00281F55"/>
    <w:rsid w:val="00282B7A"/>
    <w:rsid w:val="00282FE3"/>
    <w:rsid w:val="0028331E"/>
    <w:rsid w:val="002835D9"/>
    <w:rsid w:val="002836F3"/>
    <w:rsid w:val="002837C0"/>
    <w:rsid w:val="00283AD2"/>
    <w:rsid w:val="002843FA"/>
    <w:rsid w:val="00284465"/>
    <w:rsid w:val="00284FCB"/>
    <w:rsid w:val="0028501F"/>
    <w:rsid w:val="00285709"/>
    <w:rsid w:val="00285A8B"/>
    <w:rsid w:val="00285E7D"/>
    <w:rsid w:val="0028614B"/>
    <w:rsid w:val="00286475"/>
    <w:rsid w:val="00287613"/>
    <w:rsid w:val="00290175"/>
    <w:rsid w:val="0029053A"/>
    <w:rsid w:val="0029067C"/>
    <w:rsid w:val="00290C99"/>
    <w:rsid w:val="00290F22"/>
    <w:rsid w:val="0029113D"/>
    <w:rsid w:val="002911B2"/>
    <w:rsid w:val="00292281"/>
    <w:rsid w:val="00292426"/>
    <w:rsid w:val="00292827"/>
    <w:rsid w:val="00293528"/>
    <w:rsid w:val="0029496F"/>
    <w:rsid w:val="002954A6"/>
    <w:rsid w:val="00295522"/>
    <w:rsid w:val="00296172"/>
    <w:rsid w:val="0029665B"/>
    <w:rsid w:val="0029675C"/>
    <w:rsid w:val="0029717B"/>
    <w:rsid w:val="00297A80"/>
    <w:rsid w:val="002A008D"/>
    <w:rsid w:val="002A01E1"/>
    <w:rsid w:val="002A0556"/>
    <w:rsid w:val="002A08D5"/>
    <w:rsid w:val="002A09A0"/>
    <w:rsid w:val="002A0D04"/>
    <w:rsid w:val="002A0E3E"/>
    <w:rsid w:val="002A0F0A"/>
    <w:rsid w:val="002A1707"/>
    <w:rsid w:val="002A1AFC"/>
    <w:rsid w:val="002A2069"/>
    <w:rsid w:val="002A230A"/>
    <w:rsid w:val="002A2634"/>
    <w:rsid w:val="002A2E87"/>
    <w:rsid w:val="002A3125"/>
    <w:rsid w:val="002A3A2A"/>
    <w:rsid w:val="002A3CB9"/>
    <w:rsid w:val="002A41F3"/>
    <w:rsid w:val="002A46F8"/>
    <w:rsid w:val="002A4960"/>
    <w:rsid w:val="002A5134"/>
    <w:rsid w:val="002A5234"/>
    <w:rsid w:val="002A57A3"/>
    <w:rsid w:val="002A5C64"/>
    <w:rsid w:val="002A5D60"/>
    <w:rsid w:val="002A6218"/>
    <w:rsid w:val="002A65A6"/>
    <w:rsid w:val="002A679E"/>
    <w:rsid w:val="002A6CFE"/>
    <w:rsid w:val="002A7B09"/>
    <w:rsid w:val="002B0034"/>
    <w:rsid w:val="002B1058"/>
    <w:rsid w:val="002B1672"/>
    <w:rsid w:val="002B1C88"/>
    <w:rsid w:val="002B1D7A"/>
    <w:rsid w:val="002B25EF"/>
    <w:rsid w:val="002B2C69"/>
    <w:rsid w:val="002B2FF1"/>
    <w:rsid w:val="002B3B6D"/>
    <w:rsid w:val="002B4B17"/>
    <w:rsid w:val="002B597C"/>
    <w:rsid w:val="002B5B89"/>
    <w:rsid w:val="002B6501"/>
    <w:rsid w:val="002B69EC"/>
    <w:rsid w:val="002B6A94"/>
    <w:rsid w:val="002B6F06"/>
    <w:rsid w:val="002B728C"/>
    <w:rsid w:val="002B79B0"/>
    <w:rsid w:val="002C0C45"/>
    <w:rsid w:val="002C0EE1"/>
    <w:rsid w:val="002C1FD3"/>
    <w:rsid w:val="002C2368"/>
    <w:rsid w:val="002C2DEF"/>
    <w:rsid w:val="002C2F16"/>
    <w:rsid w:val="002C3227"/>
    <w:rsid w:val="002C3835"/>
    <w:rsid w:val="002C3BFE"/>
    <w:rsid w:val="002C454C"/>
    <w:rsid w:val="002C46A4"/>
    <w:rsid w:val="002C4A1D"/>
    <w:rsid w:val="002C4A77"/>
    <w:rsid w:val="002C4FF2"/>
    <w:rsid w:val="002C50DE"/>
    <w:rsid w:val="002C53D6"/>
    <w:rsid w:val="002C5701"/>
    <w:rsid w:val="002C5E76"/>
    <w:rsid w:val="002C5F04"/>
    <w:rsid w:val="002C5F3D"/>
    <w:rsid w:val="002C7721"/>
    <w:rsid w:val="002D0D03"/>
    <w:rsid w:val="002D0F1A"/>
    <w:rsid w:val="002D1010"/>
    <w:rsid w:val="002D1708"/>
    <w:rsid w:val="002D1A63"/>
    <w:rsid w:val="002D1ACD"/>
    <w:rsid w:val="002D249B"/>
    <w:rsid w:val="002D2993"/>
    <w:rsid w:val="002D2FBA"/>
    <w:rsid w:val="002D41A4"/>
    <w:rsid w:val="002D42B9"/>
    <w:rsid w:val="002D467A"/>
    <w:rsid w:val="002D4B5B"/>
    <w:rsid w:val="002D5803"/>
    <w:rsid w:val="002D5D1F"/>
    <w:rsid w:val="002D5DBA"/>
    <w:rsid w:val="002D6675"/>
    <w:rsid w:val="002D69DD"/>
    <w:rsid w:val="002D767A"/>
    <w:rsid w:val="002D7D87"/>
    <w:rsid w:val="002D7D9F"/>
    <w:rsid w:val="002E0626"/>
    <w:rsid w:val="002E083D"/>
    <w:rsid w:val="002E0910"/>
    <w:rsid w:val="002E0AA9"/>
    <w:rsid w:val="002E0F22"/>
    <w:rsid w:val="002E11AB"/>
    <w:rsid w:val="002E21B4"/>
    <w:rsid w:val="002E21DB"/>
    <w:rsid w:val="002E2207"/>
    <w:rsid w:val="002E2765"/>
    <w:rsid w:val="002E2A99"/>
    <w:rsid w:val="002E33B5"/>
    <w:rsid w:val="002E4050"/>
    <w:rsid w:val="002E42B6"/>
    <w:rsid w:val="002E45D9"/>
    <w:rsid w:val="002E479B"/>
    <w:rsid w:val="002E491C"/>
    <w:rsid w:val="002E4A88"/>
    <w:rsid w:val="002E5480"/>
    <w:rsid w:val="002E636D"/>
    <w:rsid w:val="002E715D"/>
    <w:rsid w:val="002E7621"/>
    <w:rsid w:val="002E7916"/>
    <w:rsid w:val="002E7B0D"/>
    <w:rsid w:val="002E7E8C"/>
    <w:rsid w:val="002E7F60"/>
    <w:rsid w:val="002F002A"/>
    <w:rsid w:val="002F0089"/>
    <w:rsid w:val="002F0420"/>
    <w:rsid w:val="002F0D4D"/>
    <w:rsid w:val="002F1329"/>
    <w:rsid w:val="002F144A"/>
    <w:rsid w:val="002F172F"/>
    <w:rsid w:val="002F17AE"/>
    <w:rsid w:val="002F1AEB"/>
    <w:rsid w:val="002F1C29"/>
    <w:rsid w:val="002F1F7A"/>
    <w:rsid w:val="002F4C9D"/>
    <w:rsid w:val="002F59E4"/>
    <w:rsid w:val="002F5A5A"/>
    <w:rsid w:val="002F5C14"/>
    <w:rsid w:val="002F5D2D"/>
    <w:rsid w:val="002F6520"/>
    <w:rsid w:val="002F66BC"/>
    <w:rsid w:val="002F6E09"/>
    <w:rsid w:val="002F7F1B"/>
    <w:rsid w:val="002F7F3F"/>
    <w:rsid w:val="003000A2"/>
    <w:rsid w:val="003019B0"/>
    <w:rsid w:val="00301BEB"/>
    <w:rsid w:val="003021CC"/>
    <w:rsid w:val="00302405"/>
    <w:rsid w:val="00302A64"/>
    <w:rsid w:val="00302EA1"/>
    <w:rsid w:val="00302F22"/>
    <w:rsid w:val="003031F3"/>
    <w:rsid w:val="00303349"/>
    <w:rsid w:val="003034FB"/>
    <w:rsid w:val="003042A8"/>
    <w:rsid w:val="00304933"/>
    <w:rsid w:val="003050D7"/>
    <w:rsid w:val="00305121"/>
    <w:rsid w:val="003061E7"/>
    <w:rsid w:val="003077B8"/>
    <w:rsid w:val="00307F18"/>
    <w:rsid w:val="00310A35"/>
    <w:rsid w:val="00310DCD"/>
    <w:rsid w:val="00312150"/>
    <w:rsid w:val="003129F4"/>
    <w:rsid w:val="00312C10"/>
    <w:rsid w:val="00312D5D"/>
    <w:rsid w:val="00312F1C"/>
    <w:rsid w:val="003134B3"/>
    <w:rsid w:val="00313DE8"/>
    <w:rsid w:val="00315101"/>
    <w:rsid w:val="00316366"/>
    <w:rsid w:val="00316C85"/>
    <w:rsid w:val="00317441"/>
    <w:rsid w:val="0031756D"/>
    <w:rsid w:val="00317614"/>
    <w:rsid w:val="00317DCE"/>
    <w:rsid w:val="0032017F"/>
    <w:rsid w:val="00320185"/>
    <w:rsid w:val="003204E9"/>
    <w:rsid w:val="00320517"/>
    <w:rsid w:val="00320694"/>
    <w:rsid w:val="003206A1"/>
    <w:rsid w:val="00320AD3"/>
    <w:rsid w:val="00320D45"/>
    <w:rsid w:val="00320E57"/>
    <w:rsid w:val="00320EDE"/>
    <w:rsid w:val="00322CB0"/>
    <w:rsid w:val="00322DA1"/>
    <w:rsid w:val="003231BD"/>
    <w:rsid w:val="003233BF"/>
    <w:rsid w:val="003239BB"/>
    <w:rsid w:val="00323A97"/>
    <w:rsid w:val="003244A7"/>
    <w:rsid w:val="0032471D"/>
    <w:rsid w:val="003247C0"/>
    <w:rsid w:val="003247DF"/>
    <w:rsid w:val="00324A4B"/>
    <w:rsid w:val="00324EE9"/>
    <w:rsid w:val="003260A9"/>
    <w:rsid w:val="0032654F"/>
    <w:rsid w:val="003269F8"/>
    <w:rsid w:val="00326A73"/>
    <w:rsid w:val="00330985"/>
    <w:rsid w:val="003313BB"/>
    <w:rsid w:val="00331DB4"/>
    <w:rsid w:val="00332C99"/>
    <w:rsid w:val="00332FE6"/>
    <w:rsid w:val="0033373E"/>
    <w:rsid w:val="00333E42"/>
    <w:rsid w:val="0033437E"/>
    <w:rsid w:val="00334A26"/>
    <w:rsid w:val="00334C19"/>
    <w:rsid w:val="00335FFA"/>
    <w:rsid w:val="003368B2"/>
    <w:rsid w:val="00336F28"/>
    <w:rsid w:val="00337099"/>
    <w:rsid w:val="00337161"/>
    <w:rsid w:val="00337709"/>
    <w:rsid w:val="003403A0"/>
    <w:rsid w:val="00340E1E"/>
    <w:rsid w:val="00340F17"/>
    <w:rsid w:val="00341068"/>
    <w:rsid w:val="003419E3"/>
    <w:rsid w:val="00342738"/>
    <w:rsid w:val="003429B3"/>
    <w:rsid w:val="00342F48"/>
    <w:rsid w:val="0034345F"/>
    <w:rsid w:val="00343AED"/>
    <w:rsid w:val="00343B76"/>
    <w:rsid w:val="00344689"/>
    <w:rsid w:val="003447AF"/>
    <w:rsid w:val="00344F14"/>
    <w:rsid w:val="00345044"/>
    <w:rsid w:val="00345599"/>
    <w:rsid w:val="003457D4"/>
    <w:rsid w:val="003461C2"/>
    <w:rsid w:val="00346482"/>
    <w:rsid w:val="0034649D"/>
    <w:rsid w:val="003466D0"/>
    <w:rsid w:val="00347CE5"/>
    <w:rsid w:val="00347FA7"/>
    <w:rsid w:val="003502AB"/>
    <w:rsid w:val="003507C6"/>
    <w:rsid w:val="00351FC6"/>
    <w:rsid w:val="00352249"/>
    <w:rsid w:val="00352302"/>
    <w:rsid w:val="0035257A"/>
    <w:rsid w:val="00352748"/>
    <w:rsid w:val="00352BE1"/>
    <w:rsid w:val="00352CA9"/>
    <w:rsid w:val="00352DA0"/>
    <w:rsid w:val="00352FD3"/>
    <w:rsid w:val="003532B1"/>
    <w:rsid w:val="003538F7"/>
    <w:rsid w:val="00353BD9"/>
    <w:rsid w:val="00354CA3"/>
    <w:rsid w:val="00355346"/>
    <w:rsid w:val="003556D1"/>
    <w:rsid w:val="00355E8F"/>
    <w:rsid w:val="00356055"/>
    <w:rsid w:val="003562C7"/>
    <w:rsid w:val="003566C7"/>
    <w:rsid w:val="00356916"/>
    <w:rsid w:val="00356FEC"/>
    <w:rsid w:val="0035738A"/>
    <w:rsid w:val="00357AA0"/>
    <w:rsid w:val="00360250"/>
    <w:rsid w:val="0036080A"/>
    <w:rsid w:val="003608C1"/>
    <w:rsid w:val="003608D1"/>
    <w:rsid w:val="0036093F"/>
    <w:rsid w:val="003611CE"/>
    <w:rsid w:val="003612DE"/>
    <w:rsid w:val="00361B5D"/>
    <w:rsid w:val="003620C1"/>
    <w:rsid w:val="0036266C"/>
    <w:rsid w:val="0036269E"/>
    <w:rsid w:val="003626B7"/>
    <w:rsid w:val="003648E1"/>
    <w:rsid w:val="00365246"/>
    <w:rsid w:val="00365951"/>
    <w:rsid w:val="00365A58"/>
    <w:rsid w:val="00365B8F"/>
    <w:rsid w:val="00365CF3"/>
    <w:rsid w:val="00365FDC"/>
    <w:rsid w:val="003661DE"/>
    <w:rsid w:val="00366567"/>
    <w:rsid w:val="00366ABD"/>
    <w:rsid w:val="00366E8E"/>
    <w:rsid w:val="003677B2"/>
    <w:rsid w:val="00367ED9"/>
    <w:rsid w:val="00370292"/>
    <w:rsid w:val="003718A9"/>
    <w:rsid w:val="003718EE"/>
    <w:rsid w:val="00371ED4"/>
    <w:rsid w:val="003727DA"/>
    <w:rsid w:val="003732FA"/>
    <w:rsid w:val="003732FC"/>
    <w:rsid w:val="00373606"/>
    <w:rsid w:val="0037391E"/>
    <w:rsid w:val="00373BCE"/>
    <w:rsid w:val="00374046"/>
    <w:rsid w:val="003742CA"/>
    <w:rsid w:val="00374403"/>
    <w:rsid w:val="0037495A"/>
    <w:rsid w:val="003752E1"/>
    <w:rsid w:val="00375AFF"/>
    <w:rsid w:val="0037655D"/>
    <w:rsid w:val="00376597"/>
    <w:rsid w:val="00376BDF"/>
    <w:rsid w:val="00377DF9"/>
    <w:rsid w:val="003802D2"/>
    <w:rsid w:val="0038048A"/>
    <w:rsid w:val="00380A6F"/>
    <w:rsid w:val="00380A82"/>
    <w:rsid w:val="00380FA0"/>
    <w:rsid w:val="00380FDF"/>
    <w:rsid w:val="00381318"/>
    <w:rsid w:val="00381778"/>
    <w:rsid w:val="003819C8"/>
    <w:rsid w:val="003823C1"/>
    <w:rsid w:val="00382C1A"/>
    <w:rsid w:val="00382D36"/>
    <w:rsid w:val="00382E3F"/>
    <w:rsid w:val="00382F4E"/>
    <w:rsid w:val="00382FD5"/>
    <w:rsid w:val="00383E50"/>
    <w:rsid w:val="0038480F"/>
    <w:rsid w:val="00384DE4"/>
    <w:rsid w:val="00384F6F"/>
    <w:rsid w:val="0038514E"/>
    <w:rsid w:val="003851B9"/>
    <w:rsid w:val="00385498"/>
    <w:rsid w:val="003865EE"/>
    <w:rsid w:val="003868F3"/>
    <w:rsid w:val="003875CA"/>
    <w:rsid w:val="003901BA"/>
    <w:rsid w:val="00390DBB"/>
    <w:rsid w:val="00390FA9"/>
    <w:rsid w:val="00391E28"/>
    <w:rsid w:val="00393A40"/>
    <w:rsid w:val="00393C02"/>
    <w:rsid w:val="00394CA4"/>
    <w:rsid w:val="003952C6"/>
    <w:rsid w:val="00395659"/>
    <w:rsid w:val="00395816"/>
    <w:rsid w:val="0039597F"/>
    <w:rsid w:val="00395CBF"/>
    <w:rsid w:val="00395D58"/>
    <w:rsid w:val="0039659C"/>
    <w:rsid w:val="003971B8"/>
    <w:rsid w:val="00397241"/>
    <w:rsid w:val="00397C67"/>
    <w:rsid w:val="003A00E3"/>
    <w:rsid w:val="003A0211"/>
    <w:rsid w:val="003A0984"/>
    <w:rsid w:val="003A0A98"/>
    <w:rsid w:val="003A1686"/>
    <w:rsid w:val="003A1A23"/>
    <w:rsid w:val="003A2057"/>
    <w:rsid w:val="003A2E1E"/>
    <w:rsid w:val="003A3884"/>
    <w:rsid w:val="003A3C85"/>
    <w:rsid w:val="003A3F49"/>
    <w:rsid w:val="003A43F0"/>
    <w:rsid w:val="003A4519"/>
    <w:rsid w:val="003A4F80"/>
    <w:rsid w:val="003A50F5"/>
    <w:rsid w:val="003A5718"/>
    <w:rsid w:val="003A5972"/>
    <w:rsid w:val="003A5DEF"/>
    <w:rsid w:val="003A65F8"/>
    <w:rsid w:val="003A697F"/>
    <w:rsid w:val="003A724D"/>
    <w:rsid w:val="003A74A2"/>
    <w:rsid w:val="003A7F21"/>
    <w:rsid w:val="003B0804"/>
    <w:rsid w:val="003B0E5B"/>
    <w:rsid w:val="003B12F6"/>
    <w:rsid w:val="003B20C2"/>
    <w:rsid w:val="003B20E3"/>
    <w:rsid w:val="003B264D"/>
    <w:rsid w:val="003B3366"/>
    <w:rsid w:val="003B3BB1"/>
    <w:rsid w:val="003B3C48"/>
    <w:rsid w:val="003B3E7F"/>
    <w:rsid w:val="003B4186"/>
    <w:rsid w:val="003B47D0"/>
    <w:rsid w:val="003B4EBE"/>
    <w:rsid w:val="003B5258"/>
    <w:rsid w:val="003B5919"/>
    <w:rsid w:val="003B5FF9"/>
    <w:rsid w:val="003B6CB0"/>
    <w:rsid w:val="003B7988"/>
    <w:rsid w:val="003B7B14"/>
    <w:rsid w:val="003C0052"/>
    <w:rsid w:val="003C03AF"/>
    <w:rsid w:val="003C0455"/>
    <w:rsid w:val="003C089E"/>
    <w:rsid w:val="003C10E9"/>
    <w:rsid w:val="003C111A"/>
    <w:rsid w:val="003C1758"/>
    <w:rsid w:val="003C1B63"/>
    <w:rsid w:val="003C3974"/>
    <w:rsid w:val="003C3F8C"/>
    <w:rsid w:val="003C5039"/>
    <w:rsid w:val="003C5660"/>
    <w:rsid w:val="003C56E7"/>
    <w:rsid w:val="003C61E7"/>
    <w:rsid w:val="003C67F9"/>
    <w:rsid w:val="003C6E81"/>
    <w:rsid w:val="003C6FDA"/>
    <w:rsid w:val="003C7357"/>
    <w:rsid w:val="003C74FB"/>
    <w:rsid w:val="003C76A3"/>
    <w:rsid w:val="003C7985"/>
    <w:rsid w:val="003C7A46"/>
    <w:rsid w:val="003C7E5F"/>
    <w:rsid w:val="003C7F5F"/>
    <w:rsid w:val="003D08FD"/>
    <w:rsid w:val="003D0C5D"/>
    <w:rsid w:val="003D0C6F"/>
    <w:rsid w:val="003D179F"/>
    <w:rsid w:val="003D1CD9"/>
    <w:rsid w:val="003D1D39"/>
    <w:rsid w:val="003D3147"/>
    <w:rsid w:val="003D3C3D"/>
    <w:rsid w:val="003D3EC8"/>
    <w:rsid w:val="003D5E87"/>
    <w:rsid w:val="003D63F7"/>
    <w:rsid w:val="003D6B76"/>
    <w:rsid w:val="003D7BAB"/>
    <w:rsid w:val="003D7DCD"/>
    <w:rsid w:val="003D7E6A"/>
    <w:rsid w:val="003D7F1C"/>
    <w:rsid w:val="003E0410"/>
    <w:rsid w:val="003E0937"/>
    <w:rsid w:val="003E0E7A"/>
    <w:rsid w:val="003E16DA"/>
    <w:rsid w:val="003E1949"/>
    <w:rsid w:val="003E1BE6"/>
    <w:rsid w:val="003E1EF0"/>
    <w:rsid w:val="003E226D"/>
    <w:rsid w:val="003E336A"/>
    <w:rsid w:val="003E3A36"/>
    <w:rsid w:val="003E3C6E"/>
    <w:rsid w:val="003E4132"/>
    <w:rsid w:val="003E7154"/>
    <w:rsid w:val="003E74B9"/>
    <w:rsid w:val="003E7A6A"/>
    <w:rsid w:val="003E7C72"/>
    <w:rsid w:val="003E7C8D"/>
    <w:rsid w:val="003E7E61"/>
    <w:rsid w:val="003E7EDB"/>
    <w:rsid w:val="003E7F43"/>
    <w:rsid w:val="003E7F4F"/>
    <w:rsid w:val="003F0F76"/>
    <w:rsid w:val="003F1DC0"/>
    <w:rsid w:val="003F21FD"/>
    <w:rsid w:val="003F31A8"/>
    <w:rsid w:val="003F3855"/>
    <w:rsid w:val="003F39CE"/>
    <w:rsid w:val="003F3AD7"/>
    <w:rsid w:val="003F3CA5"/>
    <w:rsid w:val="003F5094"/>
    <w:rsid w:val="003F51D6"/>
    <w:rsid w:val="003F5AED"/>
    <w:rsid w:val="003F5CBB"/>
    <w:rsid w:val="003F5CC4"/>
    <w:rsid w:val="003F62B3"/>
    <w:rsid w:val="003F6323"/>
    <w:rsid w:val="003F632C"/>
    <w:rsid w:val="003F64DE"/>
    <w:rsid w:val="003F7252"/>
    <w:rsid w:val="004003D3"/>
    <w:rsid w:val="004007E5"/>
    <w:rsid w:val="00400954"/>
    <w:rsid w:val="00400F9C"/>
    <w:rsid w:val="0040125B"/>
    <w:rsid w:val="00401534"/>
    <w:rsid w:val="0040192D"/>
    <w:rsid w:val="00402431"/>
    <w:rsid w:val="00402CBF"/>
    <w:rsid w:val="00402CD7"/>
    <w:rsid w:val="004030C0"/>
    <w:rsid w:val="00403140"/>
    <w:rsid w:val="004038B9"/>
    <w:rsid w:val="00403A98"/>
    <w:rsid w:val="00403B73"/>
    <w:rsid w:val="00403FE1"/>
    <w:rsid w:val="00404933"/>
    <w:rsid w:val="00404D09"/>
    <w:rsid w:val="004051DF"/>
    <w:rsid w:val="00406C68"/>
    <w:rsid w:val="00407B7F"/>
    <w:rsid w:val="00407E12"/>
    <w:rsid w:val="0041077E"/>
    <w:rsid w:val="00410A04"/>
    <w:rsid w:val="00410BC2"/>
    <w:rsid w:val="004115B2"/>
    <w:rsid w:val="00411ABA"/>
    <w:rsid w:val="00412174"/>
    <w:rsid w:val="00412CB4"/>
    <w:rsid w:val="004154A1"/>
    <w:rsid w:val="00415DB2"/>
    <w:rsid w:val="004161D8"/>
    <w:rsid w:val="00416A84"/>
    <w:rsid w:val="00416FF0"/>
    <w:rsid w:val="0041771F"/>
    <w:rsid w:val="004212B2"/>
    <w:rsid w:val="004212D0"/>
    <w:rsid w:val="00421568"/>
    <w:rsid w:val="00421B6C"/>
    <w:rsid w:val="004221C4"/>
    <w:rsid w:val="00424019"/>
    <w:rsid w:val="004240E9"/>
    <w:rsid w:val="004242D2"/>
    <w:rsid w:val="0042444D"/>
    <w:rsid w:val="0042449C"/>
    <w:rsid w:val="00424858"/>
    <w:rsid w:val="00424968"/>
    <w:rsid w:val="00424BBC"/>
    <w:rsid w:val="00425121"/>
    <w:rsid w:val="00425736"/>
    <w:rsid w:val="00426858"/>
    <w:rsid w:val="00426A89"/>
    <w:rsid w:val="004275E1"/>
    <w:rsid w:val="00427952"/>
    <w:rsid w:val="00427F4A"/>
    <w:rsid w:val="00430A62"/>
    <w:rsid w:val="00430B90"/>
    <w:rsid w:val="00431EC8"/>
    <w:rsid w:val="00431F74"/>
    <w:rsid w:val="00432387"/>
    <w:rsid w:val="00432669"/>
    <w:rsid w:val="0043282A"/>
    <w:rsid w:val="00432A2E"/>
    <w:rsid w:val="00432D44"/>
    <w:rsid w:val="00433C9A"/>
    <w:rsid w:val="00434907"/>
    <w:rsid w:val="00434AF6"/>
    <w:rsid w:val="00434BB0"/>
    <w:rsid w:val="00434C0E"/>
    <w:rsid w:val="00434EEA"/>
    <w:rsid w:val="00436EE6"/>
    <w:rsid w:val="00436EFE"/>
    <w:rsid w:val="00437601"/>
    <w:rsid w:val="00437B3F"/>
    <w:rsid w:val="00437BA9"/>
    <w:rsid w:val="00437EC3"/>
    <w:rsid w:val="00437F4C"/>
    <w:rsid w:val="00440572"/>
    <w:rsid w:val="00440865"/>
    <w:rsid w:val="00440931"/>
    <w:rsid w:val="004412B9"/>
    <w:rsid w:val="00441574"/>
    <w:rsid w:val="00441D29"/>
    <w:rsid w:val="00442462"/>
    <w:rsid w:val="00443152"/>
    <w:rsid w:val="0044390F"/>
    <w:rsid w:val="0044393A"/>
    <w:rsid w:val="00443975"/>
    <w:rsid w:val="00443ED3"/>
    <w:rsid w:val="004441EE"/>
    <w:rsid w:val="00444B19"/>
    <w:rsid w:val="00444E28"/>
    <w:rsid w:val="004455F7"/>
    <w:rsid w:val="004456BD"/>
    <w:rsid w:val="00445B02"/>
    <w:rsid w:val="00446F9D"/>
    <w:rsid w:val="00446FD9"/>
    <w:rsid w:val="00447120"/>
    <w:rsid w:val="0044717F"/>
    <w:rsid w:val="004472D2"/>
    <w:rsid w:val="0044751D"/>
    <w:rsid w:val="0044779D"/>
    <w:rsid w:val="0044787C"/>
    <w:rsid w:val="004502B3"/>
    <w:rsid w:val="00450622"/>
    <w:rsid w:val="00452386"/>
    <w:rsid w:val="00452566"/>
    <w:rsid w:val="00452FA6"/>
    <w:rsid w:val="00452FDA"/>
    <w:rsid w:val="0045369F"/>
    <w:rsid w:val="0045403D"/>
    <w:rsid w:val="0045415C"/>
    <w:rsid w:val="0045475C"/>
    <w:rsid w:val="00454CE2"/>
    <w:rsid w:val="00455A11"/>
    <w:rsid w:val="00455ECB"/>
    <w:rsid w:val="00456572"/>
    <w:rsid w:val="00456B00"/>
    <w:rsid w:val="00456CFD"/>
    <w:rsid w:val="00457F75"/>
    <w:rsid w:val="004600DE"/>
    <w:rsid w:val="00460502"/>
    <w:rsid w:val="004609CA"/>
    <w:rsid w:val="00460EF5"/>
    <w:rsid w:val="0046156E"/>
    <w:rsid w:val="00462724"/>
    <w:rsid w:val="00462F5C"/>
    <w:rsid w:val="00463873"/>
    <w:rsid w:val="00463A7B"/>
    <w:rsid w:val="00463B3E"/>
    <w:rsid w:val="00463B96"/>
    <w:rsid w:val="00463F30"/>
    <w:rsid w:val="004646B5"/>
    <w:rsid w:val="00464903"/>
    <w:rsid w:val="00465605"/>
    <w:rsid w:val="00465917"/>
    <w:rsid w:val="00466D84"/>
    <w:rsid w:val="004670CC"/>
    <w:rsid w:val="004671FB"/>
    <w:rsid w:val="0046746E"/>
    <w:rsid w:val="00470290"/>
    <w:rsid w:val="004705DB"/>
    <w:rsid w:val="00470652"/>
    <w:rsid w:val="00471D49"/>
    <w:rsid w:val="004727D5"/>
    <w:rsid w:val="00472859"/>
    <w:rsid w:val="00472A92"/>
    <w:rsid w:val="00472B66"/>
    <w:rsid w:val="00472DD4"/>
    <w:rsid w:val="0047363A"/>
    <w:rsid w:val="00473848"/>
    <w:rsid w:val="0047430F"/>
    <w:rsid w:val="00474BD1"/>
    <w:rsid w:val="00474DD4"/>
    <w:rsid w:val="00474E21"/>
    <w:rsid w:val="00475263"/>
    <w:rsid w:val="00475614"/>
    <w:rsid w:val="0047566B"/>
    <w:rsid w:val="004757C0"/>
    <w:rsid w:val="004764D4"/>
    <w:rsid w:val="00477FE7"/>
    <w:rsid w:val="00480A81"/>
    <w:rsid w:val="0048167E"/>
    <w:rsid w:val="00481A6C"/>
    <w:rsid w:val="00481F70"/>
    <w:rsid w:val="00482384"/>
    <w:rsid w:val="00482B91"/>
    <w:rsid w:val="00483093"/>
    <w:rsid w:val="0048387E"/>
    <w:rsid w:val="00483F40"/>
    <w:rsid w:val="004840E9"/>
    <w:rsid w:val="00484BC1"/>
    <w:rsid w:val="00484F86"/>
    <w:rsid w:val="0048528E"/>
    <w:rsid w:val="0048687F"/>
    <w:rsid w:val="00486C91"/>
    <w:rsid w:val="00486FF2"/>
    <w:rsid w:val="004871CA"/>
    <w:rsid w:val="00490892"/>
    <w:rsid w:val="00491179"/>
    <w:rsid w:val="00491CE0"/>
    <w:rsid w:val="00491FA6"/>
    <w:rsid w:val="004923B3"/>
    <w:rsid w:val="0049289D"/>
    <w:rsid w:val="004929C8"/>
    <w:rsid w:val="0049394C"/>
    <w:rsid w:val="00493983"/>
    <w:rsid w:val="00494C23"/>
    <w:rsid w:val="004950DF"/>
    <w:rsid w:val="00495496"/>
    <w:rsid w:val="0049575C"/>
    <w:rsid w:val="00495783"/>
    <w:rsid w:val="0049596C"/>
    <w:rsid w:val="00495E52"/>
    <w:rsid w:val="00495FC4"/>
    <w:rsid w:val="00496175"/>
    <w:rsid w:val="004969A8"/>
    <w:rsid w:val="004970AE"/>
    <w:rsid w:val="00497195"/>
    <w:rsid w:val="00497403"/>
    <w:rsid w:val="004974FA"/>
    <w:rsid w:val="00497594"/>
    <w:rsid w:val="004A0055"/>
    <w:rsid w:val="004A028A"/>
    <w:rsid w:val="004A0AEE"/>
    <w:rsid w:val="004A102F"/>
    <w:rsid w:val="004A2EF9"/>
    <w:rsid w:val="004A38FC"/>
    <w:rsid w:val="004A3B32"/>
    <w:rsid w:val="004A4C6C"/>
    <w:rsid w:val="004A4EA7"/>
    <w:rsid w:val="004A5955"/>
    <w:rsid w:val="004A5EA3"/>
    <w:rsid w:val="004A7232"/>
    <w:rsid w:val="004A7784"/>
    <w:rsid w:val="004B0E1A"/>
    <w:rsid w:val="004B1C59"/>
    <w:rsid w:val="004B1DCC"/>
    <w:rsid w:val="004B1F9D"/>
    <w:rsid w:val="004B2188"/>
    <w:rsid w:val="004B244A"/>
    <w:rsid w:val="004B2912"/>
    <w:rsid w:val="004B34C8"/>
    <w:rsid w:val="004B40E6"/>
    <w:rsid w:val="004B47AE"/>
    <w:rsid w:val="004B5ADC"/>
    <w:rsid w:val="004B5B7B"/>
    <w:rsid w:val="004B5BE4"/>
    <w:rsid w:val="004B5C8F"/>
    <w:rsid w:val="004B624C"/>
    <w:rsid w:val="004B6B8E"/>
    <w:rsid w:val="004B6BBF"/>
    <w:rsid w:val="004B6F65"/>
    <w:rsid w:val="004C017B"/>
    <w:rsid w:val="004C0769"/>
    <w:rsid w:val="004C0F35"/>
    <w:rsid w:val="004C0FD4"/>
    <w:rsid w:val="004C1534"/>
    <w:rsid w:val="004C15DE"/>
    <w:rsid w:val="004C1DAB"/>
    <w:rsid w:val="004C2498"/>
    <w:rsid w:val="004C268E"/>
    <w:rsid w:val="004C2D61"/>
    <w:rsid w:val="004C3276"/>
    <w:rsid w:val="004C396E"/>
    <w:rsid w:val="004C3D50"/>
    <w:rsid w:val="004C41C2"/>
    <w:rsid w:val="004C42F7"/>
    <w:rsid w:val="004C5B83"/>
    <w:rsid w:val="004C5E73"/>
    <w:rsid w:val="004C6133"/>
    <w:rsid w:val="004C61B7"/>
    <w:rsid w:val="004C620E"/>
    <w:rsid w:val="004C6C80"/>
    <w:rsid w:val="004C6D0F"/>
    <w:rsid w:val="004C79DB"/>
    <w:rsid w:val="004C7BCD"/>
    <w:rsid w:val="004D0206"/>
    <w:rsid w:val="004D03B7"/>
    <w:rsid w:val="004D055D"/>
    <w:rsid w:val="004D05A3"/>
    <w:rsid w:val="004D0626"/>
    <w:rsid w:val="004D0C0A"/>
    <w:rsid w:val="004D1734"/>
    <w:rsid w:val="004D2D61"/>
    <w:rsid w:val="004D3735"/>
    <w:rsid w:val="004D37F5"/>
    <w:rsid w:val="004D3AAE"/>
    <w:rsid w:val="004D3F04"/>
    <w:rsid w:val="004D49CB"/>
    <w:rsid w:val="004D53E2"/>
    <w:rsid w:val="004D7591"/>
    <w:rsid w:val="004D775C"/>
    <w:rsid w:val="004D784B"/>
    <w:rsid w:val="004D7AFB"/>
    <w:rsid w:val="004E011F"/>
    <w:rsid w:val="004E0720"/>
    <w:rsid w:val="004E0E6C"/>
    <w:rsid w:val="004E0FD2"/>
    <w:rsid w:val="004E18D6"/>
    <w:rsid w:val="004E1AD4"/>
    <w:rsid w:val="004E2021"/>
    <w:rsid w:val="004E2306"/>
    <w:rsid w:val="004E27AD"/>
    <w:rsid w:val="004E3678"/>
    <w:rsid w:val="004E3707"/>
    <w:rsid w:val="004E3980"/>
    <w:rsid w:val="004E3AC8"/>
    <w:rsid w:val="004E4681"/>
    <w:rsid w:val="004E4CBA"/>
    <w:rsid w:val="004E5E86"/>
    <w:rsid w:val="004E64C5"/>
    <w:rsid w:val="004E6732"/>
    <w:rsid w:val="004E7314"/>
    <w:rsid w:val="004F031B"/>
    <w:rsid w:val="004F0A1A"/>
    <w:rsid w:val="004F0C74"/>
    <w:rsid w:val="004F188F"/>
    <w:rsid w:val="004F1EF5"/>
    <w:rsid w:val="004F25DA"/>
    <w:rsid w:val="004F2779"/>
    <w:rsid w:val="004F2F92"/>
    <w:rsid w:val="004F3337"/>
    <w:rsid w:val="004F3471"/>
    <w:rsid w:val="004F3738"/>
    <w:rsid w:val="004F3976"/>
    <w:rsid w:val="004F402C"/>
    <w:rsid w:val="004F4154"/>
    <w:rsid w:val="004F43A5"/>
    <w:rsid w:val="004F47A4"/>
    <w:rsid w:val="004F4DB7"/>
    <w:rsid w:val="004F576D"/>
    <w:rsid w:val="004F59C0"/>
    <w:rsid w:val="004F616C"/>
    <w:rsid w:val="004F7012"/>
    <w:rsid w:val="004F7216"/>
    <w:rsid w:val="004F7561"/>
    <w:rsid w:val="004F7ED5"/>
    <w:rsid w:val="0050004A"/>
    <w:rsid w:val="0050040E"/>
    <w:rsid w:val="00500E1A"/>
    <w:rsid w:val="005010F6"/>
    <w:rsid w:val="00501CF7"/>
    <w:rsid w:val="00502B02"/>
    <w:rsid w:val="00503807"/>
    <w:rsid w:val="00503A12"/>
    <w:rsid w:val="00503ACE"/>
    <w:rsid w:val="005045FA"/>
    <w:rsid w:val="00505140"/>
    <w:rsid w:val="0050538C"/>
    <w:rsid w:val="005057BF"/>
    <w:rsid w:val="005058AD"/>
    <w:rsid w:val="005059CB"/>
    <w:rsid w:val="00505DFB"/>
    <w:rsid w:val="005061E2"/>
    <w:rsid w:val="00506C65"/>
    <w:rsid w:val="005075AA"/>
    <w:rsid w:val="00507887"/>
    <w:rsid w:val="00507B1B"/>
    <w:rsid w:val="00507F93"/>
    <w:rsid w:val="005101BF"/>
    <w:rsid w:val="00510871"/>
    <w:rsid w:val="00510B49"/>
    <w:rsid w:val="005111E2"/>
    <w:rsid w:val="00511279"/>
    <w:rsid w:val="0051167A"/>
    <w:rsid w:val="005118CA"/>
    <w:rsid w:val="00511B13"/>
    <w:rsid w:val="005144B3"/>
    <w:rsid w:val="0051460B"/>
    <w:rsid w:val="005157A6"/>
    <w:rsid w:val="00515BD7"/>
    <w:rsid w:val="0051661E"/>
    <w:rsid w:val="00516B31"/>
    <w:rsid w:val="00516D82"/>
    <w:rsid w:val="0051707D"/>
    <w:rsid w:val="00517622"/>
    <w:rsid w:val="00517B4B"/>
    <w:rsid w:val="005204BB"/>
    <w:rsid w:val="00520515"/>
    <w:rsid w:val="00520744"/>
    <w:rsid w:val="00520803"/>
    <w:rsid w:val="0052099C"/>
    <w:rsid w:val="00520CDB"/>
    <w:rsid w:val="00520CE8"/>
    <w:rsid w:val="0052179E"/>
    <w:rsid w:val="00521AA5"/>
    <w:rsid w:val="00521F1B"/>
    <w:rsid w:val="00522CBC"/>
    <w:rsid w:val="0052341F"/>
    <w:rsid w:val="00523494"/>
    <w:rsid w:val="005236F0"/>
    <w:rsid w:val="005240B4"/>
    <w:rsid w:val="00525080"/>
    <w:rsid w:val="00525220"/>
    <w:rsid w:val="00525A20"/>
    <w:rsid w:val="005265A0"/>
    <w:rsid w:val="00526A7F"/>
    <w:rsid w:val="00526BED"/>
    <w:rsid w:val="005276DE"/>
    <w:rsid w:val="00527878"/>
    <w:rsid w:val="00530992"/>
    <w:rsid w:val="00530A30"/>
    <w:rsid w:val="00531366"/>
    <w:rsid w:val="00531E6B"/>
    <w:rsid w:val="00532269"/>
    <w:rsid w:val="00534137"/>
    <w:rsid w:val="00534381"/>
    <w:rsid w:val="005343C3"/>
    <w:rsid w:val="00534415"/>
    <w:rsid w:val="00534F8D"/>
    <w:rsid w:val="005351FA"/>
    <w:rsid w:val="00535659"/>
    <w:rsid w:val="005359D0"/>
    <w:rsid w:val="00535A0F"/>
    <w:rsid w:val="00535CB0"/>
    <w:rsid w:val="005365EC"/>
    <w:rsid w:val="00537B4A"/>
    <w:rsid w:val="00537BFB"/>
    <w:rsid w:val="00540838"/>
    <w:rsid w:val="005409C9"/>
    <w:rsid w:val="00540BC9"/>
    <w:rsid w:val="00540E0B"/>
    <w:rsid w:val="0054169F"/>
    <w:rsid w:val="00541B39"/>
    <w:rsid w:val="00541EFB"/>
    <w:rsid w:val="005425A8"/>
    <w:rsid w:val="005425D9"/>
    <w:rsid w:val="005431EC"/>
    <w:rsid w:val="00543503"/>
    <w:rsid w:val="00543B36"/>
    <w:rsid w:val="00543C11"/>
    <w:rsid w:val="00543EC8"/>
    <w:rsid w:val="0054409B"/>
    <w:rsid w:val="00546112"/>
    <w:rsid w:val="00546702"/>
    <w:rsid w:val="005468E9"/>
    <w:rsid w:val="0054690E"/>
    <w:rsid w:val="00547A3C"/>
    <w:rsid w:val="0055069E"/>
    <w:rsid w:val="00550C89"/>
    <w:rsid w:val="00550E3A"/>
    <w:rsid w:val="0055181C"/>
    <w:rsid w:val="00551BA0"/>
    <w:rsid w:val="00551EC2"/>
    <w:rsid w:val="0055263E"/>
    <w:rsid w:val="00552B8C"/>
    <w:rsid w:val="005532E4"/>
    <w:rsid w:val="00553540"/>
    <w:rsid w:val="00553768"/>
    <w:rsid w:val="00553CD4"/>
    <w:rsid w:val="005547F4"/>
    <w:rsid w:val="00554D4E"/>
    <w:rsid w:val="00555C38"/>
    <w:rsid w:val="005567BB"/>
    <w:rsid w:val="00556C77"/>
    <w:rsid w:val="00556DB8"/>
    <w:rsid w:val="00557F40"/>
    <w:rsid w:val="0056024B"/>
    <w:rsid w:val="00560632"/>
    <w:rsid w:val="00560FB7"/>
    <w:rsid w:val="00561439"/>
    <w:rsid w:val="0056177B"/>
    <w:rsid w:val="00561C70"/>
    <w:rsid w:val="005620DB"/>
    <w:rsid w:val="00562140"/>
    <w:rsid w:val="0056245C"/>
    <w:rsid w:val="00562492"/>
    <w:rsid w:val="00562B0D"/>
    <w:rsid w:val="00562F04"/>
    <w:rsid w:val="0056335F"/>
    <w:rsid w:val="00563447"/>
    <w:rsid w:val="00563585"/>
    <w:rsid w:val="005636AD"/>
    <w:rsid w:val="00563971"/>
    <w:rsid w:val="00564287"/>
    <w:rsid w:val="00564C8F"/>
    <w:rsid w:val="00564E8F"/>
    <w:rsid w:val="0056539C"/>
    <w:rsid w:val="0056540C"/>
    <w:rsid w:val="0056554B"/>
    <w:rsid w:val="00565D28"/>
    <w:rsid w:val="005660BA"/>
    <w:rsid w:val="00566B0B"/>
    <w:rsid w:val="00566D63"/>
    <w:rsid w:val="00566E14"/>
    <w:rsid w:val="0056758C"/>
    <w:rsid w:val="00567B8C"/>
    <w:rsid w:val="005707DA"/>
    <w:rsid w:val="0057085E"/>
    <w:rsid w:val="00570AEC"/>
    <w:rsid w:val="00570BD1"/>
    <w:rsid w:val="005715AA"/>
    <w:rsid w:val="00571B17"/>
    <w:rsid w:val="00571BB2"/>
    <w:rsid w:val="00571E52"/>
    <w:rsid w:val="0057256A"/>
    <w:rsid w:val="00572A13"/>
    <w:rsid w:val="005735CB"/>
    <w:rsid w:val="00573C9A"/>
    <w:rsid w:val="00573CCE"/>
    <w:rsid w:val="005755CD"/>
    <w:rsid w:val="005755EF"/>
    <w:rsid w:val="00575935"/>
    <w:rsid w:val="00575AD4"/>
    <w:rsid w:val="0057630B"/>
    <w:rsid w:val="00576461"/>
    <w:rsid w:val="005769AF"/>
    <w:rsid w:val="00576F19"/>
    <w:rsid w:val="005774D4"/>
    <w:rsid w:val="0057751E"/>
    <w:rsid w:val="00577568"/>
    <w:rsid w:val="0057773B"/>
    <w:rsid w:val="005801A4"/>
    <w:rsid w:val="00580813"/>
    <w:rsid w:val="00580E1E"/>
    <w:rsid w:val="00581700"/>
    <w:rsid w:val="005821D2"/>
    <w:rsid w:val="0058247E"/>
    <w:rsid w:val="0058270F"/>
    <w:rsid w:val="005827C8"/>
    <w:rsid w:val="00583B60"/>
    <w:rsid w:val="00583F4C"/>
    <w:rsid w:val="00584A8C"/>
    <w:rsid w:val="00585C1D"/>
    <w:rsid w:val="0058644F"/>
    <w:rsid w:val="00586564"/>
    <w:rsid w:val="005869E3"/>
    <w:rsid w:val="00586C95"/>
    <w:rsid w:val="00587D54"/>
    <w:rsid w:val="005916BC"/>
    <w:rsid w:val="00591BA1"/>
    <w:rsid w:val="00592759"/>
    <w:rsid w:val="005927DB"/>
    <w:rsid w:val="00592CBA"/>
    <w:rsid w:val="00593142"/>
    <w:rsid w:val="00593654"/>
    <w:rsid w:val="00593B26"/>
    <w:rsid w:val="00593B70"/>
    <w:rsid w:val="00593CD4"/>
    <w:rsid w:val="0059409F"/>
    <w:rsid w:val="0059454F"/>
    <w:rsid w:val="00595CBC"/>
    <w:rsid w:val="005960C2"/>
    <w:rsid w:val="00596402"/>
    <w:rsid w:val="005966C6"/>
    <w:rsid w:val="0059689A"/>
    <w:rsid w:val="00596DB2"/>
    <w:rsid w:val="00597040"/>
    <w:rsid w:val="00597476"/>
    <w:rsid w:val="00597749"/>
    <w:rsid w:val="00597936"/>
    <w:rsid w:val="00597995"/>
    <w:rsid w:val="005A09C9"/>
    <w:rsid w:val="005A0E91"/>
    <w:rsid w:val="005A1020"/>
    <w:rsid w:val="005A18BC"/>
    <w:rsid w:val="005A2091"/>
    <w:rsid w:val="005A3389"/>
    <w:rsid w:val="005A3C7B"/>
    <w:rsid w:val="005A4765"/>
    <w:rsid w:val="005A4BA4"/>
    <w:rsid w:val="005A4D22"/>
    <w:rsid w:val="005A65B4"/>
    <w:rsid w:val="005A6DA5"/>
    <w:rsid w:val="005A7E72"/>
    <w:rsid w:val="005B00D6"/>
    <w:rsid w:val="005B024B"/>
    <w:rsid w:val="005B0359"/>
    <w:rsid w:val="005B09B7"/>
    <w:rsid w:val="005B0E5B"/>
    <w:rsid w:val="005B11F9"/>
    <w:rsid w:val="005B1578"/>
    <w:rsid w:val="005B2BBC"/>
    <w:rsid w:val="005B3703"/>
    <w:rsid w:val="005B3E57"/>
    <w:rsid w:val="005B4114"/>
    <w:rsid w:val="005B41E9"/>
    <w:rsid w:val="005B48B3"/>
    <w:rsid w:val="005B4DBF"/>
    <w:rsid w:val="005B522D"/>
    <w:rsid w:val="005B5E96"/>
    <w:rsid w:val="005B6BC1"/>
    <w:rsid w:val="005B70B2"/>
    <w:rsid w:val="005B7113"/>
    <w:rsid w:val="005B7E5F"/>
    <w:rsid w:val="005C01F0"/>
    <w:rsid w:val="005C03D1"/>
    <w:rsid w:val="005C0D3A"/>
    <w:rsid w:val="005C12AB"/>
    <w:rsid w:val="005C12D1"/>
    <w:rsid w:val="005C1708"/>
    <w:rsid w:val="005C1EA0"/>
    <w:rsid w:val="005C2CBB"/>
    <w:rsid w:val="005C3391"/>
    <w:rsid w:val="005C35E8"/>
    <w:rsid w:val="005C37EB"/>
    <w:rsid w:val="005C3F08"/>
    <w:rsid w:val="005C3F3D"/>
    <w:rsid w:val="005C46A5"/>
    <w:rsid w:val="005C497F"/>
    <w:rsid w:val="005C51CC"/>
    <w:rsid w:val="005C5462"/>
    <w:rsid w:val="005C627B"/>
    <w:rsid w:val="005C76BA"/>
    <w:rsid w:val="005D0B43"/>
    <w:rsid w:val="005D11DB"/>
    <w:rsid w:val="005D1215"/>
    <w:rsid w:val="005D20BC"/>
    <w:rsid w:val="005D239E"/>
    <w:rsid w:val="005D307B"/>
    <w:rsid w:val="005D34BA"/>
    <w:rsid w:val="005D3D93"/>
    <w:rsid w:val="005D644E"/>
    <w:rsid w:val="005D69EE"/>
    <w:rsid w:val="005D74AD"/>
    <w:rsid w:val="005D7C7D"/>
    <w:rsid w:val="005D7E83"/>
    <w:rsid w:val="005E1694"/>
    <w:rsid w:val="005E1DC9"/>
    <w:rsid w:val="005E2288"/>
    <w:rsid w:val="005E26F3"/>
    <w:rsid w:val="005E299D"/>
    <w:rsid w:val="005E2D9B"/>
    <w:rsid w:val="005E30A4"/>
    <w:rsid w:val="005E32F3"/>
    <w:rsid w:val="005E37AC"/>
    <w:rsid w:val="005E4461"/>
    <w:rsid w:val="005E452E"/>
    <w:rsid w:val="005E4707"/>
    <w:rsid w:val="005E472C"/>
    <w:rsid w:val="005E4A17"/>
    <w:rsid w:val="005E5067"/>
    <w:rsid w:val="005E5A15"/>
    <w:rsid w:val="005E5ECB"/>
    <w:rsid w:val="005E5F4B"/>
    <w:rsid w:val="005E60D0"/>
    <w:rsid w:val="005E6E81"/>
    <w:rsid w:val="005E75C8"/>
    <w:rsid w:val="005E7C69"/>
    <w:rsid w:val="005F009D"/>
    <w:rsid w:val="005F073C"/>
    <w:rsid w:val="005F2230"/>
    <w:rsid w:val="005F2599"/>
    <w:rsid w:val="005F25E7"/>
    <w:rsid w:val="005F28F0"/>
    <w:rsid w:val="005F2B39"/>
    <w:rsid w:val="005F2BC7"/>
    <w:rsid w:val="005F2DCF"/>
    <w:rsid w:val="005F37C7"/>
    <w:rsid w:val="005F3B48"/>
    <w:rsid w:val="005F3F50"/>
    <w:rsid w:val="005F50E8"/>
    <w:rsid w:val="005F54C2"/>
    <w:rsid w:val="005F5CDA"/>
    <w:rsid w:val="005F5DD5"/>
    <w:rsid w:val="005F662B"/>
    <w:rsid w:val="005F755E"/>
    <w:rsid w:val="005F7D13"/>
    <w:rsid w:val="00600044"/>
    <w:rsid w:val="006008E8"/>
    <w:rsid w:val="00600C6D"/>
    <w:rsid w:val="00600D3D"/>
    <w:rsid w:val="00600DE3"/>
    <w:rsid w:val="00601284"/>
    <w:rsid w:val="00601336"/>
    <w:rsid w:val="006015CF"/>
    <w:rsid w:val="0060177B"/>
    <w:rsid w:val="006021B1"/>
    <w:rsid w:val="00602BC5"/>
    <w:rsid w:val="0060305C"/>
    <w:rsid w:val="00603A0D"/>
    <w:rsid w:val="006047AB"/>
    <w:rsid w:val="00604E9A"/>
    <w:rsid w:val="00604F98"/>
    <w:rsid w:val="00605088"/>
    <w:rsid w:val="00605542"/>
    <w:rsid w:val="00605589"/>
    <w:rsid w:val="006055B2"/>
    <w:rsid w:val="00605BFE"/>
    <w:rsid w:val="00606020"/>
    <w:rsid w:val="00607238"/>
    <w:rsid w:val="0060725C"/>
    <w:rsid w:val="0060743E"/>
    <w:rsid w:val="0060747E"/>
    <w:rsid w:val="006076DB"/>
    <w:rsid w:val="00607891"/>
    <w:rsid w:val="00607EE1"/>
    <w:rsid w:val="006103DD"/>
    <w:rsid w:val="00610AFD"/>
    <w:rsid w:val="00610F55"/>
    <w:rsid w:val="0061242C"/>
    <w:rsid w:val="0061294C"/>
    <w:rsid w:val="00613897"/>
    <w:rsid w:val="006139B0"/>
    <w:rsid w:val="00613AF3"/>
    <w:rsid w:val="00613FC0"/>
    <w:rsid w:val="00614064"/>
    <w:rsid w:val="006142A4"/>
    <w:rsid w:val="00614663"/>
    <w:rsid w:val="006146D1"/>
    <w:rsid w:val="00614B4F"/>
    <w:rsid w:val="00614C43"/>
    <w:rsid w:val="00614DDB"/>
    <w:rsid w:val="00614F61"/>
    <w:rsid w:val="006151E6"/>
    <w:rsid w:val="0061521D"/>
    <w:rsid w:val="00615ADD"/>
    <w:rsid w:val="006169A6"/>
    <w:rsid w:val="00616B17"/>
    <w:rsid w:val="00617184"/>
    <w:rsid w:val="0061786A"/>
    <w:rsid w:val="00620081"/>
    <w:rsid w:val="00620086"/>
    <w:rsid w:val="00620593"/>
    <w:rsid w:val="00620C1F"/>
    <w:rsid w:val="006212F7"/>
    <w:rsid w:val="00621AFA"/>
    <w:rsid w:val="00621D15"/>
    <w:rsid w:val="00622C1B"/>
    <w:rsid w:val="0062321F"/>
    <w:rsid w:val="00623575"/>
    <w:rsid w:val="006237D1"/>
    <w:rsid w:val="00623932"/>
    <w:rsid w:val="00623E64"/>
    <w:rsid w:val="006249A6"/>
    <w:rsid w:val="0062557E"/>
    <w:rsid w:val="006259FE"/>
    <w:rsid w:val="00625F31"/>
    <w:rsid w:val="00626098"/>
    <w:rsid w:val="00626A35"/>
    <w:rsid w:val="00626BBF"/>
    <w:rsid w:val="00626C17"/>
    <w:rsid w:val="00627614"/>
    <w:rsid w:val="00627882"/>
    <w:rsid w:val="00627987"/>
    <w:rsid w:val="00631314"/>
    <w:rsid w:val="00631A92"/>
    <w:rsid w:val="0063272F"/>
    <w:rsid w:val="00632E35"/>
    <w:rsid w:val="00633288"/>
    <w:rsid w:val="00633ECD"/>
    <w:rsid w:val="00633F8C"/>
    <w:rsid w:val="00634446"/>
    <w:rsid w:val="00635AC7"/>
    <w:rsid w:val="00635BE5"/>
    <w:rsid w:val="00635E00"/>
    <w:rsid w:val="00635FB2"/>
    <w:rsid w:val="0063665C"/>
    <w:rsid w:val="006368A1"/>
    <w:rsid w:val="006369C5"/>
    <w:rsid w:val="006372D6"/>
    <w:rsid w:val="00637992"/>
    <w:rsid w:val="00637A37"/>
    <w:rsid w:val="00637B73"/>
    <w:rsid w:val="00637DE8"/>
    <w:rsid w:val="00637F39"/>
    <w:rsid w:val="00637F49"/>
    <w:rsid w:val="0064060A"/>
    <w:rsid w:val="006407CA"/>
    <w:rsid w:val="00640DC9"/>
    <w:rsid w:val="00640EF0"/>
    <w:rsid w:val="00640FAA"/>
    <w:rsid w:val="006416DA"/>
    <w:rsid w:val="00641908"/>
    <w:rsid w:val="00641A36"/>
    <w:rsid w:val="00641ED0"/>
    <w:rsid w:val="00642370"/>
    <w:rsid w:val="0064298E"/>
    <w:rsid w:val="00642A26"/>
    <w:rsid w:val="00642BE0"/>
    <w:rsid w:val="006430E1"/>
    <w:rsid w:val="00643903"/>
    <w:rsid w:val="00643AF2"/>
    <w:rsid w:val="00643E31"/>
    <w:rsid w:val="0064400F"/>
    <w:rsid w:val="00644187"/>
    <w:rsid w:val="006445B7"/>
    <w:rsid w:val="00644B7D"/>
    <w:rsid w:val="00644B86"/>
    <w:rsid w:val="00646184"/>
    <w:rsid w:val="006464FB"/>
    <w:rsid w:val="00646758"/>
    <w:rsid w:val="00647429"/>
    <w:rsid w:val="006479D1"/>
    <w:rsid w:val="00647F02"/>
    <w:rsid w:val="00650531"/>
    <w:rsid w:val="006515E7"/>
    <w:rsid w:val="00651FA5"/>
    <w:rsid w:val="00652510"/>
    <w:rsid w:val="00652F59"/>
    <w:rsid w:val="006531FE"/>
    <w:rsid w:val="0065324A"/>
    <w:rsid w:val="00653268"/>
    <w:rsid w:val="00653276"/>
    <w:rsid w:val="00653299"/>
    <w:rsid w:val="00653B7F"/>
    <w:rsid w:val="00653E56"/>
    <w:rsid w:val="00654E69"/>
    <w:rsid w:val="006553BF"/>
    <w:rsid w:val="00655699"/>
    <w:rsid w:val="00655E6B"/>
    <w:rsid w:val="00656050"/>
    <w:rsid w:val="0065674D"/>
    <w:rsid w:val="00656B0C"/>
    <w:rsid w:val="00656D80"/>
    <w:rsid w:val="00657E84"/>
    <w:rsid w:val="00657F1F"/>
    <w:rsid w:val="00660136"/>
    <w:rsid w:val="006609D0"/>
    <w:rsid w:val="00660AE9"/>
    <w:rsid w:val="00660E7C"/>
    <w:rsid w:val="00660F8F"/>
    <w:rsid w:val="0066109D"/>
    <w:rsid w:val="006612EA"/>
    <w:rsid w:val="00661552"/>
    <w:rsid w:val="00661CD4"/>
    <w:rsid w:val="006627DE"/>
    <w:rsid w:val="00662813"/>
    <w:rsid w:val="00662E42"/>
    <w:rsid w:val="00662FEE"/>
    <w:rsid w:val="0066337B"/>
    <w:rsid w:val="00663395"/>
    <w:rsid w:val="0066376D"/>
    <w:rsid w:val="00664095"/>
    <w:rsid w:val="00664C8B"/>
    <w:rsid w:val="00664EC3"/>
    <w:rsid w:val="00665263"/>
    <w:rsid w:val="006652C6"/>
    <w:rsid w:val="00665591"/>
    <w:rsid w:val="00665C55"/>
    <w:rsid w:val="006663C8"/>
    <w:rsid w:val="00666BCF"/>
    <w:rsid w:val="006670AE"/>
    <w:rsid w:val="006706DE"/>
    <w:rsid w:val="0067090A"/>
    <w:rsid w:val="006709DF"/>
    <w:rsid w:val="006714AD"/>
    <w:rsid w:val="00671C77"/>
    <w:rsid w:val="00672015"/>
    <w:rsid w:val="00672147"/>
    <w:rsid w:val="00672305"/>
    <w:rsid w:val="00672FEC"/>
    <w:rsid w:val="00673C32"/>
    <w:rsid w:val="0067422D"/>
    <w:rsid w:val="006746E5"/>
    <w:rsid w:val="00675614"/>
    <w:rsid w:val="00676883"/>
    <w:rsid w:val="00676C0A"/>
    <w:rsid w:val="00676D55"/>
    <w:rsid w:val="00676F88"/>
    <w:rsid w:val="0067706D"/>
    <w:rsid w:val="0067733A"/>
    <w:rsid w:val="006778C8"/>
    <w:rsid w:val="00677BD5"/>
    <w:rsid w:val="006803F8"/>
    <w:rsid w:val="00680B8F"/>
    <w:rsid w:val="00681606"/>
    <w:rsid w:val="00681621"/>
    <w:rsid w:val="006818A7"/>
    <w:rsid w:val="00682685"/>
    <w:rsid w:val="00682A5C"/>
    <w:rsid w:val="00683AA2"/>
    <w:rsid w:val="00683CCE"/>
    <w:rsid w:val="00683F83"/>
    <w:rsid w:val="00684295"/>
    <w:rsid w:val="00684557"/>
    <w:rsid w:val="00684595"/>
    <w:rsid w:val="006852EA"/>
    <w:rsid w:val="00685BA5"/>
    <w:rsid w:val="00685DBB"/>
    <w:rsid w:val="00686163"/>
    <w:rsid w:val="00686792"/>
    <w:rsid w:val="00686C4A"/>
    <w:rsid w:val="00686EE4"/>
    <w:rsid w:val="006870AF"/>
    <w:rsid w:val="00687992"/>
    <w:rsid w:val="00687AF3"/>
    <w:rsid w:val="00690640"/>
    <w:rsid w:val="00690905"/>
    <w:rsid w:val="00690A8B"/>
    <w:rsid w:val="006915FB"/>
    <w:rsid w:val="0069215A"/>
    <w:rsid w:val="006929B1"/>
    <w:rsid w:val="006929E9"/>
    <w:rsid w:val="006945F2"/>
    <w:rsid w:val="006948AA"/>
    <w:rsid w:val="0069491B"/>
    <w:rsid w:val="00694F23"/>
    <w:rsid w:val="006957CD"/>
    <w:rsid w:val="00695F1F"/>
    <w:rsid w:val="00695F3C"/>
    <w:rsid w:val="006964CD"/>
    <w:rsid w:val="00696508"/>
    <w:rsid w:val="00697A91"/>
    <w:rsid w:val="00697B57"/>
    <w:rsid w:val="00697BB7"/>
    <w:rsid w:val="00697DCB"/>
    <w:rsid w:val="006A0043"/>
    <w:rsid w:val="006A03EA"/>
    <w:rsid w:val="006A0443"/>
    <w:rsid w:val="006A0C8F"/>
    <w:rsid w:val="006A0E8A"/>
    <w:rsid w:val="006A15F7"/>
    <w:rsid w:val="006A24B3"/>
    <w:rsid w:val="006A2736"/>
    <w:rsid w:val="006A2C55"/>
    <w:rsid w:val="006A2CBF"/>
    <w:rsid w:val="006A3375"/>
    <w:rsid w:val="006A4C51"/>
    <w:rsid w:val="006A521E"/>
    <w:rsid w:val="006A5AA8"/>
    <w:rsid w:val="006A5F63"/>
    <w:rsid w:val="006A67B5"/>
    <w:rsid w:val="006A6BCD"/>
    <w:rsid w:val="006A7623"/>
    <w:rsid w:val="006B0299"/>
    <w:rsid w:val="006B039C"/>
    <w:rsid w:val="006B043F"/>
    <w:rsid w:val="006B0B83"/>
    <w:rsid w:val="006B11D8"/>
    <w:rsid w:val="006B11F2"/>
    <w:rsid w:val="006B14AF"/>
    <w:rsid w:val="006B167F"/>
    <w:rsid w:val="006B189E"/>
    <w:rsid w:val="006B1C1B"/>
    <w:rsid w:val="006B254B"/>
    <w:rsid w:val="006B2C6C"/>
    <w:rsid w:val="006B33D9"/>
    <w:rsid w:val="006B3435"/>
    <w:rsid w:val="006B3AB7"/>
    <w:rsid w:val="006B4240"/>
    <w:rsid w:val="006B4560"/>
    <w:rsid w:val="006B4717"/>
    <w:rsid w:val="006B4A6C"/>
    <w:rsid w:val="006B4CC0"/>
    <w:rsid w:val="006B5870"/>
    <w:rsid w:val="006B5DEF"/>
    <w:rsid w:val="006B61CB"/>
    <w:rsid w:val="006B6383"/>
    <w:rsid w:val="006B7761"/>
    <w:rsid w:val="006B784B"/>
    <w:rsid w:val="006B7EE5"/>
    <w:rsid w:val="006C081C"/>
    <w:rsid w:val="006C0A3C"/>
    <w:rsid w:val="006C0C44"/>
    <w:rsid w:val="006C16EA"/>
    <w:rsid w:val="006C1787"/>
    <w:rsid w:val="006C28B2"/>
    <w:rsid w:val="006C2950"/>
    <w:rsid w:val="006C2CEB"/>
    <w:rsid w:val="006C394D"/>
    <w:rsid w:val="006C404E"/>
    <w:rsid w:val="006C4086"/>
    <w:rsid w:val="006C439B"/>
    <w:rsid w:val="006C453A"/>
    <w:rsid w:val="006C469A"/>
    <w:rsid w:val="006C4EDC"/>
    <w:rsid w:val="006C53D5"/>
    <w:rsid w:val="006C5492"/>
    <w:rsid w:val="006C591B"/>
    <w:rsid w:val="006C5FE9"/>
    <w:rsid w:val="006C664F"/>
    <w:rsid w:val="006C6710"/>
    <w:rsid w:val="006C67BC"/>
    <w:rsid w:val="006C6FFD"/>
    <w:rsid w:val="006C7954"/>
    <w:rsid w:val="006C798C"/>
    <w:rsid w:val="006C7A95"/>
    <w:rsid w:val="006C7E41"/>
    <w:rsid w:val="006D043A"/>
    <w:rsid w:val="006D112C"/>
    <w:rsid w:val="006D14A2"/>
    <w:rsid w:val="006D1722"/>
    <w:rsid w:val="006D174B"/>
    <w:rsid w:val="006D1A5D"/>
    <w:rsid w:val="006D20EB"/>
    <w:rsid w:val="006D27D3"/>
    <w:rsid w:val="006D2986"/>
    <w:rsid w:val="006D3076"/>
    <w:rsid w:val="006D33C6"/>
    <w:rsid w:val="006D355E"/>
    <w:rsid w:val="006D39B1"/>
    <w:rsid w:val="006D42BD"/>
    <w:rsid w:val="006D4731"/>
    <w:rsid w:val="006D4922"/>
    <w:rsid w:val="006D5364"/>
    <w:rsid w:val="006D5684"/>
    <w:rsid w:val="006D5A6C"/>
    <w:rsid w:val="006D5BA7"/>
    <w:rsid w:val="006D5E85"/>
    <w:rsid w:val="006D6AB6"/>
    <w:rsid w:val="006D7377"/>
    <w:rsid w:val="006D73D0"/>
    <w:rsid w:val="006D74F4"/>
    <w:rsid w:val="006E0200"/>
    <w:rsid w:val="006E13F3"/>
    <w:rsid w:val="006E192F"/>
    <w:rsid w:val="006E217B"/>
    <w:rsid w:val="006E255F"/>
    <w:rsid w:val="006E2884"/>
    <w:rsid w:val="006E2A29"/>
    <w:rsid w:val="006E301D"/>
    <w:rsid w:val="006E314A"/>
    <w:rsid w:val="006E3CE1"/>
    <w:rsid w:val="006E4034"/>
    <w:rsid w:val="006E54D2"/>
    <w:rsid w:val="006E5646"/>
    <w:rsid w:val="006E5B2E"/>
    <w:rsid w:val="006E5D0D"/>
    <w:rsid w:val="006E726F"/>
    <w:rsid w:val="006E75DE"/>
    <w:rsid w:val="006E768F"/>
    <w:rsid w:val="006E783B"/>
    <w:rsid w:val="006F0991"/>
    <w:rsid w:val="006F0A0E"/>
    <w:rsid w:val="006F0CCC"/>
    <w:rsid w:val="006F0E31"/>
    <w:rsid w:val="006F1216"/>
    <w:rsid w:val="006F15F2"/>
    <w:rsid w:val="006F1B72"/>
    <w:rsid w:val="006F1D71"/>
    <w:rsid w:val="006F2530"/>
    <w:rsid w:val="006F2CD6"/>
    <w:rsid w:val="006F2D91"/>
    <w:rsid w:val="006F3D06"/>
    <w:rsid w:val="006F3EE5"/>
    <w:rsid w:val="006F4E56"/>
    <w:rsid w:val="006F55D9"/>
    <w:rsid w:val="006F5614"/>
    <w:rsid w:val="006F65B1"/>
    <w:rsid w:val="006F6FDA"/>
    <w:rsid w:val="006F7282"/>
    <w:rsid w:val="006F7FDB"/>
    <w:rsid w:val="00700668"/>
    <w:rsid w:val="00700CA2"/>
    <w:rsid w:val="00701738"/>
    <w:rsid w:val="0070195F"/>
    <w:rsid w:val="007023DB"/>
    <w:rsid w:val="00702495"/>
    <w:rsid w:val="00702822"/>
    <w:rsid w:val="00703F31"/>
    <w:rsid w:val="00703FC6"/>
    <w:rsid w:val="00704185"/>
    <w:rsid w:val="00704A60"/>
    <w:rsid w:val="007069BE"/>
    <w:rsid w:val="0070756C"/>
    <w:rsid w:val="007076C9"/>
    <w:rsid w:val="007100EA"/>
    <w:rsid w:val="007113CE"/>
    <w:rsid w:val="00711710"/>
    <w:rsid w:val="00711B17"/>
    <w:rsid w:val="00712BFE"/>
    <w:rsid w:val="00712D2F"/>
    <w:rsid w:val="00712F0B"/>
    <w:rsid w:val="00713086"/>
    <w:rsid w:val="00713579"/>
    <w:rsid w:val="0071379C"/>
    <w:rsid w:val="00713BC4"/>
    <w:rsid w:val="00714294"/>
    <w:rsid w:val="0071468C"/>
    <w:rsid w:val="0071495F"/>
    <w:rsid w:val="00714FF8"/>
    <w:rsid w:val="00715258"/>
    <w:rsid w:val="0071529A"/>
    <w:rsid w:val="00715AE6"/>
    <w:rsid w:val="007166AF"/>
    <w:rsid w:val="00716F1A"/>
    <w:rsid w:val="00717E0E"/>
    <w:rsid w:val="0072047E"/>
    <w:rsid w:val="007205A9"/>
    <w:rsid w:val="00720814"/>
    <w:rsid w:val="00720B51"/>
    <w:rsid w:val="0072232D"/>
    <w:rsid w:val="00722759"/>
    <w:rsid w:val="00722934"/>
    <w:rsid w:val="0072302A"/>
    <w:rsid w:val="0072375E"/>
    <w:rsid w:val="00724625"/>
    <w:rsid w:val="0072604B"/>
    <w:rsid w:val="007271BA"/>
    <w:rsid w:val="0072747D"/>
    <w:rsid w:val="007279DB"/>
    <w:rsid w:val="00727DDB"/>
    <w:rsid w:val="00730733"/>
    <w:rsid w:val="00731024"/>
    <w:rsid w:val="00732AE3"/>
    <w:rsid w:val="007331EB"/>
    <w:rsid w:val="00733B00"/>
    <w:rsid w:val="007340F3"/>
    <w:rsid w:val="007342BA"/>
    <w:rsid w:val="00734496"/>
    <w:rsid w:val="007346E1"/>
    <w:rsid w:val="0073580E"/>
    <w:rsid w:val="00735ADA"/>
    <w:rsid w:val="00735C5B"/>
    <w:rsid w:val="00735EB5"/>
    <w:rsid w:val="007361D3"/>
    <w:rsid w:val="0073689E"/>
    <w:rsid w:val="00737023"/>
    <w:rsid w:val="007375B9"/>
    <w:rsid w:val="00737792"/>
    <w:rsid w:val="00737A2F"/>
    <w:rsid w:val="00740AE2"/>
    <w:rsid w:val="00741171"/>
    <w:rsid w:val="0074171D"/>
    <w:rsid w:val="00741933"/>
    <w:rsid w:val="00742323"/>
    <w:rsid w:val="007431AB"/>
    <w:rsid w:val="00743A85"/>
    <w:rsid w:val="007440A4"/>
    <w:rsid w:val="00744169"/>
    <w:rsid w:val="007451AA"/>
    <w:rsid w:val="00745748"/>
    <w:rsid w:val="00745D98"/>
    <w:rsid w:val="00745E68"/>
    <w:rsid w:val="00745EFB"/>
    <w:rsid w:val="007467CC"/>
    <w:rsid w:val="00746CAB"/>
    <w:rsid w:val="00747C10"/>
    <w:rsid w:val="00747D07"/>
    <w:rsid w:val="007505AA"/>
    <w:rsid w:val="00750B44"/>
    <w:rsid w:val="007511F4"/>
    <w:rsid w:val="007514C9"/>
    <w:rsid w:val="00752B23"/>
    <w:rsid w:val="00752B55"/>
    <w:rsid w:val="007530FD"/>
    <w:rsid w:val="0075310A"/>
    <w:rsid w:val="0075372D"/>
    <w:rsid w:val="00753793"/>
    <w:rsid w:val="00753B38"/>
    <w:rsid w:val="00754331"/>
    <w:rsid w:val="00754FD4"/>
    <w:rsid w:val="0075510D"/>
    <w:rsid w:val="007556EC"/>
    <w:rsid w:val="0075596B"/>
    <w:rsid w:val="00755C82"/>
    <w:rsid w:val="007567F2"/>
    <w:rsid w:val="0075690A"/>
    <w:rsid w:val="00756A9D"/>
    <w:rsid w:val="0076051B"/>
    <w:rsid w:val="007613E0"/>
    <w:rsid w:val="007619DD"/>
    <w:rsid w:val="00761DC1"/>
    <w:rsid w:val="00761DE7"/>
    <w:rsid w:val="0076211F"/>
    <w:rsid w:val="0076272D"/>
    <w:rsid w:val="00763B17"/>
    <w:rsid w:val="00764FC3"/>
    <w:rsid w:val="00765358"/>
    <w:rsid w:val="00765655"/>
    <w:rsid w:val="00765A88"/>
    <w:rsid w:val="00765EA6"/>
    <w:rsid w:val="00765F4F"/>
    <w:rsid w:val="00766057"/>
    <w:rsid w:val="00766918"/>
    <w:rsid w:val="00767015"/>
    <w:rsid w:val="00767143"/>
    <w:rsid w:val="00767AB0"/>
    <w:rsid w:val="00767BF6"/>
    <w:rsid w:val="00767D1F"/>
    <w:rsid w:val="00770BD3"/>
    <w:rsid w:val="00770C39"/>
    <w:rsid w:val="00770D06"/>
    <w:rsid w:val="00770F8E"/>
    <w:rsid w:val="00771524"/>
    <w:rsid w:val="00771602"/>
    <w:rsid w:val="007716B4"/>
    <w:rsid w:val="007723AA"/>
    <w:rsid w:val="007738A8"/>
    <w:rsid w:val="00774584"/>
    <w:rsid w:val="0077498D"/>
    <w:rsid w:val="00774B01"/>
    <w:rsid w:val="00775844"/>
    <w:rsid w:val="00775AD9"/>
    <w:rsid w:val="00775DEA"/>
    <w:rsid w:val="00775F25"/>
    <w:rsid w:val="00775F80"/>
    <w:rsid w:val="00776633"/>
    <w:rsid w:val="00776CFF"/>
    <w:rsid w:val="0077705B"/>
    <w:rsid w:val="00777A0E"/>
    <w:rsid w:val="00777A7E"/>
    <w:rsid w:val="00777CD3"/>
    <w:rsid w:val="00777D61"/>
    <w:rsid w:val="0078119D"/>
    <w:rsid w:val="00781346"/>
    <w:rsid w:val="0078187A"/>
    <w:rsid w:val="00781D27"/>
    <w:rsid w:val="00782162"/>
    <w:rsid w:val="007826D7"/>
    <w:rsid w:val="00782B5C"/>
    <w:rsid w:val="007830A2"/>
    <w:rsid w:val="00783425"/>
    <w:rsid w:val="00784638"/>
    <w:rsid w:val="00784691"/>
    <w:rsid w:val="00784B6A"/>
    <w:rsid w:val="00784C23"/>
    <w:rsid w:val="00784D60"/>
    <w:rsid w:val="007858C6"/>
    <w:rsid w:val="00785C4A"/>
    <w:rsid w:val="00786108"/>
    <w:rsid w:val="007867B9"/>
    <w:rsid w:val="00787A7E"/>
    <w:rsid w:val="00787B13"/>
    <w:rsid w:val="00787F3E"/>
    <w:rsid w:val="007905BC"/>
    <w:rsid w:val="00790C77"/>
    <w:rsid w:val="00790CDC"/>
    <w:rsid w:val="00791222"/>
    <w:rsid w:val="00791DD3"/>
    <w:rsid w:val="00792360"/>
    <w:rsid w:val="007929F7"/>
    <w:rsid w:val="00792DF1"/>
    <w:rsid w:val="00792ED3"/>
    <w:rsid w:val="00793116"/>
    <w:rsid w:val="0079374A"/>
    <w:rsid w:val="00793C0A"/>
    <w:rsid w:val="007947E1"/>
    <w:rsid w:val="0079552D"/>
    <w:rsid w:val="00795574"/>
    <w:rsid w:val="00796BE0"/>
    <w:rsid w:val="00796D73"/>
    <w:rsid w:val="00796DC8"/>
    <w:rsid w:val="007A1275"/>
    <w:rsid w:val="007A17DF"/>
    <w:rsid w:val="007A267F"/>
    <w:rsid w:val="007A2A24"/>
    <w:rsid w:val="007A3266"/>
    <w:rsid w:val="007A37F0"/>
    <w:rsid w:val="007A3E4D"/>
    <w:rsid w:val="007A50BF"/>
    <w:rsid w:val="007A5696"/>
    <w:rsid w:val="007A58B0"/>
    <w:rsid w:val="007A59ED"/>
    <w:rsid w:val="007A5B2B"/>
    <w:rsid w:val="007A5FD1"/>
    <w:rsid w:val="007A6351"/>
    <w:rsid w:val="007B1A5B"/>
    <w:rsid w:val="007B1C62"/>
    <w:rsid w:val="007B1CEF"/>
    <w:rsid w:val="007B28C8"/>
    <w:rsid w:val="007B299C"/>
    <w:rsid w:val="007B2D4C"/>
    <w:rsid w:val="007B2FB9"/>
    <w:rsid w:val="007B3564"/>
    <w:rsid w:val="007B3856"/>
    <w:rsid w:val="007B3E29"/>
    <w:rsid w:val="007B3F6D"/>
    <w:rsid w:val="007B4BB6"/>
    <w:rsid w:val="007B4EA6"/>
    <w:rsid w:val="007B5F01"/>
    <w:rsid w:val="007B645D"/>
    <w:rsid w:val="007B6617"/>
    <w:rsid w:val="007B6E66"/>
    <w:rsid w:val="007B6EE3"/>
    <w:rsid w:val="007B7417"/>
    <w:rsid w:val="007B7AC0"/>
    <w:rsid w:val="007B7BAC"/>
    <w:rsid w:val="007C04B4"/>
    <w:rsid w:val="007C0627"/>
    <w:rsid w:val="007C0F6E"/>
    <w:rsid w:val="007C1B60"/>
    <w:rsid w:val="007C21BE"/>
    <w:rsid w:val="007C2F80"/>
    <w:rsid w:val="007C3160"/>
    <w:rsid w:val="007C327E"/>
    <w:rsid w:val="007C37FB"/>
    <w:rsid w:val="007C3F63"/>
    <w:rsid w:val="007C4C7B"/>
    <w:rsid w:val="007C50B8"/>
    <w:rsid w:val="007C5212"/>
    <w:rsid w:val="007C54FA"/>
    <w:rsid w:val="007C55CF"/>
    <w:rsid w:val="007C605C"/>
    <w:rsid w:val="007C6192"/>
    <w:rsid w:val="007C6470"/>
    <w:rsid w:val="007C7284"/>
    <w:rsid w:val="007C7977"/>
    <w:rsid w:val="007C7EF8"/>
    <w:rsid w:val="007D08D2"/>
    <w:rsid w:val="007D1087"/>
    <w:rsid w:val="007D1563"/>
    <w:rsid w:val="007D1ECD"/>
    <w:rsid w:val="007D1FAB"/>
    <w:rsid w:val="007D2155"/>
    <w:rsid w:val="007D307B"/>
    <w:rsid w:val="007D3B0F"/>
    <w:rsid w:val="007D4D27"/>
    <w:rsid w:val="007D505C"/>
    <w:rsid w:val="007D55A5"/>
    <w:rsid w:val="007D5824"/>
    <w:rsid w:val="007D5F05"/>
    <w:rsid w:val="007D621F"/>
    <w:rsid w:val="007D6F22"/>
    <w:rsid w:val="007D7168"/>
    <w:rsid w:val="007D72D4"/>
    <w:rsid w:val="007E025C"/>
    <w:rsid w:val="007E074B"/>
    <w:rsid w:val="007E14B1"/>
    <w:rsid w:val="007E16D9"/>
    <w:rsid w:val="007E1D04"/>
    <w:rsid w:val="007E25B3"/>
    <w:rsid w:val="007E2F10"/>
    <w:rsid w:val="007E4389"/>
    <w:rsid w:val="007E4513"/>
    <w:rsid w:val="007E47C9"/>
    <w:rsid w:val="007E5130"/>
    <w:rsid w:val="007E554D"/>
    <w:rsid w:val="007E5826"/>
    <w:rsid w:val="007E59E2"/>
    <w:rsid w:val="007E612B"/>
    <w:rsid w:val="007E6B50"/>
    <w:rsid w:val="007E7413"/>
    <w:rsid w:val="007E75D3"/>
    <w:rsid w:val="007E7C1A"/>
    <w:rsid w:val="007E7D99"/>
    <w:rsid w:val="007F0419"/>
    <w:rsid w:val="007F0625"/>
    <w:rsid w:val="007F0E8B"/>
    <w:rsid w:val="007F1D14"/>
    <w:rsid w:val="007F1F40"/>
    <w:rsid w:val="007F2B77"/>
    <w:rsid w:val="007F2D89"/>
    <w:rsid w:val="007F3845"/>
    <w:rsid w:val="007F3C84"/>
    <w:rsid w:val="007F47D5"/>
    <w:rsid w:val="007F493C"/>
    <w:rsid w:val="007F4EB3"/>
    <w:rsid w:val="007F5B86"/>
    <w:rsid w:val="007F5C75"/>
    <w:rsid w:val="007F6013"/>
    <w:rsid w:val="007F6045"/>
    <w:rsid w:val="007F6A71"/>
    <w:rsid w:val="007F6AC0"/>
    <w:rsid w:val="007F6F13"/>
    <w:rsid w:val="007F756B"/>
    <w:rsid w:val="007F7D0C"/>
    <w:rsid w:val="007F7EC7"/>
    <w:rsid w:val="008004DC"/>
    <w:rsid w:val="00800777"/>
    <w:rsid w:val="00800C12"/>
    <w:rsid w:val="00801061"/>
    <w:rsid w:val="00801409"/>
    <w:rsid w:val="008017DA"/>
    <w:rsid w:val="00801AFB"/>
    <w:rsid w:val="008021BF"/>
    <w:rsid w:val="0080226C"/>
    <w:rsid w:val="008023C2"/>
    <w:rsid w:val="008026D1"/>
    <w:rsid w:val="00802703"/>
    <w:rsid w:val="0080270D"/>
    <w:rsid w:val="00802780"/>
    <w:rsid w:val="00802BFD"/>
    <w:rsid w:val="008032B2"/>
    <w:rsid w:val="008032F0"/>
    <w:rsid w:val="00803899"/>
    <w:rsid w:val="00804929"/>
    <w:rsid w:val="00804FE7"/>
    <w:rsid w:val="008050F9"/>
    <w:rsid w:val="008067F2"/>
    <w:rsid w:val="008068B6"/>
    <w:rsid w:val="00807BD4"/>
    <w:rsid w:val="008100D4"/>
    <w:rsid w:val="008100F1"/>
    <w:rsid w:val="008104A3"/>
    <w:rsid w:val="008108C7"/>
    <w:rsid w:val="00810AD3"/>
    <w:rsid w:val="00811953"/>
    <w:rsid w:val="0081229E"/>
    <w:rsid w:val="00812339"/>
    <w:rsid w:val="00812591"/>
    <w:rsid w:val="00813096"/>
    <w:rsid w:val="00813432"/>
    <w:rsid w:val="00813DCC"/>
    <w:rsid w:val="00814CA0"/>
    <w:rsid w:val="00814FFE"/>
    <w:rsid w:val="00815E3B"/>
    <w:rsid w:val="008160BE"/>
    <w:rsid w:val="00816997"/>
    <w:rsid w:val="00816CFE"/>
    <w:rsid w:val="00816D68"/>
    <w:rsid w:val="0081745E"/>
    <w:rsid w:val="00817A5D"/>
    <w:rsid w:val="00817BC7"/>
    <w:rsid w:val="00817C55"/>
    <w:rsid w:val="00820006"/>
    <w:rsid w:val="008202D9"/>
    <w:rsid w:val="008202F2"/>
    <w:rsid w:val="0082035F"/>
    <w:rsid w:val="00820445"/>
    <w:rsid w:val="008204CA"/>
    <w:rsid w:val="00820F60"/>
    <w:rsid w:val="00821AA6"/>
    <w:rsid w:val="00821F2E"/>
    <w:rsid w:val="0082207A"/>
    <w:rsid w:val="00824B01"/>
    <w:rsid w:val="00825A33"/>
    <w:rsid w:val="00825D13"/>
    <w:rsid w:val="00825F38"/>
    <w:rsid w:val="008265CE"/>
    <w:rsid w:val="00826782"/>
    <w:rsid w:val="00826FB3"/>
    <w:rsid w:val="0082741E"/>
    <w:rsid w:val="008278AF"/>
    <w:rsid w:val="00830435"/>
    <w:rsid w:val="00830C1E"/>
    <w:rsid w:val="0083141F"/>
    <w:rsid w:val="00831C3B"/>
    <w:rsid w:val="00832266"/>
    <w:rsid w:val="008324E5"/>
    <w:rsid w:val="00832A93"/>
    <w:rsid w:val="008332F9"/>
    <w:rsid w:val="00833464"/>
    <w:rsid w:val="00833B15"/>
    <w:rsid w:val="00833F21"/>
    <w:rsid w:val="00834388"/>
    <w:rsid w:val="00834E1F"/>
    <w:rsid w:val="008360A9"/>
    <w:rsid w:val="008362E8"/>
    <w:rsid w:val="00836316"/>
    <w:rsid w:val="00836364"/>
    <w:rsid w:val="0083668A"/>
    <w:rsid w:val="00836B0E"/>
    <w:rsid w:val="00836B24"/>
    <w:rsid w:val="00837ECF"/>
    <w:rsid w:val="00837EDD"/>
    <w:rsid w:val="00840772"/>
    <w:rsid w:val="00840C44"/>
    <w:rsid w:val="008414F2"/>
    <w:rsid w:val="0084157A"/>
    <w:rsid w:val="008419D4"/>
    <w:rsid w:val="0084247A"/>
    <w:rsid w:val="00842AF5"/>
    <w:rsid w:val="008430F2"/>
    <w:rsid w:val="008438A9"/>
    <w:rsid w:val="008442DA"/>
    <w:rsid w:val="008447C4"/>
    <w:rsid w:val="008456DA"/>
    <w:rsid w:val="0084578D"/>
    <w:rsid w:val="00845BEA"/>
    <w:rsid w:val="008461F2"/>
    <w:rsid w:val="0084622A"/>
    <w:rsid w:val="0084638A"/>
    <w:rsid w:val="00846495"/>
    <w:rsid w:val="008464E5"/>
    <w:rsid w:val="008466F7"/>
    <w:rsid w:val="00847622"/>
    <w:rsid w:val="008477D8"/>
    <w:rsid w:val="00850DCE"/>
    <w:rsid w:val="00850E46"/>
    <w:rsid w:val="008511F5"/>
    <w:rsid w:val="00851461"/>
    <w:rsid w:val="0085207F"/>
    <w:rsid w:val="008520D2"/>
    <w:rsid w:val="00852DA8"/>
    <w:rsid w:val="0085330E"/>
    <w:rsid w:val="00853896"/>
    <w:rsid w:val="00853F6B"/>
    <w:rsid w:val="008540C8"/>
    <w:rsid w:val="008541E0"/>
    <w:rsid w:val="008542D0"/>
    <w:rsid w:val="008554F9"/>
    <w:rsid w:val="0085646E"/>
    <w:rsid w:val="00856AAB"/>
    <w:rsid w:val="00856D72"/>
    <w:rsid w:val="00856E16"/>
    <w:rsid w:val="00857E16"/>
    <w:rsid w:val="00860484"/>
    <w:rsid w:val="008615FC"/>
    <w:rsid w:val="00861A2A"/>
    <w:rsid w:val="00861F99"/>
    <w:rsid w:val="00862A65"/>
    <w:rsid w:val="00863064"/>
    <w:rsid w:val="0086310D"/>
    <w:rsid w:val="00863505"/>
    <w:rsid w:val="00863818"/>
    <w:rsid w:val="00863A58"/>
    <w:rsid w:val="00863B8C"/>
    <w:rsid w:val="00863E67"/>
    <w:rsid w:val="008643FE"/>
    <w:rsid w:val="008644EE"/>
    <w:rsid w:val="008647A4"/>
    <w:rsid w:val="00864EEA"/>
    <w:rsid w:val="0086690A"/>
    <w:rsid w:val="00866A92"/>
    <w:rsid w:val="00866FB8"/>
    <w:rsid w:val="008672D6"/>
    <w:rsid w:val="00867364"/>
    <w:rsid w:val="00867457"/>
    <w:rsid w:val="008700EC"/>
    <w:rsid w:val="008708F6"/>
    <w:rsid w:val="0087283D"/>
    <w:rsid w:val="00872BC4"/>
    <w:rsid w:val="00873C22"/>
    <w:rsid w:val="0087478A"/>
    <w:rsid w:val="008748CD"/>
    <w:rsid w:val="00874AE4"/>
    <w:rsid w:val="00874B74"/>
    <w:rsid w:val="00874D51"/>
    <w:rsid w:val="008750B4"/>
    <w:rsid w:val="00875207"/>
    <w:rsid w:val="00875439"/>
    <w:rsid w:val="008755EC"/>
    <w:rsid w:val="00875962"/>
    <w:rsid w:val="00876326"/>
    <w:rsid w:val="00876469"/>
    <w:rsid w:val="00876688"/>
    <w:rsid w:val="00876BDA"/>
    <w:rsid w:val="00877030"/>
    <w:rsid w:val="00877AE2"/>
    <w:rsid w:val="00880286"/>
    <w:rsid w:val="0088186B"/>
    <w:rsid w:val="008819A7"/>
    <w:rsid w:val="008825C4"/>
    <w:rsid w:val="0088298C"/>
    <w:rsid w:val="00882E0D"/>
    <w:rsid w:val="0088366D"/>
    <w:rsid w:val="00883820"/>
    <w:rsid w:val="00883A22"/>
    <w:rsid w:val="00883CB0"/>
    <w:rsid w:val="00883F66"/>
    <w:rsid w:val="008847B9"/>
    <w:rsid w:val="00885E78"/>
    <w:rsid w:val="00886003"/>
    <w:rsid w:val="0088627C"/>
    <w:rsid w:val="008864D5"/>
    <w:rsid w:val="008868E8"/>
    <w:rsid w:val="00887225"/>
    <w:rsid w:val="00887A82"/>
    <w:rsid w:val="008909A7"/>
    <w:rsid w:val="00891A58"/>
    <w:rsid w:val="008925B1"/>
    <w:rsid w:val="00892F65"/>
    <w:rsid w:val="0089333C"/>
    <w:rsid w:val="00894127"/>
    <w:rsid w:val="0089419E"/>
    <w:rsid w:val="0089429B"/>
    <w:rsid w:val="00894308"/>
    <w:rsid w:val="00894721"/>
    <w:rsid w:val="00895324"/>
    <w:rsid w:val="00895F9B"/>
    <w:rsid w:val="0089616F"/>
    <w:rsid w:val="00896207"/>
    <w:rsid w:val="008979AA"/>
    <w:rsid w:val="00897C4C"/>
    <w:rsid w:val="00897DC4"/>
    <w:rsid w:val="008A0F57"/>
    <w:rsid w:val="008A1C19"/>
    <w:rsid w:val="008A210A"/>
    <w:rsid w:val="008A25A8"/>
    <w:rsid w:val="008A25E1"/>
    <w:rsid w:val="008A28A4"/>
    <w:rsid w:val="008A31DE"/>
    <w:rsid w:val="008A3907"/>
    <w:rsid w:val="008A3D3A"/>
    <w:rsid w:val="008A4469"/>
    <w:rsid w:val="008A483F"/>
    <w:rsid w:val="008A4A0B"/>
    <w:rsid w:val="008A50DD"/>
    <w:rsid w:val="008A5662"/>
    <w:rsid w:val="008A6435"/>
    <w:rsid w:val="008A6A8F"/>
    <w:rsid w:val="008A737F"/>
    <w:rsid w:val="008A755D"/>
    <w:rsid w:val="008A77FE"/>
    <w:rsid w:val="008A7887"/>
    <w:rsid w:val="008A7CB0"/>
    <w:rsid w:val="008B028A"/>
    <w:rsid w:val="008B0F35"/>
    <w:rsid w:val="008B142F"/>
    <w:rsid w:val="008B1665"/>
    <w:rsid w:val="008B2EDF"/>
    <w:rsid w:val="008B38E1"/>
    <w:rsid w:val="008B3A4B"/>
    <w:rsid w:val="008B3CC3"/>
    <w:rsid w:val="008B5010"/>
    <w:rsid w:val="008B508F"/>
    <w:rsid w:val="008B5618"/>
    <w:rsid w:val="008B584D"/>
    <w:rsid w:val="008B594B"/>
    <w:rsid w:val="008B5A73"/>
    <w:rsid w:val="008B5ADB"/>
    <w:rsid w:val="008B5ED3"/>
    <w:rsid w:val="008B64AB"/>
    <w:rsid w:val="008B684C"/>
    <w:rsid w:val="008B6B80"/>
    <w:rsid w:val="008B7161"/>
    <w:rsid w:val="008B7444"/>
    <w:rsid w:val="008B75F0"/>
    <w:rsid w:val="008B7648"/>
    <w:rsid w:val="008B7824"/>
    <w:rsid w:val="008B7E5A"/>
    <w:rsid w:val="008C00A6"/>
    <w:rsid w:val="008C01B0"/>
    <w:rsid w:val="008C0225"/>
    <w:rsid w:val="008C052E"/>
    <w:rsid w:val="008C0777"/>
    <w:rsid w:val="008C083D"/>
    <w:rsid w:val="008C15BA"/>
    <w:rsid w:val="008C16BC"/>
    <w:rsid w:val="008C1810"/>
    <w:rsid w:val="008C1C23"/>
    <w:rsid w:val="008C1F97"/>
    <w:rsid w:val="008C2BAD"/>
    <w:rsid w:val="008C2ED4"/>
    <w:rsid w:val="008C3A47"/>
    <w:rsid w:val="008C3EF2"/>
    <w:rsid w:val="008C4D65"/>
    <w:rsid w:val="008C5249"/>
    <w:rsid w:val="008C5952"/>
    <w:rsid w:val="008C5E81"/>
    <w:rsid w:val="008C6045"/>
    <w:rsid w:val="008C6428"/>
    <w:rsid w:val="008C7067"/>
    <w:rsid w:val="008C767D"/>
    <w:rsid w:val="008C7B24"/>
    <w:rsid w:val="008C7D4D"/>
    <w:rsid w:val="008C7E8F"/>
    <w:rsid w:val="008D041C"/>
    <w:rsid w:val="008D093E"/>
    <w:rsid w:val="008D0AC7"/>
    <w:rsid w:val="008D0B6E"/>
    <w:rsid w:val="008D0FBC"/>
    <w:rsid w:val="008D13C0"/>
    <w:rsid w:val="008D1F91"/>
    <w:rsid w:val="008D2873"/>
    <w:rsid w:val="008D2984"/>
    <w:rsid w:val="008D2DE6"/>
    <w:rsid w:val="008D3313"/>
    <w:rsid w:val="008D3B37"/>
    <w:rsid w:val="008D3E16"/>
    <w:rsid w:val="008D494B"/>
    <w:rsid w:val="008D49E0"/>
    <w:rsid w:val="008D4C02"/>
    <w:rsid w:val="008D4EAD"/>
    <w:rsid w:val="008D576D"/>
    <w:rsid w:val="008D600C"/>
    <w:rsid w:val="008D6E79"/>
    <w:rsid w:val="008D71CC"/>
    <w:rsid w:val="008D76E9"/>
    <w:rsid w:val="008D7C54"/>
    <w:rsid w:val="008E004E"/>
    <w:rsid w:val="008E022B"/>
    <w:rsid w:val="008E0314"/>
    <w:rsid w:val="008E07B6"/>
    <w:rsid w:val="008E14BA"/>
    <w:rsid w:val="008E184C"/>
    <w:rsid w:val="008E20B7"/>
    <w:rsid w:val="008E215F"/>
    <w:rsid w:val="008E29F2"/>
    <w:rsid w:val="008E2CDB"/>
    <w:rsid w:val="008E30F9"/>
    <w:rsid w:val="008E392A"/>
    <w:rsid w:val="008E43FD"/>
    <w:rsid w:val="008E48CA"/>
    <w:rsid w:val="008E4F99"/>
    <w:rsid w:val="008E5B6A"/>
    <w:rsid w:val="008E70A0"/>
    <w:rsid w:val="008E72B3"/>
    <w:rsid w:val="008F11A1"/>
    <w:rsid w:val="008F11C6"/>
    <w:rsid w:val="008F148A"/>
    <w:rsid w:val="008F19D6"/>
    <w:rsid w:val="008F225E"/>
    <w:rsid w:val="008F2BE8"/>
    <w:rsid w:val="008F2CDC"/>
    <w:rsid w:val="008F2EC7"/>
    <w:rsid w:val="008F2F33"/>
    <w:rsid w:val="008F38FD"/>
    <w:rsid w:val="008F51F4"/>
    <w:rsid w:val="008F559C"/>
    <w:rsid w:val="008F5F7B"/>
    <w:rsid w:val="008F63D4"/>
    <w:rsid w:val="008F662E"/>
    <w:rsid w:val="008F7B5D"/>
    <w:rsid w:val="008F7C6F"/>
    <w:rsid w:val="0090017B"/>
    <w:rsid w:val="009004EB"/>
    <w:rsid w:val="009007C3"/>
    <w:rsid w:val="00900967"/>
    <w:rsid w:val="009015C6"/>
    <w:rsid w:val="00902287"/>
    <w:rsid w:val="009030FF"/>
    <w:rsid w:val="0090418E"/>
    <w:rsid w:val="0090431D"/>
    <w:rsid w:val="00904C98"/>
    <w:rsid w:val="0090515B"/>
    <w:rsid w:val="00905AEA"/>
    <w:rsid w:val="00906059"/>
    <w:rsid w:val="009060B3"/>
    <w:rsid w:val="00906444"/>
    <w:rsid w:val="00906672"/>
    <w:rsid w:val="0090688D"/>
    <w:rsid w:val="00906F26"/>
    <w:rsid w:val="00907E88"/>
    <w:rsid w:val="00910007"/>
    <w:rsid w:val="00910810"/>
    <w:rsid w:val="00910DAD"/>
    <w:rsid w:val="00911005"/>
    <w:rsid w:val="009110B6"/>
    <w:rsid w:val="009113A1"/>
    <w:rsid w:val="00911D17"/>
    <w:rsid w:val="00911EB6"/>
    <w:rsid w:val="0091202B"/>
    <w:rsid w:val="00912CE9"/>
    <w:rsid w:val="009139FE"/>
    <w:rsid w:val="00913FD0"/>
    <w:rsid w:val="00914347"/>
    <w:rsid w:val="00914A6B"/>
    <w:rsid w:val="00914C00"/>
    <w:rsid w:val="00914DD4"/>
    <w:rsid w:val="00915348"/>
    <w:rsid w:val="00915D51"/>
    <w:rsid w:val="0091628A"/>
    <w:rsid w:val="0091666C"/>
    <w:rsid w:val="00917103"/>
    <w:rsid w:val="00917809"/>
    <w:rsid w:val="00917CBF"/>
    <w:rsid w:val="00917F3A"/>
    <w:rsid w:val="00917FD2"/>
    <w:rsid w:val="00920C31"/>
    <w:rsid w:val="00920CEA"/>
    <w:rsid w:val="009212F5"/>
    <w:rsid w:val="0092134D"/>
    <w:rsid w:val="0092139B"/>
    <w:rsid w:val="009214E8"/>
    <w:rsid w:val="009220F8"/>
    <w:rsid w:val="009221DE"/>
    <w:rsid w:val="00922297"/>
    <w:rsid w:val="0092378A"/>
    <w:rsid w:val="009240E5"/>
    <w:rsid w:val="00924965"/>
    <w:rsid w:val="00925927"/>
    <w:rsid w:val="00925E36"/>
    <w:rsid w:val="0092651A"/>
    <w:rsid w:val="0092765B"/>
    <w:rsid w:val="00927938"/>
    <w:rsid w:val="00927961"/>
    <w:rsid w:val="009279EA"/>
    <w:rsid w:val="00927EBD"/>
    <w:rsid w:val="00930A8F"/>
    <w:rsid w:val="009314A2"/>
    <w:rsid w:val="009315D1"/>
    <w:rsid w:val="00931EE5"/>
    <w:rsid w:val="009328D7"/>
    <w:rsid w:val="0093324B"/>
    <w:rsid w:val="0093358E"/>
    <w:rsid w:val="00933766"/>
    <w:rsid w:val="00933C49"/>
    <w:rsid w:val="00933FE3"/>
    <w:rsid w:val="0093457C"/>
    <w:rsid w:val="0093475B"/>
    <w:rsid w:val="009358EE"/>
    <w:rsid w:val="00935FC1"/>
    <w:rsid w:val="00936428"/>
    <w:rsid w:val="00936E92"/>
    <w:rsid w:val="00936FF7"/>
    <w:rsid w:val="00937DCD"/>
    <w:rsid w:val="009403A2"/>
    <w:rsid w:val="0094059B"/>
    <w:rsid w:val="009407C5"/>
    <w:rsid w:val="009408DF"/>
    <w:rsid w:val="009414A5"/>
    <w:rsid w:val="009416C5"/>
    <w:rsid w:val="00941C45"/>
    <w:rsid w:val="00941C56"/>
    <w:rsid w:val="0094303F"/>
    <w:rsid w:val="009437C1"/>
    <w:rsid w:val="0094430A"/>
    <w:rsid w:val="009462F0"/>
    <w:rsid w:val="0094683D"/>
    <w:rsid w:val="00947506"/>
    <w:rsid w:val="009477F5"/>
    <w:rsid w:val="00947B0F"/>
    <w:rsid w:val="0095105E"/>
    <w:rsid w:val="00951C6E"/>
    <w:rsid w:val="00952792"/>
    <w:rsid w:val="00954D2F"/>
    <w:rsid w:val="009551CC"/>
    <w:rsid w:val="0095606B"/>
    <w:rsid w:val="00956394"/>
    <w:rsid w:val="0095704B"/>
    <w:rsid w:val="00957B72"/>
    <w:rsid w:val="00960137"/>
    <w:rsid w:val="00961087"/>
    <w:rsid w:val="0096116D"/>
    <w:rsid w:val="00961456"/>
    <w:rsid w:val="0096218D"/>
    <w:rsid w:val="00962337"/>
    <w:rsid w:val="009647B7"/>
    <w:rsid w:val="00964A81"/>
    <w:rsid w:val="0096587E"/>
    <w:rsid w:val="00966475"/>
    <w:rsid w:val="00967145"/>
    <w:rsid w:val="00970065"/>
    <w:rsid w:val="009706C2"/>
    <w:rsid w:val="00971685"/>
    <w:rsid w:val="00971DF8"/>
    <w:rsid w:val="00972093"/>
    <w:rsid w:val="00972307"/>
    <w:rsid w:val="00972A16"/>
    <w:rsid w:val="00972A3D"/>
    <w:rsid w:val="00973334"/>
    <w:rsid w:val="009734D8"/>
    <w:rsid w:val="009736D2"/>
    <w:rsid w:val="00973AB9"/>
    <w:rsid w:val="00974BE1"/>
    <w:rsid w:val="00975656"/>
    <w:rsid w:val="00975DB5"/>
    <w:rsid w:val="009766CA"/>
    <w:rsid w:val="00976752"/>
    <w:rsid w:val="00977647"/>
    <w:rsid w:val="00977757"/>
    <w:rsid w:val="00977CF5"/>
    <w:rsid w:val="0098007D"/>
    <w:rsid w:val="009800C7"/>
    <w:rsid w:val="00980AA3"/>
    <w:rsid w:val="00980D82"/>
    <w:rsid w:val="009816F8"/>
    <w:rsid w:val="009827D1"/>
    <w:rsid w:val="009837EC"/>
    <w:rsid w:val="009837F1"/>
    <w:rsid w:val="00983874"/>
    <w:rsid w:val="009839C2"/>
    <w:rsid w:val="00983AF2"/>
    <w:rsid w:val="00983CE1"/>
    <w:rsid w:val="00983D2A"/>
    <w:rsid w:val="00984146"/>
    <w:rsid w:val="00984A92"/>
    <w:rsid w:val="00984E55"/>
    <w:rsid w:val="00985D67"/>
    <w:rsid w:val="00985EEF"/>
    <w:rsid w:val="0098688D"/>
    <w:rsid w:val="00990733"/>
    <w:rsid w:val="009907F6"/>
    <w:rsid w:val="00991C3F"/>
    <w:rsid w:val="0099228C"/>
    <w:rsid w:val="009922C7"/>
    <w:rsid w:val="00992445"/>
    <w:rsid w:val="00992887"/>
    <w:rsid w:val="009933BD"/>
    <w:rsid w:val="00993674"/>
    <w:rsid w:val="00993682"/>
    <w:rsid w:val="009938E5"/>
    <w:rsid w:val="009939FB"/>
    <w:rsid w:val="00993FB3"/>
    <w:rsid w:val="0099476C"/>
    <w:rsid w:val="00994DB5"/>
    <w:rsid w:val="00995024"/>
    <w:rsid w:val="00995909"/>
    <w:rsid w:val="00995919"/>
    <w:rsid w:val="00996468"/>
    <w:rsid w:val="00996E4C"/>
    <w:rsid w:val="00996EF7"/>
    <w:rsid w:val="00997091"/>
    <w:rsid w:val="00997563"/>
    <w:rsid w:val="009A0175"/>
    <w:rsid w:val="009A1547"/>
    <w:rsid w:val="009A1B9F"/>
    <w:rsid w:val="009A22B3"/>
    <w:rsid w:val="009A2386"/>
    <w:rsid w:val="009A27E7"/>
    <w:rsid w:val="009A2A79"/>
    <w:rsid w:val="009A3601"/>
    <w:rsid w:val="009A3742"/>
    <w:rsid w:val="009A4AA6"/>
    <w:rsid w:val="009A5067"/>
    <w:rsid w:val="009A51FA"/>
    <w:rsid w:val="009A5514"/>
    <w:rsid w:val="009A559A"/>
    <w:rsid w:val="009A5677"/>
    <w:rsid w:val="009A5A0D"/>
    <w:rsid w:val="009A614C"/>
    <w:rsid w:val="009A6164"/>
    <w:rsid w:val="009A6391"/>
    <w:rsid w:val="009A6430"/>
    <w:rsid w:val="009A674A"/>
    <w:rsid w:val="009A6A64"/>
    <w:rsid w:val="009A75BF"/>
    <w:rsid w:val="009A761C"/>
    <w:rsid w:val="009A77E0"/>
    <w:rsid w:val="009A7BB3"/>
    <w:rsid w:val="009B26C9"/>
    <w:rsid w:val="009B2B02"/>
    <w:rsid w:val="009B2CF6"/>
    <w:rsid w:val="009B38F7"/>
    <w:rsid w:val="009B4390"/>
    <w:rsid w:val="009B442F"/>
    <w:rsid w:val="009B4765"/>
    <w:rsid w:val="009B4D2B"/>
    <w:rsid w:val="009B598E"/>
    <w:rsid w:val="009B5A0C"/>
    <w:rsid w:val="009B5B91"/>
    <w:rsid w:val="009B5BD7"/>
    <w:rsid w:val="009B5BE6"/>
    <w:rsid w:val="009B625D"/>
    <w:rsid w:val="009B633F"/>
    <w:rsid w:val="009B640C"/>
    <w:rsid w:val="009B65E3"/>
    <w:rsid w:val="009B6723"/>
    <w:rsid w:val="009B76E1"/>
    <w:rsid w:val="009C0373"/>
    <w:rsid w:val="009C092E"/>
    <w:rsid w:val="009C095D"/>
    <w:rsid w:val="009C100C"/>
    <w:rsid w:val="009C12C5"/>
    <w:rsid w:val="009C1DEA"/>
    <w:rsid w:val="009C2255"/>
    <w:rsid w:val="009C2E3F"/>
    <w:rsid w:val="009C2EF8"/>
    <w:rsid w:val="009C2F2F"/>
    <w:rsid w:val="009C333D"/>
    <w:rsid w:val="009C3C44"/>
    <w:rsid w:val="009C3D6D"/>
    <w:rsid w:val="009C56C9"/>
    <w:rsid w:val="009C5773"/>
    <w:rsid w:val="009C5FA9"/>
    <w:rsid w:val="009C6252"/>
    <w:rsid w:val="009C62C2"/>
    <w:rsid w:val="009C64AD"/>
    <w:rsid w:val="009C6731"/>
    <w:rsid w:val="009C6795"/>
    <w:rsid w:val="009C696B"/>
    <w:rsid w:val="009C6E0E"/>
    <w:rsid w:val="009C70E7"/>
    <w:rsid w:val="009C73F1"/>
    <w:rsid w:val="009C7BF9"/>
    <w:rsid w:val="009C7D84"/>
    <w:rsid w:val="009D0316"/>
    <w:rsid w:val="009D03C7"/>
    <w:rsid w:val="009D0890"/>
    <w:rsid w:val="009D10E6"/>
    <w:rsid w:val="009D10EF"/>
    <w:rsid w:val="009D1885"/>
    <w:rsid w:val="009D1B48"/>
    <w:rsid w:val="009D2199"/>
    <w:rsid w:val="009D27E8"/>
    <w:rsid w:val="009D2AE0"/>
    <w:rsid w:val="009D3440"/>
    <w:rsid w:val="009D34E7"/>
    <w:rsid w:val="009D357B"/>
    <w:rsid w:val="009D3635"/>
    <w:rsid w:val="009D3AB0"/>
    <w:rsid w:val="009D3B15"/>
    <w:rsid w:val="009D44B9"/>
    <w:rsid w:val="009D4645"/>
    <w:rsid w:val="009D46AB"/>
    <w:rsid w:val="009D4D65"/>
    <w:rsid w:val="009D533F"/>
    <w:rsid w:val="009D58CA"/>
    <w:rsid w:val="009D646E"/>
    <w:rsid w:val="009D74FB"/>
    <w:rsid w:val="009D78DB"/>
    <w:rsid w:val="009D7E16"/>
    <w:rsid w:val="009E0310"/>
    <w:rsid w:val="009E0F5D"/>
    <w:rsid w:val="009E11CF"/>
    <w:rsid w:val="009E17B4"/>
    <w:rsid w:val="009E23D0"/>
    <w:rsid w:val="009E3E5F"/>
    <w:rsid w:val="009E4228"/>
    <w:rsid w:val="009E4368"/>
    <w:rsid w:val="009E4DA8"/>
    <w:rsid w:val="009E542C"/>
    <w:rsid w:val="009E5872"/>
    <w:rsid w:val="009E5B47"/>
    <w:rsid w:val="009E5D22"/>
    <w:rsid w:val="009E63FC"/>
    <w:rsid w:val="009E6A2D"/>
    <w:rsid w:val="009E6FC7"/>
    <w:rsid w:val="009E792A"/>
    <w:rsid w:val="009E7C72"/>
    <w:rsid w:val="009E7CC7"/>
    <w:rsid w:val="009E7DB2"/>
    <w:rsid w:val="009F0867"/>
    <w:rsid w:val="009F0903"/>
    <w:rsid w:val="009F0D6C"/>
    <w:rsid w:val="009F1117"/>
    <w:rsid w:val="009F148F"/>
    <w:rsid w:val="009F16B8"/>
    <w:rsid w:val="009F195F"/>
    <w:rsid w:val="009F262A"/>
    <w:rsid w:val="009F26C0"/>
    <w:rsid w:val="009F2B79"/>
    <w:rsid w:val="009F2C2B"/>
    <w:rsid w:val="009F2C34"/>
    <w:rsid w:val="009F2F80"/>
    <w:rsid w:val="009F3548"/>
    <w:rsid w:val="009F35E6"/>
    <w:rsid w:val="009F45EA"/>
    <w:rsid w:val="009F4D4A"/>
    <w:rsid w:val="009F4F3A"/>
    <w:rsid w:val="009F5027"/>
    <w:rsid w:val="009F514C"/>
    <w:rsid w:val="009F6202"/>
    <w:rsid w:val="009F64F9"/>
    <w:rsid w:val="009F6618"/>
    <w:rsid w:val="009F6B49"/>
    <w:rsid w:val="009F7455"/>
    <w:rsid w:val="009F79A8"/>
    <w:rsid w:val="00A007C0"/>
    <w:rsid w:val="00A00CC1"/>
    <w:rsid w:val="00A00EAC"/>
    <w:rsid w:val="00A013CC"/>
    <w:rsid w:val="00A01F75"/>
    <w:rsid w:val="00A02212"/>
    <w:rsid w:val="00A02D7A"/>
    <w:rsid w:val="00A03024"/>
    <w:rsid w:val="00A036B5"/>
    <w:rsid w:val="00A0424B"/>
    <w:rsid w:val="00A04403"/>
    <w:rsid w:val="00A04982"/>
    <w:rsid w:val="00A04AB5"/>
    <w:rsid w:val="00A04D86"/>
    <w:rsid w:val="00A04EF3"/>
    <w:rsid w:val="00A04FA0"/>
    <w:rsid w:val="00A0566E"/>
    <w:rsid w:val="00A05DF8"/>
    <w:rsid w:val="00A06278"/>
    <w:rsid w:val="00A0676E"/>
    <w:rsid w:val="00A06CE5"/>
    <w:rsid w:val="00A071A3"/>
    <w:rsid w:val="00A07596"/>
    <w:rsid w:val="00A07770"/>
    <w:rsid w:val="00A077FB"/>
    <w:rsid w:val="00A07E90"/>
    <w:rsid w:val="00A10777"/>
    <w:rsid w:val="00A10FC4"/>
    <w:rsid w:val="00A11729"/>
    <w:rsid w:val="00A12E7E"/>
    <w:rsid w:val="00A131EB"/>
    <w:rsid w:val="00A1324F"/>
    <w:rsid w:val="00A13BD9"/>
    <w:rsid w:val="00A14791"/>
    <w:rsid w:val="00A14813"/>
    <w:rsid w:val="00A15573"/>
    <w:rsid w:val="00A15A3A"/>
    <w:rsid w:val="00A15BD7"/>
    <w:rsid w:val="00A15D82"/>
    <w:rsid w:val="00A1646F"/>
    <w:rsid w:val="00A16BFB"/>
    <w:rsid w:val="00A17133"/>
    <w:rsid w:val="00A17E49"/>
    <w:rsid w:val="00A2014F"/>
    <w:rsid w:val="00A20D3B"/>
    <w:rsid w:val="00A21055"/>
    <w:rsid w:val="00A21732"/>
    <w:rsid w:val="00A21833"/>
    <w:rsid w:val="00A218AF"/>
    <w:rsid w:val="00A21C5F"/>
    <w:rsid w:val="00A21CE6"/>
    <w:rsid w:val="00A21F0F"/>
    <w:rsid w:val="00A2284F"/>
    <w:rsid w:val="00A23FF4"/>
    <w:rsid w:val="00A24018"/>
    <w:rsid w:val="00A24169"/>
    <w:rsid w:val="00A24464"/>
    <w:rsid w:val="00A24E84"/>
    <w:rsid w:val="00A24FA7"/>
    <w:rsid w:val="00A2520F"/>
    <w:rsid w:val="00A2541E"/>
    <w:rsid w:val="00A25420"/>
    <w:rsid w:val="00A25DAA"/>
    <w:rsid w:val="00A25F10"/>
    <w:rsid w:val="00A2611B"/>
    <w:rsid w:val="00A26B7B"/>
    <w:rsid w:val="00A26C98"/>
    <w:rsid w:val="00A26F8C"/>
    <w:rsid w:val="00A2704C"/>
    <w:rsid w:val="00A2730B"/>
    <w:rsid w:val="00A27451"/>
    <w:rsid w:val="00A27B36"/>
    <w:rsid w:val="00A27CA8"/>
    <w:rsid w:val="00A30034"/>
    <w:rsid w:val="00A30937"/>
    <w:rsid w:val="00A31123"/>
    <w:rsid w:val="00A314BE"/>
    <w:rsid w:val="00A32DE1"/>
    <w:rsid w:val="00A336B1"/>
    <w:rsid w:val="00A33864"/>
    <w:rsid w:val="00A33C48"/>
    <w:rsid w:val="00A33DC9"/>
    <w:rsid w:val="00A345F6"/>
    <w:rsid w:val="00A34758"/>
    <w:rsid w:val="00A3516E"/>
    <w:rsid w:val="00A3567C"/>
    <w:rsid w:val="00A35B5D"/>
    <w:rsid w:val="00A3651B"/>
    <w:rsid w:val="00A36EA8"/>
    <w:rsid w:val="00A41F53"/>
    <w:rsid w:val="00A4208D"/>
    <w:rsid w:val="00A43AF1"/>
    <w:rsid w:val="00A44E2D"/>
    <w:rsid w:val="00A45A2D"/>
    <w:rsid w:val="00A45B2C"/>
    <w:rsid w:val="00A462F1"/>
    <w:rsid w:val="00A4733B"/>
    <w:rsid w:val="00A47A92"/>
    <w:rsid w:val="00A47C89"/>
    <w:rsid w:val="00A501D9"/>
    <w:rsid w:val="00A5057B"/>
    <w:rsid w:val="00A50693"/>
    <w:rsid w:val="00A50FC8"/>
    <w:rsid w:val="00A510F7"/>
    <w:rsid w:val="00A52516"/>
    <w:rsid w:val="00A52656"/>
    <w:rsid w:val="00A5273A"/>
    <w:rsid w:val="00A5286B"/>
    <w:rsid w:val="00A52CA9"/>
    <w:rsid w:val="00A542BF"/>
    <w:rsid w:val="00A545AC"/>
    <w:rsid w:val="00A54BD2"/>
    <w:rsid w:val="00A552CF"/>
    <w:rsid w:val="00A557D5"/>
    <w:rsid w:val="00A55A67"/>
    <w:rsid w:val="00A55DB1"/>
    <w:rsid w:val="00A5657F"/>
    <w:rsid w:val="00A56971"/>
    <w:rsid w:val="00A56CAB"/>
    <w:rsid w:val="00A56F5A"/>
    <w:rsid w:val="00A57E80"/>
    <w:rsid w:val="00A60586"/>
    <w:rsid w:val="00A609FF"/>
    <w:rsid w:val="00A61128"/>
    <w:rsid w:val="00A61A5B"/>
    <w:rsid w:val="00A61A97"/>
    <w:rsid w:val="00A61DA2"/>
    <w:rsid w:val="00A61F69"/>
    <w:rsid w:val="00A62119"/>
    <w:rsid w:val="00A6287D"/>
    <w:rsid w:val="00A63BD0"/>
    <w:rsid w:val="00A6485E"/>
    <w:rsid w:val="00A65CD4"/>
    <w:rsid w:val="00A665B1"/>
    <w:rsid w:val="00A66B4B"/>
    <w:rsid w:val="00A66EFF"/>
    <w:rsid w:val="00A67673"/>
    <w:rsid w:val="00A678BA"/>
    <w:rsid w:val="00A67963"/>
    <w:rsid w:val="00A67A30"/>
    <w:rsid w:val="00A702CC"/>
    <w:rsid w:val="00A70655"/>
    <w:rsid w:val="00A70A80"/>
    <w:rsid w:val="00A7130B"/>
    <w:rsid w:val="00A71332"/>
    <w:rsid w:val="00A7138D"/>
    <w:rsid w:val="00A7220B"/>
    <w:rsid w:val="00A728CF"/>
    <w:rsid w:val="00A72B1C"/>
    <w:rsid w:val="00A72FAE"/>
    <w:rsid w:val="00A73119"/>
    <w:rsid w:val="00A73942"/>
    <w:rsid w:val="00A73F4C"/>
    <w:rsid w:val="00A741FA"/>
    <w:rsid w:val="00A74208"/>
    <w:rsid w:val="00A7462F"/>
    <w:rsid w:val="00A75A07"/>
    <w:rsid w:val="00A75D1B"/>
    <w:rsid w:val="00A766E8"/>
    <w:rsid w:val="00A76D6F"/>
    <w:rsid w:val="00A7703F"/>
    <w:rsid w:val="00A77BEF"/>
    <w:rsid w:val="00A8006C"/>
    <w:rsid w:val="00A8079E"/>
    <w:rsid w:val="00A80AD2"/>
    <w:rsid w:val="00A80B12"/>
    <w:rsid w:val="00A80CE5"/>
    <w:rsid w:val="00A80D09"/>
    <w:rsid w:val="00A81E23"/>
    <w:rsid w:val="00A823CE"/>
    <w:rsid w:val="00A8282E"/>
    <w:rsid w:val="00A82F94"/>
    <w:rsid w:val="00A83170"/>
    <w:rsid w:val="00A847E0"/>
    <w:rsid w:val="00A8502D"/>
    <w:rsid w:val="00A854AB"/>
    <w:rsid w:val="00A857B4"/>
    <w:rsid w:val="00A85817"/>
    <w:rsid w:val="00A85894"/>
    <w:rsid w:val="00A86B3C"/>
    <w:rsid w:val="00A86C39"/>
    <w:rsid w:val="00A8761A"/>
    <w:rsid w:val="00A8774D"/>
    <w:rsid w:val="00A87F8B"/>
    <w:rsid w:val="00A908F7"/>
    <w:rsid w:val="00A9166C"/>
    <w:rsid w:val="00A916AB"/>
    <w:rsid w:val="00A924CB"/>
    <w:rsid w:val="00A92BA3"/>
    <w:rsid w:val="00A92D38"/>
    <w:rsid w:val="00A9344A"/>
    <w:rsid w:val="00A93EAE"/>
    <w:rsid w:val="00A9419F"/>
    <w:rsid w:val="00A94B10"/>
    <w:rsid w:val="00A95097"/>
    <w:rsid w:val="00A9523A"/>
    <w:rsid w:val="00A95498"/>
    <w:rsid w:val="00A95BEA"/>
    <w:rsid w:val="00A96799"/>
    <w:rsid w:val="00A968E7"/>
    <w:rsid w:val="00A97202"/>
    <w:rsid w:val="00A97317"/>
    <w:rsid w:val="00A979E1"/>
    <w:rsid w:val="00AA08EC"/>
    <w:rsid w:val="00AA0901"/>
    <w:rsid w:val="00AA0DCA"/>
    <w:rsid w:val="00AA140A"/>
    <w:rsid w:val="00AA1456"/>
    <w:rsid w:val="00AA15F5"/>
    <w:rsid w:val="00AA1746"/>
    <w:rsid w:val="00AA1E96"/>
    <w:rsid w:val="00AA1EE9"/>
    <w:rsid w:val="00AA2898"/>
    <w:rsid w:val="00AA2FD1"/>
    <w:rsid w:val="00AA30FE"/>
    <w:rsid w:val="00AA3EC9"/>
    <w:rsid w:val="00AA44CD"/>
    <w:rsid w:val="00AA475A"/>
    <w:rsid w:val="00AA4DD6"/>
    <w:rsid w:val="00AA59CA"/>
    <w:rsid w:val="00AA5AB6"/>
    <w:rsid w:val="00AA67F4"/>
    <w:rsid w:val="00AA696D"/>
    <w:rsid w:val="00AA698F"/>
    <w:rsid w:val="00AA6D3E"/>
    <w:rsid w:val="00AA71CC"/>
    <w:rsid w:val="00AA73F9"/>
    <w:rsid w:val="00AB0249"/>
    <w:rsid w:val="00AB037C"/>
    <w:rsid w:val="00AB0562"/>
    <w:rsid w:val="00AB0667"/>
    <w:rsid w:val="00AB0BAE"/>
    <w:rsid w:val="00AB1466"/>
    <w:rsid w:val="00AB146A"/>
    <w:rsid w:val="00AB1715"/>
    <w:rsid w:val="00AB1CB5"/>
    <w:rsid w:val="00AB1FA0"/>
    <w:rsid w:val="00AB2603"/>
    <w:rsid w:val="00AB2830"/>
    <w:rsid w:val="00AB2F9B"/>
    <w:rsid w:val="00AB317F"/>
    <w:rsid w:val="00AB3652"/>
    <w:rsid w:val="00AB4E9A"/>
    <w:rsid w:val="00AB55C8"/>
    <w:rsid w:val="00AB566D"/>
    <w:rsid w:val="00AB5A98"/>
    <w:rsid w:val="00AB6299"/>
    <w:rsid w:val="00AB65C3"/>
    <w:rsid w:val="00AB6858"/>
    <w:rsid w:val="00AB6D63"/>
    <w:rsid w:val="00AB7AC4"/>
    <w:rsid w:val="00AC01BA"/>
    <w:rsid w:val="00AC049E"/>
    <w:rsid w:val="00AC05E7"/>
    <w:rsid w:val="00AC11FC"/>
    <w:rsid w:val="00AC150A"/>
    <w:rsid w:val="00AC1781"/>
    <w:rsid w:val="00AC1D28"/>
    <w:rsid w:val="00AC1FBE"/>
    <w:rsid w:val="00AC28CB"/>
    <w:rsid w:val="00AC2BE0"/>
    <w:rsid w:val="00AC2C8D"/>
    <w:rsid w:val="00AC36D5"/>
    <w:rsid w:val="00AC3F0A"/>
    <w:rsid w:val="00AC4194"/>
    <w:rsid w:val="00AC4683"/>
    <w:rsid w:val="00AC4873"/>
    <w:rsid w:val="00AC5375"/>
    <w:rsid w:val="00AC58AB"/>
    <w:rsid w:val="00AC5C44"/>
    <w:rsid w:val="00AC5F8E"/>
    <w:rsid w:val="00AC60F8"/>
    <w:rsid w:val="00AC640E"/>
    <w:rsid w:val="00AC6B06"/>
    <w:rsid w:val="00AC6EA7"/>
    <w:rsid w:val="00AC6EDE"/>
    <w:rsid w:val="00AC7C40"/>
    <w:rsid w:val="00AC7C93"/>
    <w:rsid w:val="00AD00E6"/>
    <w:rsid w:val="00AD03AC"/>
    <w:rsid w:val="00AD06D0"/>
    <w:rsid w:val="00AD0B20"/>
    <w:rsid w:val="00AD0E97"/>
    <w:rsid w:val="00AD164A"/>
    <w:rsid w:val="00AD1810"/>
    <w:rsid w:val="00AD2E49"/>
    <w:rsid w:val="00AD3271"/>
    <w:rsid w:val="00AD32EF"/>
    <w:rsid w:val="00AD363F"/>
    <w:rsid w:val="00AD400D"/>
    <w:rsid w:val="00AD4578"/>
    <w:rsid w:val="00AD4A4B"/>
    <w:rsid w:val="00AD4D60"/>
    <w:rsid w:val="00AD4F15"/>
    <w:rsid w:val="00AD5154"/>
    <w:rsid w:val="00AD5349"/>
    <w:rsid w:val="00AD5C41"/>
    <w:rsid w:val="00AD61A5"/>
    <w:rsid w:val="00AD61C0"/>
    <w:rsid w:val="00AD6ADE"/>
    <w:rsid w:val="00AD6AF7"/>
    <w:rsid w:val="00AD7077"/>
    <w:rsid w:val="00AD72F4"/>
    <w:rsid w:val="00AD7D22"/>
    <w:rsid w:val="00AE17E8"/>
    <w:rsid w:val="00AE30F5"/>
    <w:rsid w:val="00AE3323"/>
    <w:rsid w:val="00AE37D2"/>
    <w:rsid w:val="00AE4B38"/>
    <w:rsid w:val="00AE4F35"/>
    <w:rsid w:val="00AE5105"/>
    <w:rsid w:val="00AE5681"/>
    <w:rsid w:val="00AE6198"/>
    <w:rsid w:val="00AE6A6A"/>
    <w:rsid w:val="00AE6EC9"/>
    <w:rsid w:val="00AE78D2"/>
    <w:rsid w:val="00AE79CF"/>
    <w:rsid w:val="00AE7B6D"/>
    <w:rsid w:val="00AF059A"/>
    <w:rsid w:val="00AF0809"/>
    <w:rsid w:val="00AF1394"/>
    <w:rsid w:val="00AF1D18"/>
    <w:rsid w:val="00AF2372"/>
    <w:rsid w:val="00AF271D"/>
    <w:rsid w:val="00AF2D15"/>
    <w:rsid w:val="00AF33FD"/>
    <w:rsid w:val="00AF36BA"/>
    <w:rsid w:val="00AF4580"/>
    <w:rsid w:val="00AF4F2C"/>
    <w:rsid w:val="00AF50D1"/>
    <w:rsid w:val="00AF52EC"/>
    <w:rsid w:val="00AF5F4D"/>
    <w:rsid w:val="00AF6139"/>
    <w:rsid w:val="00AF6DFD"/>
    <w:rsid w:val="00AF6ED5"/>
    <w:rsid w:val="00AF6F93"/>
    <w:rsid w:val="00AF73E0"/>
    <w:rsid w:val="00AF7E43"/>
    <w:rsid w:val="00B002FC"/>
    <w:rsid w:val="00B004FA"/>
    <w:rsid w:val="00B00578"/>
    <w:rsid w:val="00B00B21"/>
    <w:rsid w:val="00B00D2C"/>
    <w:rsid w:val="00B00E38"/>
    <w:rsid w:val="00B0122B"/>
    <w:rsid w:val="00B0124E"/>
    <w:rsid w:val="00B0138D"/>
    <w:rsid w:val="00B01819"/>
    <w:rsid w:val="00B022B4"/>
    <w:rsid w:val="00B02A33"/>
    <w:rsid w:val="00B03649"/>
    <w:rsid w:val="00B03751"/>
    <w:rsid w:val="00B039B6"/>
    <w:rsid w:val="00B039DB"/>
    <w:rsid w:val="00B042C2"/>
    <w:rsid w:val="00B04387"/>
    <w:rsid w:val="00B04523"/>
    <w:rsid w:val="00B054DB"/>
    <w:rsid w:val="00B05802"/>
    <w:rsid w:val="00B060B7"/>
    <w:rsid w:val="00B065EC"/>
    <w:rsid w:val="00B069D8"/>
    <w:rsid w:val="00B06ECE"/>
    <w:rsid w:val="00B07024"/>
    <w:rsid w:val="00B074A9"/>
    <w:rsid w:val="00B07F70"/>
    <w:rsid w:val="00B10103"/>
    <w:rsid w:val="00B10565"/>
    <w:rsid w:val="00B1099B"/>
    <w:rsid w:val="00B10BFB"/>
    <w:rsid w:val="00B10CC0"/>
    <w:rsid w:val="00B1106A"/>
    <w:rsid w:val="00B11303"/>
    <w:rsid w:val="00B12149"/>
    <w:rsid w:val="00B13A6B"/>
    <w:rsid w:val="00B13DFD"/>
    <w:rsid w:val="00B14C07"/>
    <w:rsid w:val="00B14C87"/>
    <w:rsid w:val="00B15135"/>
    <w:rsid w:val="00B151D5"/>
    <w:rsid w:val="00B15363"/>
    <w:rsid w:val="00B156B4"/>
    <w:rsid w:val="00B165A8"/>
    <w:rsid w:val="00B166E1"/>
    <w:rsid w:val="00B167C6"/>
    <w:rsid w:val="00B16B3D"/>
    <w:rsid w:val="00B17321"/>
    <w:rsid w:val="00B17C29"/>
    <w:rsid w:val="00B17DF1"/>
    <w:rsid w:val="00B2004B"/>
    <w:rsid w:val="00B201F3"/>
    <w:rsid w:val="00B20654"/>
    <w:rsid w:val="00B20DE8"/>
    <w:rsid w:val="00B20F3D"/>
    <w:rsid w:val="00B21444"/>
    <w:rsid w:val="00B216F3"/>
    <w:rsid w:val="00B21EE9"/>
    <w:rsid w:val="00B22058"/>
    <w:rsid w:val="00B22179"/>
    <w:rsid w:val="00B22B43"/>
    <w:rsid w:val="00B22B9C"/>
    <w:rsid w:val="00B2339A"/>
    <w:rsid w:val="00B236D9"/>
    <w:rsid w:val="00B24B8B"/>
    <w:rsid w:val="00B25693"/>
    <w:rsid w:val="00B25C61"/>
    <w:rsid w:val="00B26157"/>
    <w:rsid w:val="00B2626A"/>
    <w:rsid w:val="00B263C4"/>
    <w:rsid w:val="00B2695F"/>
    <w:rsid w:val="00B26C0E"/>
    <w:rsid w:val="00B273EA"/>
    <w:rsid w:val="00B27643"/>
    <w:rsid w:val="00B27BAD"/>
    <w:rsid w:val="00B27CD9"/>
    <w:rsid w:val="00B3104E"/>
    <w:rsid w:val="00B31355"/>
    <w:rsid w:val="00B326E6"/>
    <w:rsid w:val="00B334F2"/>
    <w:rsid w:val="00B3426E"/>
    <w:rsid w:val="00B34295"/>
    <w:rsid w:val="00B346DD"/>
    <w:rsid w:val="00B3567A"/>
    <w:rsid w:val="00B35B2E"/>
    <w:rsid w:val="00B35CB2"/>
    <w:rsid w:val="00B35CC1"/>
    <w:rsid w:val="00B364CD"/>
    <w:rsid w:val="00B36637"/>
    <w:rsid w:val="00B36C43"/>
    <w:rsid w:val="00B37761"/>
    <w:rsid w:val="00B37CB9"/>
    <w:rsid w:val="00B37FE5"/>
    <w:rsid w:val="00B400EE"/>
    <w:rsid w:val="00B402A9"/>
    <w:rsid w:val="00B4071C"/>
    <w:rsid w:val="00B42202"/>
    <w:rsid w:val="00B42DE9"/>
    <w:rsid w:val="00B432A6"/>
    <w:rsid w:val="00B433E0"/>
    <w:rsid w:val="00B437D1"/>
    <w:rsid w:val="00B437F7"/>
    <w:rsid w:val="00B43D30"/>
    <w:rsid w:val="00B44466"/>
    <w:rsid w:val="00B445DD"/>
    <w:rsid w:val="00B44856"/>
    <w:rsid w:val="00B44E0D"/>
    <w:rsid w:val="00B45295"/>
    <w:rsid w:val="00B45BD1"/>
    <w:rsid w:val="00B46720"/>
    <w:rsid w:val="00B469FE"/>
    <w:rsid w:val="00B46D14"/>
    <w:rsid w:val="00B46DAC"/>
    <w:rsid w:val="00B46EE1"/>
    <w:rsid w:val="00B476E4"/>
    <w:rsid w:val="00B47A7D"/>
    <w:rsid w:val="00B50637"/>
    <w:rsid w:val="00B51774"/>
    <w:rsid w:val="00B53928"/>
    <w:rsid w:val="00B53CA9"/>
    <w:rsid w:val="00B55186"/>
    <w:rsid w:val="00B5560D"/>
    <w:rsid w:val="00B557DD"/>
    <w:rsid w:val="00B57131"/>
    <w:rsid w:val="00B5727C"/>
    <w:rsid w:val="00B576BB"/>
    <w:rsid w:val="00B57A54"/>
    <w:rsid w:val="00B57A55"/>
    <w:rsid w:val="00B6035B"/>
    <w:rsid w:val="00B6113B"/>
    <w:rsid w:val="00B61188"/>
    <w:rsid w:val="00B6118F"/>
    <w:rsid w:val="00B617D6"/>
    <w:rsid w:val="00B61936"/>
    <w:rsid w:val="00B61986"/>
    <w:rsid w:val="00B621E8"/>
    <w:rsid w:val="00B62389"/>
    <w:rsid w:val="00B63433"/>
    <w:rsid w:val="00B63BD6"/>
    <w:rsid w:val="00B63E97"/>
    <w:rsid w:val="00B646E4"/>
    <w:rsid w:val="00B653DE"/>
    <w:rsid w:val="00B65625"/>
    <w:rsid w:val="00B65F68"/>
    <w:rsid w:val="00B6668E"/>
    <w:rsid w:val="00B66D6B"/>
    <w:rsid w:val="00B66D83"/>
    <w:rsid w:val="00B66E5D"/>
    <w:rsid w:val="00B66F97"/>
    <w:rsid w:val="00B67071"/>
    <w:rsid w:val="00B672C4"/>
    <w:rsid w:val="00B67F01"/>
    <w:rsid w:val="00B700AF"/>
    <w:rsid w:val="00B70854"/>
    <w:rsid w:val="00B70C00"/>
    <w:rsid w:val="00B70EC9"/>
    <w:rsid w:val="00B7174F"/>
    <w:rsid w:val="00B71DED"/>
    <w:rsid w:val="00B72DEB"/>
    <w:rsid w:val="00B73355"/>
    <w:rsid w:val="00B73EDF"/>
    <w:rsid w:val="00B740FD"/>
    <w:rsid w:val="00B754AA"/>
    <w:rsid w:val="00B754FE"/>
    <w:rsid w:val="00B756FE"/>
    <w:rsid w:val="00B75EEA"/>
    <w:rsid w:val="00B76BCD"/>
    <w:rsid w:val="00B77D8D"/>
    <w:rsid w:val="00B77F14"/>
    <w:rsid w:val="00B8048A"/>
    <w:rsid w:val="00B80629"/>
    <w:rsid w:val="00B81B31"/>
    <w:rsid w:val="00B82062"/>
    <w:rsid w:val="00B8263B"/>
    <w:rsid w:val="00B838DB"/>
    <w:rsid w:val="00B839B6"/>
    <w:rsid w:val="00B83A31"/>
    <w:rsid w:val="00B83C02"/>
    <w:rsid w:val="00B844F6"/>
    <w:rsid w:val="00B847FC"/>
    <w:rsid w:val="00B855AA"/>
    <w:rsid w:val="00B85E6E"/>
    <w:rsid w:val="00B86A7D"/>
    <w:rsid w:val="00B87091"/>
    <w:rsid w:val="00B877E0"/>
    <w:rsid w:val="00B87A1E"/>
    <w:rsid w:val="00B90501"/>
    <w:rsid w:val="00B90C32"/>
    <w:rsid w:val="00B90FD4"/>
    <w:rsid w:val="00B9138C"/>
    <w:rsid w:val="00B9195D"/>
    <w:rsid w:val="00B92A4A"/>
    <w:rsid w:val="00B92EB3"/>
    <w:rsid w:val="00B9393B"/>
    <w:rsid w:val="00B94506"/>
    <w:rsid w:val="00B9469B"/>
    <w:rsid w:val="00B94905"/>
    <w:rsid w:val="00B94ED2"/>
    <w:rsid w:val="00B950F7"/>
    <w:rsid w:val="00B95DC0"/>
    <w:rsid w:val="00B95DFC"/>
    <w:rsid w:val="00B95F1C"/>
    <w:rsid w:val="00B96103"/>
    <w:rsid w:val="00B96213"/>
    <w:rsid w:val="00B9660C"/>
    <w:rsid w:val="00B97C65"/>
    <w:rsid w:val="00B97E1D"/>
    <w:rsid w:val="00BA002F"/>
    <w:rsid w:val="00BA00BB"/>
    <w:rsid w:val="00BA0298"/>
    <w:rsid w:val="00BA03EC"/>
    <w:rsid w:val="00BA0611"/>
    <w:rsid w:val="00BA073A"/>
    <w:rsid w:val="00BA092F"/>
    <w:rsid w:val="00BA0ADA"/>
    <w:rsid w:val="00BA1AE8"/>
    <w:rsid w:val="00BA33C9"/>
    <w:rsid w:val="00BA3597"/>
    <w:rsid w:val="00BA37FB"/>
    <w:rsid w:val="00BA3F2F"/>
    <w:rsid w:val="00BA4110"/>
    <w:rsid w:val="00BA5A33"/>
    <w:rsid w:val="00BA60FD"/>
    <w:rsid w:val="00BA6F9E"/>
    <w:rsid w:val="00BA7154"/>
    <w:rsid w:val="00BA7807"/>
    <w:rsid w:val="00BA7DE8"/>
    <w:rsid w:val="00BB03DA"/>
    <w:rsid w:val="00BB0B62"/>
    <w:rsid w:val="00BB1806"/>
    <w:rsid w:val="00BB180C"/>
    <w:rsid w:val="00BB2392"/>
    <w:rsid w:val="00BB26E9"/>
    <w:rsid w:val="00BB28C9"/>
    <w:rsid w:val="00BB2D62"/>
    <w:rsid w:val="00BB4592"/>
    <w:rsid w:val="00BB47AB"/>
    <w:rsid w:val="00BB47F6"/>
    <w:rsid w:val="00BB4BBF"/>
    <w:rsid w:val="00BB4EFA"/>
    <w:rsid w:val="00BB4F62"/>
    <w:rsid w:val="00BB56E6"/>
    <w:rsid w:val="00BB5D6F"/>
    <w:rsid w:val="00BB6DDE"/>
    <w:rsid w:val="00BB7BEF"/>
    <w:rsid w:val="00BC0626"/>
    <w:rsid w:val="00BC0880"/>
    <w:rsid w:val="00BC15D3"/>
    <w:rsid w:val="00BC22DE"/>
    <w:rsid w:val="00BC278E"/>
    <w:rsid w:val="00BC3CFE"/>
    <w:rsid w:val="00BC4054"/>
    <w:rsid w:val="00BC457D"/>
    <w:rsid w:val="00BC4FB0"/>
    <w:rsid w:val="00BC50DD"/>
    <w:rsid w:val="00BC57BC"/>
    <w:rsid w:val="00BC5DA5"/>
    <w:rsid w:val="00BC6AEA"/>
    <w:rsid w:val="00BC7066"/>
    <w:rsid w:val="00BC70F0"/>
    <w:rsid w:val="00BC7233"/>
    <w:rsid w:val="00BC7577"/>
    <w:rsid w:val="00BC761D"/>
    <w:rsid w:val="00BC7AC8"/>
    <w:rsid w:val="00BC7AEE"/>
    <w:rsid w:val="00BC7BA2"/>
    <w:rsid w:val="00BD0DC3"/>
    <w:rsid w:val="00BD1095"/>
    <w:rsid w:val="00BD1229"/>
    <w:rsid w:val="00BD18B2"/>
    <w:rsid w:val="00BD1A9B"/>
    <w:rsid w:val="00BD2303"/>
    <w:rsid w:val="00BD27A9"/>
    <w:rsid w:val="00BD3927"/>
    <w:rsid w:val="00BD3EBF"/>
    <w:rsid w:val="00BD4186"/>
    <w:rsid w:val="00BD420E"/>
    <w:rsid w:val="00BD4297"/>
    <w:rsid w:val="00BD48F8"/>
    <w:rsid w:val="00BD55A7"/>
    <w:rsid w:val="00BD6A07"/>
    <w:rsid w:val="00BD6B2F"/>
    <w:rsid w:val="00BD7AD8"/>
    <w:rsid w:val="00BD7C5F"/>
    <w:rsid w:val="00BE0781"/>
    <w:rsid w:val="00BE0DE6"/>
    <w:rsid w:val="00BE10C1"/>
    <w:rsid w:val="00BE12CE"/>
    <w:rsid w:val="00BE1340"/>
    <w:rsid w:val="00BE1A57"/>
    <w:rsid w:val="00BE21E1"/>
    <w:rsid w:val="00BE2411"/>
    <w:rsid w:val="00BE24A5"/>
    <w:rsid w:val="00BE24C4"/>
    <w:rsid w:val="00BE29AD"/>
    <w:rsid w:val="00BE3148"/>
    <w:rsid w:val="00BE31A9"/>
    <w:rsid w:val="00BE34BA"/>
    <w:rsid w:val="00BE4025"/>
    <w:rsid w:val="00BE4472"/>
    <w:rsid w:val="00BE4900"/>
    <w:rsid w:val="00BE5848"/>
    <w:rsid w:val="00BE587F"/>
    <w:rsid w:val="00BE5A99"/>
    <w:rsid w:val="00BE5E5A"/>
    <w:rsid w:val="00BE6050"/>
    <w:rsid w:val="00BE6309"/>
    <w:rsid w:val="00BE6BF7"/>
    <w:rsid w:val="00BE7734"/>
    <w:rsid w:val="00BF0084"/>
    <w:rsid w:val="00BF020A"/>
    <w:rsid w:val="00BF021E"/>
    <w:rsid w:val="00BF02BC"/>
    <w:rsid w:val="00BF1035"/>
    <w:rsid w:val="00BF1BE7"/>
    <w:rsid w:val="00BF23BF"/>
    <w:rsid w:val="00BF28E0"/>
    <w:rsid w:val="00BF325E"/>
    <w:rsid w:val="00BF37FC"/>
    <w:rsid w:val="00BF3AC5"/>
    <w:rsid w:val="00BF3DEB"/>
    <w:rsid w:val="00BF487D"/>
    <w:rsid w:val="00BF4999"/>
    <w:rsid w:val="00BF4FAF"/>
    <w:rsid w:val="00BF5271"/>
    <w:rsid w:val="00BF5509"/>
    <w:rsid w:val="00BF568B"/>
    <w:rsid w:val="00BF5698"/>
    <w:rsid w:val="00BF56E2"/>
    <w:rsid w:val="00BF5A8F"/>
    <w:rsid w:val="00BF62DD"/>
    <w:rsid w:val="00BF6751"/>
    <w:rsid w:val="00BF68FE"/>
    <w:rsid w:val="00C003AE"/>
    <w:rsid w:val="00C00FEF"/>
    <w:rsid w:val="00C01B3C"/>
    <w:rsid w:val="00C0232D"/>
    <w:rsid w:val="00C024CF"/>
    <w:rsid w:val="00C030BE"/>
    <w:rsid w:val="00C031F3"/>
    <w:rsid w:val="00C03276"/>
    <w:rsid w:val="00C03797"/>
    <w:rsid w:val="00C03CBF"/>
    <w:rsid w:val="00C03D7A"/>
    <w:rsid w:val="00C04BA3"/>
    <w:rsid w:val="00C04D14"/>
    <w:rsid w:val="00C04D89"/>
    <w:rsid w:val="00C050D3"/>
    <w:rsid w:val="00C0541A"/>
    <w:rsid w:val="00C05480"/>
    <w:rsid w:val="00C05F59"/>
    <w:rsid w:val="00C06733"/>
    <w:rsid w:val="00C06B87"/>
    <w:rsid w:val="00C1004B"/>
    <w:rsid w:val="00C10D3A"/>
    <w:rsid w:val="00C1168E"/>
    <w:rsid w:val="00C1203C"/>
    <w:rsid w:val="00C12298"/>
    <w:rsid w:val="00C126D7"/>
    <w:rsid w:val="00C13C32"/>
    <w:rsid w:val="00C13F8A"/>
    <w:rsid w:val="00C14429"/>
    <w:rsid w:val="00C150FA"/>
    <w:rsid w:val="00C15761"/>
    <w:rsid w:val="00C15E3E"/>
    <w:rsid w:val="00C1618D"/>
    <w:rsid w:val="00C16E97"/>
    <w:rsid w:val="00C179E8"/>
    <w:rsid w:val="00C17E82"/>
    <w:rsid w:val="00C2078D"/>
    <w:rsid w:val="00C20993"/>
    <w:rsid w:val="00C2105F"/>
    <w:rsid w:val="00C218D4"/>
    <w:rsid w:val="00C21AC5"/>
    <w:rsid w:val="00C21B5E"/>
    <w:rsid w:val="00C22C01"/>
    <w:rsid w:val="00C22C20"/>
    <w:rsid w:val="00C22D43"/>
    <w:rsid w:val="00C239D2"/>
    <w:rsid w:val="00C23A6A"/>
    <w:rsid w:val="00C245F6"/>
    <w:rsid w:val="00C248C7"/>
    <w:rsid w:val="00C24BAD"/>
    <w:rsid w:val="00C300AC"/>
    <w:rsid w:val="00C307DF"/>
    <w:rsid w:val="00C31B8A"/>
    <w:rsid w:val="00C3280E"/>
    <w:rsid w:val="00C32AA0"/>
    <w:rsid w:val="00C32F58"/>
    <w:rsid w:val="00C343A1"/>
    <w:rsid w:val="00C352E0"/>
    <w:rsid w:val="00C357CE"/>
    <w:rsid w:val="00C36064"/>
    <w:rsid w:val="00C3629D"/>
    <w:rsid w:val="00C362DB"/>
    <w:rsid w:val="00C36B82"/>
    <w:rsid w:val="00C36D2E"/>
    <w:rsid w:val="00C37BAE"/>
    <w:rsid w:val="00C37F67"/>
    <w:rsid w:val="00C40CF8"/>
    <w:rsid w:val="00C40EBB"/>
    <w:rsid w:val="00C41C41"/>
    <w:rsid w:val="00C42DE5"/>
    <w:rsid w:val="00C42E60"/>
    <w:rsid w:val="00C43105"/>
    <w:rsid w:val="00C43126"/>
    <w:rsid w:val="00C43499"/>
    <w:rsid w:val="00C43781"/>
    <w:rsid w:val="00C44724"/>
    <w:rsid w:val="00C457BB"/>
    <w:rsid w:val="00C45D35"/>
    <w:rsid w:val="00C45E44"/>
    <w:rsid w:val="00C46665"/>
    <w:rsid w:val="00C46998"/>
    <w:rsid w:val="00C46FDA"/>
    <w:rsid w:val="00C471B1"/>
    <w:rsid w:val="00C501B9"/>
    <w:rsid w:val="00C5080C"/>
    <w:rsid w:val="00C508C0"/>
    <w:rsid w:val="00C50A3F"/>
    <w:rsid w:val="00C50BB2"/>
    <w:rsid w:val="00C50F57"/>
    <w:rsid w:val="00C510CF"/>
    <w:rsid w:val="00C5196C"/>
    <w:rsid w:val="00C51DB4"/>
    <w:rsid w:val="00C51FCC"/>
    <w:rsid w:val="00C521C5"/>
    <w:rsid w:val="00C5245A"/>
    <w:rsid w:val="00C52574"/>
    <w:rsid w:val="00C52844"/>
    <w:rsid w:val="00C52CB7"/>
    <w:rsid w:val="00C5313E"/>
    <w:rsid w:val="00C53287"/>
    <w:rsid w:val="00C53690"/>
    <w:rsid w:val="00C53D2A"/>
    <w:rsid w:val="00C54307"/>
    <w:rsid w:val="00C545A6"/>
    <w:rsid w:val="00C54BFF"/>
    <w:rsid w:val="00C55AA5"/>
    <w:rsid w:val="00C56360"/>
    <w:rsid w:val="00C56855"/>
    <w:rsid w:val="00C5712C"/>
    <w:rsid w:val="00C5738B"/>
    <w:rsid w:val="00C607B7"/>
    <w:rsid w:val="00C60875"/>
    <w:rsid w:val="00C608CB"/>
    <w:rsid w:val="00C60B23"/>
    <w:rsid w:val="00C6122A"/>
    <w:rsid w:val="00C6143B"/>
    <w:rsid w:val="00C6220A"/>
    <w:rsid w:val="00C637C6"/>
    <w:rsid w:val="00C63F30"/>
    <w:rsid w:val="00C644DB"/>
    <w:rsid w:val="00C64716"/>
    <w:rsid w:val="00C647E3"/>
    <w:rsid w:val="00C6578C"/>
    <w:rsid w:val="00C66705"/>
    <w:rsid w:val="00C669CA"/>
    <w:rsid w:val="00C66AB6"/>
    <w:rsid w:val="00C6796D"/>
    <w:rsid w:val="00C67AC3"/>
    <w:rsid w:val="00C67F57"/>
    <w:rsid w:val="00C702A1"/>
    <w:rsid w:val="00C70316"/>
    <w:rsid w:val="00C70472"/>
    <w:rsid w:val="00C70FB2"/>
    <w:rsid w:val="00C714F4"/>
    <w:rsid w:val="00C715D6"/>
    <w:rsid w:val="00C71EB9"/>
    <w:rsid w:val="00C732DC"/>
    <w:rsid w:val="00C73482"/>
    <w:rsid w:val="00C738E2"/>
    <w:rsid w:val="00C74018"/>
    <w:rsid w:val="00C7441C"/>
    <w:rsid w:val="00C7483F"/>
    <w:rsid w:val="00C7491D"/>
    <w:rsid w:val="00C74B72"/>
    <w:rsid w:val="00C74C97"/>
    <w:rsid w:val="00C7514A"/>
    <w:rsid w:val="00C75D7F"/>
    <w:rsid w:val="00C75F46"/>
    <w:rsid w:val="00C763A9"/>
    <w:rsid w:val="00C76780"/>
    <w:rsid w:val="00C76891"/>
    <w:rsid w:val="00C769E3"/>
    <w:rsid w:val="00C77008"/>
    <w:rsid w:val="00C77B39"/>
    <w:rsid w:val="00C80932"/>
    <w:rsid w:val="00C80D8A"/>
    <w:rsid w:val="00C8134D"/>
    <w:rsid w:val="00C82B28"/>
    <w:rsid w:val="00C831B7"/>
    <w:rsid w:val="00C832F7"/>
    <w:rsid w:val="00C83527"/>
    <w:rsid w:val="00C8445E"/>
    <w:rsid w:val="00C845CD"/>
    <w:rsid w:val="00C847FC"/>
    <w:rsid w:val="00C84CA8"/>
    <w:rsid w:val="00C84D22"/>
    <w:rsid w:val="00C8548C"/>
    <w:rsid w:val="00C85EB1"/>
    <w:rsid w:val="00C867B0"/>
    <w:rsid w:val="00C86D6F"/>
    <w:rsid w:val="00C86FFA"/>
    <w:rsid w:val="00C87343"/>
    <w:rsid w:val="00C87BE2"/>
    <w:rsid w:val="00C87F56"/>
    <w:rsid w:val="00C90392"/>
    <w:rsid w:val="00C90C5F"/>
    <w:rsid w:val="00C90CF7"/>
    <w:rsid w:val="00C91BDF"/>
    <w:rsid w:val="00C9235A"/>
    <w:rsid w:val="00C92422"/>
    <w:rsid w:val="00C928DC"/>
    <w:rsid w:val="00C937AE"/>
    <w:rsid w:val="00C93825"/>
    <w:rsid w:val="00C93961"/>
    <w:rsid w:val="00C9397C"/>
    <w:rsid w:val="00C93AE5"/>
    <w:rsid w:val="00C94BA0"/>
    <w:rsid w:val="00C94F26"/>
    <w:rsid w:val="00C959DC"/>
    <w:rsid w:val="00C9622F"/>
    <w:rsid w:val="00C96814"/>
    <w:rsid w:val="00CA034D"/>
    <w:rsid w:val="00CA07E9"/>
    <w:rsid w:val="00CA0D61"/>
    <w:rsid w:val="00CA1401"/>
    <w:rsid w:val="00CA22DD"/>
    <w:rsid w:val="00CA2423"/>
    <w:rsid w:val="00CA2666"/>
    <w:rsid w:val="00CA2AD6"/>
    <w:rsid w:val="00CA33B6"/>
    <w:rsid w:val="00CA3710"/>
    <w:rsid w:val="00CA3D71"/>
    <w:rsid w:val="00CA4ACB"/>
    <w:rsid w:val="00CA4E23"/>
    <w:rsid w:val="00CA5105"/>
    <w:rsid w:val="00CA5120"/>
    <w:rsid w:val="00CA5129"/>
    <w:rsid w:val="00CA538F"/>
    <w:rsid w:val="00CA5952"/>
    <w:rsid w:val="00CA5ACD"/>
    <w:rsid w:val="00CA6031"/>
    <w:rsid w:val="00CA65F7"/>
    <w:rsid w:val="00CA6634"/>
    <w:rsid w:val="00CA6B03"/>
    <w:rsid w:val="00CA78A5"/>
    <w:rsid w:val="00CB0743"/>
    <w:rsid w:val="00CB09BD"/>
    <w:rsid w:val="00CB0A2F"/>
    <w:rsid w:val="00CB1639"/>
    <w:rsid w:val="00CB17DC"/>
    <w:rsid w:val="00CB1F71"/>
    <w:rsid w:val="00CB1FF3"/>
    <w:rsid w:val="00CB25C8"/>
    <w:rsid w:val="00CB2626"/>
    <w:rsid w:val="00CB2B72"/>
    <w:rsid w:val="00CB3151"/>
    <w:rsid w:val="00CB37F9"/>
    <w:rsid w:val="00CB4541"/>
    <w:rsid w:val="00CB4AD8"/>
    <w:rsid w:val="00CB4CDA"/>
    <w:rsid w:val="00CB5292"/>
    <w:rsid w:val="00CB54E0"/>
    <w:rsid w:val="00CB5C37"/>
    <w:rsid w:val="00CB6056"/>
    <w:rsid w:val="00CB666C"/>
    <w:rsid w:val="00CB67A6"/>
    <w:rsid w:val="00CB6829"/>
    <w:rsid w:val="00CB6F84"/>
    <w:rsid w:val="00CB7FF2"/>
    <w:rsid w:val="00CC1631"/>
    <w:rsid w:val="00CC1E1B"/>
    <w:rsid w:val="00CC1E5C"/>
    <w:rsid w:val="00CC21A8"/>
    <w:rsid w:val="00CC242F"/>
    <w:rsid w:val="00CC2821"/>
    <w:rsid w:val="00CC2EB0"/>
    <w:rsid w:val="00CC2F0E"/>
    <w:rsid w:val="00CC3794"/>
    <w:rsid w:val="00CC37D5"/>
    <w:rsid w:val="00CC38B9"/>
    <w:rsid w:val="00CC3923"/>
    <w:rsid w:val="00CC3A84"/>
    <w:rsid w:val="00CC3DB2"/>
    <w:rsid w:val="00CC4B3D"/>
    <w:rsid w:val="00CC4C35"/>
    <w:rsid w:val="00CC50C0"/>
    <w:rsid w:val="00CC5211"/>
    <w:rsid w:val="00CC5494"/>
    <w:rsid w:val="00CC574D"/>
    <w:rsid w:val="00CC5768"/>
    <w:rsid w:val="00CC5B6B"/>
    <w:rsid w:val="00CC68F6"/>
    <w:rsid w:val="00CC7548"/>
    <w:rsid w:val="00CC7CB9"/>
    <w:rsid w:val="00CD0131"/>
    <w:rsid w:val="00CD0208"/>
    <w:rsid w:val="00CD1314"/>
    <w:rsid w:val="00CD2052"/>
    <w:rsid w:val="00CD24D9"/>
    <w:rsid w:val="00CD2570"/>
    <w:rsid w:val="00CD2685"/>
    <w:rsid w:val="00CD2B04"/>
    <w:rsid w:val="00CD30D7"/>
    <w:rsid w:val="00CD3147"/>
    <w:rsid w:val="00CD44B7"/>
    <w:rsid w:val="00CD45E3"/>
    <w:rsid w:val="00CD47F4"/>
    <w:rsid w:val="00CD593A"/>
    <w:rsid w:val="00CD5989"/>
    <w:rsid w:val="00CD599C"/>
    <w:rsid w:val="00CD6254"/>
    <w:rsid w:val="00CD6672"/>
    <w:rsid w:val="00CD6774"/>
    <w:rsid w:val="00CD7B15"/>
    <w:rsid w:val="00CD7D50"/>
    <w:rsid w:val="00CE02F3"/>
    <w:rsid w:val="00CE0375"/>
    <w:rsid w:val="00CE286E"/>
    <w:rsid w:val="00CE2C8A"/>
    <w:rsid w:val="00CE3E50"/>
    <w:rsid w:val="00CE4D21"/>
    <w:rsid w:val="00CE500A"/>
    <w:rsid w:val="00CE5452"/>
    <w:rsid w:val="00CE561E"/>
    <w:rsid w:val="00CE5AF4"/>
    <w:rsid w:val="00CE6166"/>
    <w:rsid w:val="00CE6BE2"/>
    <w:rsid w:val="00CE6CA7"/>
    <w:rsid w:val="00CE77E2"/>
    <w:rsid w:val="00CE790E"/>
    <w:rsid w:val="00CE7B7D"/>
    <w:rsid w:val="00CF011E"/>
    <w:rsid w:val="00CF0309"/>
    <w:rsid w:val="00CF05BD"/>
    <w:rsid w:val="00CF1218"/>
    <w:rsid w:val="00CF1BE7"/>
    <w:rsid w:val="00CF1DB3"/>
    <w:rsid w:val="00CF2012"/>
    <w:rsid w:val="00CF2A78"/>
    <w:rsid w:val="00CF2C3B"/>
    <w:rsid w:val="00CF2DFC"/>
    <w:rsid w:val="00CF366E"/>
    <w:rsid w:val="00CF3A7E"/>
    <w:rsid w:val="00CF475E"/>
    <w:rsid w:val="00CF47B0"/>
    <w:rsid w:val="00CF4C0C"/>
    <w:rsid w:val="00CF50AC"/>
    <w:rsid w:val="00CF5F50"/>
    <w:rsid w:val="00CF6422"/>
    <w:rsid w:val="00CF68AA"/>
    <w:rsid w:val="00CF73FC"/>
    <w:rsid w:val="00D01191"/>
    <w:rsid w:val="00D0123F"/>
    <w:rsid w:val="00D01A8C"/>
    <w:rsid w:val="00D01ED4"/>
    <w:rsid w:val="00D020F8"/>
    <w:rsid w:val="00D022B3"/>
    <w:rsid w:val="00D0232D"/>
    <w:rsid w:val="00D02A51"/>
    <w:rsid w:val="00D02E80"/>
    <w:rsid w:val="00D03455"/>
    <w:rsid w:val="00D0391F"/>
    <w:rsid w:val="00D04F42"/>
    <w:rsid w:val="00D05216"/>
    <w:rsid w:val="00D053BF"/>
    <w:rsid w:val="00D054E0"/>
    <w:rsid w:val="00D05CE6"/>
    <w:rsid w:val="00D05E96"/>
    <w:rsid w:val="00D06A98"/>
    <w:rsid w:val="00D0712C"/>
    <w:rsid w:val="00D0760E"/>
    <w:rsid w:val="00D079A1"/>
    <w:rsid w:val="00D10D1D"/>
    <w:rsid w:val="00D12479"/>
    <w:rsid w:val="00D12714"/>
    <w:rsid w:val="00D12BF0"/>
    <w:rsid w:val="00D12C06"/>
    <w:rsid w:val="00D12E95"/>
    <w:rsid w:val="00D12EAF"/>
    <w:rsid w:val="00D13025"/>
    <w:rsid w:val="00D143B4"/>
    <w:rsid w:val="00D14778"/>
    <w:rsid w:val="00D149BA"/>
    <w:rsid w:val="00D14D9D"/>
    <w:rsid w:val="00D15437"/>
    <w:rsid w:val="00D15926"/>
    <w:rsid w:val="00D160B4"/>
    <w:rsid w:val="00D16710"/>
    <w:rsid w:val="00D16FE7"/>
    <w:rsid w:val="00D17328"/>
    <w:rsid w:val="00D17362"/>
    <w:rsid w:val="00D173E7"/>
    <w:rsid w:val="00D20176"/>
    <w:rsid w:val="00D20B0F"/>
    <w:rsid w:val="00D20F87"/>
    <w:rsid w:val="00D2111D"/>
    <w:rsid w:val="00D21656"/>
    <w:rsid w:val="00D21744"/>
    <w:rsid w:val="00D2183C"/>
    <w:rsid w:val="00D21842"/>
    <w:rsid w:val="00D2196B"/>
    <w:rsid w:val="00D21FF1"/>
    <w:rsid w:val="00D223B6"/>
    <w:rsid w:val="00D223F8"/>
    <w:rsid w:val="00D22454"/>
    <w:rsid w:val="00D2251E"/>
    <w:rsid w:val="00D22CAB"/>
    <w:rsid w:val="00D23195"/>
    <w:rsid w:val="00D23525"/>
    <w:rsid w:val="00D2412F"/>
    <w:rsid w:val="00D24A74"/>
    <w:rsid w:val="00D25353"/>
    <w:rsid w:val="00D2695B"/>
    <w:rsid w:val="00D278D3"/>
    <w:rsid w:val="00D30068"/>
    <w:rsid w:val="00D30642"/>
    <w:rsid w:val="00D309B1"/>
    <w:rsid w:val="00D30B9F"/>
    <w:rsid w:val="00D31D89"/>
    <w:rsid w:val="00D32548"/>
    <w:rsid w:val="00D3458F"/>
    <w:rsid w:val="00D34671"/>
    <w:rsid w:val="00D347EC"/>
    <w:rsid w:val="00D34BF9"/>
    <w:rsid w:val="00D35515"/>
    <w:rsid w:val="00D35FE7"/>
    <w:rsid w:val="00D3622F"/>
    <w:rsid w:val="00D36D78"/>
    <w:rsid w:val="00D37147"/>
    <w:rsid w:val="00D3765D"/>
    <w:rsid w:val="00D3772D"/>
    <w:rsid w:val="00D37B34"/>
    <w:rsid w:val="00D40BD4"/>
    <w:rsid w:val="00D40C5A"/>
    <w:rsid w:val="00D4105F"/>
    <w:rsid w:val="00D413C7"/>
    <w:rsid w:val="00D41AEB"/>
    <w:rsid w:val="00D41DDF"/>
    <w:rsid w:val="00D42039"/>
    <w:rsid w:val="00D42735"/>
    <w:rsid w:val="00D44575"/>
    <w:rsid w:val="00D4596A"/>
    <w:rsid w:val="00D45C9A"/>
    <w:rsid w:val="00D46B10"/>
    <w:rsid w:val="00D47410"/>
    <w:rsid w:val="00D47ACD"/>
    <w:rsid w:val="00D47F98"/>
    <w:rsid w:val="00D5073D"/>
    <w:rsid w:val="00D507EB"/>
    <w:rsid w:val="00D50F82"/>
    <w:rsid w:val="00D51B22"/>
    <w:rsid w:val="00D524AC"/>
    <w:rsid w:val="00D52ECE"/>
    <w:rsid w:val="00D5356D"/>
    <w:rsid w:val="00D5357C"/>
    <w:rsid w:val="00D53639"/>
    <w:rsid w:val="00D538AB"/>
    <w:rsid w:val="00D53BB1"/>
    <w:rsid w:val="00D5422C"/>
    <w:rsid w:val="00D545B0"/>
    <w:rsid w:val="00D549FA"/>
    <w:rsid w:val="00D5564D"/>
    <w:rsid w:val="00D55A3E"/>
    <w:rsid w:val="00D55E30"/>
    <w:rsid w:val="00D56FC8"/>
    <w:rsid w:val="00D57077"/>
    <w:rsid w:val="00D57411"/>
    <w:rsid w:val="00D57B94"/>
    <w:rsid w:val="00D57D88"/>
    <w:rsid w:val="00D6117A"/>
    <w:rsid w:val="00D6157A"/>
    <w:rsid w:val="00D61653"/>
    <w:rsid w:val="00D61672"/>
    <w:rsid w:val="00D62AEB"/>
    <w:rsid w:val="00D62D2E"/>
    <w:rsid w:val="00D63801"/>
    <w:rsid w:val="00D63EC1"/>
    <w:rsid w:val="00D63FF2"/>
    <w:rsid w:val="00D640E4"/>
    <w:rsid w:val="00D643F2"/>
    <w:rsid w:val="00D64510"/>
    <w:rsid w:val="00D6524C"/>
    <w:rsid w:val="00D65749"/>
    <w:rsid w:val="00D65848"/>
    <w:rsid w:val="00D65B8A"/>
    <w:rsid w:val="00D65BB7"/>
    <w:rsid w:val="00D65D56"/>
    <w:rsid w:val="00D660F8"/>
    <w:rsid w:val="00D66226"/>
    <w:rsid w:val="00D66376"/>
    <w:rsid w:val="00D666AA"/>
    <w:rsid w:val="00D66731"/>
    <w:rsid w:val="00D66D30"/>
    <w:rsid w:val="00D67446"/>
    <w:rsid w:val="00D702CC"/>
    <w:rsid w:val="00D704B1"/>
    <w:rsid w:val="00D716FF"/>
    <w:rsid w:val="00D71D68"/>
    <w:rsid w:val="00D7323E"/>
    <w:rsid w:val="00D74280"/>
    <w:rsid w:val="00D74EF0"/>
    <w:rsid w:val="00D74F03"/>
    <w:rsid w:val="00D7532C"/>
    <w:rsid w:val="00D761C1"/>
    <w:rsid w:val="00D76231"/>
    <w:rsid w:val="00D76849"/>
    <w:rsid w:val="00D76956"/>
    <w:rsid w:val="00D76B91"/>
    <w:rsid w:val="00D76D64"/>
    <w:rsid w:val="00D7711B"/>
    <w:rsid w:val="00D77785"/>
    <w:rsid w:val="00D80463"/>
    <w:rsid w:val="00D80A3F"/>
    <w:rsid w:val="00D80B33"/>
    <w:rsid w:val="00D810C1"/>
    <w:rsid w:val="00D81107"/>
    <w:rsid w:val="00D8259A"/>
    <w:rsid w:val="00D82629"/>
    <w:rsid w:val="00D82920"/>
    <w:rsid w:val="00D82D3D"/>
    <w:rsid w:val="00D83A3B"/>
    <w:rsid w:val="00D83E1F"/>
    <w:rsid w:val="00D8439F"/>
    <w:rsid w:val="00D84E6C"/>
    <w:rsid w:val="00D866D3"/>
    <w:rsid w:val="00D872A4"/>
    <w:rsid w:val="00D873DD"/>
    <w:rsid w:val="00D87B20"/>
    <w:rsid w:val="00D87FCE"/>
    <w:rsid w:val="00D90294"/>
    <w:rsid w:val="00D90FA5"/>
    <w:rsid w:val="00D912C5"/>
    <w:rsid w:val="00D91FAB"/>
    <w:rsid w:val="00D924E4"/>
    <w:rsid w:val="00D92B3A"/>
    <w:rsid w:val="00D92D28"/>
    <w:rsid w:val="00D9302C"/>
    <w:rsid w:val="00D93543"/>
    <w:rsid w:val="00D9373D"/>
    <w:rsid w:val="00D94562"/>
    <w:rsid w:val="00D954E1"/>
    <w:rsid w:val="00D9563C"/>
    <w:rsid w:val="00D95803"/>
    <w:rsid w:val="00D95B06"/>
    <w:rsid w:val="00D96377"/>
    <w:rsid w:val="00D96B64"/>
    <w:rsid w:val="00D97440"/>
    <w:rsid w:val="00D97CDD"/>
    <w:rsid w:val="00DA04FA"/>
    <w:rsid w:val="00DA1203"/>
    <w:rsid w:val="00DA1779"/>
    <w:rsid w:val="00DA1825"/>
    <w:rsid w:val="00DA1B74"/>
    <w:rsid w:val="00DA2728"/>
    <w:rsid w:val="00DA2C5C"/>
    <w:rsid w:val="00DA3155"/>
    <w:rsid w:val="00DA333E"/>
    <w:rsid w:val="00DA36F2"/>
    <w:rsid w:val="00DA3E2D"/>
    <w:rsid w:val="00DA3F33"/>
    <w:rsid w:val="00DA3F63"/>
    <w:rsid w:val="00DA42EC"/>
    <w:rsid w:val="00DA430D"/>
    <w:rsid w:val="00DA49D3"/>
    <w:rsid w:val="00DA4BFA"/>
    <w:rsid w:val="00DA5768"/>
    <w:rsid w:val="00DA5BAE"/>
    <w:rsid w:val="00DA648E"/>
    <w:rsid w:val="00DA6DDA"/>
    <w:rsid w:val="00DA7F8A"/>
    <w:rsid w:val="00DB0B84"/>
    <w:rsid w:val="00DB1573"/>
    <w:rsid w:val="00DB1E1E"/>
    <w:rsid w:val="00DB251F"/>
    <w:rsid w:val="00DB4011"/>
    <w:rsid w:val="00DB4910"/>
    <w:rsid w:val="00DB516E"/>
    <w:rsid w:val="00DB5FAA"/>
    <w:rsid w:val="00DB608E"/>
    <w:rsid w:val="00DB63F8"/>
    <w:rsid w:val="00DB66F0"/>
    <w:rsid w:val="00DB66FE"/>
    <w:rsid w:val="00DB6910"/>
    <w:rsid w:val="00DB704A"/>
    <w:rsid w:val="00DB7837"/>
    <w:rsid w:val="00DB7B32"/>
    <w:rsid w:val="00DB7CF0"/>
    <w:rsid w:val="00DC08E8"/>
    <w:rsid w:val="00DC10BC"/>
    <w:rsid w:val="00DC12E3"/>
    <w:rsid w:val="00DC183D"/>
    <w:rsid w:val="00DC1C39"/>
    <w:rsid w:val="00DC2ACA"/>
    <w:rsid w:val="00DC2C7B"/>
    <w:rsid w:val="00DC2FB7"/>
    <w:rsid w:val="00DC3464"/>
    <w:rsid w:val="00DC39FF"/>
    <w:rsid w:val="00DC3E37"/>
    <w:rsid w:val="00DC42CF"/>
    <w:rsid w:val="00DC42FF"/>
    <w:rsid w:val="00DC4499"/>
    <w:rsid w:val="00DC55D1"/>
    <w:rsid w:val="00DC5CDA"/>
    <w:rsid w:val="00DC717C"/>
    <w:rsid w:val="00DD01C3"/>
    <w:rsid w:val="00DD157D"/>
    <w:rsid w:val="00DD16DF"/>
    <w:rsid w:val="00DD19BE"/>
    <w:rsid w:val="00DD1D49"/>
    <w:rsid w:val="00DD1D86"/>
    <w:rsid w:val="00DD1ECD"/>
    <w:rsid w:val="00DD26C5"/>
    <w:rsid w:val="00DD2A4C"/>
    <w:rsid w:val="00DD2BC8"/>
    <w:rsid w:val="00DD366E"/>
    <w:rsid w:val="00DD38ED"/>
    <w:rsid w:val="00DD39B4"/>
    <w:rsid w:val="00DD3AE9"/>
    <w:rsid w:val="00DD3FB5"/>
    <w:rsid w:val="00DD4270"/>
    <w:rsid w:val="00DD477E"/>
    <w:rsid w:val="00DD4A60"/>
    <w:rsid w:val="00DD4B8B"/>
    <w:rsid w:val="00DD5ABB"/>
    <w:rsid w:val="00DD5ED8"/>
    <w:rsid w:val="00DD6411"/>
    <w:rsid w:val="00DD6778"/>
    <w:rsid w:val="00DD6967"/>
    <w:rsid w:val="00DD6F69"/>
    <w:rsid w:val="00DD7B36"/>
    <w:rsid w:val="00DD7B68"/>
    <w:rsid w:val="00DD7E78"/>
    <w:rsid w:val="00DD7F8B"/>
    <w:rsid w:val="00DE10F0"/>
    <w:rsid w:val="00DE12CA"/>
    <w:rsid w:val="00DE142B"/>
    <w:rsid w:val="00DE1CC0"/>
    <w:rsid w:val="00DE225D"/>
    <w:rsid w:val="00DE380E"/>
    <w:rsid w:val="00DE3E9C"/>
    <w:rsid w:val="00DE3EAC"/>
    <w:rsid w:val="00DE41D8"/>
    <w:rsid w:val="00DE4623"/>
    <w:rsid w:val="00DE4821"/>
    <w:rsid w:val="00DE5215"/>
    <w:rsid w:val="00DE5614"/>
    <w:rsid w:val="00DE5702"/>
    <w:rsid w:val="00DE6940"/>
    <w:rsid w:val="00DE6981"/>
    <w:rsid w:val="00DE6C2F"/>
    <w:rsid w:val="00DE6EC6"/>
    <w:rsid w:val="00DE7232"/>
    <w:rsid w:val="00DE7BE0"/>
    <w:rsid w:val="00DE7E08"/>
    <w:rsid w:val="00DF02D0"/>
    <w:rsid w:val="00DF0B1D"/>
    <w:rsid w:val="00DF1435"/>
    <w:rsid w:val="00DF1614"/>
    <w:rsid w:val="00DF1647"/>
    <w:rsid w:val="00DF1DB6"/>
    <w:rsid w:val="00DF25D2"/>
    <w:rsid w:val="00DF2946"/>
    <w:rsid w:val="00DF3021"/>
    <w:rsid w:val="00DF380A"/>
    <w:rsid w:val="00DF5017"/>
    <w:rsid w:val="00DF53BC"/>
    <w:rsid w:val="00DF5DD8"/>
    <w:rsid w:val="00DF65C9"/>
    <w:rsid w:val="00DF65D2"/>
    <w:rsid w:val="00E00086"/>
    <w:rsid w:val="00E00193"/>
    <w:rsid w:val="00E00AB5"/>
    <w:rsid w:val="00E00B2D"/>
    <w:rsid w:val="00E00D05"/>
    <w:rsid w:val="00E01ED8"/>
    <w:rsid w:val="00E02221"/>
    <w:rsid w:val="00E025CA"/>
    <w:rsid w:val="00E0318E"/>
    <w:rsid w:val="00E036C2"/>
    <w:rsid w:val="00E03AF4"/>
    <w:rsid w:val="00E03F83"/>
    <w:rsid w:val="00E043F3"/>
    <w:rsid w:val="00E04800"/>
    <w:rsid w:val="00E052C8"/>
    <w:rsid w:val="00E05620"/>
    <w:rsid w:val="00E05B54"/>
    <w:rsid w:val="00E06D6E"/>
    <w:rsid w:val="00E07277"/>
    <w:rsid w:val="00E07A94"/>
    <w:rsid w:val="00E07C85"/>
    <w:rsid w:val="00E106DD"/>
    <w:rsid w:val="00E11F0B"/>
    <w:rsid w:val="00E121A6"/>
    <w:rsid w:val="00E12B4C"/>
    <w:rsid w:val="00E12C22"/>
    <w:rsid w:val="00E137C9"/>
    <w:rsid w:val="00E1430B"/>
    <w:rsid w:val="00E14F40"/>
    <w:rsid w:val="00E14F47"/>
    <w:rsid w:val="00E1521D"/>
    <w:rsid w:val="00E15617"/>
    <w:rsid w:val="00E15E4F"/>
    <w:rsid w:val="00E163EC"/>
    <w:rsid w:val="00E16577"/>
    <w:rsid w:val="00E1686E"/>
    <w:rsid w:val="00E169BC"/>
    <w:rsid w:val="00E16A21"/>
    <w:rsid w:val="00E16B57"/>
    <w:rsid w:val="00E16DC3"/>
    <w:rsid w:val="00E1729C"/>
    <w:rsid w:val="00E179E0"/>
    <w:rsid w:val="00E17BCB"/>
    <w:rsid w:val="00E17D9E"/>
    <w:rsid w:val="00E17DEC"/>
    <w:rsid w:val="00E17FA1"/>
    <w:rsid w:val="00E21782"/>
    <w:rsid w:val="00E2179D"/>
    <w:rsid w:val="00E22012"/>
    <w:rsid w:val="00E22FC3"/>
    <w:rsid w:val="00E23F5E"/>
    <w:rsid w:val="00E24B9F"/>
    <w:rsid w:val="00E24E3B"/>
    <w:rsid w:val="00E25547"/>
    <w:rsid w:val="00E256F5"/>
    <w:rsid w:val="00E25935"/>
    <w:rsid w:val="00E25E8B"/>
    <w:rsid w:val="00E262A6"/>
    <w:rsid w:val="00E26314"/>
    <w:rsid w:val="00E27036"/>
    <w:rsid w:val="00E27ACE"/>
    <w:rsid w:val="00E30603"/>
    <w:rsid w:val="00E30B39"/>
    <w:rsid w:val="00E30BF5"/>
    <w:rsid w:val="00E316B1"/>
    <w:rsid w:val="00E31AA7"/>
    <w:rsid w:val="00E322B5"/>
    <w:rsid w:val="00E3251D"/>
    <w:rsid w:val="00E32C66"/>
    <w:rsid w:val="00E32D1B"/>
    <w:rsid w:val="00E3302F"/>
    <w:rsid w:val="00E33263"/>
    <w:rsid w:val="00E33644"/>
    <w:rsid w:val="00E342C0"/>
    <w:rsid w:val="00E34449"/>
    <w:rsid w:val="00E34780"/>
    <w:rsid w:val="00E347DA"/>
    <w:rsid w:val="00E35754"/>
    <w:rsid w:val="00E36151"/>
    <w:rsid w:val="00E3669B"/>
    <w:rsid w:val="00E366B4"/>
    <w:rsid w:val="00E3679F"/>
    <w:rsid w:val="00E367A9"/>
    <w:rsid w:val="00E37FB4"/>
    <w:rsid w:val="00E400BD"/>
    <w:rsid w:val="00E407E5"/>
    <w:rsid w:val="00E40BD5"/>
    <w:rsid w:val="00E415F5"/>
    <w:rsid w:val="00E4229E"/>
    <w:rsid w:val="00E422C9"/>
    <w:rsid w:val="00E439A6"/>
    <w:rsid w:val="00E43FA9"/>
    <w:rsid w:val="00E44D00"/>
    <w:rsid w:val="00E44F69"/>
    <w:rsid w:val="00E4552A"/>
    <w:rsid w:val="00E45B20"/>
    <w:rsid w:val="00E45E3F"/>
    <w:rsid w:val="00E461FF"/>
    <w:rsid w:val="00E4710E"/>
    <w:rsid w:val="00E4717B"/>
    <w:rsid w:val="00E472C8"/>
    <w:rsid w:val="00E47DB4"/>
    <w:rsid w:val="00E50557"/>
    <w:rsid w:val="00E50F9B"/>
    <w:rsid w:val="00E52448"/>
    <w:rsid w:val="00E536D5"/>
    <w:rsid w:val="00E54A52"/>
    <w:rsid w:val="00E553E3"/>
    <w:rsid w:val="00E557DD"/>
    <w:rsid w:val="00E55F8C"/>
    <w:rsid w:val="00E5720B"/>
    <w:rsid w:val="00E572A8"/>
    <w:rsid w:val="00E57678"/>
    <w:rsid w:val="00E601C6"/>
    <w:rsid w:val="00E60AF7"/>
    <w:rsid w:val="00E61029"/>
    <w:rsid w:val="00E61679"/>
    <w:rsid w:val="00E62432"/>
    <w:rsid w:val="00E627A8"/>
    <w:rsid w:val="00E635BE"/>
    <w:rsid w:val="00E63B6A"/>
    <w:rsid w:val="00E6422C"/>
    <w:rsid w:val="00E64BC1"/>
    <w:rsid w:val="00E65265"/>
    <w:rsid w:val="00E65734"/>
    <w:rsid w:val="00E65D94"/>
    <w:rsid w:val="00E667D1"/>
    <w:rsid w:val="00E6688F"/>
    <w:rsid w:val="00E66BF3"/>
    <w:rsid w:val="00E6702B"/>
    <w:rsid w:val="00E705E3"/>
    <w:rsid w:val="00E71324"/>
    <w:rsid w:val="00E716D4"/>
    <w:rsid w:val="00E71C9C"/>
    <w:rsid w:val="00E729CF"/>
    <w:rsid w:val="00E72D71"/>
    <w:rsid w:val="00E730F3"/>
    <w:rsid w:val="00E73A8F"/>
    <w:rsid w:val="00E746C8"/>
    <w:rsid w:val="00E74977"/>
    <w:rsid w:val="00E75078"/>
    <w:rsid w:val="00E753D4"/>
    <w:rsid w:val="00E75B01"/>
    <w:rsid w:val="00E76D86"/>
    <w:rsid w:val="00E77375"/>
    <w:rsid w:val="00E77C51"/>
    <w:rsid w:val="00E80484"/>
    <w:rsid w:val="00E80A45"/>
    <w:rsid w:val="00E80C0C"/>
    <w:rsid w:val="00E810BD"/>
    <w:rsid w:val="00E81B62"/>
    <w:rsid w:val="00E81EBF"/>
    <w:rsid w:val="00E82292"/>
    <w:rsid w:val="00E823C9"/>
    <w:rsid w:val="00E829EF"/>
    <w:rsid w:val="00E8302C"/>
    <w:rsid w:val="00E83A01"/>
    <w:rsid w:val="00E83BCE"/>
    <w:rsid w:val="00E842E0"/>
    <w:rsid w:val="00E848B9"/>
    <w:rsid w:val="00E84C0A"/>
    <w:rsid w:val="00E85735"/>
    <w:rsid w:val="00E85DA3"/>
    <w:rsid w:val="00E85E58"/>
    <w:rsid w:val="00E85F8C"/>
    <w:rsid w:val="00E86212"/>
    <w:rsid w:val="00E8644E"/>
    <w:rsid w:val="00E86ADE"/>
    <w:rsid w:val="00E86CCB"/>
    <w:rsid w:val="00E86F45"/>
    <w:rsid w:val="00E8733F"/>
    <w:rsid w:val="00E8747E"/>
    <w:rsid w:val="00E87563"/>
    <w:rsid w:val="00E87C99"/>
    <w:rsid w:val="00E9056C"/>
    <w:rsid w:val="00E91023"/>
    <w:rsid w:val="00E91223"/>
    <w:rsid w:val="00E91D61"/>
    <w:rsid w:val="00E92BA9"/>
    <w:rsid w:val="00E93ABF"/>
    <w:rsid w:val="00E93C75"/>
    <w:rsid w:val="00E93D10"/>
    <w:rsid w:val="00E94095"/>
    <w:rsid w:val="00E94457"/>
    <w:rsid w:val="00E948C6"/>
    <w:rsid w:val="00E958BD"/>
    <w:rsid w:val="00E9647F"/>
    <w:rsid w:val="00E96741"/>
    <w:rsid w:val="00E96922"/>
    <w:rsid w:val="00E96EE2"/>
    <w:rsid w:val="00E97CED"/>
    <w:rsid w:val="00EA073C"/>
    <w:rsid w:val="00EA08C1"/>
    <w:rsid w:val="00EA148B"/>
    <w:rsid w:val="00EA15A6"/>
    <w:rsid w:val="00EA17A5"/>
    <w:rsid w:val="00EA2847"/>
    <w:rsid w:val="00EA356F"/>
    <w:rsid w:val="00EA37B9"/>
    <w:rsid w:val="00EA3DDF"/>
    <w:rsid w:val="00EA3E2C"/>
    <w:rsid w:val="00EA4055"/>
    <w:rsid w:val="00EA4418"/>
    <w:rsid w:val="00EA48F8"/>
    <w:rsid w:val="00EA5A58"/>
    <w:rsid w:val="00EA5BBF"/>
    <w:rsid w:val="00EA5E3D"/>
    <w:rsid w:val="00EA60C1"/>
    <w:rsid w:val="00EA7274"/>
    <w:rsid w:val="00EA73AB"/>
    <w:rsid w:val="00EB0036"/>
    <w:rsid w:val="00EB05DC"/>
    <w:rsid w:val="00EB0D4A"/>
    <w:rsid w:val="00EB10C7"/>
    <w:rsid w:val="00EB1508"/>
    <w:rsid w:val="00EB1AEE"/>
    <w:rsid w:val="00EB2253"/>
    <w:rsid w:val="00EB289B"/>
    <w:rsid w:val="00EB2DAE"/>
    <w:rsid w:val="00EB38A5"/>
    <w:rsid w:val="00EB3C6C"/>
    <w:rsid w:val="00EB42B4"/>
    <w:rsid w:val="00EB42DC"/>
    <w:rsid w:val="00EB4689"/>
    <w:rsid w:val="00EB4C6F"/>
    <w:rsid w:val="00EB4E7A"/>
    <w:rsid w:val="00EB4FC8"/>
    <w:rsid w:val="00EB50A9"/>
    <w:rsid w:val="00EB5929"/>
    <w:rsid w:val="00EB5EF2"/>
    <w:rsid w:val="00EB6B1B"/>
    <w:rsid w:val="00EB6B25"/>
    <w:rsid w:val="00EB7637"/>
    <w:rsid w:val="00EB7CAE"/>
    <w:rsid w:val="00EC05D4"/>
    <w:rsid w:val="00EC10C3"/>
    <w:rsid w:val="00EC1D00"/>
    <w:rsid w:val="00EC28A1"/>
    <w:rsid w:val="00EC2CD9"/>
    <w:rsid w:val="00EC2EA7"/>
    <w:rsid w:val="00EC2FA5"/>
    <w:rsid w:val="00EC3D96"/>
    <w:rsid w:val="00EC45A6"/>
    <w:rsid w:val="00EC524C"/>
    <w:rsid w:val="00EC53F5"/>
    <w:rsid w:val="00EC5DA1"/>
    <w:rsid w:val="00EC61CC"/>
    <w:rsid w:val="00EC6277"/>
    <w:rsid w:val="00EC6400"/>
    <w:rsid w:val="00EC6408"/>
    <w:rsid w:val="00EC6F7A"/>
    <w:rsid w:val="00ED099E"/>
    <w:rsid w:val="00ED0E27"/>
    <w:rsid w:val="00ED0EDD"/>
    <w:rsid w:val="00ED0FC2"/>
    <w:rsid w:val="00ED0FC6"/>
    <w:rsid w:val="00ED213E"/>
    <w:rsid w:val="00ED270E"/>
    <w:rsid w:val="00ED2C01"/>
    <w:rsid w:val="00ED2E27"/>
    <w:rsid w:val="00ED30F9"/>
    <w:rsid w:val="00ED36E8"/>
    <w:rsid w:val="00ED37EE"/>
    <w:rsid w:val="00ED3CE3"/>
    <w:rsid w:val="00ED444B"/>
    <w:rsid w:val="00ED4468"/>
    <w:rsid w:val="00ED4BD1"/>
    <w:rsid w:val="00ED5388"/>
    <w:rsid w:val="00ED5881"/>
    <w:rsid w:val="00ED5998"/>
    <w:rsid w:val="00ED5D47"/>
    <w:rsid w:val="00ED62B7"/>
    <w:rsid w:val="00ED6C83"/>
    <w:rsid w:val="00ED6F18"/>
    <w:rsid w:val="00ED72A5"/>
    <w:rsid w:val="00ED7374"/>
    <w:rsid w:val="00ED7E73"/>
    <w:rsid w:val="00EE0A3F"/>
    <w:rsid w:val="00EE10DD"/>
    <w:rsid w:val="00EE1394"/>
    <w:rsid w:val="00EE1A4B"/>
    <w:rsid w:val="00EE235D"/>
    <w:rsid w:val="00EE271B"/>
    <w:rsid w:val="00EE3749"/>
    <w:rsid w:val="00EE388F"/>
    <w:rsid w:val="00EE3BC1"/>
    <w:rsid w:val="00EE4B30"/>
    <w:rsid w:val="00EE4DA3"/>
    <w:rsid w:val="00EE5BA2"/>
    <w:rsid w:val="00EE6ADA"/>
    <w:rsid w:val="00EE6B9A"/>
    <w:rsid w:val="00EF092D"/>
    <w:rsid w:val="00EF0A2C"/>
    <w:rsid w:val="00EF1692"/>
    <w:rsid w:val="00EF18D4"/>
    <w:rsid w:val="00EF1D65"/>
    <w:rsid w:val="00EF20D7"/>
    <w:rsid w:val="00EF25C5"/>
    <w:rsid w:val="00EF2BB9"/>
    <w:rsid w:val="00EF3B54"/>
    <w:rsid w:val="00EF3F2C"/>
    <w:rsid w:val="00EF5718"/>
    <w:rsid w:val="00EF59D2"/>
    <w:rsid w:val="00EF5C23"/>
    <w:rsid w:val="00EF642A"/>
    <w:rsid w:val="00EF6E04"/>
    <w:rsid w:val="00EF75E9"/>
    <w:rsid w:val="00F0014C"/>
    <w:rsid w:val="00F00376"/>
    <w:rsid w:val="00F015C9"/>
    <w:rsid w:val="00F01B43"/>
    <w:rsid w:val="00F01D34"/>
    <w:rsid w:val="00F0274D"/>
    <w:rsid w:val="00F02C09"/>
    <w:rsid w:val="00F02EDB"/>
    <w:rsid w:val="00F03078"/>
    <w:rsid w:val="00F03114"/>
    <w:rsid w:val="00F03796"/>
    <w:rsid w:val="00F03CF0"/>
    <w:rsid w:val="00F04010"/>
    <w:rsid w:val="00F04083"/>
    <w:rsid w:val="00F04211"/>
    <w:rsid w:val="00F047B0"/>
    <w:rsid w:val="00F049D0"/>
    <w:rsid w:val="00F04F7C"/>
    <w:rsid w:val="00F05374"/>
    <w:rsid w:val="00F057DA"/>
    <w:rsid w:val="00F05819"/>
    <w:rsid w:val="00F05B04"/>
    <w:rsid w:val="00F05FD5"/>
    <w:rsid w:val="00F06E22"/>
    <w:rsid w:val="00F07E08"/>
    <w:rsid w:val="00F1020F"/>
    <w:rsid w:val="00F10B59"/>
    <w:rsid w:val="00F10E0A"/>
    <w:rsid w:val="00F1170A"/>
    <w:rsid w:val="00F11DE6"/>
    <w:rsid w:val="00F11E31"/>
    <w:rsid w:val="00F11E3F"/>
    <w:rsid w:val="00F12593"/>
    <w:rsid w:val="00F13B02"/>
    <w:rsid w:val="00F14CB5"/>
    <w:rsid w:val="00F14CC2"/>
    <w:rsid w:val="00F15DBC"/>
    <w:rsid w:val="00F1651E"/>
    <w:rsid w:val="00F16C7E"/>
    <w:rsid w:val="00F17B71"/>
    <w:rsid w:val="00F17B9E"/>
    <w:rsid w:val="00F17CC6"/>
    <w:rsid w:val="00F20245"/>
    <w:rsid w:val="00F204FB"/>
    <w:rsid w:val="00F206CF"/>
    <w:rsid w:val="00F20AB2"/>
    <w:rsid w:val="00F212B0"/>
    <w:rsid w:val="00F21ED2"/>
    <w:rsid w:val="00F229D6"/>
    <w:rsid w:val="00F22CF7"/>
    <w:rsid w:val="00F231E7"/>
    <w:rsid w:val="00F237F3"/>
    <w:rsid w:val="00F253FF"/>
    <w:rsid w:val="00F256CD"/>
    <w:rsid w:val="00F262AF"/>
    <w:rsid w:val="00F2631A"/>
    <w:rsid w:val="00F26DA3"/>
    <w:rsid w:val="00F27433"/>
    <w:rsid w:val="00F27705"/>
    <w:rsid w:val="00F27B11"/>
    <w:rsid w:val="00F27E7A"/>
    <w:rsid w:val="00F30214"/>
    <w:rsid w:val="00F309B0"/>
    <w:rsid w:val="00F3228E"/>
    <w:rsid w:val="00F337B8"/>
    <w:rsid w:val="00F33CF3"/>
    <w:rsid w:val="00F34D27"/>
    <w:rsid w:val="00F34EDA"/>
    <w:rsid w:val="00F354C6"/>
    <w:rsid w:val="00F362E4"/>
    <w:rsid w:val="00F36A64"/>
    <w:rsid w:val="00F3714C"/>
    <w:rsid w:val="00F37ACB"/>
    <w:rsid w:val="00F37D89"/>
    <w:rsid w:val="00F40024"/>
    <w:rsid w:val="00F401B2"/>
    <w:rsid w:val="00F40C1E"/>
    <w:rsid w:val="00F40F69"/>
    <w:rsid w:val="00F418D7"/>
    <w:rsid w:val="00F41F90"/>
    <w:rsid w:val="00F42613"/>
    <w:rsid w:val="00F42778"/>
    <w:rsid w:val="00F4285E"/>
    <w:rsid w:val="00F42A8B"/>
    <w:rsid w:val="00F42CA1"/>
    <w:rsid w:val="00F43297"/>
    <w:rsid w:val="00F434A7"/>
    <w:rsid w:val="00F43A54"/>
    <w:rsid w:val="00F43E11"/>
    <w:rsid w:val="00F44368"/>
    <w:rsid w:val="00F44577"/>
    <w:rsid w:val="00F4485B"/>
    <w:rsid w:val="00F44B1C"/>
    <w:rsid w:val="00F44C0D"/>
    <w:rsid w:val="00F45014"/>
    <w:rsid w:val="00F45754"/>
    <w:rsid w:val="00F45778"/>
    <w:rsid w:val="00F45E39"/>
    <w:rsid w:val="00F461E1"/>
    <w:rsid w:val="00F470C5"/>
    <w:rsid w:val="00F47246"/>
    <w:rsid w:val="00F472DA"/>
    <w:rsid w:val="00F479DE"/>
    <w:rsid w:val="00F479FB"/>
    <w:rsid w:val="00F47B27"/>
    <w:rsid w:val="00F47E84"/>
    <w:rsid w:val="00F47F3A"/>
    <w:rsid w:val="00F50E98"/>
    <w:rsid w:val="00F50FAF"/>
    <w:rsid w:val="00F525A1"/>
    <w:rsid w:val="00F527EB"/>
    <w:rsid w:val="00F528E5"/>
    <w:rsid w:val="00F52C10"/>
    <w:rsid w:val="00F5313A"/>
    <w:rsid w:val="00F543C5"/>
    <w:rsid w:val="00F5456F"/>
    <w:rsid w:val="00F5490D"/>
    <w:rsid w:val="00F54D4E"/>
    <w:rsid w:val="00F55372"/>
    <w:rsid w:val="00F5577D"/>
    <w:rsid w:val="00F56EAC"/>
    <w:rsid w:val="00F573CB"/>
    <w:rsid w:val="00F60141"/>
    <w:rsid w:val="00F603BC"/>
    <w:rsid w:val="00F60D20"/>
    <w:rsid w:val="00F6149F"/>
    <w:rsid w:val="00F61A40"/>
    <w:rsid w:val="00F62689"/>
    <w:rsid w:val="00F62C20"/>
    <w:rsid w:val="00F62D39"/>
    <w:rsid w:val="00F631DE"/>
    <w:rsid w:val="00F6365A"/>
    <w:rsid w:val="00F63734"/>
    <w:rsid w:val="00F638C3"/>
    <w:rsid w:val="00F64244"/>
    <w:rsid w:val="00F64281"/>
    <w:rsid w:val="00F6445D"/>
    <w:rsid w:val="00F64854"/>
    <w:rsid w:val="00F65B32"/>
    <w:rsid w:val="00F65D27"/>
    <w:rsid w:val="00F66270"/>
    <w:rsid w:val="00F663FC"/>
    <w:rsid w:val="00F66546"/>
    <w:rsid w:val="00F66F44"/>
    <w:rsid w:val="00F67227"/>
    <w:rsid w:val="00F67EFA"/>
    <w:rsid w:val="00F713CF"/>
    <w:rsid w:val="00F71858"/>
    <w:rsid w:val="00F71E23"/>
    <w:rsid w:val="00F730A3"/>
    <w:rsid w:val="00F73207"/>
    <w:rsid w:val="00F73A27"/>
    <w:rsid w:val="00F73BC5"/>
    <w:rsid w:val="00F73F16"/>
    <w:rsid w:val="00F73FDE"/>
    <w:rsid w:val="00F74102"/>
    <w:rsid w:val="00F74AF0"/>
    <w:rsid w:val="00F7548D"/>
    <w:rsid w:val="00F7552D"/>
    <w:rsid w:val="00F7591C"/>
    <w:rsid w:val="00F75C73"/>
    <w:rsid w:val="00F76365"/>
    <w:rsid w:val="00F7689A"/>
    <w:rsid w:val="00F77F8D"/>
    <w:rsid w:val="00F802D8"/>
    <w:rsid w:val="00F80479"/>
    <w:rsid w:val="00F804CE"/>
    <w:rsid w:val="00F80C96"/>
    <w:rsid w:val="00F814FA"/>
    <w:rsid w:val="00F8191F"/>
    <w:rsid w:val="00F81CAB"/>
    <w:rsid w:val="00F82F99"/>
    <w:rsid w:val="00F83F43"/>
    <w:rsid w:val="00F845EA"/>
    <w:rsid w:val="00F846EB"/>
    <w:rsid w:val="00F84742"/>
    <w:rsid w:val="00F860A4"/>
    <w:rsid w:val="00F861D5"/>
    <w:rsid w:val="00F86A4D"/>
    <w:rsid w:val="00F87953"/>
    <w:rsid w:val="00F9070C"/>
    <w:rsid w:val="00F90803"/>
    <w:rsid w:val="00F908E5"/>
    <w:rsid w:val="00F90962"/>
    <w:rsid w:val="00F91469"/>
    <w:rsid w:val="00F9199D"/>
    <w:rsid w:val="00F92025"/>
    <w:rsid w:val="00F9269A"/>
    <w:rsid w:val="00F93028"/>
    <w:rsid w:val="00F937AB"/>
    <w:rsid w:val="00F93C3A"/>
    <w:rsid w:val="00F94759"/>
    <w:rsid w:val="00F94CFA"/>
    <w:rsid w:val="00F94ED3"/>
    <w:rsid w:val="00F95C52"/>
    <w:rsid w:val="00F961E9"/>
    <w:rsid w:val="00F96403"/>
    <w:rsid w:val="00F96484"/>
    <w:rsid w:val="00F96498"/>
    <w:rsid w:val="00F96759"/>
    <w:rsid w:val="00F96888"/>
    <w:rsid w:val="00F96DEF"/>
    <w:rsid w:val="00F97B5F"/>
    <w:rsid w:val="00F97D58"/>
    <w:rsid w:val="00FA010A"/>
    <w:rsid w:val="00FA05C3"/>
    <w:rsid w:val="00FA074A"/>
    <w:rsid w:val="00FA0AED"/>
    <w:rsid w:val="00FA0D9C"/>
    <w:rsid w:val="00FA12AD"/>
    <w:rsid w:val="00FA168A"/>
    <w:rsid w:val="00FA1746"/>
    <w:rsid w:val="00FA17F4"/>
    <w:rsid w:val="00FA19E3"/>
    <w:rsid w:val="00FA1B18"/>
    <w:rsid w:val="00FA2344"/>
    <w:rsid w:val="00FA24FD"/>
    <w:rsid w:val="00FA271A"/>
    <w:rsid w:val="00FA2EEA"/>
    <w:rsid w:val="00FA36A5"/>
    <w:rsid w:val="00FA3F1C"/>
    <w:rsid w:val="00FA45B9"/>
    <w:rsid w:val="00FA5AA2"/>
    <w:rsid w:val="00FA5BB7"/>
    <w:rsid w:val="00FA5C51"/>
    <w:rsid w:val="00FA5D70"/>
    <w:rsid w:val="00FA61C2"/>
    <w:rsid w:val="00FA6764"/>
    <w:rsid w:val="00FB0ACC"/>
    <w:rsid w:val="00FB0BC6"/>
    <w:rsid w:val="00FB1493"/>
    <w:rsid w:val="00FB2204"/>
    <w:rsid w:val="00FB2379"/>
    <w:rsid w:val="00FB265F"/>
    <w:rsid w:val="00FB2952"/>
    <w:rsid w:val="00FB2B8A"/>
    <w:rsid w:val="00FB3051"/>
    <w:rsid w:val="00FB30C4"/>
    <w:rsid w:val="00FB319B"/>
    <w:rsid w:val="00FB3B3B"/>
    <w:rsid w:val="00FB3BB4"/>
    <w:rsid w:val="00FB40B2"/>
    <w:rsid w:val="00FB508F"/>
    <w:rsid w:val="00FB5977"/>
    <w:rsid w:val="00FB59FE"/>
    <w:rsid w:val="00FB6122"/>
    <w:rsid w:val="00FB63BC"/>
    <w:rsid w:val="00FC013B"/>
    <w:rsid w:val="00FC0235"/>
    <w:rsid w:val="00FC15BC"/>
    <w:rsid w:val="00FC1D5D"/>
    <w:rsid w:val="00FC21C5"/>
    <w:rsid w:val="00FC21E4"/>
    <w:rsid w:val="00FC238F"/>
    <w:rsid w:val="00FC2FA5"/>
    <w:rsid w:val="00FC33AB"/>
    <w:rsid w:val="00FC35BB"/>
    <w:rsid w:val="00FC3D2B"/>
    <w:rsid w:val="00FC48B9"/>
    <w:rsid w:val="00FC49CC"/>
    <w:rsid w:val="00FC4CC9"/>
    <w:rsid w:val="00FC4F6C"/>
    <w:rsid w:val="00FC5833"/>
    <w:rsid w:val="00FC5EEB"/>
    <w:rsid w:val="00FC71FD"/>
    <w:rsid w:val="00FD0011"/>
    <w:rsid w:val="00FD026E"/>
    <w:rsid w:val="00FD0365"/>
    <w:rsid w:val="00FD03FC"/>
    <w:rsid w:val="00FD0EBC"/>
    <w:rsid w:val="00FD0F58"/>
    <w:rsid w:val="00FD1983"/>
    <w:rsid w:val="00FD1A99"/>
    <w:rsid w:val="00FD1EFF"/>
    <w:rsid w:val="00FD209C"/>
    <w:rsid w:val="00FD2614"/>
    <w:rsid w:val="00FD26AD"/>
    <w:rsid w:val="00FD28AB"/>
    <w:rsid w:val="00FD2DC1"/>
    <w:rsid w:val="00FD3013"/>
    <w:rsid w:val="00FD3178"/>
    <w:rsid w:val="00FD335E"/>
    <w:rsid w:val="00FD34CF"/>
    <w:rsid w:val="00FD3741"/>
    <w:rsid w:val="00FD478B"/>
    <w:rsid w:val="00FD5486"/>
    <w:rsid w:val="00FD55AD"/>
    <w:rsid w:val="00FD5E31"/>
    <w:rsid w:val="00FD60B9"/>
    <w:rsid w:val="00FD62F5"/>
    <w:rsid w:val="00FD6A98"/>
    <w:rsid w:val="00FD73BA"/>
    <w:rsid w:val="00FD7B12"/>
    <w:rsid w:val="00FD7BED"/>
    <w:rsid w:val="00FE0125"/>
    <w:rsid w:val="00FE016A"/>
    <w:rsid w:val="00FE1B0F"/>
    <w:rsid w:val="00FE1EA8"/>
    <w:rsid w:val="00FE20D4"/>
    <w:rsid w:val="00FE2820"/>
    <w:rsid w:val="00FE2F12"/>
    <w:rsid w:val="00FE35E5"/>
    <w:rsid w:val="00FE3B11"/>
    <w:rsid w:val="00FE3DAF"/>
    <w:rsid w:val="00FE4026"/>
    <w:rsid w:val="00FE41A9"/>
    <w:rsid w:val="00FE41D5"/>
    <w:rsid w:val="00FE44DA"/>
    <w:rsid w:val="00FE5B3C"/>
    <w:rsid w:val="00FE5DBA"/>
    <w:rsid w:val="00FE6382"/>
    <w:rsid w:val="00FE65C7"/>
    <w:rsid w:val="00FE7139"/>
    <w:rsid w:val="00FE7A5E"/>
    <w:rsid w:val="00FE7B1B"/>
    <w:rsid w:val="00FE7E63"/>
    <w:rsid w:val="00FF0193"/>
    <w:rsid w:val="00FF0804"/>
    <w:rsid w:val="00FF1479"/>
    <w:rsid w:val="00FF15D2"/>
    <w:rsid w:val="00FF2F56"/>
    <w:rsid w:val="00FF5B7A"/>
    <w:rsid w:val="00FF5F7F"/>
    <w:rsid w:val="00FF63B8"/>
    <w:rsid w:val="00FF685E"/>
    <w:rsid w:val="00FF6C16"/>
    <w:rsid w:val="00FF755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752E08C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3"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2"/>
    <w:qFormat/>
    <w:rsid w:val="000E35D3"/>
    <w:pPr>
      <w:spacing w:after="120"/>
      <w:outlineLvl w:val="0"/>
    </w:pPr>
    <w:rPr>
      <w:rFonts w:ascii="Arial" w:eastAsia="SimSun" w:hAnsi="Arial"/>
      <w:kern w:val="2"/>
      <w:lang w:eastAsia="en-AU"/>
    </w:rPr>
  </w:style>
  <w:style w:type="paragraph" w:styleId="Heading1">
    <w:name w:val="heading 1"/>
    <w:aliases w:val="New D&amp;M Heading 1,LDM HEADING 1,LDM,LDM_1,D&amp;M,D&amp;M 1,ACPL Heading 1"/>
    <w:basedOn w:val="Normal"/>
    <w:next w:val="Normal"/>
    <w:link w:val="Heading1Char"/>
    <w:uiPriority w:val="9"/>
    <w:qFormat/>
    <w:rsid w:val="00735C5B"/>
    <w:pPr>
      <w:keepNext/>
      <w:pageBreakBefore/>
      <w:numPr>
        <w:numId w:val="17"/>
      </w:numPr>
      <w:spacing w:before="360"/>
    </w:pPr>
    <w:rPr>
      <w:rFonts w:cs="Arial"/>
      <w:b/>
      <w:bCs/>
      <w:sz w:val="32"/>
      <w:szCs w:val="28"/>
      <w:lang w:eastAsia="en-US"/>
    </w:rPr>
  </w:style>
  <w:style w:type="paragraph" w:styleId="Heading2">
    <w:name w:val="heading 2"/>
    <w:aliases w:val="ACPL Heading 2"/>
    <w:basedOn w:val="Normal"/>
    <w:next w:val="Normal"/>
    <w:link w:val="Heading2Char"/>
    <w:uiPriority w:val="9"/>
    <w:qFormat/>
    <w:rsid w:val="00DD4A60"/>
    <w:pPr>
      <w:keepNext/>
      <w:numPr>
        <w:ilvl w:val="1"/>
        <w:numId w:val="17"/>
      </w:numPr>
      <w:spacing w:before="360"/>
      <w:outlineLvl w:val="1"/>
    </w:pPr>
    <w:rPr>
      <w:rFonts w:cs="Arial"/>
      <w:b/>
      <w:lang w:eastAsia="en-US"/>
    </w:rPr>
  </w:style>
  <w:style w:type="paragraph" w:styleId="Heading3">
    <w:name w:val="heading 3"/>
    <w:basedOn w:val="Normal"/>
    <w:next w:val="Normal"/>
    <w:link w:val="Heading3Char"/>
    <w:uiPriority w:val="9"/>
    <w:qFormat/>
    <w:rsid w:val="00C52844"/>
    <w:pPr>
      <w:keepNext/>
      <w:numPr>
        <w:ilvl w:val="2"/>
        <w:numId w:val="17"/>
      </w:numPr>
      <w:outlineLvl w:val="2"/>
    </w:pPr>
    <w:rPr>
      <w:b/>
      <w:sz w:val="22"/>
      <w:lang w:eastAsia="en-US"/>
    </w:rPr>
  </w:style>
  <w:style w:type="paragraph" w:styleId="Heading4">
    <w:name w:val="heading 4"/>
    <w:basedOn w:val="Heading3"/>
    <w:next w:val="Normal"/>
    <w:link w:val="Heading4Char"/>
    <w:uiPriority w:val="9"/>
    <w:unhideWhenUsed/>
    <w:qFormat/>
    <w:rsid w:val="00914C00"/>
    <w:pPr>
      <w:numPr>
        <w:ilvl w:val="3"/>
      </w:numPr>
      <w:outlineLvl w:val="3"/>
    </w:pPr>
  </w:style>
  <w:style w:type="paragraph" w:styleId="Heading5">
    <w:name w:val="heading 5"/>
    <w:basedOn w:val="Normal"/>
    <w:next w:val="Normal"/>
    <w:link w:val="Heading5Char"/>
    <w:qFormat/>
    <w:rsid w:val="00E00193"/>
    <w:pPr>
      <w:keepNext/>
      <w:numPr>
        <w:ilvl w:val="4"/>
        <w:numId w:val="17"/>
      </w:numPr>
      <w:spacing w:before="20" w:after="20"/>
      <w:outlineLvl w:val="4"/>
    </w:pPr>
    <w:rPr>
      <w:rFonts w:cs="Arial"/>
      <w:b/>
      <w:bCs/>
    </w:rPr>
  </w:style>
  <w:style w:type="paragraph" w:styleId="Heading6">
    <w:name w:val="heading 6"/>
    <w:basedOn w:val="Normal"/>
    <w:next w:val="Normal"/>
    <w:link w:val="Heading6Char"/>
    <w:qFormat/>
    <w:rsid w:val="00E00193"/>
    <w:pPr>
      <w:keepNext/>
      <w:numPr>
        <w:ilvl w:val="5"/>
        <w:numId w:val="17"/>
      </w:numPr>
      <w:spacing w:before="20" w:after="20"/>
      <w:outlineLvl w:val="5"/>
    </w:pPr>
    <w:rPr>
      <w:rFonts w:cs="Arial"/>
      <w:b/>
      <w:bCs/>
    </w:rPr>
  </w:style>
  <w:style w:type="paragraph" w:styleId="Heading7">
    <w:name w:val="heading 7"/>
    <w:basedOn w:val="Normal"/>
    <w:next w:val="Normal"/>
    <w:link w:val="Heading7Char"/>
    <w:qFormat/>
    <w:rsid w:val="00E00193"/>
    <w:pPr>
      <w:keepNext/>
      <w:numPr>
        <w:ilvl w:val="6"/>
        <w:numId w:val="17"/>
      </w:numPr>
      <w:tabs>
        <w:tab w:val="left" w:pos="-1440"/>
        <w:tab w:val="left" w:pos="-720"/>
        <w:tab w:val="left" w:pos="0"/>
        <w:tab w:val="left" w:pos="689"/>
        <w:tab w:val="left" w:pos="1476"/>
        <w:tab w:val="left" w:pos="2160"/>
        <w:tab w:val="left" w:pos="2880"/>
        <w:tab w:val="left" w:pos="3600"/>
        <w:tab w:val="right" w:pos="9027"/>
      </w:tabs>
      <w:suppressAutoHyphens/>
      <w:outlineLvl w:val="6"/>
    </w:pPr>
    <w:rPr>
      <w:rFonts w:cs="Arial"/>
      <w:b/>
      <w:bCs/>
    </w:rPr>
  </w:style>
  <w:style w:type="paragraph" w:styleId="Heading8">
    <w:name w:val="heading 8"/>
    <w:basedOn w:val="Normal"/>
    <w:next w:val="Normal"/>
    <w:link w:val="Heading8Char"/>
    <w:qFormat/>
    <w:rsid w:val="00E00193"/>
    <w:pPr>
      <w:keepNext/>
      <w:numPr>
        <w:ilvl w:val="7"/>
        <w:numId w:val="17"/>
      </w:numPr>
      <w:spacing w:before="60" w:after="60"/>
      <w:outlineLvl w:val="7"/>
    </w:pPr>
    <w:rPr>
      <w:rFonts w:cs="Arial"/>
      <w:b/>
      <w:bCs/>
      <w:szCs w:val="22"/>
    </w:rPr>
  </w:style>
  <w:style w:type="paragraph" w:styleId="Heading9">
    <w:name w:val="heading 9"/>
    <w:basedOn w:val="Normal"/>
    <w:next w:val="Normal"/>
    <w:link w:val="Heading9Char"/>
    <w:qFormat/>
    <w:rsid w:val="00277B50"/>
    <w:pPr>
      <w:numPr>
        <w:ilvl w:val="8"/>
        <w:numId w:val="17"/>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347EC"/>
    <w:pPr>
      <w:spacing w:after="0"/>
      <w:ind w:left="1135" w:hanging="851"/>
      <w:jc w:val="right"/>
    </w:pPr>
    <w:rPr>
      <w:rFonts w:ascii="Arial Bold" w:eastAsia="Calibri" w:hAnsi="Arial Bold" w:cs="Arial"/>
      <w:b/>
      <w:color w:val="0F243E"/>
    </w:rPr>
  </w:style>
  <w:style w:type="paragraph" w:styleId="Footer">
    <w:name w:val="footer"/>
    <w:basedOn w:val="Header"/>
    <w:link w:val="FooterChar"/>
    <w:uiPriority w:val="99"/>
    <w:rsid w:val="00D347EC"/>
    <w:pPr>
      <w:ind w:left="0" w:firstLine="0"/>
      <w:jc w:val="left"/>
    </w:pPr>
    <w:rPr>
      <w:rFonts w:ascii="Arial" w:hAnsi="Arial"/>
      <w:b w:val="0"/>
      <w:sz w:val="18"/>
    </w:rPr>
  </w:style>
  <w:style w:type="character" w:styleId="PageNumber">
    <w:name w:val="page number"/>
    <w:uiPriority w:val="99"/>
    <w:semiHidden/>
    <w:rsid w:val="003865EE"/>
    <w:rPr>
      <w:rFonts w:ascii="Arial" w:hAnsi="Arial" w:cs="Arial"/>
      <w:sz w:val="18"/>
      <w:szCs w:val="18"/>
    </w:rPr>
  </w:style>
  <w:style w:type="paragraph" w:styleId="FootnoteText">
    <w:name w:val="footnote text"/>
    <w:basedOn w:val="Normal"/>
    <w:link w:val="FootnoteTextChar"/>
    <w:uiPriority w:val="99"/>
    <w:rsid w:val="00E00193"/>
  </w:style>
  <w:style w:type="character" w:styleId="FootnoteReference">
    <w:name w:val="footnote reference"/>
    <w:uiPriority w:val="99"/>
    <w:rsid w:val="00E00193"/>
    <w:rPr>
      <w:vertAlign w:val="superscript"/>
    </w:rPr>
  </w:style>
  <w:style w:type="paragraph" w:customStyle="1" w:styleId="DefaultText">
    <w:name w:val="Default Text"/>
    <w:basedOn w:val="Normal"/>
    <w:uiPriority w:val="99"/>
    <w:semiHidden/>
    <w:rsid w:val="00E00193"/>
    <w:rPr>
      <w:lang w:val="en-US"/>
    </w:rPr>
  </w:style>
  <w:style w:type="paragraph" w:customStyle="1" w:styleId="NumberList">
    <w:name w:val="Number List"/>
    <w:basedOn w:val="Normal"/>
    <w:uiPriority w:val="99"/>
    <w:semiHidden/>
    <w:rsid w:val="00E00193"/>
    <w:rPr>
      <w:lang w:val="en-US"/>
    </w:rPr>
  </w:style>
  <w:style w:type="paragraph" w:customStyle="1" w:styleId="-TableText2">
    <w:name w:val="-Table Text 2"/>
    <w:basedOn w:val="Normal"/>
    <w:uiPriority w:val="99"/>
    <w:semiHidden/>
    <w:rsid w:val="00E00193"/>
    <w:rPr>
      <w:lang w:val="en-US"/>
    </w:rPr>
  </w:style>
  <w:style w:type="paragraph" w:styleId="Caption">
    <w:name w:val="caption"/>
    <w:aliases w:val="Caption Char1 Char,Caption Char1,อักขระ,Caption1 Char,Caption Char Char Char Char1 Char,Caption Char Char Char Char Char Char Char Char Char1 Char,Caption1 Char Char,Caption Char Char Char Char1 Char Char Char,Caption Char1 Ch,MacroEnvironmental"/>
    <w:basedOn w:val="Normal"/>
    <w:next w:val="Normal"/>
    <w:link w:val="CaptionChar"/>
    <w:qFormat/>
    <w:rsid w:val="00D96377"/>
    <w:pPr>
      <w:keepNext/>
      <w:jc w:val="center"/>
    </w:pPr>
    <w:rPr>
      <w:b/>
      <w:bCs/>
    </w:rPr>
  </w:style>
  <w:style w:type="paragraph" w:styleId="BodyText">
    <w:name w:val="Body Text"/>
    <w:basedOn w:val="Normal"/>
    <w:link w:val="BodyTextChar"/>
    <w:qFormat/>
    <w:rsid w:val="0042444D"/>
    <w:pPr>
      <w:ind w:left="567"/>
      <w:outlineLvl w:val="9"/>
    </w:pPr>
    <w:rPr>
      <w:sz w:val="20"/>
    </w:rPr>
  </w:style>
  <w:style w:type="character" w:customStyle="1" w:styleId="BodyTextChar">
    <w:name w:val="Body Text Char"/>
    <w:link w:val="BodyText"/>
    <w:rsid w:val="0042444D"/>
    <w:rPr>
      <w:rFonts w:ascii="Arial" w:eastAsia="SimSun" w:hAnsi="Arial"/>
      <w:kern w:val="2"/>
      <w:sz w:val="20"/>
      <w:lang w:eastAsia="en-AU"/>
    </w:rPr>
  </w:style>
  <w:style w:type="paragraph" w:styleId="TOAHeading">
    <w:name w:val="toa heading"/>
    <w:basedOn w:val="Normal"/>
    <w:next w:val="Normal"/>
    <w:uiPriority w:val="99"/>
    <w:semiHidden/>
    <w:rsid w:val="00E00193"/>
    <w:pPr>
      <w:tabs>
        <w:tab w:val="left" w:pos="9000"/>
        <w:tab w:val="right" w:pos="9360"/>
      </w:tabs>
      <w:suppressAutoHyphens/>
    </w:pPr>
    <w:rPr>
      <w:rFonts w:ascii="Courier New" w:hAnsi="Courier New" w:cs="Courier New"/>
      <w:lang w:val="en-US"/>
    </w:rPr>
  </w:style>
  <w:style w:type="character" w:styleId="FollowedHyperlink">
    <w:name w:val="FollowedHyperlink"/>
    <w:uiPriority w:val="99"/>
    <w:semiHidden/>
    <w:rsid w:val="00E00193"/>
    <w:rPr>
      <w:color w:val="800080"/>
      <w:u w:val="single"/>
    </w:rPr>
  </w:style>
  <w:style w:type="paragraph" w:customStyle="1" w:styleId="Bullet2">
    <w:name w:val="Bullet 2"/>
    <w:basedOn w:val="Bullet1"/>
    <w:qFormat/>
    <w:rsid w:val="00FC4F6C"/>
    <w:pPr>
      <w:keepNext/>
      <w:numPr>
        <w:ilvl w:val="1"/>
        <w:numId w:val="16"/>
      </w:numPr>
      <w:ind w:left="1710" w:hanging="576"/>
    </w:pPr>
  </w:style>
  <w:style w:type="paragraph" w:customStyle="1" w:styleId="stylesheetformated">
    <w:name w:val="style sheet formated"/>
    <w:uiPriority w:val="99"/>
    <w:semiHidden/>
    <w:rsid w:val="00E00193"/>
    <w:pPr>
      <w:tabs>
        <w:tab w:val="left" w:pos="2160"/>
      </w:tabs>
      <w:spacing w:line="240" w:lineRule="exact"/>
      <w:ind w:left="2880" w:hanging="2880"/>
    </w:pPr>
    <w:rPr>
      <w:rFonts w:ascii="Courier" w:hAnsi="Courier"/>
      <w:lang w:eastAsia="en-AU"/>
    </w:rPr>
  </w:style>
  <w:style w:type="paragraph" w:styleId="TOC1">
    <w:name w:val="toc 1"/>
    <w:basedOn w:val="Normal"/>
    <w:next w:val="Normal"/>
    <w:autoRedefine/>
    <w:uiPriority w:val="39"/>
    <w:qFormat/>
    <w:rsid w:val="00AF271D"/>
    <w:pPr>
      <w:keepNext/>
      <w:tabs>
        <w:tab w:val="right" w:leader="dot" w:pos="8931"/>
      </w:tabs>
      <w:spacing w:before="240"/>
      <w:ind w:left="567" w:right="425" w:hanging="567"/>
    </w:pPr>
    <w:rPr>
      <w:b/>
      <w:kern w:val="28"/>
    </w:rPr>
  </w:style>
  <w:style w:type="paragraph" w:styleId="TOC2">
    <w:name w:val="toc 2"/>
    <w:basedOn w:val="Normal"/>
    <w:next w:val="Normal"/>
    <w:autoRedefine/>
    <w:uiPriority w:val="39"/>
    <w:qFormat/>
    <w:rsid w:val="00F3228E"/>
    <w:pPr>
      <w:tabs>
        <w:tab w:val="right" w:leader="dot" w:pos="8930"/>
      </w:tabs>
      <w:ind w:left="562" w:right="432" w:hanging="562"/>
    </w:pPr>
  </w:style>
  <w:style w:type="character" w:styleId="Hyperlink">
    <w:name w:val="Hyperlink"/>
    <w:uiPriority w:val="99"/>
    <w:rsid w:val="00E00193"/>
    <w:rPr>
      <w:color w:val="0000FF"/>
      <w:u w:val="single"/>
    </w:rPr>
  </w:style>
  <w:style w:type="paragraph" w:styleId="BodyTextIndent">
    <w:name w:val="Body Text Indent"/>
    <w:basedOn w:val="BodyText"/>
    <w:link w:val="BodyTextIndentChar"/>
    <w:rsid w:val="00A665B1"/>
    <w:pPr>
      <w:ind w:left="1134"/>
    </w:pPr>
  </w:style>
  <w:style w:type="paragraph" w:styleId="BalloonText">
    <w:name w:val="Balloon Text"/>
    <w:basedOn w:val="Normal"/>
    <w:link w:val="BalloonTextChar"/>
    <w:uiPriority w:val="99"/>
    <w:semiHidden/>
    <w:rsid w:val="00E00193"/>
    <w:rPr>
      <w:rFonts w:ascii="Tahoma" w:hAnsi="Tahoma" w:cs="Tahoma"/>
      <w:sz w:val="16"/>
      <w:szCs w:val="16"/>
    </w:rPr>
  </w:style>
  <w:style w:type="character" w:customStyle="1" w:styleId="BodyTextIndentChar">
    <w:name w:val="Body Text Indent Char"/>
    <w:link w:val="BodyTextIndent"/>
    <w:rsid w:val="00A665B1"/>
    <w:rPr>
      <w:rFonts w:ascii="Arial" w:eastAsia="SimSun" w:hAnsi="Arial"/>
      <w:spacing w:val="-3"/>
      <w:kern w:val="2"/>
      <w:sz w:val="20"/>
      <w:szCs w:val="20"/>
      <w:lang w:eastAsia="zh-CN"/>
    </w:rPr>
  </w:style>
  <w:style w:type="table" w:styleId="TableGrid">
    <w:name w:val="Table Grid"/>
    <w:aliases w:val="Aventus Doc Control table"/>
    <w:basedOn w:val="TableNormal"/>
    <w:uiPriority w:val="59"/>
    <w:rsid w:val="00F17B9E"/>
    <w:pPr>
      <w:spacing w:after="120"/>
    </w:pPr>
    <w:rPr>
      <w:rFonts w:ascii="Arial" w:hAnsi="Arial" w:cs="Arial"/>
      <w:szCs w:val="22"/>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character" w:customStyle="1" w:styleId="FooterChar">
    <w:name w:val="Footer Char"/>
    <w:link w:val="Footer"/>
    <w:uiPriority w:val="99"/>
    <w:rsid w:val="008D1F91"/>
    <w:rPr>
      <w:rFonts w:ascii="Arial" w:eastAsia="Calibri" w:hAnsi="Arial" w:cs="Arial"/>
      <w:color w:val="0F243E"/>
      <w:sz w:val="18"/>
      <w:szCs w:val="20"/>
      <w:lang w:val="en-AU" w:eastAsia="en-AU"/>
    </w:rPr>
  </w:style>
  <w:style w:type="paragraph" w:styleId="ListParagraph">
    <w:name w:val="List Paragraph"/>
    <w:aliases w:val="Aventus ToC Heading"/>
    <w:basedOn w:val="Normal"/>
    <w:link w:val="ListParagraphChar"/>
    <w:uiPriority w:val="34"/>
    <w:qFormat/>
    <w:rsid w:val="00D66731"/>
    <w:pPr>
      <w:ind w:left="720"/>
      <w:contextualSpacing/>
    </w:pPr>
  </w:style>
  <w:style w:type="character" w:customStyle="1" w:styleId="Heading1Char">
    <w:name w:val="Heading 1 Char"/>
    <w:aliases w:val="New D&amp;M Heading 1 Char,LDM HEADING 1 Char,LDM Char,LDM_1 Char,D&amp;M Char,D&amp;M 1 Char,ACPL Heading 1 Char"/>
    <w:link w:val="Heading1"/>
    <w:uiPriority w:val="9"/>
    <w:locked/>
    <w:rsid w:val="00735C5B"/>
    <w:rPr>
      <w:rFonts w:ascii="Arial" w:eastAsia="SimSun" w:hAnsi="Arial" w:cs="Arial"/>
      <w:b/>
      <w:bCs/>
      <w:kern w:val="2"/>
      <w:sz w:val="32"/>
      <w:szCs w:val="28"/>
    </w:rPr>
  </w:style>
  <w:style w:type="character" w:customStyle="1" w:styleId="Heading7Char">
    <w:name w:val="Heading 7 Char"/>
    <w:link w:val="Heading7"/>
    <w:locked/>
    <w:rsid w:val="00E07A94"/>
    <w:rPr>
      <w:rFonts w:ascii="Arial" w:eastAsia="SimSun" w:hAnsi="Arial" w:cs="Arial"/>
      <w:b/>
      <w:bCs/>
      <w:kern w:val="2"/>
      <w:lang w:eastAsia="en-AU"/>
    </w:rPr>
  </w:style>
  <w:style w:type="character" w:customStyle="1" w:styleId="HeaderChar">
    <w:name w:val="Header Char"/>
    <w:link w:val="Header"/>
    <w:uiPriority w:val="99"/>
    <w:rsid w:val="003B0804"/>
    <w:rPr>
      <w:rFonts w:ascii="Arial Bold" w:eastAsia="Calibri" w:hAnsi="Arial Bold" w:cs="Arial"/>
      <w:b/>
      <w:color w:val="0F243E"/>
      <w:sz w:val="20"/>
      <w:szCs w:val="20"/>
      <w:lang w:val="en-AU" w:eastAsia="en-AU"/>
    </w:rPr>
  </w:style>
  <w:style w:type="character" w:customStyle="1" w:styleId="BalloonTextChar">
    <w:name w:val="Balloon Text Char"/>
    <w:link w:val="BalloonText"/>
    <w:uiPriority w:val="99"/>
    <w:semiHidden/>
    <w:locked/>
    <w:rsid w:val="00156E92"/>
    <w:rPr>
      <w:rFonts w:ascii="Tahoma" w:hAnsi="Tahoma" w:cs="Tahoma"/>
      <w:sz w:val="16"/>
      <w:szCs w:val="16"/>
      <w:lang w:val="en-AU" w:eastAsia="en-AU"/>
    </w:rPr>
  </w:style>
  <w:style w:type="paragraph" w:styleId="BodyTextIndent2">
    <w:name w:val="Body Text Indent 2"/>
    <w:basedOn w:val="BodyTextIndent"/>
    <w:link w:val="BodyTextIndent2Char"/>
    <w:rsid w:val="00A665B1"/>
    <w:pPr>
      <w:ind w:left="1701"/>
    </w:pPr>
  </w:style>
  <w:style w:type="character" w:styleId="Emphasis">
    <w:name w:val="Emphasis"/>
    <w:uiPriority w:val="20"/>
    <w:qFormat/>
    <w:rsid w:val="00907E88"/>
    <w:rPr>
      <w:i/>
      <w:iCs/>
    </w:rPr>
  </w:style>
  <w:style w:type="paragraph" w:styleId="TOC5">
    <w:name w:val="toc 5"/>
    <w:basedOn w:val="Normal"/>
    <w:next w:val="Normal"/>
    <w:autoRedefine/>
    <w:uiPriority w:val="39"/>
    <w:rsid w:val="00E00D05"/>
    <w:pPr>
      <w:spacing w:after="100"/>
      <w:ind w:left="880"/>
    </w:pPr>
  </w:style>
  <w:style w:type="paragraph" w:styleId="TOC8">
    <w:name w:val="toc 8"/>
    <w:basedOn w:val="Normal"/>
    <w:next w:val="Normal"/>
    <w:autoRedefine/>
    <w:uiPriority w:val="39"/>
    <w:rsid w:val="00E00D05"/>
    <w:pPr>
      <w:spacing w:after="100"/>
      <w:ind w:left="1540"/>
    </w:pPr>
  </w:style>
  <w:style w:type="paragraph" w:styleId="TOC3">
    <w:name w:val="toc 3"/>
    <w:aliases w:val="TOC 31"/>
    <w:basedOn w:val="Normal"/>
    <w:next w:val="Normal"/>
    <w:autoRedefine/>
    <w:uiPriority w:val="39"/>
    <w:qFormat/>
    <w:rsid w:val="00F10B59"/>
    <w:pPr>
      <w:tabs>
        <w:tab w:val="right" w:leader="dot" w:pos="8931"/>
      </w:tabs>
      <w:ind w:left="567" w:hanging="567"/>
      <w:outlineLvl w:val="9"/>
    </w:pPr>
    <w:rPr>
      <w:rFonts w:eastAsia="MS Mincho" w:cs="Arial"/>
      <w:szCs w:val="22"/>
      <w:lang w:eastAsia="en-US"/>
    </w:rPr>
  </w:style>
  <w:style w:type="paragraph" w:styleId="TOC4">
    <w:name w:val="toc 4"/>
    <w:basedOn w:val="Normal"/>
    <w:next w:val="Normal"/>
    <w:autoRedefine/>
    <w:uiPriority w:val="39"/>
    <w:rsid w:val="00E00D05"/>
    <w:pPr>
      <w:spacing w:after="100" w:line="276" w:lineRule="auto"/>
      <w:ind w:left="660"/>
      <w:outlineLvl w:val="9"/>
    </w:pPr>
    <w:rPr>
      <w:rFonts w:ascii="Calibri" w:eastAsia="MS Mincho" w:hAnsi="Calibri" w:cs="Arial"/>
      <w:szCs w:val="22"/>
      <w:lang w:val="en-US" w:eastAsia="en-US"/>
    </w:rPr>
  </w:style>
  <w:style w:type="paragraph" w:styleId="TOC6">
    <w:name w:val="toc 6"/>
    <w:basedOn w:val="Normal"/>
    <w:next w:val="Normal"/>
    <w:autoRedefine/>
    <w:uiPriority w:val="39"/>
    <w:rsid w:val="00E00D05"/>
    <w:pPr>
      <w:spacing w:after="100" w:line="276" w:lineRule="auto"/>
      <w:ind w:left="1100"/>
      <w:outlineLvl w:val="9"/>
    </w:pPr>
    <w:rPr>
      <w:rFonts w:ascii="Calibri" w:eastAsia="MS Mincho" w:hAnsi="Calibri" w:cs="Arial"/>
      <w:szCs w:val="22"/>
      <w:lang w:val="en-US" w:eastAsia="en-US"/>
    </w:rPr>
  </w:style>
  <w:style w:type="paragraph" w:styleId="TOC7">
    <w:name w:val="toc 7"/>
    <w:basedOn w:val="Normal"/>
    <w:next w:val="Normal"/>
    <w:autoRedefine/>
    <w:uiPriority w:val="39"/>
    <w:rsid w:val="00E00D05"/>
    <w:pPr>
      <w:spacing w:after="100" w:line="276" w:lineRule="auto"/>
      <w:ind w:left="1320"/>
      <w:outlineLvl w:val="9"/>
    </w:pPr>
    <w:rPr>
      <w:rFonts w:ascii="Calibri" w:eastAsia="MS Mincho" w:hAnsi="Calibri" w:cs="Arial"/>
      <w:szCs w:val="22"/>
      <w:lang w:val="en-US" w:eastAsia="en-US"/>
    </w:rPr>
  </w:style>
  <w:style w:type="paragraph" w:styleId="TOC9">
    <w:name w:val="toc 9"/>
    <w:basedOn w:val="Normal"/>
    <w:next w:val="Normal"/>
    <w:autoRedefine/>
    <w:uiPriority w:val="39"/>
    <w:rsid w:val="00E00D05"/>
    <w:pPr>
      <w:spacing w:after="100" w:line="276" w:lineRule="auto"/>
      <w:ind w:left="1760"/>
      <w:outlineLvl w:val="9"/>
    </w:pPr>
    <w:rPr>
      <w:rFonts w:ascii="Calibri" w:eastAsia="MS Mincho" w:hAnsi="Calibri" w:cs="Arial"/>
      <w:szCs w:val="22"/>
      <w:lang w:val="en-US" w:eastAsia="en-US"/>
    </w:rPr>
  </w:style>
  <w:style w:type="table" w:customStyle="1" w:styleId="HeaderTable">
    <w:name w:val="HeaderTable"/>
    <w:basedOn w:val="TableNormal"/>
    <w:uiPriority w:val="99"/>
    <w:qFormat/>
    <w:rsid w:val="00E32D1B"/>
    <w:rPr>
      <w:rFonts w:ascii="Arial" w:hAnsi="Arial"/>
      <w:sz w:val="22"/>
    </w:rPr>
    <w:tblPr>
      <w:tblBorders>
        <w:bottom w:val="single" w:sz="12" w:space="0" w:color="0F243E"/>
      </w:tblBorders>
      <w:tblCellMar>
        <w:left w:w="0" w:type="dxa"/>
        <w:bottom w:w="142" w:type="dxa"/>
        <w:right w:w="0" w:type="dxa"/>
      </w:tblCellMar>
    </w:tblPr>
    <w:tcPr>
      <w:vAlign w:val="bottom"/>
    </w:tcPr>
  </w:style>
  <w:style w:type="character" w:customStyle="1" w:styleId="BodyTextIndent2Char">
    <w:name w:val="Body Text Indent 2 Char"/>
    <w:link w:val="BodyTextIndent2"/>
    <w:rsid w:val="00A665B1"/>
    <w:rPr>
      <w:rFonts w:ascii="Arial" w:eastAsia="SimSun" w:hAnsi="Arial"/>
      <w:spacing w:val="-3"/>
      <w:kern w:val="2"/>
      <w:sz w:val="20"/>
      <w:szCs w:val="20"/>
      <w:lang w:eastAsia="zh-CN"/>
    </w:rPr>
  </w:style>
  <w:style w:type="paragraph" w:customStyle="1" w:styleId="Bullet1">
    <w:name w:val="Bullet 1"/>
    <w:basedOn w:val="ListParagraph"/>
    <w:qFormat/>
    <w:rsid w:val="001313DC"/>
    <w:pPr>
      <w:numPr>
        <w:numId w:val="2"/>
      </w:numPr>
      <w:contextualSpacing w:val="0"/>
      <w:outlineLvl w:val="9"/>
    </w:pPr>
    <w:rPr>
      <w:rFonts w:eastAsia="AppleMyungjo"/>
      <w:sz w:val="20"/>
      <w:szCs w:val="20"/>
      <w:lang w:eastAsia="en-US"/>
    </w:rPr>
  </w:style>
  <w:style w:type="paragraph" w:styleId="TOCHeading">
    <w:name w:val="TOC Heading"/>
    <w:basedOn w:val="Heading1"/>
    <w:next w:val="Normal"/>
    <w:uiPriority w:val="39"/>
    <w:unhideWhenUsed/>
    <w:qFormat/>
    <w:rsid w:val="00AF271D"/>
    <w:pPr>
      <w:keepLines/>
      <w:pageBreakBefore w:val="0"/>
      <w:numPr>
        <w:numId w:val="0"/>
      </w:numPr>
      <w:spacing w:before="480" w:after="0" w:line="276" w:lineRule="auto"/>
      <w:outlineLvl w:val="9"/>
    </w:pPr>
    <w:rPr>
      <w:rFonts w:ascii="Cambria" w:eastAsia="MS Gothic" w:hAnsi="Cambria" w:cs="Times New Roman"/>
      <w:color w:val="365F91"/>
      <w:kern w:val="0"/>
      <w:sz w:val="28"/>
      <w:lang w:val="en-US"/>
    </w:rPr>
  </w:style>
  <w:style w:type="character" w:customStyle="1" w:styleId="Heading2Char">
    <w:name w:val="Heading 2 Char"/>
    <w:aliases w:val="ACPL Heading 2 Char"/>
    <w:link w:val="Heading2"/>
    <w:uiPriority w:val="9"/>
    <w:rsid w:val="00DD4A60"/>
    <w:rPr>
      <w:rFonts w:ascii="Arial" w:eastAsia="SimSun" w:hAnsi="Arial" w:cs="Arial"/>
      <w:b/>
      <w:kern w:val="2"/>
    </w:rPr>
  </w:style>
  <w:style w:type="paragraph" w:customStyle="1" w:styleId="AppendixHeading">
    <w:name w:val="Appendix Heading"/>
    <w:basedOn w:val="Heading"/>
    <w:next w:val="BodyText"/>
    <w:uiPriority w:val="2"/>
    <w:qFormat/>
    <w:rsid w:val="00F10B59"/>
    <w:pPr>
      <w:numPr>
        <w:numId w:val="3"/>
      </w:numPr>
    </w:pPr>
  </w:style>
  <w:style w:type="paragraph" w:customStyle="1" w:styleId="NormalBullets">
    <w:name w:val="Normal Bullets"/>
    <w:basedOn w:val="Bullet1"/>
    <w:uiPriority w:val="2"/>
    <w:qFormat/>
    <w:rsid w:val="00F802D8"/>
    <w:rPr>
      <w:lang w:val="en-US"/>
    </w:rPr>
  </w:style>
  <w:style w:type="character" w:styleId="CommentReference">
    <w:name w:val="annotation reference"/>
    <w:uiPriority w:val="99"/>
    <w:rsid w:val="00282B7A"/>
    <w:rPr>
      <w:sz w:val="16"/>
      <w:szCs w:val="16"/>
    </w:rPr>
  </w:style>
  <w:style w:type="paragraph" w:styleId="CommentText">
    <w:name w:val="annotation text"/>
    <w:basedOn w:val="Normal"/>
    <w:link w:val="CommentTextChar"/>
    <w:uiPriority w:val="99"/>
    <w:rsid w:val="00282B7A"/>
  </w:style>
  <w:style w:type="character" w:customStyle="1" w:styleId="CommentTextChar">
    <w:name w:val="Comment Text Char"/>
    <w:link w:val="CommentText"/>
    <w:uiPriority w:val="99"/>
    <w:rsid w:val="003B0804"/>
    <w:rPr>
      <w:rFonts w:ascii="Arial" w:hAnsi="Arial"/>
      <w:spacing w:val="-3"/>
      <w:sz w:val="20"/>
      <w:szCs w:val="20"/>
      <w:lang w:val="en-AU" w:eastAsia="en-AU"/>
    </w:rPr>
  </w:style>
  <w:style w:type="paragraph" w:styleId="CommentSubject">
    <w:name w:val="annotation subject"/>
    <w:basedOn w:val="CommentText"/>
    <w:next w:val="CommentText"/>
    <w:link w:val="CommentSubjectChar"/>
    <w:uiPriority w:val="99"/>
    <w:semiHidden/>
    <w:rsid w:val="00282B7A"/>
    <w:rPr>
      <w:b/>
      <w:bCs/>
    </w:rPr>
  </w:style>
  <w:style w:type="character" w:customStyle="1" w:styleId="CommentSubjectChar">
    <w:name w:val="Comment Subject Char"/>
    <w:link w:val="CommentSubject"/>
    <w:uiPriority w:val="99"/>
    <w:semiHidden/>
    <w:rsid w:val="003B0804"/>
    <w:rPr>
      <w:rFonts w:ascii="Arial" w:hAnsi="Arial"/>
      <w:b/>
      <w:bCs/>
      <w:spacing w:val="-3"/>
      <w:sz w:val="20"/>
      <w:szCs w:val="20"/>
      <w:lang w:val="en-AU" w:eastAsia="en-AU"/>
    </w:rPr>
  </w:style>
  <w:style w:type="paragraph" w:styleId="Title">
    <w:name w:val="Title"/>
    <w:basedOn w:val="Normal"/>
    <w:next w:val="Normal"/>
    <w:link w:val="TitleChar"/>
    <w:uiPriority w:val="99"/>
    <w:unhideWhenUsed/>
    <w:qFormat/>
    <w:rsid w:val="00034132"/>
    <w:pPr>
      <w:framePr w:hSpace="180" w:wrap="around" w:vAnchor="page" w:hAnchor="page" w:x="4492" w:y="5386"/>
      <w:jc w:val="right"/>
    </w:pPr>
    <w:rPr>
      <w:rFonts w:eastAsia="Calibri" w:cs="Arial"/>
      <w:color w:val="000000"/>
      <w:sz w:val="80"/>
      <w:szCs w:val="80"/>
    </w:rPr>
  </w:style>
  <w:style w:type="character" w:customStyle="1" w:styleId="TitleChar">
    <w:name w:val="Title Char"/>
    <w:link w:val="Title"/>
    <w:uiPriority w:val="99"/>
    <w:rsid w:val="00034132"/>
    <w:rPr>
      <w:rFonts w:ascii="Arial" w:eastAsia="Calibri" w:hAnsi="Arial" w:cs="Arial"/>
      <w:color w:val="000000"/>
      <w:kern w:val="2"/>
      <w:sz w:val="80"/>
      <w:szCs w:val="80"/>
      <w:lang w:val="en-AU" w:eastAsia="en-AU"/>
    </w:rPr>
  </w:style>
  <w:style w:type="paragraph" w:customStyle="1" w:styleId="Control">
    <w:name w:val="Control"/>
    <w:basedOn w:val="Normal"/>
    <w:uiPriority w:val="21"/>
    <w:semiHidden/>
    <w:rsid w:val="0055069E"/>
    <w:pPr>
      <w:framePr w:hSpace="181" w:wrap="around" w:vAnchor="page" w:hAnchor="margin" w:xAlign="right" w:y="5388"/>
      <w:ind w:left="1135" w:hanging="851"/>
      <w:jc w:val="right"/>
    </w:pPr>
    <w:rPr>
      <w:rFonts w:eastAsia="Calibri" w:cs="Arial"/>
      <w:color w:val="FFFFFF"/>
      <w:sz w:val="28"/>
      <w:szCs w:val="28"/>
    </w:rPr>
  </w:style>
  <w:style w:type="paragraph" w:customStyle="1" w:styleId="Rev">
    <w:name w:val="Rev"/>
    <w:basedOn w:val="Normal"/>
    <w:next w:val="Normal"/>
    <w:uiPriority w:val="20"/>
    <w:semiHidden/>
    <w:qFormat/>
    <w:rsid w:val="0055069E"/>
    <w:pPr>
      <w:framePr w:hSpace="181" w:wrap="around" w:vAnchor="page" w:hAnchor="margin" w:xAlign="right" w:y="5388"/>
      <w:ind w:left="1135" w:hanging="851"/>
      <w:jc w:val="right"/>
    </w:pPr>
    <w:rPr>
      <w:rFonts w:eastAsia="Calibri" w:cs="Arial"/>
      <w:color w:val="000000"/>
      <w:sz w:val="28"/>
      <w:szCs w:val="28"/>
    </w:rPr>
  </w:style>
  <w:style w:type="paragraph" w:customStyle="1" w:styleId="HeaderZero">
    <w:name w:val="HeaderZero"/>
    <w:basedOn w:val="Header"/>
    <w:uiPriority w:val="19"/>
    <w:semiHidden/>
    <w:rsid w:val="00D347EC"/>
    <w:rPr>
      <w:b w:val="0"/>
      <w:color w:val="34B233"/>
      <w:sz w:val="18"/>
      <w:szCs w:val="18"/>
    </w:rPr>
  </w:style>
  <w:style w:type="paragraph" w:customStyle="1" w:styleId="FooterControl">
    <w:name w:val="FooterControl"/>
    <w:basedOn w:val="Footer"/>
    <w:uiPriority w:val="20"/>
    <w:semiHidden/>
    <w:rsid w:val="003865EE"/>
    <w:rPr>
      <w:sz w:val="16"/>
    </w:rPr>
  </w:style>
  <w:style w:type="paragraph" w:customStyle="1" w:styleId="Heading">
    <w:name w:val="Heading"/>
    <w:basedOn w:val="Normal"/>
    <w:next w:val="Normal"/>
    <w:uiPriority w:val="3"/>
    <w:qFormat/>
    <w:rsid w:val="00DD4A60"/>
    <w:pPr>
      <w:keepNext/>
      <w:spacing w:before="360" w:after="240"/>
    </w:pPr>
    <w:rPr>
      <w:rFonts w:cs="Arial"/>
      <w:b/>
      <w:bCs/>
      <w:sz w:val="32"/>
      <w:szCs w:val="32"/>
    </w:rPr>
  </w:style>
  <w:style w:type="paragraph" w:customStyle="1" w:styleId="SubHeading">
    <w:name w:val="SubHeading"/>
    <w:basedOn w:val="Normal"/>
    <w:next w:val="Normal"/>
    <w:uiPriority w:val="3"/>
    <w:qFormat/>
    <w:rsid w:val="00DD4A60"/>
    <w:pPr>
      <w:keepNext/>
      <w:spacing w:before="360"/>
      <w:outlineLvl w:val="1"/>
    </w:pPr>
    <w:rPr>
      <w:rFonts w:cs="Arial"/>
      <w:b/>
      <w:sz w:val="22"/>
      <w:szCs w:val="22"/>
    </w:rPr>
  </w:style>
  <w:style w:type="paragraph" w:customStyle="1" w:styleId="AppendixN1">
    <w:name w:val="Appendix N1"/>
    <w:basedOn w:val="ListParagraph"/>
    <w:uiPriority w:val="2"/>
    <w:qFormat/>
    <w:rsid w:val="00E179E0"/>
    <w:pPr>
      <w:numPr>
        <w:numId w:val="5"/>
      </w:numPr>
    </w:pPr>
    <w:rPr>
      <w:rFonts w:ascii="Arial Bold" w:hAnsi="Arial Bold" w:cs="Arial"/>
      <w:b/>
    </w:rPr>
  </w:style>
  <w:style w:type="character" w:customStyle="1" w:styleId="Code">
    <w:name w:val="Code"/>
    <w:basedOn w:val="DefaultParagraphFont"/>
    <w:uiPriority w:val="1"/>
    <w:qFormat/>
    <w:rsid w:val="00AB566D"/>
  </w:style>
  <w:style w:type="character" w:customStyle="1" w:styleId="Version">
    <w:name w:val="Version"/>
    <w:basedOn w:val="DefaultParagraphFont"/>
    <w:uiPriority w:val="1"/>
    <w:qFormat/>
    <w:rsid w:val="00AB566D"/>
  </w:style>
  <w:style w:type="character" w:customStyle="1" w:styleId="DocDate">
    <w:name w:val="DocDate"/>
    <w:basedOn w:val="DefaultParagraphFont"/>
    <w:uiPriority w:val="1"/>
    <w:qFormat/>
    <w:rsid w:val="00AB566D"/>
  </w:style>
  <w:style w:type="paragraph" w:customStyle="1" w:styleId="TableBullet1">
    <w:name w:val="Table Bullet"/>
    <w:basedOn w:val="ListParagraph"/>
    <w:qFormat/>
    <w:rsid w:val="00CD5989"/>
    <w:pPr>
      <w:numPr>
        <w:numId w:val="4"/>
      </w:numPr>
      <w:contextualSpacing w:val="0"/>
    </w:pPr>
    <w:rPr>
      <w:rFonts w:cs="Arial"/>
      <w:lang w:val="en-US" w:eastAsia="en-US"/>
    </w:rPr>
  </w:style>
  <w:style w:type="table" w:customStyle="1" w:styleId="HeaderTable1">
    <w:name w:val="HeaderTable1"/>
    <w:basedOn w:val="TableNormal"/>
    <w:uiPriority w:val="99"/>
    <w:qFormat/>
    <w:rsid w:val="00DE3E9C"/>
    <w:rPr>
      <w:rFonts w:ascii="Arial" w:eastAsia="Times New Roman" w:hAnsi="Arial"/>
      <w:sz w:val="22"/>
    </w:rPr>
    <w:tblPr>
      <w:tblBorders>
        <w:bottom w:val="single" w:sz="12" w:space="0" w:color="0F243E"/>
      </w:tblBorders>
      <w:tblCellMar>
        <w:left w:w="0" w:type="dxa"/>
        <w:bottom w:w="142" w:type="dxa"/>
        <w:right w:w="0" w:type="dxa"/>
      </w:tblCellMar>
    </w:tblPr>
    <w:tcPr>
      <w:vAlign w:val="bottom"/>
    </w:tcPr>
  </w:style>
  <w:style w:type="table" w:customStyle="1" w:styleId="TableGrid1">
    <w:name w:val="Table Grid1"/>
    <w:basedOn w:val="TableNormal"/>
    <w:next w:val="TableGrid"/>
    <w:uiPriority w:val="59"/>
    <w:rsid w:val="00CF68AA"/>
    <w:pPr>
      <w:spacing w:after="120"/>
    </w:pPr>
    <w:rPr>
      <w:rFonts w:ascii="Arial" w:hAnsi="Arial" w:cs="Arial"/>
      <w:szCs w:val="22"/>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character" w:styleId="Strong">
    <w:name w:val="Strong"/>
    <w:uiPriority w:val="22"/>
    <w:qFormat/>
    <w:rsid w:val="009E7C72"/>
    <w:rPr>
      <w:b/>
      <w:bCs/>
    </w:rPr>
  </w:style>
  <w:style w:type="numbering" w:customStyle="1" w:styleId="NoList1">
    <w:name w:val="No List1"/>
    <w:next w:val="NoList"/>
    <w:uiPriority w:val="99"/>
    <w:semiHidden/>
    <w:unhideWhenUsed/>
    <w:rsid w:val="00B07F70"/>
  </w:style>
  <w:style w:type="paragraph" w:customStyle="1" w:styleId="Bullets1">
    <w:name w:val="Bullets 1"/>
    <w:basedOn w:val="Normal"/>
    <w:next w:val="Normal"/>
    <w:rsid w:val="00B07F70"/>
    <w:pPr>
      <w:tabs>
        <w:tab w:val="left" w:pos="0"/>
      </w:tabs>
      <w:suppressAutoHyphens/>
      <w:spacing w:before="97" w:after="153" w:line="270" w:lineRule="atLeast"/>
      <w:outlineLvl w:val="9"/>
    </w:pPr>
    <w:rPr>
      <w:rFonts w:eastAsia="Times New Roman"/>
      <w:color w:val="000000"/>
      <w:kern w:val="0"/>
    </w:rPr>
  </w:style>
  <w:style w:type="paragraph" w:styleId="BodyText3">
    <w:name w:val="Body Text 3"/>
    <w:basedOn w:val="Normal"/>
    <w:link w:val="BodyText3Char"/>
    <w:uiPriority w:val="99"/>
    <w:rsid w:val="00100020"/>
    <w:pPr>
      <w:jc w:val="both"/>
      <w:outlineLvl w:val="9"/>
    </w:pPr>
    <w:rPr>
      <w:rFonts w:eastAsia="Times New Roman"/>
      <w:kern w:val="0"/>
      <w:sz w:val="16"/>
      <w:szCs w:val="16"/>
      <w:lang w:eastAsia="en-US"/>
    </w:rPr>
  </w:style>
  <w:style w:type="character" w:customStyle="1" w:styleId="BodyText3Char">
    <w:name w:val="Body Text 3 Char"/>
    <w:link w:val="BodyText3"/>
    <w:uiPriority w:val="99"/>
    <w:rsid w:val="00100020"/>
    <w:rPr>
      <w:rFonts w:ascii="Arial" w:eastAsia="Times New Roman" w:hAnsi="Arial"/>
      <w:sz w:val="16"/>
      <w:szCs w:val="16"/>
      <w:lang w:val="en-AU"/>
    </w:rPr>
  </w:style>
  <w:style w:type="paragraph" w:customStyle="1" w:styleId="HeadingBodyText">
    <w:name w:val="Heading Body Text"/>
    <w:basedOn w:val="Normal"/>
    <w:link w:val="HeadingBodyTextChar"/>
    <w:rsid w:val="00100020"/>
    <w:pPr>
      <w:widowControl w:val="0"/>
      <w:spacing w:after="0"/>
      <w:ind w:left="567"/>
      <w:jc w:val="both"/>
      <w:outlineLvl w:val="9"/>
    </w:pPr>
    <w:rPr>
      <w:rFonts w:eastAsia="Times New Roman"/>
      <w:kern w:val="0"/>
      <w:sz w:val="22"/>
      <w:lang w:val="x-none" w:eastAsia="en-US"/>
    </w:rPr>
  </w:style>
  <w:style w:type="character" w:customStyle="1" w:styleId="HeadingBodyTextChar">
    <w:name w:val="Heading Body Text Char"/>
    <w:link w:val="HeadingBodyText"/>
    <w:rsid w:val="00100020"/>
    <w:rPr>
      <w:rFonts w:ascii="Arial" w:eastAsia="Times New Roman" w:hAnsi="Arial"/>
      <w:sz w:val="22"/>
      <w:szCs w:val="20"/>
      <w:lang w:val="x-none"/>
    </w:rPr>
  </w:style>
  <w:style w:type="paragraph" w:customStyle="1" w:styleId="Bulletpoint">
    <w:name w:val="Bullet point"/>
    <w:basedOn w:val="ListBullet2"/>
    <w:link w:val="BulletpointChar"/>
    <w:rsid w:val="00100020"/>
    <w:pPr>
      <w:numPr>
        <w:numId w:val="0"/>
      </w:numPr>
      <w:spacing w:before="60" w:after="60"/>
      <w:contextualSpacing w:val="0"/>
      <w:jc w:val="both"/>
      <w:outlineLvl w:val="9"/>
    </w:pPr>
    <w:rPr>
      <w:rFonts w:eastAsia="Times New Roman"/>
      <w:kern w:val="0"/>
      <w:lang w:eastAsia="en-US"/>
    </w:rPr>
  </w:style>
  <w:style w:type="character" w:customStyle="1" w:styleId="BulletpointChar">
    <w:name w:val="Bullet point Char"/>
    <w:link w:val="Bulletpoint"/>
    <w:rsid w:val="00100020"/>
    <w:rPr>
      <w:rFonts w:ascii="Arial" w:eastAsia="Times New Roman" w:hAnsi="Arial"/>
      <w:sz w:val="20"/>
      <w:szCs w:val="20"/>
      <w:lang w:val="en-AU"/>
    </w:rPr>
  </w:style>
  <w:style w:type="paragraph" w:styleId="ListBullet2">
    <w:name w:val="List Bullet 2"/>
    <w:basedOn w:val="Normal"/>
    <w:uiPriority w:val="99"/>
    <w:rsid w:val="00100020"/>
    <w:pPr>
      <w:numPr>
        <w:numId w:val="6"/>
      </w:numPr>
      <w:contextualSpacing/>
    </w:pPr>
  </w:style>
  <w:style w:type="paragraph" w:customStyle="1" w:styleId="Headingbodytext0">
    <w:name w:val="Heading body text"/>
    <w:basedOn w:val="HeadingBodyText"/>
    <w:link w:val="HeadingbodytextChar0"/>
    <w:rsid w:val="009E3E5F"/>
    <w:pPr>
      <w:widowControl/>
      <w:ind w:left="0"/>
    </w:pPr>
    <w:rPr>
      <w:sz w:val="20"/>
      <w:lang w:val="en-AU"/>
    </w:rPr>
  </w:style>
  <w:style w:type="character" w:customStyle="1" w:styleId="HeadingbodytextChar0">
    <w:name w:val="Heading body text Char"/>
    <w:link w:val="Headingbodytext0"/>
    <w:rsid w:val="009E3E5F"/>
    <w:rPr>
      <w:rFonts w:ascii="Arial" w:eastAsia="Times New Roman" w:hAnsi="Arial"/>
      <w:sz w:val="20"/>
      <w:szCs w:val="20"/>
      <w:lang w:val="en-AU"/>
    </w:rPr>
  </w:style>
  <w:style w:type="paragraph" w:customStyle="1" w:styleId="Tabletext">
    <w:name w:val="Table text"/>
    <w:basedOn w:val="Normal"/>
    <w:link w:val="TabletextChar"/>
    <w:qFormat/>
    <w:rsid w:val="00090C87"/>
    <w:pPr>
      <w:spacing w:before="60" w:after="60" w:line="300" w:lineRule="auto"/>
      <w:jc w:val="both"/>
      <w:outlineLvl w:val="9"/>
    </w:pPr>
    <w:rPr>
      <w:rFonts w:ascii="Trebuchet MS" w:eastAsia="Times New Roman" w:hAnsi="Trebuchet MS"/>
      <w:kern w:val="0"/>
    </w:rPr>
  </w:style>
  <w:style w:type="paragraph" w:customStyle="1" w:styleId="TableHeader">
    <w:name w:val="Table Header"/>
    <w:basedOn w:val="Tabletext"/>
    <w:link w:val="TableHeaderChar"/>
    <w:qFormat/>
    <w:rsid w:val="00090C87"/>
    <w:rPr>
      <w:rFonts w:ascii="Arial" w:hAnsi="Arial"/>
      <w:b/>
      <w:color w:val="FFFFFF"/>
    </w:rPr>
  </w:style>
  <w:style w:type="character" w:customStyle="1" w:styleId="TabletextChar">
    <w:name w:val="Table text Char"/>
    <w:aliases w:val="tabletext Char,tt Char Char,tt Char"/>
    <w:link w:val="Tabletext"/>
    <w:rsid w:val="00090C87"/>
    <w:rPr>
      <w:rFonts w:ascii="Trebuchet MS" w:eastAsia="Times New Roman" w:hAnsi="Trebuchet MS"/>
      <w:sz w:val="20"/>
      <w:lang w:val="en-AU" w:eastAsia="en-AU"/>
    </w:rPr>
  </w:style>
  <w:style w:type="character" w:customStyle="1" w:styleId="TableHeaderChar">
    <w:name w:val="Table Header Char"/>
    <w:link w:val="TableHeader"/>
    <w:rsid w:val="00090C87"/>
    <w:rPr>
      <w:rFonts w:ascii="Arial" w:eastAsia="Times New Roman" w:hAnsi="Arial"/>
      <w:b/>
      <w:color w:val="FFFFFF"/>
      <w:sz w:val="20"/>
      <w:lang w:val="en-AU" w:eastAsia="en-AU"/>
    </w:rPr>
  </w:style>
  <w:style w:type="paragraph" w:customStyle="1" w:styleId="TableHeader2">
    <w:name w:val="Table Header 2"/>
    <w:basedOn w:val="TableHeader"/>
    <w:link w:val="TableHeader2Char"/>
    <w:qFormat/>
    <w:rsid w:val="00090C87"/>
  </w:style>
  <w:style w:type="character" w:customStyle="1" w:styleId="TableHeader2Char">
    <w:name w:val="Table Header 2 Char"/>
    <w:link w:val="TableHeader2"/>
    <w:rsid w:val="00090C87"/>
    <w:rPr>
      <w:rFonts w:ascii="Arial" w:eastAsia="Times New Roman" w:hAnsi="Arial"/>
      <w:b/>
      <w:color w:val="FFFFFF"/>
      <w:sz w:val="20"/>
      <w:lang w:val="en-AU" w:eastAsia="en-AU"/>
    </w:rPr>
  </w:style>
  <w:style w:type="paragraph" w:customStyle="1" w:styleId="tabletext0">
    <w:name w:val="table text"/>
    <w:aliases w:val="tt"/>
    <w:basedOn w:val="Normal"/>
    <w:rsid w:val="00090C87"/>
    <w:pPr>
      <w:spacing w:after="0" w:line="240" w:lineRule="atLeast"/>
      <w:jc w:val="both"/>
      <w:outlineLvl w:val="9"/>
    </w:pPr>
    <w:rPr>
      <w:rFonts w:eastAsia="Times New Roman"/>
      <w:kern w:val="0"/>
    </w:rPr>
  </w:style>
  <w:style w:type="character" w:customStyle="1" w:styleId="CaptionChar">
    <w:name w:val="Caption Char"/>
    <w:aliases w:val="Caption Char1 Char Char,Caption Char1 Char1,อักขระ Char,Caption1 Char Char1,Caption Char Char Char Char1 Char Char,Caption Char Char Char Char Char Char Char Char Char1 Char Char,Caption1 Char Char Char,Caption Char1 Ch Char"/>
    <w:link w:val="Caption"/>
    <w:locked/>
    <w:rsid w:val="00090C87"/>
    <w:rPr>
      <w:rFonts w:ascii="Arial" w:eastAsia="SimSun" w:hAnsi="Arial"/>
      <w:b/>
      <w:bCs/>
      <w:kern w:val="2"/>
      <w:sz w:val="20"/>
      <w:szCs w:val="20"/>
      <w:lang w:val="en-AU" w:eastAsia="en-AU"/>
    </w:rPr>
  </w:style>
  <w:style w:type="paragraph" w:customStyle="1" w:styleId="Tablecontents">
    <w:name w:val="Table contents"/>
    <w:basedOn w:val="Normal"/>
    <w:rsid w:val="00090C87"/>
    <w:pPr>
      <w:spacing w:before="60" w:after="60"/>
      <w:outlineLvl w:val="9"/>
    </w:pPr>
    <w:rPr>
      <w:rFonts w:eastAsia="Times New Roman"/>
      <w:kern w:val="0"/>
      <w:sz w:val="18"/>
      <w:lang w:eastAsia="en-US"/>
    </w:rPr>
  </w:style>
  <w:style w:type="paragraph" w:customStyle="1" w:styleId="Tableheading">
    <w:name w:val="Table heading"/>
    <w:aliases w:val="tableheading,th"/>
    <w:basedOn w:val="Normal"/>
    <w:link w:val="tableheadingChar"/>
    <w:rsid w:val="00090C87"/>
    <w:pPr>
      <w:spacing w:before="60" w:after="60"/>
      <w:outlineLvl w:val="9"/>
    </w:pPr>
    <w:rPr>
      <w:rFonts w:eastAsia="Times New Roman"/>
      <w:b/>
      <w:color w:val="191919"/>
      <w:kern w:val="0"/>
      <w:sz w:val="18"/>
      <w:lang w:eastAsia="en-US"/>
    </w:rPr>
  </w:style>
  <w:style w:type="character" w:customStyle="1" w:styleId="tableheadingChar">
    <w:name w:val="tableheading Char"/>
    <w:aliases w:val="th Char Char"/>
    <w:link w:val="Tableheading"/>
    <w:rsid w:val="00090C87"/>
    <w:rPr>
      <w:rFonts w:ascii="Arial" w:eastAsia="Times New Roman" w:hAnsi="Arial"/>
      <w:b/>
      <w:color w:val="191919"/>
      <w:sz w:val="18"/>
      <w:lang w:val="en-AU"/>
    </w:rPr>
  </w:style>
  <w:style w:type="paragraph" w:customStyle="1" w:styleId="tablebullet0">
    <w:name w:val="table bullet"/>
    <w:basedOn w:val="Tabletext"/>
    <w:qFormat/>
    <w:rsid w:val="00090C87"/>
    <w:pPr>
      <w:numPr>
        <w:numId w:val="7"/>
      </w:numPr>
      <w:spacing w:line="240" w:lineRule="auto"/>
      <w:jc w:val="left"/>
    </w:pPr>
    <w:rPr>
      <w:rFonts w:ascii="Arial" w:hAnsi="Arial"/>
      <w:color w:val="191919"/>
      <w:sz w:val="18"/>
      <w:lang w:eastAsia="en-US"/>
    </w:rPr>
  </w:style>
  <w:style w:type="paragraph" w:customStyle="1" w:styleId="Default">
    <w:name w:val="Default"/>
    <w:rsid w:val="00090C87"/>
    <w:pPr>
      <w:autoSpaceDE w:val="0"/>
      <w:autoSpaceDN w:val="0"/>
      <w:adjustRightInd w:val="0"/>
    </w:pPr>
    <w:rPr>
      <w:rFonts w:ascii="Calibri" w:eastAsia="Times New Roman" w:hAnsi="Calibri" w:cs="Calibri"/>
      <w:color w:val="000000"/>
    </w:rPr>
  </w:style>
  <w:style w:type="paragraph" w:customStyle="1" w:styleId="TableText1">
    <w:name w:val="Table Text"/>
    <w:basedOn w:val="Tabletext"/>
    <w:link w:val="TableTextChar0"/>
    <w:qFormat/>
    <w:rsid w:val="006A5F63"/>
    <w:rPr>
      <w:rFonts w:ascii="Arial" w:hAnsi="Arial"/>
    </w:rPr>
  </w:style>
  <w:style w:type="character" w:customStyle="1" w:styleId="TableTextChar0">
    <w:name w:val="Table Text Char"/>
    <w:link w:val="TableText1"/>
    <w:rsid w:val="006A5F63"/>
    <w:rPr>
      <w:rFonts w:ascii="Arial" w:eastAsia="Times New Roman" w:hAnsi="Arial"/>
      <w:sz w:val="20"/>
      <w:lang w:val="en-AU" w:eastAsia="en-AU"/>
    </w:rPr>
  </w:style>
  <w:style w:type="paragraph" w:customStyle="1" w:styleId="HSERM-BodyText">
    <w:name w:val="HSERM - Body Text"/>
    <w:basedOn w:val="Normal"/>
    <w:rsid w:val="003E3C6E"/>
    <w:pPr>
      <w:spacing w:before="120"/>
      <w:ind w:left="567"/>
      <w:jc w:val="both"/>
      <w:outlineLvl w:val="9"/>
    </w:pPr>
    <w:rPr>
      <w:rFonts w:ascii="Gill Sans MT" w:eastAsia="Calibri" w:hAnsi="Gill Sans MT"/>
      <w:kern w:val="0"/>
      <w:lang w:val="en-GB" w:eastAsia="en-US"/>
    </w:rPr>
  </w:style>
  <w:style w:type="paragraph" w:customStyle="1" w:styleId="BodyText1">
    <w:name w:val="Body Text1"/>
    <w:basedOn w:val="Default"/>
    <w:next w:val="Default"/>
    <w:link w:val="BodytextChar0"/>
    <w:qFormat/>
    <w:rsid w:val="00233EA9"/>
    <w:rPr>
      <w:rFonts w:ascii="Times New Roman" w:hAnsi="Times New Roman" w:cs="Times New Roman"/>
      <w:color w:val="auto"/>
      <w:lang w:eastAsia="en-AU"/>
    </w:rPr>
  </w:style>
  <w:style w:type="paragraph" w:customStyle="1" w:styleId="HeadingforTOC">
    <w:name w:val="Heading for TOC"/>
    <w:basedOn w:val="Normal"/>
    <w:next w:val="BodyText"/>
    <w:rsid w:val="005A09C9"/>
    <w:pPr>
      <w:keepNext/>
      <w:spacing w:before="240" w:after="240"/>
      <w:outlineLvl w:val="9"/>
    </w:pPr>
    <w:rPr>
      <w:rFonts w:eastAsia="MS Mincho"/>
      <w:b/>
      <w:color w:val="F36D00"/>
      <w:kern w:val="0"/>
      <w:lang w:eastAsia="en-US"/>
    </w:rPr>
  </w:style>
  <w:style w:type="paragraph" w:customStyle="1" w:styleId="MainBody">
    <w:name w:val="Main Body"/>
    <w:basedOn w:val="Normal"/>
    <w:link w:val="MainBodyChar"/>
    <w:rsid w:val="009A1547"/>
    <w:pPr>
      <w:spacing w:before="120"/>
      <w:ind w:left="567"/>
      <w:outlineLvl w:val="9"/>
    </w:pPr>
    <w:rPr>
      <w:rFonts w:eastAsia="Calibri"/>
      <w:color w:val="191919"/>
      <w:kern w:val="0"/>
      <w:sz w:val="18"/>
      <w:szCs w:val="22"/>
    </w:rPr>
  </w:style>
  <w:style w:type="character" w:customStyle="1" w:styleId="MainBodyChar">
    <w:name w:val="Main Body Char"/>
    <w:link w:val="MainBody"/>
    <w:rsid w:val="009A1547"/>
    <w:rPr>
      <w:rFonts w:ascii="Arial" w:eastAsia="Calibri" w:hAnsi="Arial"/>
      <w:color w:val="191919"/>
      <w:sz w:val="18"/>
      <w:szCs w:val="22"/>
      <w:lang w:val="en-AU" w:eastAsia="en-AU"/>
    </w:rPr>
  </w:style>
  <w:style w:type="paragraph" w:customStyle="1" w:styleId="bodycopy">
    <w:name w:val="# body copy"/>
    <w:basedOn w:val="Normal"/>
    <w:rsid w:val="00443975"/>
    <w:pPr>
      <w:outlineLvl w:val="9"/>
    </w:pPr>
    <w:rPr>
      <w:rFonts w:ascii="Tahoma" w:eastAsia="Times New Roman" w:hAnsi="Tahoma" w:cs="Arial"/>
      <w:kern w:val="0"/>
    </w:rPr>
  </w:style>
  <w:style w:type="paragraph" w:customStyle="1" w:styleId="Para0">
    <w:name w:val="Para 0"/>
    <w:basedOn w:val="Normal"/>
    <w:rsid w:val="00C7491D"/>
    <w:pPr>
      <w:spacing w:after="220" w:line="300" w:lineRule="auto"/>
      <w:jc w:val="both"/>
      <w:outlineLvl w:val="9"/>
    </w:pPr>
    <w:rPr>
      <w:rFonts w:ascii="Times New Roman" w:eastAsia="Times New Roman" w:hAnsi="Times New Roman"/>
      <w:color w:val="000000"/>
      <w:kern w:val="0"/>
      <w:szCs w:val="22"/>
      <w:lang w:val="en-GB"/>
    </w:rPr>
  </w:style>
  <w:style w:type="paragraph" w:customStyle="1" w:styleId="bullet">
    <w:name w:val="bullet"/>
    <w:aliases w:val="bu,b"/>
    <w:basedOn w:val="Normal"/>
    <w:rsid w:val="00C050D3"/>
    <w:pPr>
      <w:numPr>
        <w:numId w:val="8"/>
      </w:numPr>
      <w:outlineLvl w:val="9"/>
    </w:pPr>
    <w:rPr>
      <w:rFonts w:eastAsia="MS Mincho"/>
      <w:color w:val="191919"/>
      <w:kern w:val="0"/>
      <w:sz w:val="18"/>
      <w:lang w:eastAsia="en-US"/>
    </w:rPr>
  </w:style>
  <w:style w:type="character" w:customStyle="1" w:styleId="apple-converted-space">
    <w:name w:val="apple-converted-space"/>
    <w:basedOn w:val="DefaultParagraphFont"/>
    <w:rsid w:val="009816F8"/>
  </w:style>
  <w:style w:type="paragraph" w:customStyle="1" w:styleId="CaptionTables">
    <w:name w:val="Caption Tables"/>
    <w:basedOn w:val="Caption"/>
    <w:rsid w:val="009816F8"/>
    <w:pPr>
      <w:ind w:left="851"/>
      <w:jc w:val="left"/>
      <w:outlineLvl w:val="9"/>
    </w:pPr>
    <w:rPr>
      <w:rFonts w:eastAsia="MS Mincho"/>
      <w:color w:val="191919"/>
      <w:kern w:val="0"/>
      <w:sz w:val="18"/>
      <w:lang w:eastAsia="en-US"/>
    </w:rPr>
  </w:style>
  <w:style w:type="paragraph" w:customStyle="1" w:styleId="BodyText13">
    <w:name w:val="Body Text13"/>
    <w:basedOn w:val="Normal"/>
    <w:rsid w:val="00747C10"/>
    <w:pPr>
      <w:tabs>
        <w:tab w:val="left" w:pos="851"/>
        <w:tab w:val="left" w:pos="1701"/>
        <w:tab w:val="left" w:pos="2835"/>
        <w:tab w:val="left" w:pos="4253"/>
      </w:tabs>
      <w:spacing w:before="120" w:line="240" w:lineRule="atLeast"/>
      <w:ind w:left="1134"/>
      <w:outlineLvl w:val="9"/>
    </w:pPr>
    <w:rPr>
      <w:rFonts w:ascii="Verdana" w:eastAsia="Times New Roman" w:hAnsi="Verdana"/>
      <w:color w:val="1B242A"/>
      <w:kern w:val="0"/>
      <w:lang w:eastAsia="en-US"/>
    </w:rPr>
  </w:style>
  <w:style w:type="paragraph" w:customStyle="1" w:styleId="Tableheading-small">
    <w:name w:val="Table heading-small"/>
    <w:basedOn w:val="Tableheading"/>
    <w:rsid w:val="001A3CB4"/>
  </w:style>
  <w:style w:type="character" w:customStyle="1" w:styleId="ListParagraphChar">
    <w:name w:val="List Paragraph Char"/>
    <w:aliases w:val="Aventus ToC Heading Char"/>
    <w:link w:val="ListParagraph"/>
    <w:uiPriority w:val="34"/>
    <w:rsid w:val="001A3CB4"/>
    <w:rPr>
      <w:rFonts w:ascii="Arial" w:eastAsia="SimSun" w:hAnsi="Arial"/>
      <w:kern w:val="2"/>
      <w:sz w:val="20"/>
      <w:szCs w:val="20"/>
      <w:lang w:val="en-AU" w:eastAsia="en-AU"/>
    </w:rPr>
  </w:style>
  <w:style w:type="paragraph" w:customStyle="1" w:styleId="TableFont">
    <w:name w:val="TableFont"/>
    <w:basedOn w:val="Para0"/>
    <w:rsid w:val="002E4A88"/>
    <w:pPr>
      <w:spacing w:before="40" w:after="40" w:line="240" w:lineRule="auto"/>
    </w:pPr>
    <w:rPr>
      <w:rFonts w:ascii="Arial" w:hAnsi="Arial" w:cs="Arial"/>
      <w:sz w:val="18"/>
      <w:szCs w:val="18"/>
    </w:rPr>
  </w:style>
  <w:style w:type="paragraph" w:customStyle="1" w:styleId="TableTextform">
    <w:name w:val="Table Text form"/>
    <w:basedOn w:val="Normal"/>
    <w:rsid w:val="008004DC"/>
    <w:pPr>
      <w:spacing w:before="40" w:after="40"/>
      <w:outlineLvl w:val="9"/>
    </w:pPr>
    <w:rPr>
      <w:rFonts w:eastAsia="Times New Roman"/>
      <w:color w:val="191919"/>
      <w:kern w:val="0"/>
      <w:sz w:val="16"/>
      <w:lang w:eastAsia="en-US"/>
    </w:rPr>
  </w:style>
  <w:style w:type="paragraph" w:customStyle="1" w:styleId="Content2">
    <w:name w:val="Content2"/>
    <w:basedOn w:val="Normal"/>
    <w:link w:val="Content2Char"/>
    <w:rsid w:val="00697B57"/>
    <w:pPr>
      <w:spacing w:after="0"/>
      <w:ind w:left="1134"/>
      <w:jc w:val="both"/>
      <w:outlineLvl w:val="9"/>
    </w:pPr>
    <w:rPr>
      <w:rFonts w:ascii="Calibri" w:eastAsia="Times New Roman" w:hAnsi="Calibri" w:cs="Calibri"/>
      <w:kern w:val="0"/>
      <w:sz w:val="22"/>
      <w:szCs w:val="22"/>
      <w:lang w:val="en-US" w:eastAsia="en-GB"/>
    </w:rPr>
  </w:style>
  <w:style w:type="character" w:customStyle="1" w:styleId="Content2Char">
    <w:name w:val="Content2 Char"/>
    <w:link w:val="Content2"/>
    <w:rsid w:val="00697B57"/>
    <w:rPr>
      <w:rFonts w:ascii="Calibri" w:eastAsia="Times New Roman" w:hAnsi="Calibri" w:cs="Calibri"/>
      <w:sz w:val="22"/>
      <w:szCs w:val="22"/>
      <w:lang w:eastAsia="en-GB"/>
    </w:rPr>
  </w:style>
  <w:style w:type="character" w:customStyle="1" w:styleId="FootnoteTextChar">
    <w:name w:val="Footnote Text Char"/>
    <w:link w:val="FootnoteText"/>
    <w:uiPriority w:val="99"/>
    <w:rsid w:val="00697B57"/>
    <w:rPr>
      <w:rFonts w:ascii="Arial" w:eastAsia="SimSun" w:hAnsi="Arial"/>
      <w:kern w:val="2"/>
      <w:sz w:val="20"/>
      <w:szCs w:val="20"/>
      <w:lang w:val="en-AU" w:eastAsia="en-AU"/>
    </w:rPr>
  </w:style>
  <w:style w:type="paragraph" w:customStyle="1" w:styleId="Content3">
    <w:name w:val="Content3"/>
    <w:basedOn w:val="Content2"/>
    <w:link w:val="Content3Char"/>
    <w:rsid w:val="00697B57"/>
    <w:pPr>
      <w:ind w:left="1843"/>
    </w:pPr>
  </w:style>
  <w:style w:type="character" w:customStyle="1" w:styleId="Content3Char">
    <w:name w:val="Content3 Char"/>
    <w:link w:val="Content3"/>
    <w:rsid w:val="00697B57"/>
    <w:rPr>
      <w:rFonts w:ascii="Calibri" w:eastAsia="Times New Roman" w:hAnsi="Calibri" w:cs="Calibri"/>
      <w:sz w:val="22"/>
      <w:szCs w:val="22"/>
      <w:lang w:eastAsia="en-GB"/>
    </w:rPr>
  </w:style>
  <w:style w:type="paragraph" w:customStyle="1" w:styleId="ScopeTNormal">
    <w:name w:val="Scope_T_Normal"/>
    <w:basedOn w:val="Normal"/>
    <w:link w:val="ScopeTNormalChar"/>
    <w:rsid w:val="00697B57"/>
    <w:pPr>
      <w:spacing w:after="0" w:line="180" w:lineRule="atLeast"/>
      <w:outlineLvl w:val="9"/>
    </w:pPr>
    <w:rPr>
      <w:rFonts w:ascii="Calibri" w:eastAsia="Calibri" w:hAnsi="Calibri" w:cs="Arial"/>
      <w:kern w:val="0"/>
      <w:sz w:val="18"/>
      <w:szCs w:val="17"/>
      <w:lang w:eastAsia="en-US"/>
    </w:rPr>
  </w:style>
  <w:style w:type="character" w:customStyle="1" w:styleId="ScopeTNormalChar">
    <w:name w:val="Scope_T_Normal Char"/>
    <w:link w:val="ScopeTNormal"/>
    <w:rsid w:val="00697B57"/>
    <w:rPr>
      <w:rFonts w:ascii="Calibri" w:hAnsi="Calibri" w:cs="Arial"/>
      <w:sz w:val="18"/>
      <w:szCs w:val="17"/>
      <w:lang w:val="en-AU"/>
    </w:rPr>
  </w:style>
  <w:style w:type="table" w:customStyle="1" w:styleId="GridTable1Light-Accent127">
    <w:name w:val="Grid Table 1 Light - Accent 127"/>
    <w:basedOn w:val="TableNormal"/>
    <w:next w:val="TableNormal"/>
    <w:uiPriority w:val="46"/>
    <w:rsid w:val="00697B57"/>
    <w:pPr>
      <w:spacing w:before="20"/>
    </w:pPr>
    <w:rPr>
      <w:rFonts w:ascii="Segoe UI Semilight" w:hAnsi="Segoe UI Semilight" w:cs="Arial"/>
      <w:sz w:val="16"/>
      <w:szCs w:val="22"/>
    </w:rPr>
    <w:tblPr>
      <w:tblStyleRowBandSize w:val="1"/>
      <w:tblStyleColBandSize w:val="1"/>
      <w:jc w:val="cente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rPr>
      <w:jc w:val="center"/>
    </w:trPr>
    <w:tcPr>
      <w:vAlign w:val="center"/>
    </w:tcPr>
    <w:tblStylePr w:type="firstRow">
      <w:pPr>
        <w:jc w:val="center"/>
      </w:pPr>
      <w:rPr>
        <w:rFonts w:ascii="@Arial Unicode MS" w:hAnsi="@Arial Unicode MS"/>
        <w:b/>
        <w:bCs/>
        <w:sz w:val="16"/>
      </w:rPr>
      <w:tblPr/>
      <w:trPr>
        <w:tblHeader/>
      </w:trPr>
      <w:tcPr>
        <w:tcBorders>
          <w:bottom w:val="single" w:sz="12" w:space="0" w:color="95B3D7"/>
        </w:tcBorders>
      </w:tcPr>
    </w:tblStylePr>
    <w:tblStylePr w:type="lastRow">
      <w:rPr>
        <w:rFonts w:ascii="@Arial Unicode MS" w:hAnsi="@Arial Unicode MS"/>
        <w:b w:val="0"/>
        <w:bCs/>
        <w:sz w:val="16"/>
      </w:rPr>
      <w:tblPr/>
      <w:tcPr>
        <w:tcBorders>
          <w:top w:val="single" w:sz="4" w:space="0" w:color="95B3D7"/>
        </w:tcBorders>
      </w:tcPr>
    </w:tblStylePr>
    <w:tblStylePr w:type="firstCol">
      <w:rPr>
        <w:rFonts w:ascii="@Arial Unicode MS" w:hAnsi="@Arial Unicode MS"/>
        <w:b w:val="0"/>
        <w:bCs/>
        <w:sz w:val="16"/>
      </w:rPr>
    </w:tblStylePr>
    <w:tblStylePr w:type="lastCol">
      <w:pPr>
        <w:jc w:val="center"/>
      </w:pPr>
      <w:rPr>
        <w:rFonts w:ascii="@Arial Unicode MS" w:hAnsi="@Arial Unicode MS"/>
        <w:b w:val="0"/>
        <w:bCs/>
        <w:sz w:val="16"/>
      </w:rPr>
    </w:tblStylePr>
    <w:tblStylePr w:type="band1Vert">
      <w:pPr>
        <w:jc w:val="left"/>
      </w:pPr>
      <w:rPr>
        <w:rFonts w:ascii="@Arial Unicode MS" w:hAnsi="@Arial Unicode MS"/>
        <w:sz w:val="16"/>
      </w:rPr>
      <w:tblPr/>
      <w:tcPr>
        <w:vAlign w:val="center"/>
      </w:tcPr>
    </w:tblStylePr>
    <w:tblStylePr w:type="band2Vert">
      <w:pPr>
        <w:jc w:val="left"/>
      </w:pPr>
      <w:rPr>
        <w:rFonts w:ascii="@Arial Unicode MS" w:hAnsi="@Arial Unicode MS"/>
        <w:sz w:val="16"/>
      </w:rPr>
      <w:tblPr/>
      <w:tcPr>
        <w:vAlign w:val="center"/>
      </w:tcPr>
    </w:tblStylePr>
    <w:tblStylePr w:type="band1Horz">
      <w:pPr>
        <w:jc w:val="left"/>
      </w:pPr>
      <w:rPr>
        <w:rFonts w:ascii="@Arial Unicode MS" w:hAnsi="@Arial Unicode MS"/>
        <w:sz w:val="16"/>
      </w:rPr>
      <w:tblPr/>
      <w:tcPr>
        <w:vAlign w:val="center"/>
      </w:tcPr>
    </w:tblStylePr>
    <w:tblStylePr w:type="band2Horz">
      <w:pPr>
        <w:jc w:val="left"/>
      </w:pPr>
      <w:rPr>
        <w:rFonts w:ascii="@Arial Unicode MS" w:hAnsi="@Arial Unicode MS"/>
        <w:sz w:val="16"/>
      </w:rPr>
      <w:tblPr/>
      <w:tcPr>
        <w:vAlign w:val="center"/>
      </w:tcPr>
    </w:tblStylePr>
    <w:tblStylePr w:type="swCell">
      <w:rPr>
        <w:b w:val="0"/>
      </w:rPr>
    </w:tblStylePr>
  </w:style>
  <w:style w:type="paragraph" w:customStyle="1" w:styleId="ColorfulList-Accent11">
    <w:name w:val="Colorful List - Accent 11"/>
    <w:basedOn w:val="Normal"/>
    <w:uiPriority w:val="34"/>
    <w:rsid w:val="000D15D4"/>
    <w:pPr>
      <w:ind w:left="720"/>
      <w:contextualSpacing/>
      <w:outlineLvl w:val="9"/>
    </w:pPr>
    <w:rPr>
      <w:rFonts w:eastAsia="MS Mincho"/>
      <w:kern w:val="0"/>
    </w:rPr>
  </w:style>
  <w:style w:type="paragraph" w:customStyle="1" w:styleId="xl50">
    <w:name w:val="xl50"/>
    <w:basedOn w:val="Normal"/>
    <w:uiPriority w:val="99"/>
    <w:rsid w:val="00776CFF"/>
    <w:pPr>
      <w:pBdr>
        <w:left w:val="single" w:sz="8" w:space="0" w:color="auto"/>
        <w:right w:val="single" w:sz="4" w:space="0" w:color="auto"/>
      </w:pBdr>
      <w:shd w:val="clear" w:color="auto" w:fill="CCFFCC"/>
      <w:spacing w:before="100" w:beforeAutospacing="1" w:after="100" w:afterAutospacing="1"/>
      <w:outlineLvl w:val="9"/>
    </w:pPr>
    <w:rPr>
      <w:rFonts w:ascii="Times New Roman" w:eastAsia="Times New Roman" w:hAnsi="Times New Roman"/>
      <w:kern w:val="0"/>
      <w:lang w:val="en-GB" w:eastAsia="en-GB"/>
    </w:rPr>
  </w:style>
  <w:style w:type="paragraph" w:styleId="DocumentMap">
    <w:name w:val="Document Map"/>
    <w:basedOn w:val="Normal"/>
    <w:link w:val="DocumentMapChar"/>
    <w:uiPriority w:val="99"/>
    <w:rsid w:val="00F77F8D"/>
    <w:pPr>
      <w:shd w:val="clear" w:color="auto" w:fill="000080"/>
      <w:spacing w:before="120" w:line="300" w:lineRule="auto"/>
      <w:jc w:val="both"/>
      <w:outlineLvl w:val="9"/>
    </w:pPr>
    <w:rPr>
      <w:rFonts w:ascii="Tahoma" w:eastAsia="Times New Roman" w:hAnsi="Tahoma"/>
      <w:kern w:val="0"/>
      <w:szCs w:val="22"/>
    </w:rPr>
  </w:style>
  <w:style w:type="character" w:customStyle="1" w:styleId="DocumentMapChar">
    <w:name w:val="Document Map Char"/>
    <w:link w:val="DocumentMap"/>
    <w:uiPriority w:val="99"/>
    <w:rsid w:val="00F77F8D"/>
    <w:rPr>
      <w:rFonts w:ascii="Tahoma" w:eastAsia="Times New Roman" w:hAnsi="Tahoma"/>
      <w:szCs w:val="22"/>
      <w:shd w:val="clear" w:color="auto" w:fill="000080"/>
      <w:lang w:eastAsia="en-AU"/>
    </w:rPr>
  </w:style>
  <w:style w:type="character" w:customStyle="1" w:styleId="EmailStyle120">
    <w:name w:val="EmailStyle120"/>
    <w:semiHidden/>
    <w:rsid w:val="00182919"/>
    <w:rPr>
      <w:rFonts w:ascii="Arial" w:hAnsi="Arial" w:cs="Arial"/>
      <w:color w:val="000080"/>
      <w:sz w:val="20"/>
      <w:szCs w:val="20"/>
    </w:rPr>
  </w:style>
  <w:style w:type="paragraph" w:customStyle="1" w:styleId="HeaderText">
    <w:name w:val="Header Text"/>
    <w:basedOn w:val="Header"/>
    <w:link w:val="HeaderTextChar"/>
    <w:rsid w:val="00F461E1"/>
    <w:pPr>
      <w:pBdr>
        <w:bottom w:val="single" w:sz="6" w:space="1" w:color="auto"/>
      </w:pBdr>
      <w:tabs>
        <w:tab w:val="center" w:pos="4320"/>
        <w:tab w:val="right" w:pos="8640"/>
      </w:tabs>
      <w:spacing w:before="120" w:after="120" w:line="300" w:lineRule="auto"/>
      <w:ind w:left="0" w:firstLine="0"/>
      <w:outlineLvl w:val="9"/>
    </w:pPr>
    <w:rPr>
      <w:rFonts w:ascii="Arial" w:eastAsia="Times New Roman" w:hAnsi="Arial" w:cs="Times New Roman"/>
      <w:b w:val="0"/>
      <w:color w:val="auto"/>
      <w:kern w:val="0"/>
      <w:sz w:val="20"/>
      <w:szCs w:val="22"/>
    </w:rPr>
  </w:style>
  <w:style w:type="character" w:customStyle="1" w:styleId="HeaderTextChar">
    <w:name w:val="Header Text Char"/>
    <w:link w:val="HeaderText"/>
    <w:rsid w:val="00F461E1"/>
    <w:rPr>
      <w:rFonts w:ascii="Arial" w:eastAsia="Times New Roman" w:hAnsi="Arial"/>
      <w:sz w:val="20"/>
      <w:szCs w:val="22"/>
      <w:lang w:eastAsia="en-AU"/>
    </w:rPr>
  </w:style>
  <w:style w:type="paragraph" w:customStyle="1" w:styleId="Bulleted">
    <w:name w:val="Bulleted"/>
    <w:basedOn w:val="Normal"/>
    <w:rsid w:val="000B6E87"/>
    <w:pPr>
      <w:spacing w:before="40" w:after="40"/>
      <w:outlineLvl w:val="9"/>
    </w:pPr>
    <w:rPr>
      <w:rFonts w:eastAsia="MS Mincho"/>
      <w:color w:val="191919"/>
      <w:kern w:val="0"/>
      <w:sz w:val="18"/>
      <w:lang w:eastAsia="en-US"/>
    </w:rPr>
  </w:style>
  <w:style w:type="paragraph" w:customStyle="1" w:styleId="TableText2">
    <w:name w:val="TableText"/>
    <w:basedOn w:val="Normal"/>
    <w:link w:val="TableTextChar1"/>
    <w:rsid w:val="002675FD"/>
    <w:pPr>
      <w:spacing w:before="60" w:after="60"/>
      <w:outlineLvl w:val="9"/>
    </w:pPr>
    <w:rPr>
      <w:rFonts w:ascii="Verdana" w:eastAsia="Times New Roman" w:hAnsi="Verdana"/>
      <w:kern w:val="0"/>
      <w:sz w:val="20"/>
      <w:szCs w:val="20"/>
      <w:lang w:eastAsia="ko-KR"/>
    </w:rPr>
  </w:style>
  <w:style w:type="character" w:customStyle="1" w:styleId="Heading5Char">
    <w:name w:val="Heading 5 Char"/>
    <w:link w:val="Heading5"/>
    <w:locked/>
    <w:rsid w:val="00B839B6"/>
    <w:rPr>
      <w:rFonts w:ascii="Arial" w:eastAsia="SimSun" w:hAnsi="Arial" w:cs="Arial"/>
      <w:b/>
      <w:bCs/>
      <w:kern w:val="2"/>
      <w:lang w:eastAsia="en-AU"/>
    </w:rPr>
  </w:style>
  <w:style w:type="paragraph" w:styleId="List">
    <w:name w:val="List"/>
    <w:basedOn w:val="Normal"/>
    <w:uiPriority w:val="99"/>
    <w:rsid w:val="00803899"/>
    <w:pPr>
      <w:ind w:left="283" w:hanging="283"/>
      <w:contextualSpacing/>
    </w:pPr>
    <w:rPr>
      <w:sz w:val="20"/>
      <w:szCs w:val="20"/>
    </w:rPr>
  </w:style>
  <w:style w:type="paragraph" w:styleId="NoteHeading">
    <w:name w:val="Note Heading"/>
    <w:basedOn w:val="Normal"/>
    <w:next w:val="Normal"/>
    <w:link w:val="NoteHeadingChar"/>
    <w:rsid w:val="00382FD5"/>
    <w:pPr>
      <w:spacing w:before="120"/>
      <w:ind w:left="1008" w:right="562"/>
      <w:jc w:val="both"/>
      <w:outlineLvl w:val="9"/>
    </w:pPr>
    <w:rPr>
      <w:rFonts w:ascii="Verdana" w:eastAsia="Times New Roman" w:hAnsi="Verdana"/>
      <w:kern w:val="0"/>
      <w:sz w:val="20"/>
      <w:szCs w:val="20"/>
      <w:lang w:eastAsia="en-US"/>
    </w:rPr>
  </w:style>
  <w:style w:type="character" w:customStyle="1" w:styleId="NoteHeadingChar">
    <w:name w:val="Note Heading Char"/>
    <w:basedOn w:val="DefaultParagraphFont"/>
    <w:link w:val="NoteHeading"/>
    <w:rsid w:val="00382FD5"/>
    <w:rPr>
      <w:rFonts w:ascii="Verdana" w:eastAsia="Times New Roman" w:hAnsi="Verdana"/>
      <w:sz w:val="20"/>
      <w:szCs w:val="20"/>
    </w:rPr>
  </w:style>
  <w:style w:type="table" w:styleId="TableGrid10">
    <w:name w:val="Table Grid 1"/>
    <w:basedOn w:val="TableNormal"/>
    <w:uiPriority w:val="99"/>
    <w:unhideWhenUsed/>
    <w:rsid w:val="00157439"/>
    <w:pPr>
      <w:spacing w:after="240"/>
    </w:pPr>
    <w:rPr>
      <w:rFonts w:asciiTheme="minorHAnsi" w:eastAsiaTheme="minorEastAsia" w:hAnsiTheme="minorHAnsi" w:cstheme="minorBidi"/>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a25">
    <w:name w:val="Pa25"/>
    <w:basedOn w:val="Normal"/>
    <w:next w:val="Normal"/>
    <w:uiPriority w:val="99"/>
    <w:rsid w:val="00AC1781"/>
    <w:pPr>
      <w:autoSpaceDE w:val="0"/>
      <w:autoSpaceDN w:val="0"/>
      <w:adjustRightInd w:val="0"/>
      <w:spacing w:after="0" w:line="201" w:lineRule="atLeast"/>
      <w:outlineLvl w:val="9"/>
    </w:pPr>
    <w:rPr>
      <w:rFonts w:eastAsiaTheme="minorHAnsi" w:cs="Arial"/>
      <w:kern w:val="0"/>
      <w:lang w:eastAsia="en-US"/>
    </w:rPr>
  </w:style>
  <w:style w:type="character" w:customStyle="1" w:styleId="BodytextChar0">
    <w:name w:val="Body text Char"/>
    <w:link w:val="BodyText1"/>
    <w:rsid w:val="004C268E"/>
    <w:rPr>
      <w:rFonts w:eastAsia="Times New Roman"/>
      <w:lang w:eastAsia="en-AU"/>
    </w:rPr>
  </w:style>
  <w:style w:type="paragraph" w:customStyle="1" w:styleId="BodyText2">
    <w:name w:val="Body Text2"/>
    <w:basedOn w:val="Normal"/>
    <w:autoRedefine/>
    <w:uiPriority w:val="99"/>
    <w:rsid w:val="004003D3"/>
    <w:pPr>
      <w:tabs>
        <w:tab w:val="left" w:pos="0"/>
      </w:tabs>
      <w:spacing w:after="0"/>
      <w:ind w:left="55" w:right="-11"/>
      <w:outlineLvl w:val="9"/>
    </w:pPr>
    <w:rPr>
      <w:rFonts w:ascii="Calibri" w:eastAsia="TimesNewRomanPSMT" w:hAnsi="Calibri"/>
      <w:noProof/>
      <w:kern w:val="0"/>
      <w:sz w:val="20"/>
      <w:szCs w:val="20"/>
      <w:lang w:eastAsia="en-US"/>
    </w:rPr>
  </w:style>
  <w:style w:type="paragraph" w:customStyle="1" w:styleId="Appendix">
    <w:name w:val="Appendix"/>
    <w:basedOn w:val="Normal"/>
    <w:link w:val="AppendixChar"/>
    <w:rsid w:val="0025202E"/>
    <w:pPr>
      <w:spacing w:after="0"/>
      <w:outlineLvl w:val="9"/>
    </w:pPr>
    <w:rPr>
      <w:rFonts w:ascii="Calibri" w:eastAsia="Times New Roman" w:hAnsi="Calibri" w:cs="Calibri"/>
      <w:b/>
      <w:kern w:val="0"/>
      <w:sz w:val="22"/>
      <w:szCs w:val="22"/>
      <w:lang w:val="en-GB" w:eastAsia="en-GB"/>
    </w:rPr>
  </w:style>
  <w:style w:type="character" w:customStyle="1" w:styleId="AppendixChar">
    <w:name w:val="Appendix Char"/>
    <w:link w:val="Appendix"/>
    <w:rsid w:val="0025202E"/>
    <w:rPr>
      <w:rFonts w:ascii="Calibri" w:eastAsia="Times New Roman" w:hAnsi="Calibri" w:cs="Calibri"/>
      <w:b/>
      <w:sz w:val="22"/>
      <w:szCs w:val="22"/>
      <w:lang w:val="en-GB" w:eastAsia="en-GB"/>
    </w:rPr>
  </w:style>
  <w:style w:type="paragraph" w:styleId="TableofFigures">
    <w:name w:val="table of figures"/>
    <w:basedOn w:val="Normal"/>
    <w:next w:val="Normal"/>
    <w:uiPriority w:val="99"/>
    <w:unhideWhenUsed/>
    <w:rsid w:val="009110B6"/>
    <w:pPr>
      <w:spacing w:after="0"/>
    </w:pPr>
  </w:style>
  <w:style w:type="paragraph" w:styleId="ListNumber3">
    <w:name w:val="List Number 3"/>
    <w:basedOn w:val="Normal"/>
    <w:rsid w:val="00FA6764"/>
    <w:pPr>
      <w:tabs>
        <w:tab w:val="num" w:pos="926"/>
      </w:tabs>
      <w:spacing w:before="120"/>
      <w:ind w:left="926" w:right="562" w:hanging="360"/>
      <w:jc w:val="both"/>
      <w:outlineLvl w:val="9"/>
    </w:pPr>
    <w:rPr>
      <w:rFonts w:ascii="Verdana" w:eastAsia="Times New Roman" w:hAnsi="Verdana"/>
      <w:kern w:val="0"/>
      <w:sz w:val="20"/>
      <w:szCs w:val="20"/>
      <w:lang w:eastAsia="en-US"/>
    </w:rPr>
  </w:style>
  <w:style w:type="paragraph" w:customStyle="1" w:styleId="TableTitle1">
    <w:name w:val="TableTitle1"/>
    <w:basedOn w:val="Normal"/>
    <w:semiHidden/>
    <w:rsid w:val="00FA6764"/>
    <w:pPr>
      <w:spacing w:before="120"/>
      <w:ind w:left="1008" w:right="562"/>
      <w:jc w:val="both"/>
      <w:outlineLvl w:val="9"/>
    </w:pPr>
    <w:rPr>
      <w:rFonts w:eastAsia="Times New Roman"/>
      <w:b/>
      <w:i/>
      <w:kern w:val="0"/>
      <w:sz w:val="32"/>
      <w:szCs w:val="20"/>
      <w:u w:val="single"/>
      <w:lang w:eastAsia="en-US"/>
    </w:rPr>
  </w:style>
  <w:style w:type="paragraph" w:styleId="NormalWeb">
    <w:name w:val="Normal (Web)"/>
    <w:basedOn w:val="Normal"/>
    <w:uiPriority w:val="99"/>
    <w:semiHidden/>
    <w:unhideWhenUsed/>
    <w:rsid w:val="00FA6764"/>
    <w:pPr>
      <w:spacing w:before="100" w:beforeAutospacing="1" w:after="100" w:afterAutospacing="1"/>
      <w:outlineLvl w:val="9"/>
    </w:pPr>
    <w:rPr>
      <w:rFonts w:ascii="Times New Roman" w:eastAsia="Times New Roman" w:hAnsi="Times New Roman"/>
      <w:kern w:val="0"/>
    </w:rPr>
  </w:style>
  <w:style w:type="paragraph" w:customStyle="1" w:styleId="Content">
    <w:name w:val="Content"/>
    <w:basedOn w:val="Normal"/>
    <w:link w:val="ContentChar"/>
    <w:qFormat/>
    <w:rsid w:val="00FA6764"/>
    <w:pPr>
      <w:spacing w:after="0"/>
      <w:ind w:left="567"/>
      <w:jc w:val="both"/>
      <w:outlineLvl w:val="9"/>
    </w:pPr>
    <w:rPr>
      <w:rFonts w:ascii="Calibri" w:eastAsia="Times New Roman" w:hAnsi="Calibri" w:cs="Calibri"/>
      <w:kern w:val="0"/>
      <w:sz w:val="22"/>
      <w:szCs w:val="22"/>
      <w:lang w:val="en-US" w:eastAsia="en-GB"/>
    </w:rPr>
  </w:style>
  <w:style w:type="character" w:customStyle="1" w:styleId="ContentChar">
    <w:name w:val="Content Char"/>
    <w:link w:val="Content"/>
    <w:rsid w:val="00FA6764"/>
    <w:rPr>
      <w:rFonts w:ascii="Calibri" w:eastAsia="Times New Roman" w:hAnsi="Calibri" w:cs="Calibri"/>
      <w:sz w:val="22"/>
      <w:szCs w:val="22"/>
      <w:lang w:val="en-US" w:eastAsia="en-GB"/>
    </w:rPr>
  </w:style>
  <w:style w:type="paragraph" w:customStyle="1" w:styleId="DividerT">
    <w:name w:val="DividerT"/>
    <w:basedOn w:val="Normal"/>
    <w:next w:val="Normal"/>
    <w:rsid w:val="00FA6764"/>
    <w:pPr>
      <w:spacing w:before="4800" w:after="240"/>
      <w:ind w:left="850" w:hanging="850"/>
      <w:outlineLvl w:val="9"/>
    </w:pPr>
    <w:rPr>
      <w:rFonts w:eastAsia="Times New Roman"/>
      <w:b/>
      <w:caps/>
      <w:kern w:val="0"/>
      <w:sz w:val="28"/>
      <w:szCs w:val="20"/>
      <w:lang w:val="en-GB" w:eastAsia="en-GB"/>
    </w:rPr>
  </w:style>
  <w:style w:type="paragraph" w:customStyle="1" w:styleId="BodyText11">
    <w:name w:val="Body Text11"/>
    <w:basedOn w:val="Normal"/>
    <w:uiPriority w:val="99"/>
    <w:qFormat/>
    <w:rsid w:val="00FA6764"/>
    <w:pPr>
      <w:tabs>
        <w:tab w:val="left" w:pos="851"/>
        <w:tab w:val="left" w:pos="1701"/>
        <w:tab w:val="left" w:pos="2835"/>
        <w:tab w:val="left" w:pos="4253"/>
      </w:tabs>
      <w:spacing w:before="120" w:line="240" w:lineRule="atLeast"/>
      <w:ind w:left="1134"/>
      <w:outlineLvl w:val="9"/>
    </w:pPr>
    <w:rPr>
      <w:rFonts w:ascii="Verdana" w:eastAsia="Times New Roman" w:hAnsi="Verdana"/>
      <w:color w:val="1B242A"/>
      <w:kern w:val="0"/>
      <w:sz w:val="20"/>
      <w:szCs w:val="20"/>
      <w:lang w:eastAsia="en-US"/>
    </w:rPr>
  </w:style>
  <w:style w:type="paragraph" w:styleId="ListContinue5">
    <w:name w:val="List Continue 5"/>
    <w:basedOn w:val="Normal"/>
    <w:uiPriority w:val="99"/>
    <w:semiHidden/>
    <w:rsid w:val="00FA6764"/>
    <w:pPr>
      <w:ind w:left="1415"/>
      <w:contextualSpacing/>
    </w:pPr>
    <w:rPr>
      <w:sz w:val="20"/>
      <w:szCs w:val="20"/>
    </w:rPr>
  </w:style>
  <w:style w:type="table" w:styleId="TableColumns1">
    <w:name w:val="Table Columns 1"/>
    <w:basedOn w:val="TableNormal"/>
    <w:rsid w:val="00FA6764"/>
    <w:pPr>
      <w:spacing w:before="120" w:after="120"/>
    </w:pPr>
    <w:rPr>
      <w:rFonts w:eastAsia="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20">
    <w:name w:val="Body Text 2"/>
    <w:basedOn w:val="Normal"/>
    <w:link w:val="BodyText2Char"/>
    <w:semiHidden/>
    <w:rsid w:val="00FA6764"/>
    <w:pPr>
      <w:tabs>
        <w:tab w:val="num" w:pos="1304"/>
      </w:tabs>
      <w:spacing w:before="120" w:line="480" w:lineRule="auto"/>
      <w:ind w:left="1304" w:right="562" w:hanging="453"/>
      <w:jc w:val="both"/>
      <w:outlineLvl w:val="9"/>
    </w:pPr>
    <w:rPr>
      <w:rFonts w:ascii="Verdana" w:eastAsia="Times New Roman" w:hAnsi="Verdana"/>
      <w:kern w:val="0"/>
      <w:sz w:val="20"/>
      <w:szCs w:val="20"/>
      <w:lang w:eastAsia="en-US"/>
    </w:rPr>
  </w:style>
  <w:style w:type="character" w:customStyle="1" w:styleId="BodyText2Char">
    <w:name w:val="Body Text 2 Char"/>
    <w:basedOn w:val="DefaultParagraphFont"/>
    <w:link w:val="BodyText20"/>
    <w:semiHidden/>
    <w:rsid w:val="00FA6764"/>
    <w:rPr>
      <w:rFonts w:ascii="Verdana" w:eastAsia="Times New Roman" w:hAnsi="Verdana"/>
      <w:sz w:val="20"/>
      <w:szCs w:val="20"/>
    </w:rPr>
  </w:style>
  <w:style w:type="paragraph" w:customStyle="1" w:styleId="TableHead2">
    <w:name w:val="TableHead2"/>
    <w:basedOn w:val="Normal"/>
    <w:link w:val="TableHead2Char"/>
    <w:semiHidden/>
    <w:rsid w:val="00FA6764"/>
    <w:pPr>
      <w:spacing w:before="120"/>
      <w:ind w:left="1008" w:right="562"/>
      <w:jc w:val="both"/>
      <w:outlineLvl w:val="9"/>
    </w:pPr>
    <w:rPr>
      <w:rFonts w:eastAsia="Times New Roman"/>
      <w:b/>
      <w:kern w:val="0"/>
      <w:sz w:val="20"/>
      <w:szCs w:val="20"/>
      <w:lang w:eastAsia="en-US"/>
    </w:rPr>
  </w:style>
  <w:style w:type="character" w:customStyle="1" w:styleId="TableHead2Char">
    <w:name w:val="TableHead2 Char"/>
    <w:link w:val="TableHead2"/>
    <w:rsid w:val="00FA6764"/>
    <w:rPr>
      <w:rFonts w:ascii="Arial" w:eastAsia="Times New Roman" w:hAnsi="Arial"/>
      <w:b/>
      <w:sz w:val="20"/>
      <w:szCs w:val="20"/>
    </w:rPr>
  </w:style>
  <w:style w:type="paragraph" w:customStyle="1" w:styleId="BodyText30">
    <w:name w:val="Body Text3"/>
    <w:basedOn w:val="Normal"/>
    <w:autoRedefine/>
    <w:uiPriority w:val="99"/>
    <w:rsid w:val="00FA6764"/>
    <w:pPr>
      <w:tabs>
        <w:tab w:val="left" w:pos="0"/>
      </w:tabs>
      <w:spacing w:after="0"/>
      <w:ind w:left="55" w:right="-11"/>
      <w:outlineLvl w:val="9"/>
    </w:pPr>
    <w:rPr>
      <w:rFonts w:ascii="Calibri" w:eastAsia="TimesNewRomanPSMT" w:hAnsi="Calibri"/>
      <w:noProof/>
      <w:kern w:val="0"/>
      <w:sz w:val="20"/>
      <w:szCs w:val="20"/>
      <w:lang w:eastAsia="en-US"/>
    </w:rPr>
  </w:style>
  <w:style w:type="paragraph" w:customStyle="1" w:styleId="bodycopy0">
    <w:name w:val="bodycopy"/>
    <w:basedOn w:val="Normal"/>
    <w:rsid w:val="00FA6764"/>
    <w:pPr>
      <w:spacing w:before="100" w:beforeAutospacing="1" w:after="100" w:afterAutospacing="1"/>
      <w:outlineLvl w:val="9"/>
    </w:pPr>
    <w:rPr>
      <w:rFonts w:ascii="Times New Roman" w:eastAsiaTheme="minorHAnsi" w:hAnsi="Times New Roman"/>
      <w:kern w:val="0"/>
    </w:rPr>
  </w:style>
  <w:style w:type="paragraph" w:styleId="List2">
    <w:name w:val="List 2"/>
    <w:basedOn w:val="Normal"/>
    <w:uiPriority w:val="99"/>
    <w:rsid w:val="00FA6764"/>
    <w:pPr>
      <w:ind w:left="566" w:hanging="283"/>
      <w:contextualSpacing/>
    </w:pPr>
    <w:rPr>
      <w:sz w:val="20"/>
      <w:szCs w:val="20"/>
    </w:rPr>
  </w:style>
  <w:style w:type="paragraph" w:styleId="Revision">
    <w:name w:val="Revision"/>
    <w:hidden/>
    <w:uiPriority w:val="99"/>
    <w:semiHidden/>
    <w:rsid w:val="00FA6764"/>
    <w:rPr>
      <w:rFonts w:ascii="Arial" w:eastAsia="SimSun" w:hAnsi="Arial"/>
      <w:kern w:val="2"/>
      <w:sz w:val="20"/>
      <w:szCs w:val="20"/>
      <w:lang w:eastAsia="en-AU"/>
    </w:rPr>
  </w:style>
  <w:style w:type="paragraph" w:customStyle="1" w:styleId="Ref">
    <w:name w:val="Ref"/>
    <w:basedOn w:val="Normal"/>
    <w:rsid w:val="00FA6764"/>
    <w:pPr>
      <w:suppressAutoHyphens/>
      <w:spacing w:before="120" w:after="0"/>
      <w:ind w:left="720" w:hanging="720"/>
      <w:jc w:val="both"/>
      <w:outlineLvl w:val="9"/>
    </w:pPr>
    <w:rPr>
      <w:rFonts w:eastAsia="Times New Roman"/>
      <w:kern w:val="0"/>
      <w:sz w:val="22"/>
      <w:szCs w:val="20"/>
      <w:lang w:eastAsia="ar-SA"/>
    </w:rPr>
  </w:style>
  <w:style w:type="paragraph" w:customStyle="1" w:styleId="MediumGrid1-Accent21">
    <w:name w:val="Medium Grid 1 - Accent 21"/>
    <w:basedOn w:val="Normal"/>
    <w:uiPriority w:val="34"/>
    <w:qFormat/>
    <w:rsid w:val="00475263"/>
    <w:pPr>
      <w:spacing w:before="120" w:line="300" w:lineRule="auto"/>
      <w:ind w:left="720"/>
      <w:contextualSpacing/>
      <w:jc w:val="both"/>
      <w:outlineLvl w:val="9"/>
    </w:pPr>
    <w:rPr>
      <w:rFonts w:eastAsia="Times New Roman"/>
      <w:kern w:val="0"/>
      <w:sz w:val="22"/>
      <w:szCs w:val="22"/>
      <w:lang w:eastAsia="en-US"/>
    </w:rPr>
  </w:style>
  <w:style w:type="character" w:customStyle="1" w:styleId="ReferencesChar">
    <w:name w:val="References Char"/>
    <w:link w:val="References"/>
    <w:locked/>
    <w:rsid w:val="00475263"/>
    <w:rPr>
      <w:rFonts w:ascii="Arial" w:eastAsiaTheme="minorHAnsi" w:hAnsi="Arial" w:cs="Arial"/>
      <w:kern w:val="32"/>
      <w:sz w:val="22"/>
      <w:szCs w:val="22"/>
    </w:rPr>
  </w:style>
  <w:style w:type="paragraph" w:customStyle="1" w:styleId="References">
    <w:name w:val="References"/>
    <w:basedOn w:val="Normal"/>
    <w:link w:val="ReferencesChar"/>
    <w:rsid w:val="00475263"/>
    <w:pPr>
      <w:spacing w:before="240" w:after="240" w:line="300" w:lineRule="atLeast"/>
      <w:ind w:left="425" w:hanging="425"/>
      <w:outlineLvl w:val="9"/>
    </w:pPr>
    <w:rPr>
      <w:rFonts w:eastAsiaTheme="minorHAnsi" w:cs="Arial"/>
      <w:kern w:val="32"/>
      <w:sz w:val="22"/>
      <w:szCs w:val="22"/>
      <w:lang w:eastAsia="en-US"/>
    </w:rPr>
  </w:style>
  <w:style w:type="numbering" w:customStyle="1" w:styleId="ListBullet">
    <w:name w:val="List_Bullet"/>
    <w:basedOn w:val="NoList"/>
    <w:uiPriority w:val="99"/>
    <w:rsid w:val="006D5BA7"/>
    <w:pPr>
      <w:numPr>
        <w:numId w:val="28"/>
      </w:numPr>
    </w:pPr>
  </w:style>
  <w:style w:type="paragraph" w:styleId="ListBullet0">
    <w:name w:val="List Bullet"/>
    <w:basedOn w:val="Normal"/>
    <w:link w:val="ListBulletChar"/>
    <w:uiPriority w:val="99"/>
    <w:rsid w:val="006D5BA7"/>
    <w:pPr>
      <w:tabs>
        <w:tab w:val="num" w:pos="1134"/>
      </w:tabs>
      <w:spacing w:before="120" w:line="276" w:lineRule="auto"/>
      <w:ind w:left="1701" w:hanging="567"/>
      <w:contextualSpacing/>
      <w:outlineLvl w:val="9"/>
    </w:pPr>
    <w:rPr>
      <w:rFonts w:asciiTheme="minorHAnsi" w:eastAsiaTheme="minorHAnsi" w:hAnsiTheme="minorHAnsi" w:cstheme="minorBidi"/>
      <w:kern w:val="0"/>
      <w:sz w:val="20"/>
      <w:szCs w:val="22"/>
      <w:lang w:eastAsia="en-US"/>
    </w:rPr>
  </w:style>
  <w:style w:type="paragraph" w:styleId="ListBullet3">
    <w:name w:val="List Bullet 3"/>
    <w:basedOn w:val="Normal"/>
    <w:uiPriority w:val="99"/>
    <w:rsid w:val="006D5BA7"/>
    <w:pPr>
      <w:tabs>
        <w:tab w:val="num" w:pos="2268"/>
      </w:tabs>
      <w:spacing w:before="60" w:after="60"/>
      <w:ind w:left="2835" w:hanging="567"/>
      <w:contextualSpacing/>
      <w:outlineLvl w:val="9"/>
    </w:pPr>
    <w:rPr>
      <w:rFonts w:asciiTheme="minorHAnsi" w:eastAsiaTheme="minorHAnsi" w:hAnsiTheme="minorHAnsi" w:cstheme="minorBidi"/>
      <w:kern w:val="0"/>
      <w:sz w:val="20"/>
      <w:szCs w:val="22"/>
      <w:lang w:eastAsia="en-US"/>
    </w:rPr>
  </w:style>
  <w:style w:type="paragraph" w:styleId="ListBullet4">
    <w:name w:val="List Bullet 4"/>
    <w:basedOn w:val="Normal"/>
    <w:uiPriority w:val="99"/>
    <w:rsid w:val="006D5BA7"/>
    <w:pPr>
      <w:tabs>
        <w:tab w:val="num" w:pos="2835"/>
      </w:tabs>
      <w:spacing w:before="60" w:after="60"/>
      <w:ind w:left="3402" w:hanging="567"/>
      <w:contextualSpacing/>
      <w:outlineLvl w:val="9"/>
    </w:pPr>
    <w:rPr>
      <w:rFonts w:asciiTheme="minorHAnsi" w:eastAsiaTheme="minorHAnsi" w:hAnsiTheme="minorHAnsi" w:cstheme="minorBidi"/>
      <w:kern w:val="0"/>
      <w:sz w:val="20"/>
      <w:szCs w:val="22"/>
      <w:lang w:eastAsia="en-US"/>
    </w:rPr>
  </w:style>
  <w:style w:type="character" w:customStyle="1" w:styleId="ListBulletChar">
    <w:name w:val="List Bullet Char"/>
    <w:link w:val="ListBullet0"/>
    <w:uiPriority w:val="99"/>
    <w:locked/>
    <w:rsid w:val="006D5BA7"/>
    <w:rPr>
      <w:rFonts w:asciiTheme="minorHAnsi" w:eastAsiaTheme="minorHAnsi" w:hAnsiTheme="minorHAnsi" w:cstheme="minorBidi"/>
      <w:sz w:val="20"/>
      <w:szCs w:val="22"/>
    </w:rPr>
  </w:style>
  <w:style w:type="numbering" w:customStyle="1" w:styleId="ListNumber">
    <w:name w:val="List_Number"/>
    <w:basedOn w:val="NoList"/>
    <w:uiPriority w:val="99"/>
    <w:rsid w:val="006D5BA7"/>
    <w:pPr>
      <w:numPr>
        <w:numId w:val="29"/>
      </w:numPr>
    </w:pPr>
  </w:style>
  <w:style w:type="character" w:customStyle="1" w:styleId="Heading3Char">
    <w:name w:val="Heading 3 Char"/>
    <w:basedOn w:val="DefaultParagraphFont"/>
    <w:link w:val="Heading3"/>
    <w:uiPriority w:val="9"/>
    <w:rsid w:val="006D5BA7"/>
    <w:rPr>
      <w:rFonts w:ascii="Arial" w:eastAsia="SimSun" w:hAnsi="Arial"/>
      <w:b/>
      <w:kern w:val="2"/>
      <w:sz w:val="22"/>
    </w:rPr>
  </w:style>
  <w:style w:type="character" w:customStyle="1" w:styleId="Heading4Char">
    <w:name w:val="Heading 4 Char"/>
    <w:basedOn w:val="DefaultParagraphFont"/>
    <w:link w:val="Heading4"/>
    <w:uiPriority w:val="9"/>
    <w:rsid w:val="00914C00"/>
    <w:rPr>
      <w:rFonts w:ascii="Arial" w:eastAsia="SimSun" w:hAnsi="Arial"/>
      <w:b/>
      <w:kern w:val="2"/>
      <w:sz w:val="22"/>
    </w:rPr>
  </w:style>
  <w:style w:type="paragraph" w:styleId="Subtitle">
    <w:name w:val="Subtitle"/>
    <w:basedOn w:val="TOC2"/>
    <w:next w:val="BodyText"/>
    <w:link w:val="SubtitleChar"/>
    <w:uiPriority w:val="11"/>
    <w:qFormat/>
    <w:rsid w:val="006D5BA7"/>
    <w:pPr>
      <w:numPr>
        <w:ilvl w:val="1"/>
      </w:numPr>
      <w:tabs>
        <w:tab w:val="clear" w:pos="8930"/>
      </w:tabs>
      <w:spacing w:before="240" w:line="360" w:lineRule="auto"/>
      <w:ind w:left="1134" w:right="-1" w:hanging="562"/>
      <w:jc w:val="center"/>
      <w:outlineLvl w:val="9"/>
    </w:pPr>
    <w:rPr>
      <w:rFonts w:asciiTheme="minorHAnsi" w:eastAsiaTheme="minorHAnsi" w:hAnsiTheme="minorHAnsi" w:cstheme="minorBidi"/>
      <w:iCs/>
      <w:color w:val="4F81BD" w:themeColor="accent1"/>
      <w:spacing w:val="15"/>
      <w:kern w:val="0"/>
      <w:sz w:val="32"/>
      <w:lang w:eastAsia="en-US"/>
    </w:rPr>
  </w:style>
  <w:style w:type="character" w:customStyle="1" w:styleId="SubtitleChar">
    <w:name w:val="Subtitle Char"/>
    <w:basedOn w:val="DefaultParagraphFont"/>
    <w:link w:val="Subtitle"/>
    <w:uiPriority w:val="11"/>
    <w:rsid w:val="006D5BA7"/>
    <w:rPr>
      <w:rFonts w:asciiTheme="minorHAnsi" w:eastAsiaTheme="minorHAnsi" w:hAnsiTheme="minorHAnsi" w:cstheme="minorBidi"/>
      <w:iCs/>
      <w:color w:val="4F81BD" w:themeColor="accent1"/>
      <w:spacing w:val="15"/>
      <w:sz w:val="32"/>
    </w:rPr>
  </w:style>
  <w:style w:type="numbering" w:customStyle="1" w:styleId="ListBulletNumber">
    <w:name w:val="List_Bullet_Number"/>
    <w:basedOn w:val="NoList"/>
    <w:uiPriority w:val="99"/>
    <w:rsid w:val="006D5BA7"/>
    <w:pPr>
      <w:numPr>
        <w:numId w:val="30"/>
      </w:numPr>
    </w:pPr>
  </w:style>
  <w:style w:type="paragraph" w:styleId="ListNumber0">
    <w:name w:val="List Number"/>
    <w:basedOn w:val="Normal"/>
    <w:uiPriority w:val="99"/>
    <w:rsid w:val="006D5BA7"/>
    <w:pPr>
      <w:tabs>
        <w:tab w:val="num" w:pos="1134"/>
      </w:tabs>
      <w:spacing w:before="60" w:after="60" w:line="276" w:lineRule="auto"/>
      <w:ind w:left="1701" w:hanging="567"/>
      <w:contextualSpacing/>
      <w:outlineLvl w:val="9"/>
    </w:pPr>
    <w:rPr>
      <w:rFonts w:asciiTheme="minorHAnsi" w:eastAsiaTheme="minorHAnsi" w:hAnsiTheme="minorHAnsi" w:cstheme="minorBidi"/>
      <w:kern w:val="0"/>
      <w:sz w:val="20"/>
      <w:szCs w:val="22"/>
      <w:lang w:eastAsia="en-US"/>
    </w:rPr>
  </w:style>
  <w:style w:type="paragraph" w:styleId="ListNumber2">
    <w:name w:val="List Number 2"/>
    <w:basedOn w:val="Normal"/>
    <w:uiPriority w:val="99"/>
    <w:rsid w:val="006D5BA7"/>
    <w:pPr>
      <w:tabs>
        <w:tab w:val="num" w:pos="1701"/>
      </w:tabs>
      <w:spacing w:before="60" w:after="60"/>
      <w:ind w:left="2268" w:hanging="567"/>
      <w:contextualSpacing/>
      <w:outlineLvl w:val="9"/>
    </w:pPr>
    <w:rPr>
      <w:rFonts w:asciiTheme="minorHAnsi" w:eastAsiaTheme="minorHAnsi" w:hAnsiTheme="minorHAnsi" w:cstheme="minorBidi"/>
      <w:kern w:val="0"/>
      <w:sz w:val="20"/>
      <w:szCs w:val="22"/>
      <w:lang w:eastAsia="en-US"/>
    </w:rPr>
  </w:style>
  <w:style w:type="paragraph" w:styleId="ListNumber4">
    <w:name w:val="List Number 4"/>
    <w:basedOn w:val="Normal"/>
    <w:uiPriority w:val="99"/>
    <w:rsid w:val="006D5BA7"/>
    <w:pPr>
      <w:tabs>
        <w:tab w:val="num" w:pos="2835"/>
      </w:tabs>
      <w:spacing w:before="60" w:after="60"/>
      <w:ind w:left="3402" w:hanging="567"/>
      <w:contextualSpacing/>
      <w:outlineLvl w:val="9"/>
    </w:pPr>
    <w:rPr>
      <w:rFonts w:asciiTheme="minorHAnsi" w:eastAsiaTheme="minorHAnsi" w:hAnsiTheme="minorHAnsi" w:cstheme="minorBidi"/>
      <w:kern w:val="0"/>
      <w:sz w:val="20"/>
      <w:szCs w:val="22"/>
      <w:lang w:eastAsia="en-US"/>
    </w:rPr>
  </w:style>
  <w:style w:type="paragraph" w:styleId="ListContinue">
    <w:name w:val="List Continue"/>
    <w:basedOn w:val="Normal"/>
    <w:uiPriority w:val="99"/>
    <w:semiHidden/>
    <w:rsid w:val="006D5BA7"/>
    <w:pPr>
      <w:ind w:left="283"/>
      <w:contextualSpacing/>
      <w:outlineLvl w:val="9"/>
    </w:pPr>
    <w:rPr>
      <w:rFonts w:asciiTheme="minorHAnsi" w:eastAsiaTheme="minorHAnsi" w:hAnsiTheme="minorHAnsi" w:cstheme="minorBidi"/>
      <w:kern w:val="0"/>
      <w:sz w:val="20"/>
      <w:szCs w:val="22"/>
      <w:lang w:eastAsia="en-US"/>
    </w:rPr>
  </w:style>
  <w:style w:type="paragraph" w:styleId="ListContinue2">
    <w:name w:val="List Continue 2"/>
    <w:aliases w:val="List Letter 2"/>
    <w:basedOn w:val="Normal"/>
    <w:uiPriority w:val="99"/>
    <w:semiHidden/>
    <w:rsid w:val="006D5BA7"/>
    <w:pPr>
      <w:ind w:left="566"/>
      <w:contextualSpacing/>
      <w:outlineLvl w:val="9"/>
    </w:pPr>
    <w:rPr>
      <w:rFonts w:asciiTheme="minorHAnsi" w:eastAsiaTheme="minorHAnsi" w:hAnsiTheme="minorHAnsi" w:cstheme="minorBidi"/>
      <w:kern w:val="0"/>
      <w:sz w:val="20"/>
      <w:szCs w:val="22"/>
      <w:lang w:eastAsia="en-US"/>
    </w:rPr>
  </w:style>
  <w:style w:type="numbering" w:customStyle="1" w:styleId="ListBulletLetter">
    <w:name w:val="List_Bullet_Letter"/>
    <w:basedOn w:val="NoList"/>
    <w:uiPriority w:val="99"/>
    <w:rsid w:val="006D5BA7"/>
    <w:pPr>
      <w:numPr>
        <w:numId w:val="31"/>
      </w:numPr>
    </w:pPr>
  </w:style>
  <w:style w:type="paragraph" w:styleId="List3">
    <w:name w:val="List 3"/>
    <w:basedOn w:val="Normal"/>
    <w:uiPriority w:val="99"/>
    <w:rsid w:val="006D5BA7"/>
    <w:pPr>
      <w:tabs>
        <w:tab w:val="num" w:pos="2268"/>
      </w:tabs>
      <w:spacing w:before="60" w:after="60"/>
      <w:ind w:left="2835" w:hanging="567"/>
      <w:contextualSpacing/>
      <w:outlineLvl w:val="9"/>
    </w:pPr>
    <w:rPr>
      <w:rFonts w:asciiTheme="minorHAnsi" w:eastAsiaTheme="minorHAnsi" w:hAnsiTheme="minorHAnsi" w:cstheme="minorBidi"/>
      <w:kern w:val="0"/>
      <w:sz w:val="20"/>
      <w:szCs w:val="22"/>
      <w:lang w:eastAsia="en-US"/>
    </w:rPr>
  </w:style>
  <w:style w:type="paragraph" w:styleId="List4">
    <w:name w:val="List 4"/>
    <w:basedOn w:val="Normal"/>
    <w:uiPriority w:val="99"/>
    <w:rsid w:val="006D5BA7"/>
    <w:pPr>
      <w:tabs>
        <w:tab w:val="num" w:pos="2835"/>
      </w:tabs>
      <w:spacing w:before="60" w:after="60"/>
      <w:ind w:left="3402" w:hanging="567"/>
      <w:contextualSpacing/>
      <w:outlineLvl w:val="9"/>
    </w:pPr>
    <w:rPr>
      <w:rFonts w:asciiTheme="minorHAnsi" w:eastAsiaTheme="minorHAnsi" w:hAnsiTheme="minorHAnsi" w:cstheme="minorBidi"/>
      <w:kern w:val="0"/>
      <w:sz w:val="20"/>
      <w:szCs w:val="22"/>
      <w:lang w:eastAsia="en-US"/>
    </w:rPr>
  </w:style>
  <w:style w:type="character" w:styleId="PlaceholderText">
    <w:name w:val="Placeholder Text"/>
    <w:basedOn w:val="DefaultParagraphFont"/>
    <w:uiPriority w:val="99"/>
    <w:semiHidden/>
    <w:rsid w:val="006D5BA7"/>
    <w:rPr>
      <w:color w:val="808080"/>
    </w:rPr>
  </w:style>
  <w:style w:type="numbering" w:customStyle="1" w:styleId="AppendixLetter">
    <w:name w:val="Appendix_Letter"/>
    <w:basedOn w:val="NoList"/>
    <w:uiPriority w:val="99"/>
    <w:rsid w:val="006D5BA7"/>
    <w:pPr>
      <w:numPr>
        <w:numId w:val="32"/>
      </w:numPr>
    </w:pPr>
  </w:style>
  <w:style w:type="paragraph" w:customStyle="1" w:styleId="AppendixLetter0">
    <w:name w:val="Appendix Letter"/>
    <w:basedOn w:val="Heading1"/>
    <w:next w:val="BodyText"/>
    <w:qFormat/>
    <w:rsid w:val="006D5BA7"/>
    <w:pPr>
      <w:numPr>
        <w:numId w:val="33"/>
      </w:numPr>
      <w:spacing w:after="0"/>
    </w:pPr>
    <w:rPr>
      <w:rFonts w:asciiTheme="majorHAnsi" w:eastAsiaTheme="majorEastAsia" w:hAnsiTheme="majorHAnsi" w:cstheme="majorBidi"/>
      <w:b w:val="0"/>
      <w:color w:val="4F81BD" w:themeColor="accent1"/>
      <w:kern w:val="0"/>
      <w:sz w:val="36"/>
    </w:rPr>
  </w:style>
  <w:style w:type="paragraph" w:customStyle="1" w:styleId="AppendixLetterA1">
    <w:name w:val="Appendix Letter A.1"/>
    <w:basedOn w:val="Heading2"/>
    <w:next w:val="BodyText"/>
    <w:qFormat/>
    <w:rsid w:val="006D5BA7"/>
    <w:pPr>
      <w:numPr>
        <w:numId w:val="33"/>
      </w:numPr>
      <w:spacing w:before="200" w:after="0"/>
    </w:pPr>
    <w:rPr>
      <w:rFonts w:asciiTheme="majorHAnsi" w:eastAsiaTheme="majorEastAsia" w:hAnsiTheme="majorHAnsi" w:cstheme="majorBidi"/>
      <w:b w:val="0"/>
      <w:bCs/>
      <w:color w:val="4F81BD" w:themeColor="accent1"/>
      <w:kern w:val="0"/>
      <w:sz w:val="32"/>
      <w:szCs w:val="26"/>
    </w:rPr>
  </w:style>
  <w:style w:type="paragraph" w:customStyle="1" w:styleId="AppendixLetterA11">
    <w:name w:val="Appendix Letter A.1.1"/>
    <w:basedOn w:val="Heading3"/>
    <w:next w:val="BodyText"/>
    <w:qFormat/>
    <w:rsid w:val="006D5BA7"/>
    <w:pPr>
      <w:numPr>
        <w:numId w:val="33"/>
      </w:numPr>
      <w:spacing w:before="240" w:line="264" w:lineRule="auto"/>
    </w:pPr>
    <w:rPr>
      <w:rFonts w:asciiTheme="majorHAnsi" w:eastAsiaTheme="majorEastAsia" w:hAnsiTheme="majorHAnsi" w:cstheme="majorBidi"/>
      <w:b w:val="0"/>
      <w:bCs/>
      <w:color w:val="4F81BD" w:themeColor="accent1"/>
      <w:kern w:val="0"/>
      <w:sz w:val="26"/>
      <w:szCs w:val="22"/>
    </w:rPr>
  </w:style>
  <w:style w:type="paragraph" w:customStyle="1" w:styleId="AppendixLetterA111">
    <w:name w:val="Appendix Letter A.1.1.1"/>
    <w:basedOn w:val="Heading4"/>
    <w:next w:val="BodyText"/>
    <w:qFormat/>
    <w:rsid w:val="006D5BA7"/>
    <w:pPr>
      <w:numPr>
        <w:numId w:val="33"/>
      </w:numPr>
      <w:spacing w:before="200" w:line="264" w:lineRule="auto"/>
    </w:pPr>
    <w:rPr>
      <w:rFonts w:asciiTheme="majorHAnsi" w:eastAsiaTheme="majorEastAsia" w:hAnsiTheme="majorHAnsi" w:cstheme="majorBidi"/>
      <w:bCs/>
      <w:i/>
      <w:iCs/>
      <w:color w:val="4F81BD" w:themeColor="accent1"/>
      <w:kern w:val="0"/>
      <w:szCs w:val="22"/>
    </w:rPr>
  </w:style>
  <w:style w:type="table" w:customStyle="1" w:styleId="OCE">
    <w:name w:val="OCE"/>
    <w:basedOn w:val="TableNormal"/>
    <w:uiPriority w:val="99"/>
    <w:rsid w:val="006D5BA7"/>
    <w:rPr>
      <w:rFonts w:asciiTheme="minorHAnsi" w:eastAsiaTheme="minorHAnsi" w:hAnsiTheme="minorHAnsi" w:cstheme="minorBidi"/>
      <w:sz w:val="18"/>
      <w:szCs w:val="22"/>
    </w:rPr>
    <w:tblPr>
      <w:tblInd w:w="113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rPr>
        <w:rFonts w:asciiTheme="minorHAnsi" w:hAnsiTheme="minorHAnsi"/>
        <w:sz w:val="18"/>
      </w:rPr>
      <w:tblPr/>
      <w:tcPr>
        <w:shd w:val="clear" w:color="auto" w:fill="C4BC96" w:themeFill="background2" w:themeFillShade="BF"/>
      </w:tcPr>
    </w:tblStylePr>
  </w:style>
  <w:style w:type="table" w:customStyle="1" w:styleId="OCEBlue">
    <w:name w:val="OCE Blue"/>
    <w:basedOn w:val="TableNormal"/>
    <w:uiPriority w:val="99"/>
    <w:rsid w:val="006D5BA7"/>
    <w:rPr>
      <w:rFonts w:asciiTheme="minorHAnsi" w:eastAsiaTheme="minorHAnsi" w:hAnsiTheme="minorHAnsi" w:cstheme="minorBidi"/>
      <w:sz w:val="18"/>
      <w:szCs w:val="22"/>
    </w:rPr>
    <w:tblP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Pr>
    <w:tcPr>
      <w:shd w:val="clear" w:color="auto" w:fill="auto"/>
      <w:vAlign w:val="center"/>
    </w:tcPr>
    <w:tblStylePr w:type="firstRow">
      <w:rPr>
        <w:rFonts w:asciiTheme="minorHAnsi" w:hAnsiTheme="minorHAnsi"/>
        <w:sz w:val="18"/>
      </w:rPr>
      <w:tblPr/>
      <w:tcPr>
        <w:shd w:val="clear" w:color="auto" w:fill="4F81BD" w:themeFill="accent1"/>
      </w:tcPr>
    </w:tblStylePr>
  </w:style>
  <w:style w:type="table" w:customStyle="1" w:styleId="OCEYellow">
    <w:name w:val="OCE Yellow"/>
    <w:basedOn w:val="TableNormal"/>
    <w:uiPriority w:val="99"/>
    <w:rsid w:val="006D5BA7"/>
    <w:rPr>
      <w:rFonts w:asciiTheme="minorHAnsi" w:eastAsiaTheme="minorHAnsi" w:hAnsiTheme="minorHAnsi" w:cstheme="minorBidi"/>
      <w:sz w:val="18"/>
      <w:szCs w:val="22"/>
    </w:rPr>
    <w:tblP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Pr>
    <w:tcPr>
      <w:shd w:val="clear" w:color="auto" w:fill="auto"/>
      <w:vAlign w:val="center"/>
    </w:tcPr>
    <w:tblStylePr w:type="firstRow">
      <w:rPr>
        <w:rFonts w:asciiTheme="minorHAnsi" w:hAnsiTheme="minorHAnsi"/>
        <w:sz w:val="18"/>
      </w:rPr>
      <w:tblPr/>
      <w:tcPr>
        <w:shd w:val="clear" w:color="auto" w:fill="C0504D" w:themeFill="accent2"/>
      </w:tcPr>
    </w:tblStylePr>
  </w:style>
  <w:style w:type="paragraph" w:customStyle="1" w:styleId="TableHeading0">
    <w:name w:val="Table Heading"/>
    <w:basedOn w:val="Normal"/>
    <w:link w:val="TableHeadingChar0"/>
    <w:uiPriority w:val="2"/>
    <w:qFormat/>
    <w:rsid w:val="006D5BA7"/>
    <w:pPr>
      <w:spacing w:before="60" w:after="60"/>
      <w:outlineLvl w:val="9"/>
    </w:pPr>
    <w:rPr>
      <w:rFonts w:asciiTheme="minorHAnsi" w:eastAsiaTheme="minorHAnsi" w:hAnsiTheme="minorHAnsi" w:cstheme="minorBidi"/>
      <w:b/>
      <w:kern w:val="0"/>
      <w:sz w:val="20"/>
      <w:szCs w:val="22"/>
      <w:lang w:eastAsia="en-US"/>
    </w:rPr>
  </w:style>
  <w:style w:type="numbering" w:customStyle="1" w:styleId="TableBullet">
    <w:name w:val="Table_Bullet"/>
    <w:basedOn w:val="NoList"/>
    <w:uiPriority w:val="99"/>
    <w:rsid w:val="006D5BA7"/>
    <w:pPr>
      <w:numPr>
        <w:numId w:val="34"/>
      </w:numPr>
    </w:pPr>
  </w:style>
  <w:style w:type="numbering" w:customStyle="1" w:styleId="TableNumber">
    <w:name w:val="Table_Number"/>
    <w:basedOn w:val="NoList"/>
    <w:uiPriority w:val="99"/>
    <w:rsid w:val="006D5BA7"/>
    <w:pPr>
      <w:numPr>
        <w:numId w:val="35"/>
      </w:numPr>
    </w:pPr>
  </w:style>
  <w:style w:type="paragraph" w:customStyle="1" w:styleId="TableNumber0">
    <w:name w:val="Table Number"/>
    <w:basedOn w:val="Normal"/>
    <w:qFormat/>
    <w:rsid w:val="006D5BA7"/>
    <w:pPr>
      <w:numPr>
        <w:numId w:val="36"/>
      </w:numPr>
      <w:spacing w:before="60" w:after="60"/>
      <w:outlineLvl w:val="9"/>
    </w:pPr>
    <w:rPr>
      <w:rFonts w:asciiTheme="minorHAnsi" w:eastAsiaTheme="minorHAnsi" w:hAnsiTheme="minorHAnsi" w:cstheme="minorBidi"/>
      <w:kern w:val="0"/>
      <w:sz w:val="20"/>
      <w:szCs w:val="22"/>
      <w:lang w:eastAsia="en-US"/>
    </w:rPr>
  </w:style>
  <w:style w:type="table" w:customStyle="1" w:styleId="OCEPlain">
    <w:name w:val="OCE Plain"/>
    <w:basedOn w:val="TableNormal"/>
    <w:uiPriority w:val="99"/>
    <w:rsid w:val="006D5BA7"/>
    <w:rPr>
      <w:rFonts w:asciiTheme="minorHAnsi" w:eastAsiaTheme="minorHAnsi" w:hAnsiTheme="minorHAnsi" w:cstheme="minorBidi"/>
      <w:sz w:val="18"/>
      <w:szCs w:val="22"/>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vAlign w:val="center"/>
    </w:tcPr>
  </w:style>
  <w:style w:type="paragraph" w:customStyle="1" w:styleId="Head4">
    <w:name w:val="Head 4"/>
    <w:next w:val="BodyText11"/>
    <w:rsid w:val="006D5BA7"/>
    <w:pPr>
      <w:spacing w:before="240" w:after="120"/>
      <w:ind w:left="1134"/>
    </w:pPr>
    <w:rPr>
      <w:rFonts w:ascii="Verdana" w:eastAsia="Times New Roman" w:hAnsi="Verdana"/>
      <w:b/>
      <w:i/>
      <w:color w:val="002A42"/>
      <w:sz w:val="20"/>
      <w:szCs w:val="20"/>
    </w:rPr>
  </w:style>
  <w:style w:type="character" w:customStyle="1" w:styleId="TableTextChar1">
    <w:name w:val="TableText Char"/>
    <w:link w:val="TableText2"/>
    <w:rsid w:val="006D5BA7"/>
    <w:rPr>
      <w:rFonts w:ascii="Verdana" w:eastAsia="Times New Roman" w:hAnsi="Verdana"/>
      <w:sz w:val="20"/>
      <w:szCs w:val="20"/>
      <w:lang w:eastAsia="ko-KR"/>
    </w:rPr>
  </w:style>
  <w:style w:type="character" w:customStyle="1" w:styleId="Heading6Char">
    <w:name w:val="Heading 6 Char"/>
    <w:basedOn w:val="DefaultParagraphFont"/>
    <w:link w:val="Heading6"/>
    <w:rsid w:val="006D5BA7"/>
    <w:rPr>
      <w:rFonts w:ascii="Arial" w:eastAsia="SimSun" w:hAnsi="Arial" w:cs="Arial"/>
      <w:b/>
      <w:bCs/>
      <w:kern w:val="2"/>
      <w:lang w:eastAsia="en-AU"/>
    </w:rPr>
  </w:style>
  <w:style w:type="character" w:customStyle="1" w:styleId="Heading8Char">
    <w:name w:val="Heading 8 Char"/>
    <w:basedOn w:val="DefaultParagraphFont"/>
    <w:link w:val="Heading8"/>
    <w:rsid w:val="006D5BA7"/>
    <w:rPr>
      <w:rFonts w:ascii="Arial" w:eastAsia="SimSun" w:hAnsi="Arial" w:cs="Arial"/>
      <w:b/>
      <w:bCs/>
      <w:kern w:val="2"/>
      <w:szCs w:val="22"/>
      <w:lang w:eastAsia="en-AU"/>
    </w:rPr>
  </w:style>
  <w:style w:type="character" w:customStyle="1" w:styleId="Heading9Char">
    <w:name w:val="Heading 9 Char"/>
    <w:basedOn w:val="DefaultParagraphFont"/>
    <w:link w:val="Heading9"/>
    <w:rsid w:val="006D5BA7"/>
    <w:rPr>
      <w:rFonts w:ascii="Arial" w:eastAsia="SimSun" w:hAnsi="Arial" w:cs="Arial"/>
      <w:kern w:val="2"/>
      <w:szCs w:val="22"/>
      <w:lang w:eastAsia="en-AU"/>
    </w:rPr>
  </w:style>
  <w:style w:type="paragraph" w:customStyle="1" w:styleId="AppLettered">
    <w:name w:val="App Lettered"/>
    <w:next w:val="BodyText11"/>
    <w:rsid w:val="006D5BA7"/>
    <w:pPr>
      <w:pageBreakBefore/>
      <w:numPr>
        <w:numId w:val="37"/>
      </w:numPr>
      <w:spacing w:before="360" w:after="60"/>
    </w:pPr>
    <w:rPr>
      <w:rFonts w:ascii="Arial" w:eastAsia="Times New Roman" w:hAnsi="Arial"/>
      <w:color w:val="002A42"/>
      <w:sz w:val="36"/>
      <w:szCs w:val="20"/>
    </w:rPr>
  </w:style>
  <w:style w:type="paragraph" w:customStyle="1" w:styleId="AppA1">
    <w:name w:val="App A.1"/>
    <w:next w:val="BodyText11"/>
    <w:rsid w:val="006D5BA7"/>
    <w:pPr>
      <w:numPr>
        <w:ilvl w:val="1"/>
        <w:numId w:val="37"/>
      </w:numPr>
    </w:pPr>
    <w:rPr>
      <w:rFonts w:ascii="Verdana" w:eastAsia="Times New Roman" w:hAnsi="Verdana"/>
      <w:color w:val="002A42"/>
      <w:sz w:val="32"/>
      <w:szCs w:val="20"/>
    </w:rPr>
  </w:style>
  <w:style w:type="paragraph" w:customStyle="1" w:styleId="Normal12">
    <w:name w:val="Normal 1.2"/>
    <w:basedOn w:val="Normal"/>
    <w:link w:val="Normal12Char1"/>
    <w:rsid w:val="006D5BA7"/>
    <w:pPr>
      <w:spacing w:line="288" w:lineRule="auto"/>
      <w:jc w:val="both"/>
      <w:outlineLvl w:val="9"/>
    </w:pPr>
    <w:rPr>
      <w:rFonts w:eastAsia="Times New Roman"/>
      <w:kern w:val="0"/>
      <w:sz w:val="22"/>
      <w:lang w:eastAsia="en-US"/>
    </w:rPr>
  </w:style>
  <w:style w:type="character" w:customStyle="1" w:styleId="Normal12Char1">
    <w:name w:val="Normal 1.2 Char1"/>
    <w:link w:val="Normal12"/>
    <w:rsid w:val="006D5BA7"/>
    <w:rPr>
      <w:rFonts w:ascii="Arial" w:eastAsia="Times New Roman" w:hAnsi="Arial"/>
      <w:sz w:val="22"/>
    </w:rPr>
  </w:style>
  <w:style w:type="paragraph" w:styleId="ListNumber5">
    <w:name w:val="List Number 5"/>
    <w:basedOn w:val="Normal"/>
    <w:uiPriority w:val="99"/>
    <w:semiHidden/>
    <w:rsid w:val="006D5BA7"/>
    <w:pPr>
      <w:numPr>
        <w:numId w:val="38"/>
      </w:numPr>
      <w:spacing w:after="0"/>
      <w:contextualSpacing/>
      <w:outlineLvl w:val="9"/>
    </w:pPr>
    <w:rPr>
      <w:rFonts w:asciiTheme="minorHAnsi" w:eastAsiaTheme="minorHAnsi" w:hAnsiTheme="minorHAnsi" w:cstheme="minorBidi"/>
      <w:kern w:val="0"/>
      <w:sz w:val="20"/>
      <w:szCs w:val="22"/>
      <w:lang w:eastAsia="en-US"/>
    </w:rPr>
  </w:style>
  <w:style w:type="character" w:customStyle="1" w:styleId="Heading1Char1">
    <w:name w:val="Heading 1 Char1"/>
    <w:aliases w:val="ACPL Heading 1 Char1"/>
    <w:basedOn w:val="DefaultParagraphFont"/>
    <w:uiPriority w:val="9"/>
    <w:rsid w:val="006D5BA7"/>
    <w:rPr>
      <w:rFonts w:asciiTheme="majorHAnsi" w:eastAsiaTheme="majorEastAsia" w:hAnsiTheme="majorHAnsi" w:cstheme="majorBidi"/>
      <w:b/>
      <w:bCs/>
      <w:color w:val="365F91" w:themeColor="accent1" w:themeShade="BF"/>
      <w:sz w:val="28"/>
      <w:szCs w:val="28"/>
      <w:lang w:val="en-AU"/>
    </w:rPr>
  </w:style>
  <w:style w:type="paragraph" w:customStyle="1" w:styleId="AventusHeading3">
    <w:name w:val="Aventus Heading 3"/>
    <w:basedOn w:val="Heading3"/>
    <w:next w:val="Normal"/>
    <w:qFormat/>
    <w:rsid w:val="006D5BA7"/>
    <w:pPr>
      <w:keepLines/>
      <w:numPr>
        <w:numId w:val="1"/>
      </w:numPr>
      <w:spacing w:before="240"/>
      <w:ind w:left="1224" w:hanging="504"/>
    </w:pPr>
    <w:rPr>
      <w:rFonts w:ascii="Helvetica" w:eastAsiaTheme="majorEastAsia" w:hAnsi="Helvetica" w:cstheme="majorBidi"/>
      <w:bCs/>
      <w:color w:val="284B81"/>
      <w:kern w:val="0"/>
      <w:sz w:val="24"/>
      <w:lang w:eastAsia="ja-JP"/>
    </w:rPr>
  </w:style>
  <w:style w:type="paragraph" w:customStyle="1" w:styleId="AventusHeading4">
    <w:name w:val="Aventus Heading 4"/>
    <w:basedOn w:val="Heading4"/>
    <w:next w:val="Normal"/>
    <w:qFormat/>
    <w:rsid w:val="006D5BA7"/>
    <w:pPr>
      <w:keepLines/>
      <w:spacing w:before="240" w:after="240"/>
    </w:pPr>
    <w:rPr>
      <w:rFonts w:ascii="Myriad Pro" w:eastAsiaTheme="majorEastAsia" w:hAnsi="Myriad Pro" w:cstheme="majorBidi"/>
      <w:bCs/>
      <w:iCs/>
      <w:color w:val="4F81BD" w:themeColor="accent1"/>
      <w:kern w:val="0"/>
      <w:lang w:eastAsia="ja-JP"/>
    </w:rPr>
  </w:style>
  <w:style w:type="paragraph" w:customStyle="1" w:styleId="Investmentheading">
    <w:name w:val="Investment heading"/>
    <w:basedOn w:val="Normal"/>
    <w:next w:val="List"/>
    <w:qFormat/>
    <w:rsid w:val="006D5BA7"/>
    <w:pPr>
      <w:spacing w:after="0"/>
      <w:outlineLvl w:val="9"/>
    </w:pPr>
    <w:rPr>
      <w:rFonts w:eastAsia="Times New Roman" w:cs="Arial"/>
      <w:b/>
      <w:caps/>
      <w:color w:val="008000"/>
      <w:kern w:val="0"/>
      <w:sz w:val="22"/>
      <w:szCs w:val="22"/>
      <w:lang w:eastAsia="ja-JP"/>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FIgureheading">
    <w:name w:val="FIgure heading"/>
    <w:basedOn w:val="Normal"/>
    <w:next w:val="Normal"/>
    <w:qFormat/>
    <w:rsid w:val="006D5BA7"/>
    <w:pPr>
      <w:spacing w:before="240" w:after="240"/>
      <w:jc w:val="center"/>
      <w:outlineLvl w:val="9"/>
    </w:pPr>
    <w:rPr>
      <w:rFonts w:eastAsia="Times New Roman"/>
      <w:b/>
      <w:bCs/>
      <w:kern w:val="0"/>
      <w:sz w:val="22"/>
      <w:szCs w:val="20"/>
      <w:lang w:eastAsia="en-US"/>
    </w:rPr>
  </w:style>
  <w:style w:type="paragraph" w:customStyle="1" w:styleId="AventusTableheading">
    <w:name w:val="Aventus Table heading"/>
    <w:basedOn w:val="Normal"/>
    <w:next w:val="Normal"/>
    <w:qFormat/>
    <w:rsid w:val="006D5BA7"/>
    <w:pPr>
      <w:suppressAutoHyphens/>
      <w:spacing w:before="240"/>
      <w:jc w:val="center"/>
      <w:outlineLvl w:val="9"/>
    </w:pPr>
    <w:rPr>
      <w:rFonts w:eastAsia="Times New Roman"/>
      <w:b/>
      <w:color w:val="000000"/>
      <w:kern w:val="0"/>
      <w:sz w:val="22"/>
      <w:szCs w:val="18"/>
      <w:lang w:eastAsia="en-US"/>
    </w:rPr>
  </w:style>
  <w:style w:type="paragraph" w:customStyle="1" w:styleId="AventusL1heading">
    <w:name w:val="Aventus L1 heading"/>
    <w:basedOn w:val="Header"/>
    <w:next w:val="Normal"/>
    <w:qFormat/>
    <w:rsid w:val="006D5BA7"/>
    <w:pPr>
      <w:spacing w:after="240"/>
      <w:ind w:left="0" w:firstLine="0"/>
      <w:contextualSpacing/>
      <w:jc w:val="left"/>
    </w:pPr>
    <w:rPr>
      <w:rFonts w:ascii="Arial" w:eastAsia="MS Mincho" w:hAnsi="Arial" w:cs="Times New Roman"/>
      <w:color w:val="294B80"/>
      <w:kern w:val="0"/>
      <w:lang w:eastAsia="en-US"/>
    </w:rPr>
  </w:style>
  <w:style w:type="paragraph" w:customStyle="1" w:styleId="paragraphsub">
    <w:name w:val="paragraph(sub)"/>
    <w:aliases w:val="aa"/>
    <w:basedOn w:val="Normal"/>
    <w:rsid w:val="006D5BA7"/>
    <w:pPr>
      <w:tabs>
        <w:tab w:val="right" w:pos="1985"/>
      </w:tabs>
      <w:spacing w:before="40" w:after="0"/>
      <w:ind w:left="2098" w:hanging="2098"/>
      <w:outlineLvl w:val="9"/>
    </w:pPr>
    <w:rPr>
      <w:rFonts w:ascii="Times New Roman" w:eastAsia="Times New Roman" w:hAnsi="Times New Roman"/>
      <w:kern w:val="0"/>
      <w:sz w:val="22"/>
      <w:szCs w:val="20"/>
    </w:rPr>
  </w:style>
  <w:style w:type="character" w:customStyle="1" w:styleId="paragraphChar">
    <w:name w:val="paragraph Char"/>
    <w:aliases w:val="a Char"/>
    <w:basedOn w:val="DefaultParagraphFont"/>
    <w:link w:val="paragraph"/>
    <w:locked/>
    <w:rsid w:val="006D5BA7"/>
    <w:rPr>
      <w:rFonts w:eastAsia="Times New Roman"/>
      <w:szCs w:val="20"/>
      <w:lang w:eastAsia="en-AU"/>
    </w:rPr>
  </w:style>
  <w:style w:type="paragraph" w:customStyle="1" w:styleId="paragraph">
    <w:name w:val="paragraph"/>
    <w:aliases w:val="a"/>
    <w:basedOn w:val="Normal"/>
    <w:link w:val="paragraphChar"/>
    <w:rsid w:val="006D5BA7"/>
    <w:pPr>
      <w:tabs>
        <w:tab w:val="right" w:pos="1531"/>
      </w:tabs>
      <w:spacing w:before="40" w:after="0"/>
      <w:ind w:left="1644" w:hanging="1644"/>
      <w:outlineLvl w:val="9"/>
    </w:pPr>
    <w:rPr>
      <w:rFonts w:ascii="Times New Roman" w:eastAsia="Times New Roman" w:hAnsi="Times New Roman"/>
      <w:kern w:val="0"/>
      <w:szCs w:val="20"/>
    </w:rPr>
  </w:style>
  <w:style w:type="character" w:customStyle="1" w:styleId="subsectionChar">
    <w:name w:val="subsection Char"/>
    <w:aliases w:val="ss Char"/>
    <w:basedOn w:val="DefaultParagraphFont"/>
    <w:link w:val="subsection"/>
    <w:locked/>
    <w:rsid w:val="006D5BA7"/>
    <w:rPr>
      <w:rFonts w:eastAsia="Times New Roman"/>
      <w:szCs w:val="20"/>
      <w:lang w:eastAsia="en-AU"/>
    </w:rPr>
  </w:style>
  <w:style w:type="paragraph" w:customStyle="1" w:styleId="subsection">
    <w:name w:val="subsection"/>
    <w:aliases w:val="ss"/>
    <w:basedOn w:val="Normal"/>
    <w:link w:val="subsectionChar"/>
    <w:rsid w:val="006D5BA7"/>
    <w:pPr>
      <w:tabs>
        <w:tab w:val="right" w:pos="1021"/>
      </w:tabs>
      <w:spacing w:before="180" w:after="0"/>
      <w:ind w:left="1134" w:hanging="1134"/>
      <w:outlineLvl w:val="9"/>
    </w:pPr>
    <w:rPr>
      <w:rFonts w:ascii="Times New Roman" w:eastAsia="Times New Roman" w:hAnsi="Times New Roman"/>
      <w:kern w:val="0"/>
      <w:szCs w:val="20"/>
    </w:rPr>
  </w:style>
  <w:style w:type="paragraph" w:customStyle="1" w:styleId="subsection2">
    <w:name w:val="subsection2"/>
    <w:aliases w:val="ss2"/>
    <w:basedOn w:val="Normal"/>
    <w:next w:val="subsection"/>
    <w:rsid w:val="006D5BA7"/>
    <w:pPr>
      <w:spacing w:before="40" w:after="0"/>
      <w:ind w:left="1134"/>
      <w:outlineLvl w:val="9"/>
    </w:pPr>
    <w:rPr>
      <w:rFonts w:ascii="Times New Roman" w:eastAsia="Times New Roman" w:hAnsi="Times New Roman"/>
      <w:kern w:val="0"/>
      <w:sz w:val="22"/>
      <w:szCs w:val="20"/>
    </w:rPr>
  </w:style>
  <w:style w:type="paragraph" w:customStyle="1" w:styleId="Definition">
    <w:name w:val="Definition"/>
    <w:aliases w:val="dd"/>
    <w:basedOn w:val="Normal"/>
    <w:rsid w:val="006D5BA7"/>
    <w:pPr>
      <w:spacing w:before="180" w:after="0"/>
      <w:ind w:left="1134"/>
      <w:outlineLvl w:val="9"/>
    </w:pPr>
    <w:rPr>
      <w:rFonts w:ascii="Times New Roman" w:eastAsia="Times New Roman" w:hAnsi="Times New Roman"/>
      <w:kern w:val="0"/>
      <w:sz w:val="22"/>
      <w:szCs w:val="20"/>
    </w:rPr>
  </w:style>
  <w:style w:type="paragraph" w:customStyle="1" w:styleId="Tablefill">
    <w:name w:val="Table fill"/>
    <w:basedOn w:val="NormalWeb"/>
    <w:uiPriority w:val="99"/>
    <w:rsid w:val="006C5492"/>
    <w:pPr>
      <w:spacing w:before="60" w:beforeAutospacing="0" w:after="60" w:afterAutospacing="0"/>
    </w:pPr>
    <w:rPr>
      <w:rFonts w:ascii="Arial Narrow" w:eastAsia="MS Mincho" w:hAnsi="Arial Narrow" w:cs="Arial Narrow"/>
      <w:color w:val="000000"/>
      <w:sz w:val="20"/>
      <w:szCs w:val="20"/>
    </w:rPr>
  </w:style>
  <w:style w:type="character" w:customStyle="1" w:styleId="UnresolvedMention1">
    <w:name w:val="Unresolved Mention1"/>
    <w:basedOn w:val="DefaultParagraphFont"/>
    <w:uiPriority w:val="99"/>
    <w:rsid w:val="009F514C"/>
    <w:rPr>
      <w:color w:val="808080"/>
      <w:shd w:val="clear" w:color="auto" w:fill="E6E6E6"/>
    </w:rPr>
  </w:style>
  <w:style w:type="character" w:customStyle="1" w:styleId="TableHeadingChar0">
    <w:name w:val="Table Heading Char"/>
    <w:basedOn w:val="TableTextChar0"/>
    <w:link w:val="TableHeading0"/>
    <w:uiPriority w:val="2"/>
    <w:rsid w:val="006F7282"/>
    <w:rPr>
      <w:rFonts w:asciiTheme="minorHAnsi" w:eastAsiaTheme="minorHAnsi" w:hAnsiTheme="minorHAnsi" w:cstheme="minorBidi"/>
      <w:b/>
      <w:sz w:val="20"/>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56629">
      <w:bodyDiv w:val="1"/>
      <w:marLeft w:val="0"/>
      <w:marRight w:val="0"/>
      <w:marTop w:val="0"/>
      <w:marBottom w:val="0"/>
      <w:divBdr>
        <w:top w:val="none" w:sz="0" w:space="0" w:color="auto"/>
        <w:left w:val="none" w:sz="0" w:space="0" w:color="auto"/>
        <w:bottom w:val="none" w:sz="0" w:space="0" w:color="auto"/>
        <w:right w:val="none" w:sz="0" w:space="0" w:color="auto"/>
      </w:divBdr>
    </w:div>
    <w:div w:id="113404575">
      <w:bodyDiv w:val="1"/>
      <w:marLeft w:val="0"/>
      <w:marRight w:val="0"/>
      <w:marTop w:val="0"/>
      <w:marBottom w:val="0"/>
      <w:divBdr>
        <w:top w:val="none" w:sz="0" w:space="0" w:color="auto"/>
        <w:left w:val="none" w:sz="0" w:space="0" w:color="auto"/>
        <w:bottom w:val="none" w:sz="0" w:space="0" w:color="auto"/>
        <w:right w:val="none" w:sz="0" w:space="0" w:color="auto"/>
      </w:divBdr>
    </w:div>
    <w:div w:id="116409284">
      <w:bodyDiv w:val="1"/>
      <w:marLeft w:val="0"/>
      <w:marRight w:val="0"/>
      <w:marTop w:val="0"/>
      <w:marBottom w:val="0"/>
      <w:divBdr>
        <w:top w:val="none" w:sz="0" w:space="0" w:color="auto"/>
        <w:left w:val="none" w:sz="0" w:space="0" w:color="auto"/>
        <w:bottom w:val="none" w:sz="0" w:space="0" w:color="auto"/>
        <w:right w:val="none" w:sz="0" w:space="0" w:color="auto"/>
      </w:divBdr>
    </w:div>
    <w:div w:id="118110281">
      <w:bodyDiv w:val="1"/>
      <w:marLeft w:val="0"/>
      <w:marRight w:val="0"/>
      <w:marTop w:val="0"/>
      <w:marBottom w:val="0"/>
      <w:divBdr>
        <w:top w:val="none" w:sz="0" w:space="0" w:color="auto"/>
        <w:left w:val="none" w:sz="0" w:space="0" w:color="auto"/>
        <w:bottom w:val="none" w:sz="0" w:space="0" w:color="auto"/>
        <w:right w:val="none" w:sz="0" w:space="0" w:color="auto"/>
      </w:divBdr>
    </w:div>
    <w:div w:id="158736414">
      <w:bodyDiv w:val="1"/>
      <w:marLeft w:val="0"/>
      <w:marRight w:val="0"/>
      <w:marTop w:val="0"/>
      <w:marBottom w:val="0"/>
      <w:divBdr>
        <w:top w:val="none" w:sz="0" w:space="0" w:color="auto"/>
        <w:left w:val="none" w:sz="0" w:space="0" w:color="auto"/>
        <w:bottom w:val="none" w:sz="0" w:space="0" w:color="auto"/>
        <w:right w:val="none" w:sz="0" w:space="0" w:color="auto"/>
      </w:divBdr>
    </w:div>
    <w:div w:id="227304670">
      <w:bodyDiv w:val="1"/>
      <w:marLeft w:val="0"/>
      <w:marRight w:val="0"/>
      <w:marTop w:val="0"/>
      <w:marBottom w:val="0"/>
      <w:divBdr>
        <w:top w:val="none" w:sz="0" w:space="0" w:color="auto"/>
        <w:left w:val="none" w:sz="0" w:space="0" w:color="auto"/>
        <w:bottom w:val="none" w:sz="0" w:space="0" w:color="auto"/>
        <w:right w:val="none" w:sz="0" w:space="0" w:color="auto"/>
      </w:divBdr>
    </w:div>
    <w:div w:id="240875566">
      <w:bodyDiv w:val="1"/>
      <w:marLeft w:val="0"/>
      <w:marRight w:val="0"/>
      <w:marTop w:val="0"/>
      <w:marBottom w:val="0"/>
      <w:divBdr>
        <w:top w:val="none" w:sz="0" w:space="0" w:color="auto"/>
        <w:left w:val="none" w:sz="0" w:space="0" w:color="auto"/>
        <w:bottom w:val="none" w:sz="0" w:space="0" w:color="auto"/>
        <w:right w:val="none" w:sz="0" w:space="0" w:color="auto"/>
      </w:divBdr>
    </w:div>
    <w:div w:id="294069481">
      <w:bodyDiv w:val="1"/>
      <w:marLeft w:val="0"/>
      <w:marRight w:val="0"/>
      <w:marTop w:val="0"/>
      <w:marBottom w:val="0"/>
      <w:divBdr>
        <w:top w:val="none" w:sz="0" w:space="0" w:color="auto"/>
        <w:left w:val="none" w:sz="0" w:space="0" w:color="auto"/>
        <w:bottom w:val="none" w:sz="0" w:space="0" w:color="auto"/>
        <w:right w:val="none" w:sz="0" w:space="0" w:color="auto"/>
      </w:divBdr>
    </w:div>
    <w:div w:id="302008751">
      <w:bodyDiv w:val="1"/>
      <w:marLeft w:val="0"/>
      <w:marRight w:val="0"/>
      <w:marTop w:val="0"/>
      <w:marBottom w:val="0"/>
      <w:divBdr>
        <w:top w:val="none" w:sz="0" w:space="0" w:color="auto"/>
        <w:left w:val="none" w:sz="0" w:space="0" w:color="auto"/>
        <w:bottom w:val="none" w:sz="0" w:space="0" w:color="auto"/>
        <w:right w:val="none" w:sz="0" w:space="0" w:color="auto"/>
      </w:divBdr>
    </w:div>
    <w:div w:id="322855013">
      <w:bodyDiv w:val="1"/>
      <w:marLeft w:val="0"/>
      <w:marRight w:val="0"/>
      <w:marTop w:val="0"/>
      <w:marBottom w:val="0"/>
      <w:divBdr>
        <w:top w:val="none" w:sz="0" w:space="0" w:color="auto"/>
        <w:left w:val="none" w:sz="0" w:space="0" w:color="auto"/>
        <w:bottom w:val="none" w:sz="0" w:space="0" w:color="auto"/>
        <w:right w:val="none" w:sz="0" w:space="0" w:color="auto"/>
      </w:divBdr>
    </w:div>
    <w:div w:id="366874157">
      <w:bodyDiv w:val="1"/>
      <w:marLeft w:val="0"/>
      <w:marRight w:val="0"/>
      <w:marTop w:val="0"/>
      <w:marBottom w:val="0"/>
      <w:divBdr>
        <w:top w:val="none" w:sz="0" w:space="0" w:color="auto"/>
        <w:left w:val="none" w:sz="0" w:space="0" w:color="auto"/>
        <w:bottom w:val="none" w:sz="0" w:space="0" w:color="auto"/>
        <w:right w:val="none" w:sz="0" w:space="0" w:color="auto"/>
      </w:divBdr>
    </w:div>
    <w:div w:id="411120399">
      <w:bodyDiv w:val="1"/>
      <w:marLeft w:val="0"/>
      <w:marRight w:val="0"/>
      <w:marTop w:val="0"/>
      <w:marBottom w:val="0"/>
      <w:divBdr>
        <w:top w:val="none" w:sz="0" w:space="0" w:color="auto"/>
        <w:left w:val="none" w:sz="0" w:space="0" w:color="auto"/>
        <w:bottom w:val="none" w:sz="0" w:space="0" w:color="auto"/>
        <w:right w:val="none" w:sz="0" w:space="0" w:color="auto"/>
      </w:divBdr>
    </w:div>
    <w:div w:id="438258251">
      <w:bodyDiv w:val="1"/>
      <w:marLeft w:val="0"/>
      <w:marRight w:val="0"/>
      <w:marTop w:val="0"/>
      <w:marBottom w:val="0"/>
      <w:divBdr>
        <w:top w:val="none" w:sz="0" w:space="0" w:color="auto"/>
        <w:left w:val="none" w:sz="0" w:space="0" w:color="auto"/>
        <w:bottom w:val="none" w:sz="0" w:space="0" w:color="auto"/>
        <w:right w:val="none" w:sz="0" w:space="0" w:color="auto"/>
      </w:divBdr>
    </w:div>
    <w:div w:id="455875967">
      <w:bodyDiv w:val="1"/>
      <w:marLeft w:val="0"/>
      <w:marRight w:val="0"/>
      <w:marTop w:val="0"/>
      <w:marBottom w:val="0"/>
      <w:divBdr>
        <w:top w:val="none" w:sz="0" w:space="0" w:color="auto"/>
        <w:left w:val="none" w:sz="0" w:space="0" w:color="auto"/>
        <w:bottom w:val="none" w:sz="0" w:space="0" w:color="auto"/>
        <w:right w:val="none" w:sz="0" w:space="0" w:color="auto"/>
      </w:divBdr>
    </w:div>
    <w:div w:id="496919079">
      <w:bodyDiv w:val="1"/>
      <w:marLeft w:val="0"/>
      <w:marRight w:val="0"/>
      <w:marTop w:val="0"/>
      <w:marBottom w:val="0"/>
      <w:divBdr>
        <w:top w:val="none" w:sz="0" w:space="0" w:color="auto"/>
        <w:left w:val="none" w:sz="0" w:space="0" w:color="auto"/>
        <w:bottom w:val="none" w:sz="0" w:space="0" w:color="auto"/>
        <w:right w:val="none" w:sz="0" w:space="0" w:color="auto"/>
      </w:divBdr>
    </w:div>
    <w:div w:id="520316945">
      <w:bodyDiv w:val="1"/>
      <w:marLeft w:val="0"/>
      <w:marRight w:val="0"/>
      <w:marTop w:val="0"/>
      <w:marBottom w:val="0"/>
      <w:divBdr>
        <w:top w:val="none" w:sz="0" w:space="0" w:color="auto"/>
        <w:left w:val="none" w:sz="0" w:space="0" w:color="auto"/>
        <w:bottom w:val="none" w:sz="0" w:space="0" w:color="auto"/>
        <w:right w:val="none" w:sz="0" w:space="0" w:color="auto"/>
      </w:divBdr>
    </w:div>
    <w:div w:id="521436886">
      <w:bodyDiv w:val="1"/>
      <w:marLeft w:val="0"/>
      <w:marRight w:val="0"/>
      <w:marTop w:val="0"/>
      <w:marBottom w:val="0"/>
      <w:divBdr>
        <w:top w:val="none" w:sz="0" w:space="0" w:color="auto"/>
        <w:left w:val="none" w:sz="0" w:space="0" w:color="auto"/>
        <w:bottom w:val="none" w:sz="0" w:space="0" w:color="auto"/>
        <w:right w:val="none" w:sz="0" w:space="0" w:color="auto"/>
      </w:divBdr>
    </w:div>
    <w:div w:id="560212493">
      <w:bodyDiv w:val="1"/>
      <w:marLeft w:val="0"/>
      <w:marRight w:val="0"/>
      <w:marTop w:val="0"/>
      <w:marBottom w:val="0"/>
      <w:divBdr>
        <w:top w:val="none" w:sz="0" w:space="0" w:color="auto"/>
        <w:left w:val="none" w:sz="0" w:space="0" w:color="auto"/>
        <w:bottom w:val="none" w:sz="0" w:space="0" w:color="auto"/>
        <w:right w:val="none" w:sz="0" w:space="0" w:color="auto"/>
      </w:divBdr>
    </w:div>
    <w:div w:id="607392855">
      <w:bodyDiv w:val="1"/>
      <w:marLeft w:val="0"/>
      <w:marRight w:val="0"/>
      <w:marTop w:val="0"/>
      <w:marBottom w:val="0"/>
      <w:divBdr>
        <w:top w:val="none" w:sz="0" w:space="0" w:color="auto"/>
        <w:left w:val="none" w:sz="0" w:space="0" w:color="auto"/>
        <w:bottom w:val="none" w:sz="0" w:space="0" w:color="auto"/>
        <w:right w:val="none" w:sz="0" w:space="0" w:color="auto"/>
      </w:divBdr>
    </w:div>
    <w:div w:id="761804221">
      <w:bodyDiv w:val="1"/>
      <w:marLeft w:val="0"/>
      <w:marRight w:val="0"/>
      <w:marTop w:val="0"/>
      <w:marBottom w:val="0"/>
      <w:divBdr>
        <w:top w:val="none" w:sz="0" w:space="0" w:color="auto"/>
        <w:left w:val="none" w:sz="0" w:space="0" w:color="auto"/>
        <w:bottom w:val="none" w:sz="0" w:space="0" w:color="auto"/>
        <w:right w:val="none" w:sz="0" w:space="0" w:color="auto"/>
      </w:divBdr>
    </w:div>
    <w:div w:id="787509571">
      <w:bodyDiv w:val="1"/>
      <w:marLeft w:val="0"/>
      <w:marRight w:val="0"/>
      <w:marTop w:val="0"/>
      <w:marBottom w:val="0"/>
      <w:divBdr>
        <w:top w:val="none" w:sz="0" w:space="0" w:color="auto"/>
        <w:left w:val="none" w:sz="0" w:space="0" w:color="auto"/>
        <w:bottom w:val="none" w:sz="0" w:space="0" w:color="auto"/>
        <w:right w:val="none" w:sz="0" w:space="0" w:color="auto"/>
      </w:divBdr>
    </w:div>
    <w:div w:id="871917735">
      <w:bodyDiv w:val="1"/>
      <w:marLeft w:val="0"/>
      <w:marRight w:val="0"/>
      <w:marTop w:val="0"/>
      <w:marBottom w:val="0"/>
      <w:divBdr>
        <w:top w:val="none" w:sz="0" w:space="0" w:color="auto"/>
        <w:left w:val="none" w:sz="0" w:space="0" w:color="auto"/>
        <w:bottom w:val="none" w:sz="0" w:space="0" w:color="auto"/>
        <w:right w:val="none" w:sz="0" w:space="0" w:color="auto"/>
      </w:divBdr>
    </w:div>
    <w:div w:id="876938720">
      <w:bodyDiv w:val="1"/>
      <w:marLeft w:val="0"/>
      <w:marRight w:val="0"/>
      <w:marTop w:val="0"/>
      <w:marBottom w:val="0"/>
      <w:divBdr>
        <w:top w:val="none" w:sz="0" w:space="0" w:color="auto"/>
        <w:left w:val="none" w:sz="0" w:space="0" w:color="auto"/>
        <w:bottom w:val="none" w:sz="0" w:space="0" w:color="auto"/>
        <w:right w:val="none" w:sz="0" w:space="0" w:color="auto"/>
      </w:divBdr>
    </w:div>
    <w:div w:id="922879336">
      <w:bodyDiv w:val="1"/>
      <w:marLeft w:val="0"/>
      <w:marRight w:val="0"/>
      <w:marTop w:val="0"/>
      <w:marBottom w:val="0"/>
      <w:divBdr>
        <w:top w:val="none" w:sz="0" w:space="0" w:color="auto"/>
        <w:left w:val="none" w:sz="0" w:space="0" w:color="auto"/>
        <w:bottom w:val="none" w:sz="0" w:space="0" w:color="auto"/>
        <w:right w:val="none" w:sz="0" w:space="0" w:color="auto"/>
      </w:divBdr>
    </w:div>
    <w:div w:id="1040394272">
      <w:bodyDiv w:val="1"/>
      <w:marLeft w:val="0"/>
      <w:marRight w:val="0"/>
      <w:marTop w:val="0"/>
      <w:marBottom w:val="0"/>
      <w:divBdr>
        <w:top w:val="none" w:sz="0" w:space="0" w:color="auto"/>
        <w:left w:val="none" w:sz="0" w:space="0" w:color="auto"/>
        <w:bottom w:val="none" w:sz="0" w:space="0" w:color="auto"/>
        <w:right w:val="none" w:sz="0" w:space="0" w:color="auto"/>
      </w:divBdr>
    </w:div>
    <w:div w:id="1185166179">
      <w:bodyDiv w:val="1"/>
      <w:marLeft w:val="0"/>
      <w:marRight w:val="0"/>
      <w:marTop w:val="0"/>
      <w:marBottom w:val="0"/>
      <w:divBdr>
        <w:top w:val="none" w:sz="0" w:space="0" w:color="auto"/>
        <w:left w:val="none" w:sz="0" w:space="0" w:color="auto"/>
        <w:bottom w:val="none" w:sz="0" w:space="0" w:color="auto"/>
        <w:right w:val="none" w:sz="0" w:space="0" w:color="auto"/>
      </w:divBdr>
    </w:div>
    <w:div w:id="1208834287">
      <w:bodyDiv w:val="1"/>
      <w:marLeft w:val="0"/>
      <w:marRight w:val="0"/>
      <w:marTop w:val="0"/>
      <w:marBottom w:val="0"/>
      <w:divBdr>
        <w:top w:val="none" w:sz="0" w:space="0" w:color="auto"/>
        <w:left w:val="none" w:sz="0" w:space="0" w:color="auto"/>
        <w:bottom w:val="none" w:sz="0" w:space="0" w:color="auto"/>
        <w:right w:val="none" w:sz="0" w:space="0" w:color="auto"/>
      </w:divBdr>
    </w:div>
    <w:div w:id="1212958423">
      <w:bodyDiv w:val="1"/>
      <w:marLeft w:val="0"/>
      <w:marRight w:val="0"/>
      <w:marTop w:val="0"/>
      <w:marBottom w:val="0"/>
      <w:divBdr>
        <w:top w:val="none" w:sz="0" w:space="0" w:color="auto"/>
        <w:left w:val="none" w:sz="0" w:space="0" w:color="auto"/>
        <w:bottom w:val="none" w:sz="0" w:space="0" w:color="auto"/>
        <w:right w:val="none" w:sz="0" w:space="0" w:color="auto"/>
      </w:divBdr>
    </w:div>
    <w:div w:id="1233194781">
      <w:bodyDiv w:val="1"/>
      <w:marLeft w:val="0"/>
      <w:marRight w:val="0"/>
      <w:marTop w:val="0"/>
      <w:marBottom w:val="0"/>
      <w:divBdr>
        <w:top w:val="none" w:sz="0" w:space="0" w:color="auto"/>
        <w:left w:val="none" w:sz="0" w:space="0" w:color="auto"/>
        <w:bottom w:val="none" w:sz="0" w:space="0" w:color="auto"/>
        <w:right w:val="none" w:sz="0" w:space="0" w:color="auto"/>
      </w:divBdr>
    </w:div>
    <w:div w:id="1237789346">
      <w:bodyDiv w:val="1"/>
      <w:marLeft w:val="0"/>
      <w:marRight w:val="0"/>
      <w:marTop w:val="0"/>
      <w:marBottom w:val="0"/>
      <w:divBdr>
        <w:top w:val="none" w:sz="0" w:space="0" w:color="auto"/>
        <w:left w:val="none" w:sz="0" w:space="0" w:color="auto"/>
        <w:bottom w:val="none" w:sz="0" w:space="0" w:color="auto"/>
        <w:right w:val="none" w:sz="0" w:space="0" w:color="auto"/>
      </w:divBdr>
    </w:div>
    <w:div w:id="1242331597">
      <w:bodyDiv w:val="1"/>
      <w:marLeft w:val="0"/>
      <w:marRight w:val="0"/>
      <w:marTop w:val="0"/>
      <w:marBottom w:val="0"/>
      <w:divBdr>
        <w:top w:val="none" w:sz="0" w:space="0" w:color="auto"/>
        <w:left w:val="none" w:sz="0" w:space="0" w:color="auto"/>
        <w:bottom w:val="none" w:sz="0" w:space="0" w:color="auto"/>
        <w:right w:val="none" w:sz="0" w:space="0" w:color="auto"/>
      </w:divBdr>
    </w:div>
    <w:div w:id="1253053334">
      <w:bodyDiv w:val="1"/>
      <w:marLeft w:val="0"/>
      <w:marRight w:val="0"/>
      <w:marTop w:val="0"/>
      <w:marBottom w:val="0"/>
      <w:divBdr>
        <w:top w:val="none" w:sz="0" w:space="0" w:color="auto"/>
        <w:left w:val="none" w:sz="0" w:space="0" w:color="auto"/>
        <w:bottom w:val="none" w:sz="0" w:space="0" w:color="auto"/>
        <w:right w:val="none" w:sz="0" w:space="0" w:color="auto"/>
      </w:divBdr>
    </w:div>
    <w:div w:id="1289047134">
      <w:bodyDiv w:val="1"/>
      <w:marLeft w:val="0"/>
      <w:marRight w:val="0"/>
      <w:marTop w:val="0"/>
      <w:marBottom w:val="0"/>
      <w:divBdr>
        <w:top w:val="none" w:sz="0" w:space="0" w:color="auto"/>
        <w:left w:val="none" w:sz="0" w:space="0" w:color="auto"/>
        <w:bottom w:val="none" w:sz="0" w:space="0" w:color="auto"/>
        <w:right w:val="none" w:sz="0" w:space="0" w:color="auto"/>
      </w:divBdr>
    </w:div>
    <w:div w:id="1341662385">
      <w:bodyDiv w:val="1"/>
      <w:marLeft w:val="0"/>
      <w:marRight w:val="0"/>
      <w:marTop w:val="0"/>
      <w:marBottom w:val="0"/>
      <w:divBdr>
        <w:top w:val="none" w:sz="0" w:space="0" w:color="auto"/>
        <w:left w:val="none" w:sz="0" w:space="0" w:color="auto"/>
        <w:bottom w:val="none" w:sz="0" w:space="0" w:color="auto"/>
        <w:right w:val="none" w:sz="0" w:space="0" w:color="auto"/>
      </w:divBdr>
    </w:div>
    <w:div w:id="1347444348">
      <w:bodyDiv w:val="1"/>
      <w:marLeft w:val="0"/>
      <w:marRight w:val="0"/>
      <w:marTop w:val="0"/>
      <w:marBottom w:val="0"/>
      <w:divBdr>
        <w:top w:val="none" w:sz="0" w:space="0" w:color="auto"/>
        <w:left w:val="none" w:sz="0" w:space="0" w:color="auto"/>
        <w:bottom w:val="none" w:sz="0" w:space="0" w:color="auto"/>
        <w:right w:val="none" w:sz="0" w:space="0" w:color="auto"/>
      </w:divBdr>
    </w:div>
    <w:div w:id="1359159173">
      <w:bodyDiv w:val="1"/>
      <w:marLeft w:val="0"/>
      <w:marRight w:val="0"/>
      <w:marTop w:val="0"/>
      <w:marBottom w:val="0"/>
      <w:divBdr>
        <w:top w:val="none" w:sz="0" w:space="0" w:color="auto"/>
        <w:left w:val="none" w:sz="0" w:space="0" w:color="auto"/>
        <w:bottom w:val="none" w:sz="0" w:space="0" w:color="auto"/>
        <w:right w:val="none" w:sz="0" w:space="0" w:color="auto"/>
      </w:divBdr>
    </w:div>
    <w:div w:id="1392339281">
      <w:bodyDiv w:val="1"/>
      <w:marLeft w:val="0"/>
      <w:marRight w:val="0"/>
      <w:marTop w:val="0"/>
      <w:marBottom w:val="0"/>
      <w:divBdr>
        <w:top w:val="none" w:sz="0" w:space="0" w:color="auto"/>
        <w:left w:val="none" w:sz="0" w:space="0" w:color="auto"/>
        <w:bottom w:val="none" w:sz="0" w:space="0" w:color="auto"/>
        <w:right w:val="none" w:sz="0" w:space="0" w:color="auto"/>
      </w:divBdr>
    </w:div>
    <w:div w:id="1458404232">
      <w:bodyDiv w:val="1"/>
      <w:marLeft w:val="0"/>
      <w:marRight w:val="0"/>
      <w:marTop w:val="0"/>
      <w:marBottom w:val="0"/>
      <w:divBdr>
        <w:top w:val="none" w:sz="0" w:space="0" w:color="auto"/>
        <w:left w:val="none" w:sz="0" w:space="0" w:color="auto"/>
        <w:bottom w:val="none" w:sz="0" w:space="0" w:color="auto"/>
        <w:right w:val="none" w:sz="0" w:space="0" w:color="auto"/>
      </w:divBdr>
    </w:div>
    <w:div w:id="1464228438">
      <w:bodyDiv w:val="1"/>
      <w:marLeft w:val="0"/>
      <w:marRight w:val="0"/>
      <w:marTop w:val="0"/>
      <w:marBottom w:val="0"/>
      <w:divBdr>
        <w:top w:val="none" w:sz="0" w:space="0" w:color="auto"/>
        <w:left w:val="none" w:sz="0" w:space="0" w:color="auto"/>
        <w:bottom w:val="none" w:sz="0" w:space="0" w:color="auto"/>
        <w:right w:val="none" w:sz="0" w:space="0" w:color="auto"/>
      </w:divBdr>
    </w:div>
    <w:div w:id="1649935650">
      <w:bodyDiv w:val="1"/>
      <w:marLeft w:val="0"/>
      <w:marRight w:val="0"/>
      <w:marTop w:val="0"/>
      <w:marBottom w:val="0"/>
      <w:divBdr>
        <w:top w:val="none" w:sz="0" w:space="0" w:color="auto"/>
        <w:left w:val="none" w:sz="0" w:space="0" w:color="auto"/>
        <w:bottom w:val="none" w:sz="0" w:space="0" w:color="auto"/>
        <w:right w:val="none" w:sz="0" w:space="0" w:color="auto"/>
      </w:divBdr>
    </w:div>
    <w:div w:id="1656296748">
      <w:bodyDiv w:val="1"/>
      <w:marLeft w:val="0"/>
      <w:marRight w:val="0"/>
      <w:marTop w:val="0"/>
      <w:marBottom w:val="0"/>
      <w:divBdr>
        <w:top w:val="none" w:sz="0" w:space="0" w:color="auto"/>
        <w:left w:val="none" w:sz="0" w:space="0" w:color="auto"/>
        <w:bottom w:val="none" w:sz="0" w:space="0" w:color="auto"/>
        <w:right w:val="none" w:sz="0" w:space="0" w:color="auto"/>
      </w:divBdr>
    </w:div>
    <w:div w:id="1682512237">
      <w:bodyDiv w:val="1"/>
      <w:marLeft w:val="0"/>
      <w:marRight w:val="0"/>
      <w:marTop w:val="0"/>
      <w:marBottom w:val="0"/>
      <w:divBdr>
        <w:top w:val="none" w:sz="0" w:space="0" w:color="auto"/>
        <w:left w:val="none" w:sz="0" w:space="0" w:color="auto"/>
        <w:bottom w:val="none" w:sz="0" w:space="0" w:color="auto"/>
        <w:right w:val="none" w:sz="0" w:space="0" w:color="auto"/>
      </w:divBdr>
    </w:div>
    <w:div w:id="1687708318">
      <w:bodyDiv w:val="1"/>
      <w:marLeft w:val="0"/>
      <w:marRight w:val="0"/>
      <w:marTop w:val="0"/>
      <w:marBottom w:val="0"/>
      <w:divBdr>
        <w:top w:val="none" w:sz="0" w:space="0" w:color="auto"/>
        <w:left w:val="none" w:sz="0" w:space="0" w:color="auto"/>
        <w:bottom w:val="none" w:sz="0" w:space="0" w:color="auto"/>
        <w:right w:val="none" w:sz="0" w:space="0" w:color="auto"/>
      </w:divBdr>
    </w:div>
    <w:div w:id="1738211382">
      <w:bodyDiv w:val="1"/>
      <w:marLeft w:val="0"/>
      <w:marRight w:val="0"/>
      <w:marTop w:val="0"/>
      <w:marBottom w:val="0"/>
      <w:divBdr>
        <w:top w:val="none" w:sz="0" w:space="0" w:color="auto"/>
        <w:left w:val="none" w:sz="0" w:space="0" w:color="auto"/>
        <w:bottom w:val="none" w:sz="0" w:space="0" w:color="auto"/>
        <w:right w:val="none" w:sz="0" w:space="0" w:color="auto"/>
      </w:divBdr>
    </w:div>
    <w:div w:id="1764380962">
      <w:bodyDiv w:val="1"/>
      <w:marLeft w:val="0"/>
      <w:marRight w:val="0"/>
      <w:marTop w:val="0"/>
      <w:marBottom w:val="0"/>
      <w:divBdr>
        <w:top w:val="none" w:sz="0" w:space="0" w:color="auto"/>
        <w:left w:val="none" w:sz="0" w:space="0" w:color="auto"/>
        <w:bottom w:val="none" w:sz="0" w:space="0" w:color="auto"/>
        <w:right w:val="none" w:sz="0" w:space="0" w:color="auto"/>
      </w:divBdr>
    </w:div>
    <w:div w:id="1770078721">
      <w:bodyDiv w:val="1"/>
      <w:marLeft w:val="0"/>
      <w:marRight w:val="0"/>
      <w:marTop w:val="0"/>
      <w:marBottom w:val="0"/>
      <w:divBdr>
        <w:top w:val="none" w:sz="0" w:space="0" w:color="auto"/>
        <w:left w:val="none" w:sz="0" w:space="0" w:color="auto"/>
        <w:bottom w:val="none" w:sz="0" w:space="0" w:color="auto"/>
        <w:right w:val="none" w:sz="0" w:space="0" w:color="auto"/>
      </w:divBdr>
    </w:div>
    <w:div w:id="1796027063">
      <w:bodyDiv w:val="1"/>
      <w:marLeft w:val="0"/>
      <w:marRight w:val="0"/>
      <w:marTop w:val="0"/>
      <w:marBottom w:val="0"/>
      <w:divBdr>
        <w:top w:val="none" w:sz="0" w:space="0" w:color="auto"/>
        <w:left w:val="none" w:sz="0" w:space="0" w:color="auto"/>
        <w:bottom w:val="none" w:sz="0" w:space="0" w:color="auto"/>
        <w:right w:val="none" w:sz="0" w:space="0" w:color="auto"/>
      </w:divBdr>
    </w:div>
    <w:div w:id="1854219598">
      <w:bodyDiv w:val="1"/>
      <w:marLeft w:val="0"/>
      <w:marRight w:val="0"/>
      <w:marTop w:val="0"/>
      <w:marBottom w:val="0"/>
      <w:divBdr>
        <w:top w:val="none" w:sz="0" w:space="0" w:color="auto"/>
        <w:left w:val="none" w:sz="0" w:space="0" w:color="auto"/>
        <w:bottom w:val="none" w:sz="0" w:space="0" w:color="auto"/>
        <w:right w:val="none" w:sz="0" w:space="0" w:color="auto"/>
      </w:divBdr>
    </w:div>
    <w:div w:id="1874338576">
      <w:bodyDiv w:val="1"/>
      <w:marLeft w:val="0"/>
      <w:marRight w:val="0"/>
      <w:marTop w:val="0"/>
      <w:marBottom w:val="0"/>
      <w:divBdr>
        <w:top w:val="none" w:sz="0" w:space="0" w:color="auto"/>
        <w:left w:val="none" w:sz="0" w:space="0" w:color="auto"/>
        <w:bottom w:val="none" w:sz="0" w:space="0" w:color="auto"/>
        <w:right w:val="none" w:sz="0" w:space="0" w:color="auto"/>
      </w:divBdr>
    </w:div>
    <w:div w:id="1966963894">
      <w:bodyDiv w:val="1"/>
      <w:marLeft w:val="0"/>
      <w:marRight w:val="0"/>
      <w:marTop w:val="0"/>
      <w:marBottom w:val="0"/>
      <w:divBdr>
        <w:top w:val="none" w:sz="0" w:space="0" w:color="auto"/>
        <w:left w:val="none" w:sz="0" w:space="0" w:color="auto"/>
        <w:bottom w:val="none" w:sz="0" w:space="0" w:color="auto"/>
        <w:right w:val="none" w:sz="0" w:space="0" w:color="auto"/>
      </w:divBdr>
    </w:div>
    <w:div w:id="1985809894">
      <w:bodyDiv w:val="1"/>
      <w:marLeft w:val="0"/>
      <w:marRight w:val="0"/>
      <w:marTop w:val="0"/>
      <w:marBottom w:val="0"/>
      <w:divBdr>
        <w:top w:val="none" w:sz="0" w:space="0" w:color="auto"/>
        <w:left w:val="none" w:sz="0" w:space="0" w:color="auto"/>
        <w:bottom w:val="none" w:sz="0" w:space="0" w:color="auto"/>
        <w:right w:val="none" w:sz="0" w:space="0" w:color="auto"/>
      </w:divBdr>
    </w:div>
    <w:div w:id="2014796770">
      <w:bodyDiv w:val="1"/>
      <w:marLeft w:val="0"/>
      <w:marRight w:val="0"/>
      <w:marTop w:val="0"/>
      <w:marBottom w:val="0"/>
      <w:divBdr>
        <w:top w:val="none" w:sz="0" w:space="0" w:color="auto"/>
        <w:left w:val="none" w:sz="0" w:space="0" w:color="auto"/>
        <w:bottom w:val="none" w:sz="0" w:space="0" w:color="auto"/>
        <w:right w:val="none" w:sz="0" w:space="0" w:color="auto"/>
      </w:divBdr>
    </w:div>
    <w:div w:id="2032215826">
      <w:bodyDiv w:val="1"/>
      <w:marLeft w:val="0"/>
      <w:marRight w:val="0"/>
      <w:marTop w:val="0"/>
      <w:marBottom w:val="0"/>
      <w:divBdr>
        <w:top w:val="none" w:sz="0" w:space="0" w:color="auto"/>
        <w:left w:val="none" w:sz="0" w:space="0" w:color="auto"/>
        <w:bottom w:val="none" w:sz="0" w:space="0" w:color="auto"/>
        <w:right w:val="none" w:sz="0" w:space="0" w:color="auto"/>
      </w:divBdr>
    </w:div>
    <w:div w:id="2048067629">
      <w:bodyDiv w:val="1"/>
      <w:marLeft w:val="0"/>
      <w:marRight w:val="0"/>
      <w:marTop w:val="0"/>
      <w:marBottom w:val="0"/>
      <w:divBdr>
        <w:top w:val="none" w:sz="0" w:space="0" w:color="auto"/>
        <w:left w:val="none" w:sz="0" w:space="0" w:color="auto"/>
        <w:bottom w:val="none" w:sz="0" w:space="0" w:color="auto"/>
        <w:right w:val="none" w:sz="0" w:space="0" w:color="auto"/>
      </w:divBdr>
    </w:div>
    <w:div w:id="2088188595">
      <w:bodyDiv w:val="1"/>
      <w:marLeft w:val="0"/>
      <w:marRight w:val="0"/>
      <w:marTop w:val="0"/>
      <w:marBottom w:val="0"/>
      <w:divBdr>
        <w:top w:val="none" w:sz="0" w:space="0" w:color="auto"/>
        <w:left w:val="none" w:sz="0" w:space="0" w:color="auto"/>
        <w:bottom w:val="none" w:sz="0" w:space="0" w:color="auto"/>
        <w:right w:val="none" w:sz="0" w:space="0" w:color="auto"/>
      </w:divBdr>
    </w:div>
    <w:div w:id="2121102216">
      <w:bodyDiv w:val="1"/>
      <w:marLeft w:val="0"/>
      <w:marRight w:val="0"/>
      <w:marTop w:val="0"/>
      <w:marBottom w:val="0"/>
      <w:divBdr>
        <w:top w:val="none" w:sz="0" w:space="0" w:color="auto"/>
        <w:left w:val="none" w:sz="0" w:space="0" w:color="auto"/>
        <w:bottom w:val="none" w:sz="0" w:space="0" w:color="auto"/>
        <w:right w:val="none" w:sz="0" w:space="0" w:color="auto"/>
      </w:divBdr>
    </w:div>
    <w:div w:id="212179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mailto:iainm@cooperenergy.com" TargetMode="External"/><Relationship Id="rId26" Type="http://schemas.openxmlformats.org/officeDocument/2006/relationships/image" Target="media/image10.png"/><Relationship Id="rId39" Type="http://schemas.openxmlformats.org/officeDocument/2006/relationships/hyperlink" Target="http://www.iwdg.ie/downloads/AcousticSurveys.pdf" TargetMode="External"/><Relationship Id="rId21" Type="http://schemas.openxmlformats.org/officeDocument/2006/relationships/header" Target="header7.xml"/><Relationship Id="rId34" Type="http://schemas.openxmlformats.org/officeDocument/2006/relationships/hyperlink" Target="http://www.birdlife.org/" TargetMode="External"/><Relationship Id="rId42" Type="http://schemas.openxmlformats.org/officeDocument/2006/relationships/hyperlink" Target="http://www.environment.gov.au/cgi-bin/sprat/public/publicspecies.pl?taxon_id=855" TargetMode="External"/><Relationship Id="rId47" Type="http://schemas.openxmlformats.org/officeDocument/2006/relationships/hyperlink" Target="http://www.environment.gov.au/cgi-bin/sprat/public/publicspecies.pl?taxon_id=25545" TargetMode="External"/><Relationship Id="rId50" Type="http://schemas.openxmlformats.org/officeDocument/2006/relationships/hyperlink" Target="http://www.environment.gov.au/cgi-bin/sprat/public/publicspecies.pl?taxon_id=952" TargetMode="External"/><Relationship Id="rId55" Type="http://schemas.openxmlformats.org/officeDocument/2006/relationships/hyperlink" Target="http://www.nzbirdsonline.org.nz/" TargetMode="External"/><Relationship Id="rId63" Type="http://schemas.openxmlformats.org/officeDocument/2006/relationships/hyperlink" Target="https://www.tourism.vic.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5.png"/><Relationship Id="rId29" Type="http://schemas.openxmlformats.org/officeDocument/2006/relationships/footer" Target="footer3.xml"/><Relationship Id="rId41" Type="http://schemas.openxmlformats.org/officeDocument/2006/relationships/hyperlink" Target="http://www.environment.gov.au/biodiversity/threatened/nominations/ineligible-ktp/introduction-marine-pests-via-shipping" TargetMode="External"/><Relationship Id="rId54" Type="http://schemas.openxmlformats.org/officeDocument/2006/relationships/hyperlink" Target="http://www.fao.org/fishery/species/2494/en" TargetMode="External"/><Relationship Id="rId62" Type="http://schemas.openxmlformats.org/officeDocument/2006/relationships/hyperlink" Target="http://www.sms.si.edu/irlspec/IntroBryozo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www.birdlife.org.au/bird-profile/red-capped-plover" TargetMode="External"/><Relationship Id="rId37" Type="http://schemas.openxmlformats.org/officeDocument/2006/relationships/hyperlink" Target="http://www.marinepests.gov.au/Pages/marinepest-map.aspx" TargetMode="External"/><Relationship Id="rId40" Type="http://schemas.openxmlformats.org/officeDocument/2006/relationships/hyperlink" Target="https://www.environment.gov.au/system/files/resources/cab3140e-5adb-479f-9af4-a7c605d762dc/files/national-inventory-report-2014-revised-vol-1.pdf" TargetMode="External"/><Relationship Id="rId45" Type="http://schemas.openxmlformats.org/officeDocument/2006/relationships/hyperlink" Target="http://www.environment.gov.au/cgi-bin/sprat/public/publicspecies.pl?taxon_id=895" TargetMode="External"/><Relationship Id="rId53" Type="http://schemas.openxmlformats.org/officeDocument/2006/relationships/hyperlink" Target="http://www.fishesofaustralia.net.au/home/family/34" TargetMode="External"/><Relationship Id="rId58" Type="http://schemas.openxmlformats.org/officeDocument/2006/relationships/hyperlink" Target="http://www.gulfspillrestoration.noaa.gov"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eader" Target="header8.xml"/><Relationship Id="rId36" Type="http://schemas.openxmlformats.org/officeDocument/2006/relationships/hyperlink" Target="http://credbc.ca/tourism-industry-impacts-the-deepwater-horizon-spill/" TargetMode="External"/><Relationship Id="rId49" Type="http://schemas.openxmlformats.org/officeDocument/2006/relationships/hyperlink" Target="http://www.environment.gov.au/cgi-bin/sprat/public/publicspecies.pl?taxon_id=872" TargetMode="External"/><Relationship Id="rId57" Type="http://schemas.openxmlformats.org/officeDocument/2006/relationships/hyperlink" Target="http://response.restoration.noaa.gov/adios" TargetMode="External"/><Relationship Id="rId61" Type="http://schemas.openxmlformats.org/officeDocument/2006/relationships/hyperlink" Target="http://siv.com.au/victorian-seafood/securing-local-jobs/" TargetMode="External"/><Relationship Id="rId10" Type="http://schemas.openxmlformats.org/officeDocument/2006/relationships/header" Target="header3.xml"/><Relationship Id="rId19" Type="http://schemas.openxmlformats.org/officeDocument/2006/relationships/image" Target="media/image4.png"/><Relationship Id="rId31" Type="http://schemas.openxmlformats.org/officeDocument/2006/relationships/hyperlink" Target="https://www.amsa.gov.au/environment/maritime-environmental-emergencies/national-plan/General-Information/oiled-wildlife/rescuing-wildlife/index.asp" TargetMode="External"/><Relationship Id="rId44" Type="http://schemas.openxmlformats.org/officeDocument/2006/relationships/hyperlink" Target="http://www.environment.gov.au/cgi-bin/sprat/public/publicspecies.pl?taxon_id=879" TargetMode="External"/><Relationship Id="rId52" Type="http://schemas.openxmlformats.org/officeDocument/2006/relationships/hyperlink" Target="http://www.earthlife.net/inverts/bryozoa.html" TargetMode="External"/><Relationship Id="rId60" Type="http://schemas.openxmlformats.org/officeDocument/2006/relationships/hyperlink" Target="http://primage.tau.ac.il/libraries/theses/lifemed/free/2173881.pd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www.agriculture.gov.au/abares/publications/display?url=http://143.188.17.20/anrdl/DAFFService/display.php?fid=pb_fsr16d9abm_20160930.xml" TargetMode="External"/><Relationship Id="rId35" Type="http://schemas.openxmlformats.org/officeDocument/2006/relationships/hyperlink" Target="http://www.bom.gov.au/climate/averages/tables/cw_090015.shtml" TargetMode="External"/><Relationship Id="rId43" Type="http://schemas.openxmlformats.org/officeDocument/2006/relationships/hyperlink" Target="http://www.environment.gov.au/cgi-bin/sprat/public/publicspecies.pl?taxon_id=879" TargetMode="External"/><Relationship Id="rId48" Type="http://schemas.openxmlformats.org/officeDocument/2006/relationships/hyperlink" Target="http://www.environment.gov.au/cgi-bin/sprat/public/publicspecies.pl?taxon_id=59569" TargetMode="External"/><Relationship Id="rId56" Type="http://schemas.openxmlformats.org/officeDocument/2006/relationships/hyperlink" Target="http://www.gov.scot/Topics/marine/ElginEAR" TargetMode="External"/><Relationship Id="rId64" Type="http://schemas.openxmlformats.org/officeDocument/2006/relationships/hyperlink" Target="http://animaldiversity.org/accounts/Hydrozoa/" TargetMode="External"/><Relationship Id="rId8" Type="http://schemas.openxmlformats.org/officeDocument/2006/relationships/header" Target="header1.xml"/><Relationship Id="rId51" Type="http://schemas.openxmlformats.org/officeDocument/2006/relationships/hyperlink" Target="https://www.environment.gov.au/system/files/resources/1b962183-8a66-4874-9ddd-7e9654e1c7dd/files/pacific-seastar.pdf" TargetMode="External"/><Relationship Id="rId3" Type="http://schemas.openxmlformats.org/officeDocument/2006/relationships/styles" Target="styles.xml"/><Relationship Id="rId12" Type="http://schemas.openxmlformats.org/officeDocument/2006/relationships/hyperlink" Target="mailto:iainm@cooperenergy.com.au" TargetMode="External"/><Relationship Id="rId17" Type="http://schemas.openxmlformats.org/officeDocument/2006/relationships/hyperlink" Target="https://www.nopsema.gov.au/assets/epdocuments/A565933.pdf" TargetMode="External"/><Relationship Id="rId25" Type="http://schemas.openxmlformats.org/officeDocument/2006/relationships/image" Target="media/image9.png"/><Relationship Id="rId33" Type="http://schemas.openxmlformats.org/officeDocument/2006/relationships/hyperlink" Target="http://birdlife.org.au/bird-profile/Silver-Gull" TargetMode="External"/><Relationship Id="rId38" Type="http://schemas.openxmlformats.org/officeDocument/2006/relationships/hyperlink" Target="http://www.energyandresources.vic.gov.au/earth-resources/victorias-earth-resources/petroleum/production-statistics" TargetMode="External"/><Relationship Id="rId46" Type="http://schemas.openxmlformats.org/officeDocument/2006/relationships/hyperlink" Target="http://www.environment.gov.au/cgi-bin/sprat/public/publicspecies.pl?taxon_id=59311" TargetMode="External"/><Relationship Id="rId59" Type="http://schemas.openxmlformats.org/officeDocument/2006/relationships/hyperlink" Target="http://www.parks.tas.gov.au/indeX.aspX?base=17244"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D035E-FB43-4666-9666-5C3BD1759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140</Pages>
  <Words>59795</Words>
  <Characters>340834</Characters>
  <Application>Microsoft Office Word</Application>
  <DocSecurity>0</DocSecurity>
  <Lines>2840</Lines>
  <Paragraphs>799</Paragraphs>
  <ScaleCrop>false</ScaleCrop>
  <HeadingPairs>
    <vt:vector size="2" baseType="variant">
      <vt:variant>
        <vt:lpstr>Title</vt:lpstr>
      </vt:variant>
      <vt:variant>
        <vt:i4>1</vt:i4>
      </vt:variant>
    </vt:vector>
  </HeadingPairs>
  <TitlesOfParts>
    <vt:vector size="1" baseType="lpstr">
      <vt:lpstr>QAS Manual</vt:lpstr>
    </vt:vector>
  </TitlesOfParts>
  <Company>add isrm</Company>
  <LinksUpToDate>false</LinksUpToDate>
  <CharactersWithSpaces>399830</CharactersWithSpaces>
  <SharedDoc>false</SharedDoc>
  <HyperlinkBase/>
  <HLinks>
    <vt:vector size="192" baseType="variant">
      <vt:variant>
        <vt:i4>1245191</vt:i4>
      </vt:variant>
      <vt:variant>
        <vt:i4>193</vt:i4>
      </vt:variant>
      <vt:variant>
        <vt:i4>0</vt:i4>
      </vt:variant>
      <vt:variant>
        <vt:i4>5</vt:i4>
      </vt:variant>
      <vt:variant>
        <vt:lpwstr/>
      </vt:variant>
      <vt:variant>
        <vt:lpwstr>_Toc465410166</vt:lpwstr>
      </vt:variant>
      <vt:variant>
        <vt:i4>1245188</vt:i4>
      </vt:variant>
      <vt:variant>
        <vt:i4>187</vt:i4>
      </vt:variant>
      <vt:variant>
        <vt:i4>0</vt:i4>
      </vt:variant>
      <vt:variant>
        <vt:i4>5</vt:i4>
      </vt:variant>
      <vt:variant>
        <vt:lpwstr/>
      </vt:variant>
      <vt:variant>
        <vt:lpwstr>_Toc465410165</vt:lpwstr>
      </vt:variant>
      <vt:variant>
        <vt:i4>1179661</vt:i4>
      </vt:variant>
      <vt:variant>
        <vt:i4>178</vt:i4>
      </vt:variant>
      <vt:variant>
        <vt:i4>0</vt:i4>
      </vt:variant>
      <vt:variant>
        <vt:i4>5</vt:i4>
      </vt:variant>
      <vt:variant>
        <vt:lpwstr/>
      </vt:variant>
      <vt:variant>
        <vt:lpwstr>_Toc469580860</vt:lpwstr>
      </vt:variant>
      <vt:variant>
        <vt:i4>1114116</vt:i4>
      </vt:variant>
      <vt:variant>
        <vt:i4>172</vt:i4>
      </vt:variant>
      <vt:variant>
        <vt:i4>0</vt:i4>
      </vt:variant>
      <vt:variant>
        <vt:i4>5</vt:i4>
      </vt:variant>
      <vt:variant>
        <vt:lpwstr/>
      </vt:variant>
      <vt:variant>
        <vt:lpwstr>_Toc469580859</vt:lpwstr>
      </vt:variant>
      <vt:variant>
        <vt:i4>1114117</vt:i4>
      </vt:variant>
      <vt:variant>
        <vt:i4>166</vt:i4>
      </vt:variant>
      <vt:variant>
        <vt:i4>0</vt:i4>
      </vt:variant>
      <vt:variant>
        <vt:i4>5</vt:i4>
      </vt:variant>
      <vt:variant>
        <vt:lpwstr/>
      </vt:variant>
      <vt:variant>
        <vt:lpwstr>_Toc469580858</vt:lpwstr>
      </vt:variant>
      <vt:variant>
        <vt:i4>1114122</vt:i4>
      </vt:variant>
      <vt:variant>
        <vt:i4>160</vt:i4>
      </vt:variant>
      <vt:variant>
        <vt:i4>0</vt:i4>
      </vt:variant>
      <vt:variant>
        <vt:i4>5</vt:i4>
      </vt:variant>
      <vt:variant>
        <vt:lpwstr/>
      </vt:variant>
      <vt:variant>
        <vt:lpwstr>_Toc469580857</vt:lpwstr>
      </vt:variant>
      <vt:variant>
        <vt:i4>1114123</vt:i4>
      </vt:variant>
      <vt:variant>
        <vt:i4>154</vt:i4>
      </vt:variant>
      <vt:variant>
        <vt:i4>0</vt:i4>
      </vt:variant>
      <vt:variant>
        <vt:i4>5</vt:i4>
      </vt:variant>
      <vt:variant>
        <vt:lpwstr/>
      </vt:variant>
      <vt:variant>
        <vt:lpwstr>_Toc469580856</vt:lpwstr>
      </vt:variant>
      <vt:variant>
        <vt:i4>1114120</vt:i4>
      </vt:variant>
      <vt:variant>
        <vt:i4>148</vt:i4>
      </vt:variant>
      <vt:variant>
        <vt:i4>0</vt:i4>
      </vt:variant>
      <vt:variant>
        <vt:i4>5</vt:i4>
      </vt:variant>
      <vt:variant>
        <vt:lpwstr/>
      </vt:variant>
      <vt:variant>
        <vt:lpwstr>_Toc469580855</vt:lpwstr>
      </vt:variant>
      <vt:variant>
        <vt:i4>1114121</vt:i4>
      </vt:variant>
      <vt:variant>
        <vt:i4>142</vt:i4>
      </vt:variant>
      <vt:variant>
        <vt:i4>0</vt:i4>
      </vt:variant>
      <vt:variant>
        <vt:i4>5</vt:i4>
      </vt:variant>
      <vt:variant>
        <vt:lpwstr/>
      </vt:variant>
      <vt:variant>
        <vt:lpwstr>_Toc469580854</vt:lpwstr>
      </vt:variant>
      <vt:variant>
        <vt:i4>1114126</vt:i4>
      </vt:variant>
      <vt:variant>
        <vt:i4>136</vt:i4>
      </vt:variant>
      <vt:variant>
        <vt:i4>0</vt:i4>
      </vt:variant>
      <vt:variant>
        <vt:i4>5</vt:i4>
      </vt:variant>
      <vt:variant>
        <vt:lpwstr/>
      </vt:variant>
      <vt:variant>
        <vt:lpwstr>_Toc469580853</vt:lpwstr>
      </vt:variant>
      <vt:variant>
        <vt:i4>1114127</vt:i4>
      </vt:variant>
      <vt:variant>
        <vt:i4>130</vt:i4>
      </vt:variant>
      <vt:variant>
        <vt:i4>0</vt:i4>
      </vt:variant>
      <vt:variant>
        <vt:i4>5</vt:i4>
      </vt:variant>
      <vt:variant>
        <vt:lpwstr/>
      </vt:variant>
      <vt:variant>
        <vt:lpwstr>_Toc469580852</vt:lpwstr>
      </vt:variant>
      <vt:variant>
        <vt:i4>1114124</vt:i4>
      </vt:variant>
      <vt:variant>
        <vt:i4>124</vt:i4>
      </vt:variant>
      <vt:variant>
        <vt:i4>0</vt:i4>
      </vt:variant>
      <vt:variant>
        <vt:i4>5</vt:i4>
      </vt:variant>
      <vt:variant>
        <vt:lpwstr/>
      </vt:variant>
      <vt:variant>
        <vt:lpwstr>_Toc469580851</vt:lpwstr>
      </vt:variant>
      <vt:variant>
        <vt:i4>1114125</vt:i4>
      </vt:variant>
      <vt:variant>
        <vt:i4>118</vt:i4>
      </vt:variant>
      <vt:variant>
        <vt:i4>0</vt:i4>
      </vt:variant>
      <vt:variant>
        <vt:i4>5</vt:i4>
      </vt:variant>
      <vt:variant>
        <vt:lpwstr/>
      </vt:variant>
      <vt:variant>
        <vt:lpwstr>_Toc469580850</vt:lpwstr>
      </vt:variant>
      <vt:variant>
        <vt:i4>1048580</vt:i4>
      </vt:variant>
      <vt:variant>
        <vt:i4>112</vt:i4>
      </vt:variant>
      <vt:variant>
        <vt:i4>0</vt:i4>
      </vt:variant>
      <vt:variant>
        <vt:i4>5</vt:i4>
      </vt:variant>
      <vt:variant>
        <vt:lpwstr/>
      </vt:variant>
      <vt:variant>
        <vt:lpwstr>_Toc469580849</vt:lpwstr>
      </vt:variant>
      <vt:variant>
        <vt:i4>1048581</vt:i4>
      </vt:variant>
      <vt:variant>
        <vt:i4>106</vt:i4>
      </vt:variant>
      <vt:variant>
        <vt:i4>0</vt:i4>
      </vt:variant>
      <vt:variant>
        <vt:i4>5</vt:i4>
      </vt:variant>
      <vt:variant>
        <vt:lpwstr/>
      </vt:variant>
      <vt:variant>
        <vt:lpwstr>_Toc469580848</vt:lpwstr>
      </vt:variant>
      <vt:variant>
        <vt:i4>1048586</vt:i4>
      </vt:variant>
      <vt:variant>
        <vt:i4>100</vt:i4>
      </vt:variant>
      <vt:variant>
        <vt:i4>0</vt:i4>
      </vt:variant>
      <vt:variant>
        <vt:i4>5</vt:i4>
      </vt:variant>
      <vt:variant>
        <vt:lpwstr/>
      </vt:variant>
      <vt:variant>
        <vt:lpwstr>_Toc469580847</vt:lpwstr>
      </vt:variant>
      <vt:variant>
        <vt:i4>1048587</vt:i4>
      </vt:variant>
      <vt:variant>
        <vt:i4>94</vt:i4>
      </vt:variant>
      <vt:variant>
        <vt:i4>0</vt:i4>
      </vt:variant>
      <vt:variant>
        <vt:i4>5</vt:i4>
      </vt:variant>
      <vt:variant>
        <vt:lpwstr/>
      </vt:variant>
      <vt:variant>
        <vt:lpwstr>_Toc469580846</vt:lpwstr>
      </vt:variant>
      <vt:variant>
        <vt:i4>1048584</vt:i4>
      </vt:variant>
      <vt:variant>
        <vt:i4>88</vt:i4>
      </vt:variant>
      <vt:variant>
        <vt:i4>0</vt:i4>
      </vt:variant>
      <vt:variant>
        <vt:i4>5</vt:i4>
      </vt:variant>
      <vt:variant>
        <vt:lpwstr/>
      </vt:variant>
      <vt:variant>
        <vt:lpwstr>_Toc469580845</vt:lpwstr>
      </vt:variant>
      <vt:variant>
        <vt:i4>1048585</vt:i4>
      </vt:variant>
      <vt:variant>
        <vt:i4>82</vt:i4>
      </vt:variant>
      <vt:variant>
        <vt:i4>0</vt:i4>
      </vt:variant>
      <vt:variant>
        <vt:i4>5</vt:i4>
      </vt:variant>
      <vt:variant>
        <vt:lpwstr/>
      </vt:variant>
      <vt:variant>
        <vt:lpwstr>_Toc469580844</vt:lpwstr>
      </vt:variant>
      <vt:variant>
        <vt:i4>1048590</vt:i4>
      </vt:variant>
      <vt:variant>
        <vt:i4>76</vt:i4>
      </vt:variant>
      <vt:variant>
        <vt:i4>0</vt:i4>
      </vt:variant>
      <vt:variant>
        <vt:i4>5</vt:i4>
      </vt:variant>
      <vt:variant>
        <vt:lpwstr/>
      </vt:variant>
      <vt:variant>
        <vt:lpwstr>_Toc469580843</vt:lpwstr>
      </vt:variant>
      <vt:variant>
        <vt:i4>1048591</vt:i4>
      </vt:variant>
      <vt:variant>
        <vt:i4>70</vt:i4>
      </vt:variant>
      <vt:variant>
        <vt:i4>0</vt:i4>
      </vt:variant>
      <vt:variant>
        <vt:i4>5</vt:i4>
      </vt:variant>
      <vt:variant>
        <vt:lpwstr/>
      </vt:variant>
      <vt:variant>
        <vt:lpwstr>_Toc469580842</vt:lpwstr>
      </vt:variant>
      <vt:variant>
        <vt:i4>1048588</vt:i4>
      </vt:variant>
      <vt:variant>
        <vt:i4>64</vt:i4>
      </vt:variant>
      <vt:variant>
        <vt:i4>0</vt:i4>
      </vt:variant>
      <vt:variant>
        <vt:i4>5</vt:i4>
      </vt:variant>
      <vt:variant>
        <vt:lpwstr/>
      </vt:variant>
      <vt:variant>
        <vt:lpwstr>_Toc469580841</vt:lpwstr>
      </vt:variant>
      <vt:variant>
        <vt:i4>1048589</vt:i4>
      </vt:variant>
      <vt:variant>
        <vt:i4>58</vt:i4>
      </vt:variant>
      <vt:variant>
        <vt:i4>0</vt:i4>
      </vt:variant>
      <vt:variant>
        <vt:i4>5</vt:i4>
      </vt:variant>
      <vt:variant>
        <vt:lpwstr/>
      </vt:variant>
      <vt:variant>
        <vt:lpwstr>_Toc469580840</vt:lpwstr>
      </vt:variant>
      <vt:variant>
        <vt:i4>1507332</vt:i4>
      </vt:variant>
      <vt:variant>
        <vt:i4>52</vt:i4>
      </vt:variant>
      <vt:variant>
        <vt:i4>0</vt:i4>
      </vt:variant>
      <vt:variant>
        <vt:i4>5</vt:i4>
      </vt:variant>
      <vt:variant>
        <vt:lpwstr/>
      </vt:variant>
      <vt:variant>
        <vt:lpwstr>_Toc469580839</vt:lpwstr>
      </vt:variant>
      <vt:variant>
        <vt:i4>1507333</vt:i4>
      </vt:variant>
      <vt:variant>
        <vt:i4>46</vt:i4>
      </vt:variant>
      <vt:variant>
        <vt:i4>0</vt:i4>
      </vt:variant>
      <vt:variant>
        <vt:i4>5</vt:i4>
      </vt:variant>
      <vt:variant>
        <vt:lpwstr/>
      </vt:variant>
      <vt:variant>
        <vt:lpwstr>_Toc469580838</vt:lpwstr>
      </vt:variant>
      <vt:variant>
        <vt:i4>1507338</vt:i4>
      </vt:variant>
      <vt:variant>
        <vt:i4>40</vt:i4>
      </vt:variant>
      <vt:variant>
        <vt:i4>0</vt:i4>
      </vt:variant>
      <vt:variant>
        <vt:i4>5</vt:i4>
      </vt:variant>
      <vt:variant>
        <vt:lpwstr/>
      </vt:variant>
      <vt:variant>
        <vt:lpwstr>_Toc469580837</vt:lpwstr>
      </vt:variant>
      <vt:variant>
        <vt:i4>1507339</vt:i4>
      </vt:variant>
      <vt:variant>
        <vt:i4>34</vt:i4>
      </vt:variant>
      <vt:variant>
        <vt:i4>0</vt:i4>
      </vt:variant>
      <vt:variant>
        <vt:i4>5</vt:i4>
      </vt:variant>
      <vt:variant>
        <vt:lpwstr/>
      </vt:variant>
      <vt:variant>
        <vt:lpwstr>_Toc469580836</vt:lpwstr>
      </vt:variant>
      <vt:variant>
        <vt:i4>1507336</vt:i4>
      </vt:variant>
      <vt:variant>
        <vt:i4>28</vt:i4>
      </vt:variant>
      <vt:variant>
        <vt:i4>0</vt:i4>
      </vt:variant>
      <vt:variant>
        <vt:i4>5</vt:i4>
      </vt:variant>
      <vt:variant>
        <vt:lpwstr/>
      </vt:variant>
      <vt:variant>
        <vt:lpwstr>_Toc469580835</vt:lpwstr>
      </vt:variant>
      <vt:variant>
        <vt:i4>1507337</vt:i4>
      </vt:variant>
      <vt:variant>
        <vt:i4>22</vt:i4>
      </vt:variant>
      <vt:variant>
        <vt:i4>0</vt:i4>
      </vt:variant>
      <vt:variant>
        <vt:i4>5</vt:i4>
      </vt:variant>
      <vt:variant>
        <vt:lpwstr/>
      </vt:variant>
      <vt:variant>
        <vt:lpwstr>_Toc469580834</vt:lpwstr>
      </vt:variant>
      <vt:variant>
        <vt:i4>1507342</vt:i4>
      </vt:variant>
      <vt:variant>
        <vt:i4>16</vt:i4>
      </vt:variant>
      <vt:variant>
        <vt:i4>0</vt:i4>
      </vt:variant>
      <vt:variant>
        <vt:i4>5</vt:i4>
      </vt:variant>
      <vt:variant>
        <vt:lpwstr/>
      </vt:variant>
      <vt:variant>
        <vt:lpwstr>_Toc469580833</vt:lpwstr>
      </vt:variant>
      <vt:variant>
        <vt:i4>1507343</vt:i4>
      </vt:variant>
      <vt:variant>
        <vt:i4>10</vt:i4>
      </vt:variant>
      <vt:variant>
        <vt:i4>0</vt:i4>
      </vt:variant>
      <vt:variant>
        <vt:i4>5</vt:i4>
      </vt:variant>
      <vt:variant>
        <vt:lpwstr/>
      </vt:variant>
      <vt:variant>
        <vt:lpwstr>_Toc469580832</vt:lpwstr>
      </vt:variant>
      <vt:variant>
        <vt:i4>1507340</vt:i4>
      </vt:variant>
      <vt:variant>
        <vt:i4>4</vt:i4>
      </vt:variant>
      <vt:variant>
        <vt:i4>0</vt:i4>
      </vt:variant>
      <vt:variant>
        <vt:i4>5</vt:i4>
      </vt:variant>
      <vt:variant>
        <vt:lpwstr/>
      </vt:variant>
      <vt:variant>
        <vt:lpwstr>_Toc469580831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QAS Manual</dc:title>
  <dc:creator>Jacinta Hinks</dc:creator>
  <cp:lastModifiedBy>Jacinta Hinks</cp:lastModifiedBy>
  <cp:revision>9</cp:revision>
  <cp:lastPrinted>2018-04-26T07:23:00Z</cp:lastPrinted>
  <dcterms:created xsi:type="dcterms:W3CDTF">2018-04-26T07:06:00Z</dcterms:created>
  <dcterms:modified xsi:type="dcterms:W3CDTF">2018-04-30T05:10:00Z</dcterms:modified>
</cp:coreProperties>
</file>