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2C706" w14:textId="778A41CC" w:rsidR="00B011AC" w:rsidRDefault="00B011AC" w:rsidP="00F651F3">
      <w:pPr>
        <w:pStyle w:val="authorisedby"/>
        <w:rPr>
          <w:rFonts w:eastAsia="Times New Roman"/>
          <w:b/>
          <w:caps/>
          <w:color w:val="auto"/>
        </w:rPr>
      </w:pPr>
      <w:bookmarkStart w:id="0" w:name="_GoBack"/>
      <w:bookmarkEnd w:id="0"/>
      <w:r w:rsidRPr="00B153C2">
        <w:rPr>
          <w:noProof/>
          <w:lang w:eastAsia="en-AU"/>
        </w:rPr>
        <w:drawing>
          <wp:anchor distT="0" distB="0" distL="114300" distR="114300" simplePos="0" relativeHeight="251716096" behindDoc="0" locked="0" layoutInCell="1" allowOverlap="1" wp14:anchorId="1569D401" wp14:editId="7780CB55">
            <wp:simplePos x="0" y="0"/>
            <wp:positionH relativeFrom="page">
              <wp:posOffset>9525</wp:posOffset>
            </wp:positionH>
            <wp:positionV relativeFrom="page">
              <wp:posOffset>-285750</wp:posOffset>
            </wp:positionV>
            <wp:extent cx="7514590" cy="10420350"/>
            <wp:effectExtent l="0" t="0" r="0" b="0"/>
            <wp:wrapNone/>
            <wp:docPr id="5" name="Picture 5" descr="Department of Economic Development, Jobs, Transport and Resources logo on front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Templates/Word%20Elements/Report/9144%20DEDJTR%20Corporate%20Word%20Report%20Template_Working%20fi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4590" cy="1042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333">
        <w:rPr>
          <w:noProof/>
          <w:lang w:eastAsia="en-AU"/>
        </w:rPr>
        <mc:AlternateContent>
          <mc:Choice Requires="wps">
            <w:drawing>
              <wp:anchor distT="0" distB="0" distL="114300" distR="114300" simplePos="0" relativeHeight="251739648" behindDoc="0" locked="0" layoutInCell="1" allowOverlap="1" wp14:anchorId="4B472011" wp14:editId="72BE8A44">
                <wp:simplePos x="0" y="0"/>
                <wp:positionH relativeFrom="column">
                  <wp:posOffset>-4314825</wp:posOffset>
                </wp:positionH>
                <wp:positionV relativeFrom="paragraph">
                  <wp:posOffset>-7939405</wp:posOffset>
                </wp:positionV>
                <wp:extent cx="6372225" cy="149796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6372225" cy="1497965"/>
                        </a:xfrm>
                        <a:prstGeom prst="rect">
                          <a:avLst/>
                        </a:prstGeom>
                        <a:noFill/>
                        <a:ln w="6350">
                          <a:noFill/>
                        </a:ln>
                        <a:effectLst/>
                      </wps:spPr>
                      <wps:txbx>
                        <w:txbxContent>
                          <w:p w14:paraId="4A6A9EF2" w14:textId="77777777" w:rsidR="00423DDB" w:rsidRPr="001C25A7" w:rsidRDefault="00423DDB" w:rsidP="00090333">
                            <w:pPr>
                              <w:pStyle w:val="covertitle"/>
                              <w:rPr>
                                <w:b w:val="0"/>
                                <w:sz w:val="48"/>
                                <w:szCs w:val="48"/>
                              </w:rPr>
                            </w:pPr>
                            <w:r w:rsidRPr="001C25A7">
                              <w:rPr>
                                <w:b w:val="0"/>
                                <w:sz w:val="48"/>
                                <w:szCs w:val="48"/>
                              </w:rPr>
                              <w:t xml:space="preserve">2018 Victorian Offshore </w:t>
                            </w:r>
                          </w:p>
                          <w:p w14:paraId="77607B82" w14:textId="77777777" w:rsidR="00423DDB" w:rsidRPr="001C25A7" w:rsidRDefault="00423DDB" w:rsidP="00090333">
                            <w:pPr>
                              <w:pStyle w:val="covertitle"/>
                              <w:rPr>
                                <w:b w:val="0"/>
                                <w:sz w:val="48"/>
                                <w:szCs w:val="48"/>
                              </w:rPr>
                            </w:pPr>
                            <w:r w:rsidRPr="001C25A7">
                              <w:rPr>
                                <w:b w:val="0"/>
                                <w:sz w:val="48"/>
                                <w:szCs w:val="48"/>
                              </w:rPr>
                              <w:t>Petroleum Acreage Release</w:t>
                            </w:r>
                          </w:p>
                          <w:p w14:paraId="4B6F2303" w14:textId="77777777" w:rsidR="00423DDB" w:rsidRPr="001C25A7" w:rsidRDefault="00423DDB" w:rsidP="00090333">
                            <w:pPr>
                              <w:pStyle w:val="covertitle"/>
                              <w:spacing w:before="360"/>
                              <w:rPr>
                                <w:b w:val="0"/>
                                <w:sz w:val="40"/>
                                <w:szCs w:val="40"/>
                              </w:rPr>
                            </w:pPr>
                            <w:r w:rsidRPr="001C25A7">
                              <w:rPr>
                                <w:b w:val="0"/>
                                <w:sz w:val="40"/>
                                <w:szCs w:val="40"/>
                              </w:rPr>
                              <w:t>Otway Basin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72011" id="_x0000_t202" coordsize="21600,21600" o:spt="202" path="m,l,21600r21600,l21600,xe">
                <v:stroke joinstyle="miter"/>
                <v:path gradientshapeok="t" o:connecttype="rect"/>
              </v:shapetype>
              <v:shape id="Text Box 9" o:spid="_x0000_s1026" type="#_x0000_t202" style="position:absolute;margin-left:-339.75pt;margin-top:-625.15pt;width:501.75pt;height:117.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" filled="f" stroked="f" strokeweight=".5pt">
                <v:textbox>
                  <w:txbxContent>
                    <w:p w14:paraId="4A6A9EF2" w14:textId="77777777" w:rsidR="00423DDB" w:rsidRPr="001C25A7" w:rsidRDefault="00423DDB" w:rsidP="00090333">
                      <w:pPr>
                        <w:pStyle w:val="covertitle"/>
                        <w:rPr>
                          <w:b w:val="0"/>
                          <w:sz w:val="48"/>
                          <w:szCs w:val="48"/>
                        </w:rPr>
                      </w:pPr>
                      <w:r w:rsidRPr="001C25A7">
                        <w:rPr>
                          <w:b w:val="0"/>
                          <w:sz w:val="48"/>
                          <w:szCs w:val="48"/>
                        </w:rPr>
                        <w:t xml:space="preserve">2018 Victorian Offshore </w:t>
                      </w:r>
                    </w:p>
                    <w:p w14:paraId="77607B82" w14:textId="77777777" w:rsidR="00423DDB" w:rsidRPr="001C25A7" w:rsidRDefault="00423DDB" w:rsidP="00090333">
                      <w:pPr>
                        <w:pStyle w:val="covertitle"/>
                        <w:rPr>
                          <w:b w:val="0"/>
                          <w:sz w:val="48"/>
                          <w:szCs w:val="48"/>
                        </w:rPr>
                      </w:pPr>
                      <w:r w:rsidRPr="001C25A7">
                        <w:rPr>
                          <w:b w:val="0"/>
                          <w:sz w:val="48"/>
                          <w:szCs w:val="48"/>
                        </w:rPr>
                        <w:t>Petroleum Acreage Release</w:t>
                      </w:r>
                    </w:p>
                    <w:p w14:paraId="4B6F2303" w14:textId="77777777" w:rsidR="00423DDB" w:rsidRPr="001C25A7" w:rsidRDefault="00423DDB" w:rsidP="00090333">
                      <w:pPr>
                        <w:pStyle w:val="covertitle"/>
                        <w:spacing w:before="360"/>
                        <w:rPr>
                          <w:b w:val="0"/>
                          <w:sz w:val="40"/>
                          <w:szCs w:val="40"/>
                        </w:rPr>
                      </w:pPr>
                      <w:r w:rsidRPr="001C25A7">
                        <w:rPr>
                          <w:b w:val="0"/>
                          <w:sz w:val="40"/>
                          <w:szCs w:val="40"/>
                        </w:rPr>
                        <w:t>Otway Basin</w:t>
                      </w:r>
                    </w:p>
                  </w:txbxContent>
                </v:textbox>
              </v:shape>
            </w:pict>
          </mc:Fallback>
        </mc:AlternateContent>
      </w:r>
      <w:r w:rsidR="006A1C7E">
        <w:rPr>
          <w:rFonts w:eastAsia="Times New Roman"/>
          <w:b/>
          <w:caps/>
          <w:color w:val="auto"/>
        </w:rPr>
        <w:t>`</w:t>
      </w:r>
    </w:p>
    <w:sdt>
      <w:sdtPr>
        <w:rPr>
          <w:rFonts w:eastAsia="Times New Roman"/>
          <w:b/>
          <w:caps/>
          <w:color w:val="auto"/>
        </w:rPr>
        <w:id w:val="1792633033"/>
        <w:docPartObj>
          <w:docPartGallery w:val="Cover Pages"/>
          <w:docPartUnique/>
        </w:docPartObj>
      </w:sdtPr>
      <w:sdtEndPr>
        <w:rPr>
          <w:b w:val="0"/>
          <w:caps w:val="0"/>
          <w:color w:val="53565A"/>
        </w:rPr>
      </w:sdtEndPr>
      <w:sdtContent>
        <w:p w14:paraId="4033C663" w14:textId="0A7A33CA" w:rsidR="004371F6" w:rsidRPr="00D76844" w:rsidRDefault="004371F6" w:rsidP="00B011AC">
          <w:pPr>
            <w:pStyle w:val="authorisedby"/>
          </w:pPr>
        </w:p>
        <w:p w14:paraId="2CAA3E04" w14:textId="539F9EA1" w:rsidR="00B011AC" w:rsidRDefault="00904A5E" w:rsidP="007944CC">
          <w:pPr>
            <w:spacing w:before="0" w:after="200"/>
            <w:rPr>
              <w:color w:val="FFFFFF"/>
              <w:sz w:val="54"/>
            </w:rPr>
          </w:pPr>
          <w:r>
            <w:rPr>
              <w:b/>
              <w:caps/>
              <w:noProof/>
              <w:color w:val="auto"/>
            </w:rPr>
            <w:drawing>
              <wp:anchor distT="0" distB="0" distL="114300" distR="114300" simplePos="0" relativeHeight="251751936" behindDoc="0" locked="0" layoutInCell="1" allowOverlap="1" wp14:anchorId="06E6BC2C" wp14:editId="6355EA26">
                <wp:simplePos x="0" y="0"/>
                <wp:positionH relativeFrom="column">
                  <wp:posOffset>371475</wp:posOffset>
                </wp:positionH>
                <wp:positionV relativeFrom="paragraph">
                  <wp:posOffset>1765935</wp:posOffset>
                </wp:positionV>
                <wp:extent cx="5731510" cy="13538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353820"/>
                        </a:xfrm>
                        <a:prstGeom prst="rect">
                          <a:avLst/>
                        </a:prstGeom>
                        <a:noFill/>
                      </pic:spPr>
                    </pic:pic>
                  </a:graphicData>
                </a:graphic>
                <wp14:sizeRelH relativeFrom="page">
                  <wp14:pctWidth>0</wp14:pctWidth>
                </wp14:sizeRelH>
                <wp14:sizeRelV relativeFrom="page">
                  <wp14:pctHeight>0</wp14:pctHeight>
                </wp14:sizeRelV>
              </wp:anchor>
            </w:drawing>
          </w:r>
          <w:r w:rsidR="00B011AC" w:rsidRPr="007000A8">
            <w:rPr>
              <w:b/>
              <w:caps/>
              <w:noProof/>
              <w:color w:val="auto"/>
            </w:rPr>
            <mc:AlternateContent>
              <mc:Choice Requires="wps">
                <w:drawing>
                  <wp:anchor distT="45720" distB="45720" distL="114300" distR="114300" simplePos="0" relativeHeight="251633152" behindDoc="0" locked="0" layoutInCell="1" allowOverlap="1" wp14:anchorId="058984BD" wp14:editId="2D95649A">
                    <wp:simplePos x="0" y="0"/>
                    <wp:positionH relativeFrom="margin">
                      <wp:posOffset>438150</wp:posOffset>
                    </wp:positionH>
                    <wp:positionV relativeFrom="margin">
                      <wp:posOffset>1247775</wp:posOffset>
                    </wp:positionV>
                    <wp:extent cx="6610350" cy="832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324850"/>
                            </a:xfrm>
                            <a:prstGeom prst="rect">
                              <a:avLst/>
                            </a:prstGeom>
                            <a:solidFill>
                              <a:srgbClr val="FFFFFF"/>
                            </a:solidFill>
                            <a:ln w="9525">
                              <a:noFill/>
                              <a:miter lim="800000"/>
                              <a:headEnd/>
                              <a:tailEnd/>
                            </a:ln>
                          </wps:spPr>
                          <wps:txbx>
                            <w:txbxContent>
                              <w:p w14:paraId="0B51BA4C" w14:textId="770A6664" w:rsidR="00423DDB" w:rsidRDefault="00423DDB">
                                <w:r>
                                  <w:rPr>
                                    <w:noProof/>
                                  </w:rPr>
                                  <w:drawing>
                                    <wp:inline distT="0" distB="0" distL="0" distR="0" wp14:anchorId="6506FD1E" wp14:editId="14248EF0">
                                      <wp:extent cx="6550764" cy="8352000"/>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20214_the-gable-Otway-unconformity.jpg"/>
                                              <pic:cNvPicPr/>
                                            </pic:nvPicPr>
                                            <pic:blipFill>
                                              <a:blip r:embed="rId10">
                                                <a:extLst>
                                                  <a:ext uri="{28A0092B-C50C-407E-A947-70E740481C1C}">
                                                    <a14:useLocalDpi xmlns:a14="http://schemas.microsoft.com/office/drawing/2010/main" val="0"/>
                                                  </a:ext>
                                                </a:extLst>
                                              </a:blip>
                                              <a:stretch>
                                                <a:fillRect/>
                                              </a:stretch>
                                            </pic:blipFill>
                                            <pic:spPr>
                                              <a:xfrm>
                                                <a:off x="0" y="0"/>
                                                <a:ext cx="6550764" cy="83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84BD" id="Text Box 2" o:spid="_x0000_s1027" type="#_x0000_t202" style="position:absolute;margin-left:34.5pt;margin-top:98.25pt;width:520.5pt;height:655.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n4IwIAACU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" stroked="f">
                    <v:textbox>
                      <w:txbxContent>
                        <w:p w14:paraId="0B51BA4C" w14:textId="770A6664" w:rsidR="00423DDB" w:rsidRDefault="00423DDB">
                          <w:r>
                            <w:rPr>
                              <w:noProof/>
                            </w:rPr>
                            <w:drawing>
                              <wp:inline distT="0" distB="0" distL="0" distR="0" wp14:anchorId="6506FD1E" wp14:editId="14248EF0">
                                <wp:extent cx="6550764" cy="8352000"/>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20214_the-gable-Otway-unconformity.jpg"/>
                                        <pic:cNvPicPr/>
                                      </pic:nvPicPr>
                                      <pic:blipFill>
                                        <a:blip r:embed="rId10">
                                          <a:extLst>
                                            <a:ext uri="{28A0092B-C50C-407E-A947-70E740481C1C}">
                                              <a14:useLocalDpi xmlns:a14="http://schemas.microsoft.com/office/drawing/2010/main" val="0"/>
                                            </a:ext>
                                          </a:extLst>
                                        </a:blip>
                                        <a:stretch>
                                          <a:fillRect/>
                                        </a:stretch>
                                      </pic:blipFill>
                                      <pic:spPr>
                                        <a:xfrm>
                                          <a:off x="0" y="0"/>
                                          <a:ext cx="6550764" cy="8352000"/>
                                        </a:xfrm>
                                        <a:prstGeom prst="rect">
                                          <a:avLst/>
                                        </a:prstGeom>
                                      </pic:spPr>
                                    </pic:pic>
                                  </a:graphicData>
                                </a:graphic>
                              </wp:inline>
                            </w:drawing>
                          </w:r>
                        </w:p>
                      </w:txbxContent>
                    </v:textbox>
                    <w10:wrap type="square" anchorx="margin" anchory="margin"/>
                  </v:shape>
                </w:pict>
              </mc:Fallback>
            </mc:AlternateContent>
          </w:r>
          <w:r w:rsidR="004371F6">
            <w:rPr>
              <w:color w:val="FFFFFF"/>
              <w:sz w:val="54"/>
            </w:rPr>
            <w:br w:type="page"/>
          </w:r>
        </w:p>
        <w:p w14:paraId="0CD57BE8" w14:textId="77777777" w:rsidR="00423DDB" w:rsidRDefault="00423DDB" w:rsidP="007944CC">
          <w:pPr>
            <w:spacing w:before="0" w:after="200"/>
            <w:rPr>
              <w:rStyle w:val="contentfiguresheadingChar"/>
              <w:color w:val="FFFFFF"/>
              <w:sz w:val="54"/>
              <w:szCs w:val="20"/>
            </w:rPr>
            <w:sectPr w:rsidR="00423DDB" w:rsidSect="00423DDB">
              <w:headerReference w:type="default" r:id="rId11"/>
              <w:footerReference w:type="default" r:id="rId12"/>
              <w:headerReference w:type="first" r:id="rId13"/>
              <w:footerReference w:type="first" r:id="rId14"/>
              <w:pgSz w:w="11906" w:h="16838" w:code="9"/>
              <w:pgMar w:top="238" w:right="720" w:bottom="720" w:left="720" w:header="709" w:footer="136" w:gutter="0"/>
              <w:pgNumType w:start="0"/>
              <w:cols w:space="708"/>
              <w:titlePg/>
              <w:docGrid w:linePitch="360"/>
            </w:sectPr>
          </w:pPr>
        </w:p>
        <w:p w14:paraId="1D4E96EA" w14:textId="2232AAF7" w:rsidR="004371F6" w:rsidRPr="007944CC" w:rsidRDefault="00A004A8" w:rsidP="007944CC">
          <w:pPr>
            <w:spacing w:before="0" w:after="200"/>
            <w:rPr>
              <w:rStyle w:val="contentfiguresheadingChar"/>
              <w:color w:val="FFFFFF"/>
              <w:sz w:val="54"/>
              <w:szCs w:val="20"/>
            </w:rPr>
            <w:sectPr w:rsidR="004371F6" w:rsidRPr="007944CC" w:rsidSect="00423DDB">
              <w:type w:val="oddPage"/>
              <w:pgSz w:w="11906" w:h="16838" w:code="9"/>
              <w:pgMar w:top="238" w:right="720" w:bottom="720" w:left="720" w:header="709" w:footer="136" w:gutter="0"/>
              <w:pgNumType w:start="0"/>
              <w:cols w:space="708"/>
              <w:titlePg/>
              <w:docGrid w:linePitch="360"/>
            </w:sectPr>
          </w:pPr>
        </w:p>
      </w:sdtContent>
    </w:sdt>
    <w:p w14:paraId="6B004567" w14:textId="380D213D" w:rsidR="003D052E" w:rsidRPr="006058EA" w:rsidRDefault="003D052E" w:rsidP="003D052E">
      <w:pPr>
        <w:jc w:val="right"/>
        <w:rPr>
          <w:rFonts w:cs="Arial"/>
          <w:sz w:val="56"/>
          <w:szCs w:val="56"/>
        </w:rPr>
      </w:pPr>
    </w:p>
    <w:p w14:paraId="04737BAE" w14:textId="77777777" w:rsidR="003D052E" w:rsidRPr="006058EA" w:rsidRDefault="003D052E" w:rsidP="003D052E">
      <w:pPr>
        <w:jc w:val="right"/>
        <w:rPr>
          <w:rFonts w:cs="Arial"/>
          <w:sz w:val="56"/>
          <w:szCs w:val="56"/>
        </w:rPr>
      </w:pPr>
    </w:p>
    <w:p w14:paraId="5D5C6E0B" w14:textId="77777777" w:rsidR="003D052E" w:rsidRPr="006058EA" w:rsidRDefault="003D052E" w:rsidP="003D052E">
      <w:pPr>
        <w:jc w:val="right"/>
        <w:rPr>
          <w:rFonts w:cs="Arial"/>
          <w:sz w:val="56"/>
          <w:szCs w:val="56"/>
        </w:rPr>
      </w:pPr>
    </w:p>
    <w:p w14:paraId="3DF67FCD" w14:textId="77777777" w:rsidR="003D052E" w:rsidRPr="00494E6D" w:rsidRDefault="003D052E" w:rsidP="00494E6D">
      <w:pPr>
        <w:rPr>
          <w:rFonts w:cs="Arial"/>
          <w:sz w:val="56"/>
          <w:szCs w:val="56"/>
        </w:rPr>
      </w:pPr>
    </w:p>
    <w:p w14:paraId="3491B337" w14:textId="77777777" w:rsidR="003D052E" w:rsidRDefault="003D052E" w:rsidP="003D052E">
      <w:pPr>
        <w:jc w:val="right"/>
        <w:rPr>
          <w:rFonts w:cs="Arial"/>
          <w:sz w:val="56"/>
          <w:szCs w:val="56"/>
        </w:rPr>
      </w:pPr>
    </w:p>
    <w:p w14:paraId="5495135B" w14:textId="77777777" w:rsidR="001B6C62" w:rsidRPr="001B6C62" w:rsidRDefault="001B6C62" w:rsidP="003D052E">
      <w:pPr>
        <w:jc w:val="right"/>
        <w:rPr>
          <w:rFonts w:cs="Arial"/>
          <w:sz w:val="56"/>
          <w:szCs w:val="56"/>
        </w:rPr>
      </w:pPr>
    </w:p>
    <w:p w14:paraId="761463BF" w14:textId="77777777" w:rsidR="009522BD" w:rsidRPr="001B6C62" w:rsidRDefault="003D052E" w:rsidP="00C07B21">
      <w:pPr>
        <w:jc w:val="right"/>
        <w:rPr>
          <w:rFonts w:cs="Arial"/>
          <w:sz w:val="56"/>
          <w:szCs w:val="56"/>
        </w:rPr>
      </w:pPr>
      <w:r w:rsidRPr="001B6C62">
        <w:rPr>
          <w:rFonts w:cs="Arial"/>
          <w:sz w:val="56"/>
          <w:szCs w:val="56"/>
        </w:rPr>
        <w:t>201</w:t>
      </w:r>
      <w:r w:rsidR="009522BD" w:rsidRPr="001B6C62">
        <w:rPr>
          <w:rFonts w:cs="Arial"/>
          <w:sz w:val="56"/>
          <w:szCs w:val="56"/>
        </w:rPr>
        <w:t>8</w:t>
      </w:r>
      <w:r w:rsidRPr="001B6C62">
        <w:rPr>
          <w:rFonts w:cs="Arial"/>
          <w:sz w:val="56"/>
          <w:szCs w:val="56"/>
        </w:rPr>
        <w:t xml:space="preserve"> </w:t>
      </w:r>
      <w:r w:rsidR="007E6B02">
        <w:rPr>
          <w:rFonts w:cs="Arial"/>
          <w:sz w:val="56"/>
          <w:szCs w:val="56"/>
        </w:rPr>
        <w:t>Victorian Offshore</w:t>
      </w:r>
    </w:p>
    <w:p w14:paraId="0743807D" w14:textId="77777777" w:rsidR="003D052E" w:rsidRPr="001B6C62" w:rsidRDefault="003D052E" w:rsidP="001C25A7">
      <w:pPr>
        <w:spacing w:after="240"/>
        <w:jc w:val="right"/>
        <w:rPr>
          <w:rFonts w:cs="Arial"/>
          <w:sz w:val="56"/>
          <w:szCs w:val="56"/>
        </w:rPr>
      </w:pPr>
      <w:r w:rsidRPr="001B6C62">
        <w:rPr>
          <w:rFonts w:cs="Arial"/>
          <w:sz w:val="56"/>
          <w:szCs w:val="56"/>
        </w:rPr>
        <w:t>Petroleum Acreage Release</w:t>
      </w:r>
    </w:p>
    <w:p w14:paraId="43A4F6AE" w14:textId="77777777" w:rsidR="003D052E" w:rsidRPr="001B6C62" w:rsidRDefault="009522BD" w:rsidP="003D052E">
      <w:pPr>
        <w:jc w:val="right"/>
        <w:rPr>
          <w:rFonts w:cs="Arial"/>
          <w:sz w:val="48"/>
          <w:szCs w:val="48"/>
        </w:rPr>
      </w:pPr>
      <w:r w:rsidRPr="001B6C62">
        <w:rPr>
          <w:rFonts w:cs="Arial"/>
          <w:sz w:val="48"/>
          <w:szCs w:val="48"/>
        </w:rPr>
        <w:t>Otway Basin</w:t>
      </w:r>
    </w:p>
    <w:p w14:paraId="2A983EB0" w14:textId="77777777" w:rsidR="003D052E" w:rsidRPr="001B6C62" w:rsidRDefault="003D052E" w:rsidP="003D052E">
      <w:pPr>
        <w:jc w:val="right"/>
        <w:rPr>
          <w:rFonts w:cs="Arial"/>
          <w:sz w:val="56"/>
          <w:szCs w:val="56"/>
        </w:rPr>
      </w:pPr>
    </w:p>
    <w:p w14:paraId="2DA9B8BC" w14:textId="77777777" w:rsidR="003D052E" w:rsidRPr="001B6C62" w:rsidRDefault="003D052E" w:rsidP="003D052E">
      <w:pPr>
        <w:jc w:val="right"/>
        <w:rPr>
          <w:rFonts w:cs="Arial"/>
          <w:sz w:val="56"/>
          <w:szCs w:val="56"/>
        </w:rPr>
      </w:pPr>
    </w:p>
    <w:p w14:paraId="6320D31F" w14:textId="77777777" w:rsidR="003D052E" w:rsidRPr="001B6C62" w:rsidRDefault="003D052E" w:rsidP="003D052E">
      <w:pPr>
        <w:jc w:val="right"/>
        <w:rPr>
          <w:rFonts w:cs="Arial"/>
          <w:sz w:val="32"/>
          <w:szCs w:val="32"/>
        </w:rPr>
      </w:pPr>
    </w:p>
    <w:p w14:paraId="7D502965" w14:textId="77777777" w:rsidR="003D052E" w:rsidRPr="001B6C62" w:rsidRDefault="003D052E" w:rsidP="003D052E">
      <w:pPr>
        <w:jc w:val="right"/>
        <w:rPr>
          <w:rFonts w:cs="Arial"/>
          <w:sz w:val="16"/>
          <w:szCs w:val="16"/>
        </w:rPr>
      </w:pPr>
    </w:p>
    <w:p w14:paraId="0750FF6E" w14:textId="77777777" w:rsidR="003D052E" w:rsidRPr="001B6C62" w:rsidRDefault="003D052E" w:rsidP="003D052E">
      <w:pPr>
        <w:jc w:val="right"/>
        <w:rPr>
          <w:rFonts w:cs="Arial"/>
          <w:sz w:val="32"/>
          <w:szCs w:val="32"/>
        </w:rPr>
      </w:pPr>
      <w:r w:rsidRPr="001B6C62">
        <w:rPr>
          <w:rFonts w:cs="Arial"/>
          <w:sz w:val="32"/>
          <w:szCs w:val="32"/>
        </w:rPr>
        <w:t xml:space="preserve">May </w:t>
      </w:r>
      <w:r w:rsidR="009522BD" w:rsidRPr="001B6C62">
        <w:rPr>
          <w:rFonts w:cs="Arial"/>
          <w:sz w:val="32"/>
          <w:szCs w:val="32"/>
        </w:rPr>
        <w:t>2018</w:t>
      </w:r>
    </w:p>
    <w:p w14:paraId="4963DCA0" w14:textId="77777777" w:rsidR="003D052E" w:rsidRPr="001B6C62" w:rsidRDefault="003D052E" w:rsidP="003D052E">
      <w:pPr>
        <w:rPr>
          <w:rFonts w:cs="Arial"/>
          <w:sz w:val="36"/>
          <w:szCs w:val="36"/>
        </w:rPr>
      </w:pPr>
    </w:p>
    <w:p w14:paraId="1713D2C6" w14:textId="77777777" w:rsidR="003D052E" w:rsidRPr="001B6C62" w:rsidRDefault="003D052E" w:rsidP="003D052E">
      <w:pPr>
        <w:jc w:val="right"/>
        <w:rPr>
          <w:rFonts w:cs="Arial"/>
          <w:sz w:val="36"/>
          <w:szCs w:val="36"/>
        </w:rPr>
      </w:pPr>
    </w:p>
    <w:p w14:paraId="6E89B7F0" w14:textId="1ACB3E27" w:rsidR="003D052E" w:rsidRPr="001B6C62" w:rsidRDefault="003D052E" w:rsidP="003D052E">
      <w:pPr>
        <w:jc w:val="right"/>
        <w:rPr>
          <w:rFonts w:cs="Arial"/>
          <w:sz w:val="28"/>
          <w:szCs w:val="28"/>
        </w:rPr>
      </w:pPr>
      <w:r w:rsidRPr="001B6C62">
        <w:rPr>
          <w:rFonts w:cs="Arial"/>
          <w:sz w:val="28"/>
          <w:szCs w:val="28"/>
        </w:rPr>
        <w:t xml:space="preserve">Department of </w:t>
      </w:r>
      <w:r w:rsidR="00162167">
        <w:rPr>
          <w:rFonts w:cs="Arial"/>
          <w:sz w:val="28"/>
          <w:szCs w:val="28"/>
        </w:rPr>
        <w:t xml:space="preserve">Economic </w:t>
      </w:r>
      <w:r w:rsidR="009522BD" w:rsidRPr="001B6C62">
        <w:rPr>
          <w:rFonts w:cs="Arial"/>
          <w:sz w:val="28"/>
          <w:szCs w:val="28"/>
        </w:rPr>
        <w:t>Development, Jobs, Transport and Resources</w:t>
      </w:r>
    </w:p>
    <w:p w14:paraId="3462735D" w14:textId="77777777" w:rsidR="003D052E" w:rsidRDefault="003D052E">
      <w:pPr>
        <w:spacing w:before="0" w:after="200"/>
        <w:rPr>
          <w:rStyle w:val="contentfiguresheadingChar"/>
          <w:b/>
          <w:caps/>
        </w:rPr>
        <w:sectPr w:rsidR="003D052E" w:rsidSect="00BA319F">
          <w:footerReference w:type="first" r:id="rId15"/>
          <w:pgSz w:w="11906" w:h="16838"/>
          <w:pgMar w:top="2517" w:right="907" w:bottom="1304" w:left="907" w:header="709" w:footer="709" w:gutter="0"/>
          <w:cols w:space="708"/>
          <w:titlePg/>
          <w:docGrid w:linePitch="360"/>
        </w:sectPr>
      </w:pPr>
    </w:p>
    <w:p w14:paraId="3FF09652" w14:textId="77777777" w:rsidR="003D052E" w:rsidRDefault="003D052E">
      <w:pPr>
        <w:spacing w:before="0" w:after="200"/>
        <w:rPr>
          <w:rStyle w:val="contentfiguresheadingChar"/>
          <w:b/>
          <w:caps/>
        </w:rPr>
      </w:pPr>
      <w:r>
        <w:rPr>
          <w:rStyle w:val="contentfiguresheadingChar"/>
          <w:b/>
          <w:caps/>
        </w:rPr>
        <w:br w:type="page"/>
      </w:r>
    </w:p>
    <w:p w14:paraId="0BC391F9" w14:textId="77777777" w:rsidR="00E14D94" w:rsidRDefault="00E14D94" w:rsidP="00611383">
      <w:pPr>
        <w:spacing w:line="240" w:lineRule="auto"/>
        <w:rPr>
          <w:rFonts w:eastAsiaTheme="minorHAnsi"/>
          <w:sz w:val="18"/>
        </w:rPr>
        <w:sectPr w:rsidR="00E14D94" w:rsidSect="00AE51DB">
          <w:type w:val="continuous"/>
          <w:pgSz w:w="11906" w:h="16838"/>
          <w:pgMar w:top="2517" w:right="907" w:bottom="1304" w:left="907" w:header="709" w:footer="709" w:gutter="0"/>
          <w:cols w:num="2" w:space="708"/>
          <w:titlePg/>
          <w:docGrid w:linePitch="360"/>
        </w:sectPr>
      </w:pPr>
    </w:p>
    <w:p w14:paraId="68C3AA30" w14:textId="77777777" w:rsidR="00611383" w:rsidRPr="00E14D94" w:rsidRDefault="00611383" w:rsidP="00611383">
      <w:pPr>
        <w:spacing w:line="240" w:lineRule="auto"/>
        <w:rPr>
          <w:rFonts w:eastAsiaTheme="minorHAnsi"/>
          <w:sz w:val="18"/>
          <w:szCs w:val="18"/>
        </w:rPr>
      </w:pPr>
      <w:r w:rsidRPr="00E14D94">
        <w:rPr>
          <w:rFonts w:eastAsiaTheme="minorHAnsi"/>
          <w:sz w:val="18"/>
          <w:szCs w:val="18"/>
        </w:rPr>
        <w:lastRenderedPageBreak/>
        <w:t>Department of Economic Development, Jobs, Transport and Resources</w:t>
      </w:r>
      <w:r w:rsidRPr="00E14D94">
        <w:rPr>
          <w:rFonts w:eastAsiaTheme="minorHAnsi"/>
          <w:sz w:val="18"/>
          <w:szCs w:val="18"/>
        </w:rPr>
        <w:br/>
        <w:t>1 Spring Street Melbourne Victoria 3000</w:t>
      </w:r>
      <w:r w:rsidRPr="00E14D94">
        <w:rPr>
          <w:rFonts w:eastAsiaTheme="minorHAnsi"/>
          <w:sz w:val="18"/>
          <w:szCs w:val="18"/>
        </w:rPr>
        <w:br/>
        <w:t>Telephone (03) 9651 9999</w:t>
      </w:r>
    </w:p>
    <w:p w14:paraId="3564DE23" w14:textId="77777777" w:rsidR="00611383" w:rsidRPr="00E14D94" w:rsidRDefault="00611383" w:rsidP="00611383">
      <w:pPr>
        <w:spacing w:line="240" w:lineRule="auto"/>
        <w:rPr>
          <w:rFonts w:eastAsiaTheme="minorHAnsi"/>
          <w:sz w:val="18"/>
          <w:szCs w:val="18"/>
        </w:rPr>
      </w:pPr>
      <w:r w:rsidRPr="00E14D94">
        <w:rPr>
          <w:rFonts w:eastAsiaTheme="minorHAnsi"/>
          <w:sz w:val="18"/>
          <w:szCs w:val="18"/>
        </w:rPr>
        <w:t xml:space="preserve">© Copyright State of Victoria, </w:t>
      </w:r>
      <w:r w:rsidRPr="00E14D94">
        <w:rPr>
          <w:rFonts w:eastAsiaTheme="minorHAnsi"/>
          <w:sz w:val="18"/>
          <w:szCs w:val="18"/>
        </w:rPr>
        <w:br/>
        <w:t>Department of Economic Development, Jobs, Transport and Resources 2018</w:t>
      </w:r>
    </w:p>
    <w:p w14:paraId="79AAB15D" w14:textId="77777777" w:rsidR="00611383" w:rsidRPr="00E14D94" w:rsidRDefault="00611383" w:rsidP="00611383">
      <w:pPr>
        <w:spacing w:line="240" w:lineRule="auto"/>
        <w:rPr>
          <w:rFonts w:eastAsiaTheme="minorHAnsi"/>
          <w:sz w:val="18"/>
          <w:szCs w:val="18"/>
        </w:rPr>
      </w:pPr>
      <w:r w:rsidRPr="00E14D94">
        <w:rPr>
          <w:rFonts w:eastAsiaTheme="minorHAnsi"/>
          <w:sz w:val="18"/>
          <w:szCs w:val="18"/>
        </w:rPr>
        <w:t>Except for any logos, emblems, trademarks, artwork and photography this document is made available under the terms of the Creative Commons Attribution 3.0 Australia license.</w:t>
      </w:r>
    </w:p>
    <w:p w14:paraId="24633605" w14:textId="77777777" w:rsidR="00611383" w:rsidRPr="00DC014D" w:rsidRDefault="00DC014D" w:rsidP="00DC014D">
      <w:pPr>
        <w:pStyle w:val="bodyCopy"/>
        <w:rPr>
          <w:rFonts w:eastAsiaTheme="minorHAnsi"/>
        </w:rPr>
      </w:pPr>
      <w:r w:rsidRPr="00DC014D">
        <w:rPr>
          <w:rStyle w:val="Emphasis"/>
          <w:rFonts w:eastAsia="VIC-Regular" w:hint="eastAsia"/>
          <w:i w:val="0"/>
          <w:iCs w:val="0"/>
        </w:rPr>
        <w:t xml:space="preserve">If you would like to receive this publication in an accessible format, such as large print or audio, telephone email </w:t>
      </w:r>
      <w:r>
        <w:rPr>
          <w:rStyle w:val="Emphasis"/>
          <w:rFonts w:eastAsia="VIC-Regular"/>
          <w:i w:val="0"/>
          <w:iCs w:val="0"/>
        </w:rPr>
        <w:t>vgp</w:t>
      </w:r>
      <w:r w:rsidRPr="00DC014D">
        <w:rPr>
          <w:rStyle w:val="Emphasis"/>
          <w:rFonts w:eastAsia="VIC-Regular" w:hint="eastAsia"/>
          <w:i w:val="0"/>
          <w:iCs w:val="0"/>
        </w:rPr>
        <w:t>@</w:t>
      </w:r>
      <w:r>
        <w:rPr>
          <w:rStyle w:val="Emphasis"/>
          <w:rFonts w:eastAsia="VIC-Regular"/>
          <w:i w:val="0"/>
          <w:iCs w:val="0"/>
        </w:rPr>
        <w:t>ecodev</w:t>
      </w:r>
      <w:r w:rsidRPr="00DC014D">
        <w:rPr>
          <w:rStyle w:val="Emphasis"/>
          <w:rFonts w:eastAsia="VIC-Regular" w:hint="eastAsia"/>
          <w:i w:val="0"/>
          <w:iCs w:val="0"/>
        </w:rPr>
        <w:t>.vic.gov.au</w:t>
      </w:r>
    </w:p>
    <w:p w14:paraId="0D1C33C3" w14:textId="77777777" w:rsidR="00611383" w:rsidRPr="00DC014D" w:rsidRDefault="00611383" w:rsidP="00DC014D">
      <w:pPr>
        <w:pStyle w:val="bodyCopy"/>
        <w:rPr>
          <w:rFonts w:eastAsiaTheme="minorHAnsi"/>
        </w:rPr>
      </w:pPr>
    </w:p>
    <w:p w14:paraId="0DFA806E" w14:textId="77777777" w:rsidR="003D052E" w:rsidRPr="00E14D94" w:rsidRDefault="003D052E" w:rsidP="003D052E">
      <w:pPr>
        <w:spacing w:before="80" w:after="40" w:line="230" w:lineRule="exact"/>
        <w:rPr>
          <w:rFonts w:cs="Arial"/>
          <w:b/>
          <w:sz w:val="18"/>
          <w:szCs w:val="18"/>
        </w:rPr>
      </w:pPr>
      <w:r w:rsidRPr="00E14D94">
        <w:rPr>
          <w:rFonts w:cs="Arial"/>
          <w:b/>
          <w:sz w:val="18"/>
          <w:szCs w:val="18"/>
        </w:rPr>
        <w:t xml:space="preserve">Bibliographic reference: </w:t>
      </w:r>
    </w:p>
    <w:p w14:paraId="5E1DC577" w14:textId="77777777" w:rsidR="00BB3AAA" w:rsidRDefault="00BB3AAA" w:rsidP="003D052E">
      <w:pPr>
        <w:spacing w:line="220" w:lineRule="exact"/>
        <w:rPr>
          <w:rFonts w:cs="Arial"/>
          <w:sz w:val="18"/>
          <w:szCs w:val="18"/>
          <w:lang w:val="en-GB"/>
        </w:rPr>
      </w:pPr>
      <w:r w:rsidRPr="00BB3AAA">
        <w:rPr>
          <w:rFonts w:cs="Arial"/>
          <w:sz w:val="18"/>
          <w:szCs w:val="18"/>
          <w:lang w:val="en-GB"/>
        </w:rPr>
        <w:t xml:space="preserve">ISBN 978-1-925734-11-9 (pdf/online/MS word) </w:t>
      </w:r>
    </w:p>
    <w:p w14:paraId="5F1697AA" w14:textId="77777777" w:rsidR="003D052E" w:rsidRPr="00E14D94" w:rsidRDefault="00611383" w:rsidP="003D052E">
      <w:pPr>
        <w:spacing w:line="220" w:lineRule="exact"/>
        <w:rPr>
          <w:rFonts w:cs="Arial"/>
          <w:b/>
          <w:sz w:val="18"/>
          <w:szCs w:val="18"/>
          <w:lang w:val="en-GB"/>
        </w:rPr>
      </w:pPr>
      <w:r w:rsidRPr="00E14D94">
        <w:rPr>
          <w:rFonts w:cs="Arial"/>
          <w:sz w:val="18"/>
          <w:szCs w:val="18"/>
          <w:lang w:val="en-GB"/>
        </w:rPr>
        <w:t>Geological Survey of Victoria</w:t>
      </w:r>
      <w:r w:rsidR="003D052E" w:rsidRPr="00E14D94">
        <w:rPr>
          <w:rFonts w:cs="Arial"/>
          <w:sz w:val="18"/>
          <w:szCs w:val="18"/>
          <w:lang w:val="en-GB"/>
        </w:rPr>
        <w:t>, 201</w:t>
      </w:r>
      <w:r w:rsidRPr="00E14D94">
        <w:rPr>
          <w:rFonts w:cs="Arial"/>
          <w:sz w:val="18"/>
          <w:szCs w:val="18"/>
          <w:lang w:val="en-GB"/>
        </w:rPr>
        <w:t>8</w:t>
      </w:r>
      <w:r w:rsidR="003D052E" w:rsidRPr="00E14D94">
        <w:rPr>
          <w:rFonts w:cs="Arial"/>
          <w:sz w:val="18"/>
          <w:szCs w:val="18"/>
          <w:lang w:val="en-GB"/>
        </w:rPr>
        <w:t xml:space="preserve">. </w:t>
      </w:r>
      <w:r w:rsidR="003D052E" w:rsidRPr="00E14D94">
        <w:rPr>
          <w:rFonts w:cs="Arial"/>
          <w:b/>
          <w:sz w:val="18"/>
          <w:szCs w:val="18"/>
          <w:lang w:val="en-GB"/>
        </w:rPr>
        <w:t>201</w:t>
      </w:r>
      <w:r w:rsidRPr="00E14D94">
        <w:rPr>
          <w:rFonts w:cs="Arial"/>
          <w:b/>
          <w:sz w:val="18"/>
          <w:szCs w:val="18"/>
          <w:lang w:val="en-GB"/>
        </w:rPr>
        <w:t>8</w:t>
      </w:r>
      <w:r w:rsidR="003D052E" w:rsidRPr="00E14D94">
        <w:rPr>
          <w:rFonts w:cs="Arial"/>
          <w:b/>
          <w:sz w:val="18"/>
          <w:szCs w:val="18"/>
          <w:lang w:val="en-GB"/>
        </w:rPr>
        <w:t xml:space="preserve"> </w:t>
      </w:r>
      <w:r w:rsidRPr="00E14D94">
        <w:rPr>
          <w:rFonts w:cs="Arial"/>
          <w:b/>
          <w:sz w:val="18"/>
          <w:szCs w:val="18"/>
          <w:lang w:val="en-GB"/>
        </w:rPr>
        <w:t xml:space="preserve">Victorian Offshore </w:t>
      </w:r>
      <w:r w:rsidR="003D052E" w:rsidRPr="00E14D94">
        <w:rPr>
          <w:rFonts w:cs="Arial"/>
          <w:b/>
          <w:sz w:val="18"/>
          <w:szCs w:val="18"/>
          <w:lang w:val="en-GB"/>
        </w:rPr>
        <w:t xml:space="preserve">Petroleum Acreage Release: </w:t>
      </w:r>
      <w:r w:rsidRPr="00E14D94">
        <w:rPr>
          <w:rFonts w:cs="Arial"/>
          <w:b/>
          <w:sz w:val="18"/>
          <w:szCs w:val="18"/>
          <w:lang w:val="en-GB"/>
        </w:rPr>
        <w:t>Otway Basin</w:t>
      </w:r>
      <w:r w:rsidR="003D052E" w:rsidRPr="00E14D94">
        <w:rPr>
          <w:rFonts w:cs="Arial"/>
          <w:b/>
          <w:sz w:val="18"/>
          <w:szCs w:val="18"/>
          <w:lang w:val="en-GB"/>
        </w:rPr>
        <w:t>.</w:t>
      </w:r>
      <w:r w:rsidR="003D052E" w:rsidRPr="00E14D94">
        <w:rPr>
          <w:rFonts w:cs="Arial"/>
          <w:sz w:val="18"/>
          <w:szCs w:val="18"/>
          <w:lang w:val="en-GB"/>
        </w:rPr>
        <w:t xml:space="preserve"> </w:t>
      </w:r>
      <w:r w:rsidRPr="00E14D94">
        <w:rPr>
          <w:rFonts w:cs="Arial"/>
          <w:sz w:val="18"/>
          <w:szCs w:val="18"/>
          <w:lang w:val="en-GB"/>
        </w:rPr>
        <w:t>Department of Economic Development, Jobs, Transport and Resources</w:t>
      </w:r>
      <w:r w:rsidR="007944CC">
        <w:rPr>
          <w:rFonts w:cs="Arial"/>
          <w:sz w:val="18"/>
          <w:szCs w:val="18"/>
          <w:lang w:val="en-GB"/>
        </w:rPr>
        <w:t>.</w:t>
      </w:r>
    </w:p>
    <w:p w14:paraId="00C54468" w14:textId="77777777" w:rsidR="003D052E" w:rsidRPr="004574A9" w:rsidRDefault="004574A9" w:rsidP="0084575A">
      <w:pPr>
        <w:spacing w:before="360" w:line="220" w:lineRule="exact"/>
        <w:rPr>
          <w:rFonts w:cs="Arial"/>
          <w:b/>
          <w:sz w:val="18"/>
          <w:szCs w:val="18"/>
          <w:lang w:val="en-GB"/>
        </w:rPr>
      </w:pPr>
      <w:r w:rsidRPr="004574A9">
        <w:rPr>
          <w:rFonts w:cs="Arial"/>
          <w:b/>
          <w:sz w:val="18"/>
          <w:szCs w:val="18"/>
          <w:lang w:val="en-GB"/>
        </w:rPr>
        <w:t>Acknowledgements:</w:t>
      </w:r>
    </w:p>
    <w:p w14:paraId="2ADDEF9F" w14:textId="77777777" w:rsidR="003D052E" w:rsidRPr="004574A9" w:rsidRDefault="004574A9" w:rsidP="003D052E">
      <w:pPr>
        <w:spacing w:line="220" w:lineRule="exact"/>
        <w:rPr>
          <w:rFonts w:cs="Arial"/>
          <w:sz w:val="18"/>
          <w:szCs w:val="18"/>
          <w:lang w:val="en-GB"/>
        </w:rPr>
      </w:pPr>
      <w:r w:rsidRPr="004574A9">
        <w:rPr>
          <w:rFonts w:cs="Arial"/>
          <w:sz w:val="18"/>
          <w:szCs w:val="18"/>
          <w:lang w:val="en-GB"/>
        </w:rPr>
        <w:t>This report was compiled by Louise Goldie Divko</w:t>
      </w:r>
      <w:r>
        <w:rPr>
          <w:rFonts w:cs="Arial"/>
          <w:sz w:val="18"/>
          <w:szCs w:val="18"/>
          <w:lang w:val="en-GB"/>
        </w:rPr>
        <w:t>, David Whittam, Caroline Kettle, Luong Tran, Sean Howman and Suzanne Haydon.</w:t>
      </w:r>
    </w:p>
    <w:p w14:paraId="1F3E7630" w14:textId="77777777" w:rsidR="003D052E" w:rsidRPr="00E14D94" w:rsidRDefault="003D052E" w:rsidP="0084575A">
      <w:pPr>
        <w:spacing w:before="360" w:line="220" w:lineRule="exact"/>
        <w:rPr>
          <w:rFonts w:cs="Arial"/>
          <w:sz w:val="18"/>
          <w:szCs w:val="18"/>
          <w:lang w:val="en-GB"/>
        </w:rPr>
      </w:pPr>
      <w:r w:rsidRPr="00E14D94">
        <w:rPr>
          <w:rFonts w:cs="Arial"/>
          <w:b/>
          <w:sz w:val="18"/>
          <w:szCs w:val="18"/>
        </w:rPr>
        <w:t>Copies of this report may be obtained from:</w:t>
      </w:r>
    </w:p>
    <w:p w14:paraId="3A48E318" w14:textId="4CC33A62" w:rsidR="003D052E" w:rsidRDefault="00A004A8" w:rsidP="003D052E">
      <w:pPr>
        <w:spacing w:line="220" w:lineRule="exact"/>
        <w:rPr>
          <w:rFonts w:cs="Arial"/>
          <w:snapToGrid w:val="0"/>
          <w:sz w:val="18"/>
          <w:szCs w:val="18"/>
          <w:lang w:val="en-GB"/>
        </w:rPr>
      </w:pPr>
      <w:hyperlink r:id="rId16" w:history="1">
        <w:r w:rsidR="00596E47" w:rsidRPr="009C185C">
          <w:rPr>
            <w:rStyle w:val="Hyperlink"/>
            <w:rFonts w:cs="Arial"/>
            <w:snapToGrid w:val="0"/>
            <w:sz w:val="18"/>
            <w:szCs w:val="18"/>
            <w:lang w:val="en-GB"/>
          </w:rPr>
          <w:t>http://earthresources.vic.gov.au/home/2018-acreage-release</w:t>
        </w:r>
      </w:hyperlink>
    </w:p>
    <w:p w14:paraId="69312CCD" w14:textId="77777777" w:rsidR="00596E47" w:rsidRPr="00DD41AB" w:rsidRDefault="00596E47" w:rsidP="00596E47">
      <w:pPr>
        <w:spacing w:before="360" w:line="220" w:lineRule="exact"/>
        <w:rPr>
          <w:rFonts w:cs="Arial"/>
          <w:b/>
          <w:sz w:val="18"/>
          <w:szCs w:val="18"/>
          <w:lang w:val="en-GB"/>
        </w:rPr>
      </w:pPr>
      <w:r w:rsidRPr="00DD41AB">
        <w:rPr>
          <w:rFonts w:cs="Arial"/>
          <w:b/>
          <w:sz w:val="18"/>
          <w:szCs w:val="18"/>
          <w:lang w:val="en-GB"/>
        </w:rPr>
        <w:t>Cover photo</w:t>
      </w:r>
    </w:p>
    <w:p w14:paraId="1E9092A9" w14:textId="77777777" w:rsidR="00596E47" w:rsidRPr="003821EE" w:rsidRDefault="00596E47" w:rsidP="00596E47">
      <w:pPr>
        <w:spacing w:before="0" w:line="220" w:lineRule="exact"/>
        <w:rPr>
          <w:rFonts w:cs="Arial"/>
          <w:sz w:val="18"/>
          <w:szCs w:val="18"/>
          <w:lang w:val="en-GB"/>
        </w:rPr>
      </w:pPr>
      <w:r>
        <w:rPr>
          <w:rFonts w:cs="Arial"/>
          <w:sz w:val="18"/>
          <w:szCs w:val="18"/>
          <w:lang w:val="en-GB"/>
        </w:rPr>
        <w:t>The Gables, Otway region, south west Victoria.</w:t>
      </w:r>
    </w:p>
    <w:p w14:paraId="193CF523" w14:textId="77777777" w:rsidR="003D052E" w:rsidRPr="003821EE" w:rsidRDefault="00614C62" w:rsidP="0084575A">
      <w:pPr>
        <w:spacing w:before="360" w:line="220" w:lineRule="exact"/>
        <w:rPr>
          <w:rFonts w:cs="Arial"/>
          <w:b/>
          <w:sz w:val="18"/>
          <w:szCs w:val="18"/>
          <w:lang w:val="en-GB"/>
        </w:rPr>
      </w:pPr>
      <w:r w:rsidRPr="003821EE">
        <w:rPr>
          <w:rFonts w:cs="Arial"/>
          <w:b/>
          <w:sz w:val="18"/>
          <w:szCs w:val="18"/>
          <w:lang w:val="en-GB"/>
        </w:rPr>
        <w:t>For information and queries about applications for release areas:</w:t>
      </w:r>
    </w:p>
    <w:p w14:paraId="5295009A" w14:textId="77777777" w:rsidR="003D052E" w:rsidRPr="003821EE" w:rsidRDefault="003821EE" w:rsidP="003D052E">
      <w:pPr>
        <w:spacing w:line="220" w:lineRule="exact"/>
        <w:rPr>
          <w:rFonts w:cs="Arial"/>
          <w:sz w:val="18"/>
          <w:szCs w:val="18"/>
          <w:lang w:val="en-GB"/>
        </w:rPr>
      </w:pPr>
      <w:r>
        <w:rPr>
          <w:rFonts w:cs="Arial"/>
          <w:sz w:val="18"/>
          <w:szCs w:val="18"/>
          <w:lang w:val="en-GB"/>
        </w:rPr>
        <w:t>vgp@ecodev.vic.gov.au</w:t>
      </w:r>
    </w:p>
    <w:p w14:paraId="3944F953" w14:textId="77777777" w:rsidR="0084575A" w:rsidRPr="004574A9" w:rsidRDefault="0084575A" w:rsidP="0084575A">
      <w:pPr>
        <w:spacing w:before="360" w:after="40" w:line="230" w:lineRule="exact"/>
        <w:rPr>
          <w:rFonts w:cs="Arial"/>
          <w:b/>
          <w:sz w:val="18"/>
          <w:szCs w:val="18"/>
        </w:rPr>
      </w:pPr>
      <w:r w:rsidRPr="004574A9">
        <w:rPr>
          <w:rFonts w:cs="Arial"/>
          <w:b/>
          <w:sz w:val="18"/>
          <w:szCs w:val="18"/>
        </w:rPr>
        <w:t>Disclaimer:</w:t>
      </w:r>
    </w:p>
    <w:p w14:paraId="261DB5C7" w14:textId="77777777" w:rsidR="0084575A" w:rsidRPr="004574A9" w:rsidRDefault="0084575A" w:rsidP="0084575A">
      <w:pPr>
        <w:spacing w:line="220" w:lineRule="exact"/>
        <w:rPr>
          <w:rFonts w:cs="Arial"/>
          <w:sz w:val="18"/>
          <w:szCs w:val="18"/>
        </w:rPr>
      </w:pPr>
      <w:r w:rsidRPr="004574A9">
        <w:rPr>
          <w:rFonts w:cs="Arial"/>
          <w:sz w:val="18"/>
          <w:szCs w:val="18"/>
        </w:rPr>
        <w:t>This publication may be of assistance to you but the State of Victoria and its employees do not guarantee that the</w:t>
      </w:r>
      <w:r>
        <w:rPr>
          <w:rFonts w:cs="Arial"/>
          <w:sz w:val="18"/>
          <w:szCs w:val="18"/>
        </w:rPr>
        <w:t xml:space="preserve"> </w:t>
      </w:r>
      <w:r w:rsidRPr="004574A9">
        <w:rPr>
          <w:rFonts w:cs="Arial"/>
          <w:sz w:val="18"/>
          <w:szCs w:val="18"/>
        </w:rPr>
        <w:t>publication is without flaw of any kind or is wholly appropriate for your particular purposes and therefore disclaims all</w:t>
      </w:r>
      <w:r>
        <w:rPr>
          <w:rFonts w:cs="Arial"/>
          <w:sz w:val="18"/>
          <w:szCs w:val="18"/>
        </w:rPr>
        <w:t xml:space="preserve"> </w:t>
      </w:r>
      <w:r w:rsidRPr="004574A9">
        <w:rPr>
          <w:rFonts w:cs="Arial"/>
          <w:sz w:val="18"/>
          <w:szCs w:val="18"/>
        </w:rPr>
        <w:t>liability for any error, loss or other consequence which may arise from you relying on any information in this publication.</w:t>
      </w:r>
      <w:r>
        <w:rPr>
          <w:rFonts w:cs="Arial"/>
          <w:sz w:val="18"/>
          <w:szCs w:val="18"/>
        </w:rPr>
        <w:t xml:space="preserve"> </w:t>
      </w:r>
      <w:r w:rsidRPr="004574A9">
        <w:rPr>
          <w:rFonts w:cs="Arial"/>
          <w:sz w:val="18"/>
          <w:szCs w:val="18"/>
        </w:rPr>
        <w:t>The Victorian Government, authors and presenters do not accept any liability to any person for the information (or the use</w:t>
      </w:r>
      <w:r>
        <w:rPr>
          <w:rFonts w:cs="Arial"/>
          <w:sz w:val="18"/>
          <w:szCs w:val="18"/>
        </w:rPr>
        <w:t xml:space="preserve"> </w:t>
      </w:r>
      <w:r w:rsidRPr="004574A9">
        <w:rPr>
          <w:rFonts w:cs="Arial"/>
          <w:sz w:val="18"/>
          <w:szCs w:val="18"/>
        </w:rPr>
        <w:t>of the information) which is provided or referred to in the report.</w:t>
      </w:r>
    </w:p>
    <w:p w14:paraId="5CD357DA" w14:textId="77777777" w:rsidR="00E14D94" w:rsidRDefault="00E14D94" w:rsidP="003821EE">
      <w:pPr>
        <w:spacing w:before="240" w:after="40" w:line="230" w:lineRule="exact"/>
        <w:rPr>
          <w:rFonts w:cs="Arial"/>
          <w:b/>
          <w:sz w:val="18"/>
          <w:szCs w:val="18"/>
        </w:rPr>
      </w:pPr>
    </w:p>
    <w:p w14:paraId="32DE27C1" w14:textId="77777777" w:rsidR="004574A9" w:rsidRDefault="004574A9" w:rsidP="003821EE">
      <w:pPr>
        <w:spacing w:before="240" w:after="40" w:line="230" w:lineRule="exact"/>
        <w:rPr>
          <w:rFonts w:cs="Arial"/>
          <w:b/>
          <w:sz w:val="18"/>
          <w:szCs w:val="18"/>
        </w:rPr>
      </w:pPr>
    </w:p>
    <w:p w14:paraId="0FA7DDA0" w14:textId="77777777" w:rsidR="004574A9" w:rsidRPr="003821EE" w:rsidRDefault="004574A9" w:rsidP="003821EE">
      <w:pPr>
        <w:spacing w:before="240" w:after="40" w:line="230" w:lineRule="exact"/>
        <w:rPr>
          <w:rFonts w:cs="Arial"/>
          <w:b/>
          <w:sz w:val="18"/>
          <w:szCs w:val="18"/>
        </w:rPr>
        <w:sectPr w:rsidR="004574A9" w:rsidRPr="003821EE" w:rsidSect="00E14D94">
          <w:type w:val="continuous"/>
          <w:pgSz w:w="11906" w:h="16838"/>
          <w:pgMar w:top="2517" w:right="907" w:bottom="1304" w:left="907" w:header="709" w:footer="709" w:gutter="0"/>
          <w:cols w:space="708"/>
          <w:titlePg/>
          <w:docGrid w:linePitch="360"/>
        </w:sectPr>
      </w:pPr>
    </w:p>
    <w:p w14:paraId="35EDF3AE" w14:textId="77777777" w:rsidR="003D052E" w:rsidRPr="00DF7660" w:rsidRDefault="003D052E" w:rsidP="003D052E">
      <w:pPr>
        <w:rPr>
          <w:rFonts w:cs="Arial"/>
        </w:rPr>
      </w:pPr>
    </w:p>
    <w:p w14:paraId="04AA28AA" w14:textId="77777777" w:rsidR="003D052E" w:rsidRDefault="003D052E" w:rsidP="003D052E">
      <w:pPr>
        <w:sectPr w:rsidR="003D052E" w:rsidSect="00AE51DB">
          <w:type w:val="continuous"/>
          <w:pgSz w:w="11906" w:h="16838"/>
          <w:pgMar w:top="2517" w:right="907" w:bottom="1304" w:left="907" w:header="709" w:footer="709" w:gutter="0"/>
          <w:cols w:num="2" w:space="708"/>
          <w:titlePg/>
          <w:docGrid w:linePitch="360"/>
        </w:sectPr>
      </w:pPr>
    </w:p>
    <w:p w14:paraId="0EE6BC0E" w14:textId="77777777" w:rsidR="004371F6" w:rsidRPr="006058EA" w:rsidRDefault="004371F6" w:rsidP="006058EA">
      <w:pPr>
        <w:pStyle w:val="contentfiguresheading"/>
        <w:rPr>
          <w:rStyle w:val="contentfiguresheadingChar"/>
        </w:rPr>
      </w:pPr>
      <w:r w:rsidRPr="006058EA">
        <w:rPr>
          <w:rStyle w:val="contentfiguresheadingChar"/>
        </w:rPr>
        <w:lastRenderedPageBreak/>
        <w:t>Table of contents</w:t>
      </w:r>
    </w:p>
    <w:p w14:paraId="38C42D83" w14:textId="739B850E" w:rsidR="008E317F" w:rsidRDefault="0019464B">
      <w:pPr>
        <w:pStyle w:val="TOC1"/>
        <w:tabs>
          <w:tab w:val="left" w:pos="600"/>
        </w:tabs>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color w:val="auto"/>
          <w:lang w:eastAsia="en-AU"/>
        </w:rPr>
        <w:instrText xml:space="preserve"> TOC \o "1-2" \u </w:instrText>
      </w:r>
      <w:r>
        <w:rPr>
          <w:noProof/>
          <w:color w:val="auto"/>
          <w:lang w:eastAsia="en-AU"/>
        </w:rPr>
        <w:fldChar w:fldCharType="separate"/>
      </w:r>
      <w:r w:rsidR="008E317F">
        <w:rPr>
          <w:noProof/>
        </w:rPr>
        <w:t>1</w:t>
      </w:r>
      <w:r w:rsidR="008E317F">
        <w:rPr>
          <w:rFonts w:asciiTheme="minorHAnsi" w:eastAsiaTheme="minorEastAsia" w:hAnsiTheme="minorHAnsi" w:cstheme="minorBidi"/>
          <w:noProof/>
          <w:color w:val="auto"/>
          <w:sz w:val="22"/>
          <w:szCs w:val="22"/>
          <w:lang w:eastAsia="en-AU"/>
        </w:rPr>
        <w:tab/>
      </w:r>
      <w:r w:rsidR="008E317F">
        <w:rPr>
          <w:noProof/>
        </w:rPr>
        <w:t>Victorian offshore petroleum acreage release 2018</w:t>
      </w:r>
      <w:r w:rsidR="008E317F">
        <w:rPr>
          <w:noProof/>
        </w:rPr>
        <w:tab/>
      </w:r>
      <w:r w:rsidR="008E317F">
        <w:rPr>
          <w:noProof/>
        </w:rPr>
        <w:fldChar w:fldCharType="begin"/>
      </w:r>
      <w:r w:rsidR="008E317F">
        <w:rPr>
          <w:noProof/>
        </w:rPr>
        <w:instrText xml:space="preserve"> PAGEREF _Toc513813335 \h </w:instrText>
      </w:r>
      <w:r w:rsidR="008E317F">
        <w:rPr>
          <w:noProof/>
        </w:rPr>
      </w:r>
      <w:r w:rsidR="008E317F">
        <w:rPr>
          <w:noProof/>
        </w:rPr>
        <w:fldChar w:fldCharType="separate"/>
      </w:r>
      <w:r w:rsidR="00DE2AC3">
        <w:rPr>
          <w:noProof/>
        </w:rPr>
        <w:t>2</w:t>
      </w:r>
      <w:r w:rsidR="008E317F">
        <w:rPr>
          <w:noProof/>
        </w:rPr>
        <w:fldChar w:fldCharType="end"/>
      </w:r>
    </w:p>
    <w:p w14:paraId="5912D853" w14:textId="7AB3E2E9"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1.1</w:t>
      </w:r>
      <w:r>
        <w:rPr>
          <w:rFonts w:asciiTheme="minorHAnsi" w:eastAsiaTheme="minorEastAsia" w:hAnsiTheme="minorHAnsi" w:cstheme="minorBidi"/>
          <w:noProof/>
          <w:color w:val="auto"/>
          <w:sz w:val="22"/>
          <w:szCs w:val="22"/>
          <w:lang w:eastAsia="en-AU"/>
        </w:rPr>
        <w:tab/>
      </w:r>
      <w:r>
        <w:rPr>
          <w:noProof/>
        </w:rPr>
        <w:t>Summary information</w:t>
      </w:r>
      <w:r>
        <w:rPr>
          <w:noProof/>
        </w:rPr>
        <w:tab/>
      </w:r>
      <w:r>
        <w:rPr>
          <w:noProof/>
        </w:rPr>
        <w:fldChar w:fldCharType="begin"/>
      </w:r>
      <w:r>
        <w:rPr>
          <w:noProof/>
        </w:rPr>
        <w:instrText xml:space="preserve"> PAGEREF _Toc513813336 \h </w:instrText>
      </w:r>
      <w:r>
        <w:rPr>
          <w:noProof/>
        </w:rPr>
      </w:r>
      <w:r>
        <w:rPr>
          <w:noProof/>
        </w:rPr>
        <w:fldChar w:fldCharType="separate"/>
      </w:r>
      <w:r w:rsidR="00DE2AC3">
        <w:rPr>
          <w:noProof/>
        </w:rPr>
        <w:t>2</w:t>
      </w:r>
      <w:r>
        <w:rPr>
          <w:noProof/>
        </w:rPr>
        <w:fldChar w:fldCharType="end"/>
      </w:r>
    </w:p>
    <w:p w14:paraId="4301CAE8" w14:textId="5D30D617"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1.2</w:t>
      </w:r>
      <w:r>
        <w:rPr>
          <w:rFonts w:asciiTheme="minorHAnsi" w:eastAsiaTheme="minorEastAsia" w:hAnsiTheme="minorHAnsi" w:cstheme="minorBidi"/>
          <w:noProof/>
          <w:color w:val="auto"/>
          <w:sz w:val="22"/>
          <w:szCs w:val="22"/>
          <w:lang w:eastAsia="en-AU"/>
        </w:rPr>
        <w:tab/>
      </w:r>
      <w:r>
        <w:rPr>
          <w:noProof/>
        </w:rPr>
        <w:t>Victorian Gas Program</w:t>
      </w:r>
      <w:r>
        <w:rPr>
          <w:noProof/>
        </w:rPr>
        <w:tab/>
      </w:r>
      <w:r>
        <w:rPr>
          <w:noProof/>
        </w:rPr>
        <w:fldChar w:fldCharType="begin"/>
      </w:r>
      <w:r>
        <w:rPr>
          <w:noProof/>
        </w:rPr>
        <w:instrText xml:space="preserve"> PAGEREF _Toc513813337 \h </w:instrText>
      </w:r>
      <w:r>
        <w:rPr>
          <w:noProof/>
        </w:rPr>
      </w:r>
      <w:r>
        <w:rPr>
          <w:noProof/>
        </w:rPr>
        <w:fldChar w:fldCharType="separate"/>
      </w:r>
      <w:r w:rsidR="00DE2AC3">
        <w:rPr>
          <w:noProof/>
        </w:rPr>
        <w:t>3</w:t>
      </w:r>
      <w:r>
        <w:rPr>
          <w:noProof/>
        </w:rPr>
        <w:fldChar w:fldCharType="end"/>
      </w:r>
    </w:p>
    <w:p w14:paraId="36D20F8E" w14:textId="402D7FDC" w:rsidR="008E317F" w:rsidRDefault="008E317F">
      <w:pPr>
        <w:pStyle w:val="TOC1"/>
        <w:tabs>
          <w:tab w:val="left" w:pos="600"/>
        </w:tabs>
        <w:rPr>
          <w:rFonts w:asciiTheme="minorHAnsi" w:eastAsiaTheme="minorEastAsia" w:hAnsiTheme="minorHAnsi" w:cstheme="minorBidi"/>
          <w:noProof/>
          <w:color w:val="auto"/>
          <w:sz w:val="22"/>
          <w:szCs w:val="22"/>
          <w:lang w:eastAsia="en-AU"/>
        </w:rPr>
      </w:pPr>
      <w:r>
        <w:rPr>
          <w:noProof/>
        </w:rPr>
        <w:t>2</w:t>
      </w:r>
      <w:r>
        <w:rPr>
          <w:rFonts w:asciiTheme="minorHAnsi" w:eastAsiaTheme="minorEastAsia" w:hAnsiTheme="minorHAnsi" w:cstheme="minorBidi"/>
          <w:noProof/>
          <w:color w:val="auto"/>
          <w:sz w:val="22"/>
          <w:szCs w:val="22"/>
          <w:lang w:eastAsia="en-AU"/>
        </w:rPr>
        <w:tab/>
      </w:r>
      <w:r>
        <w:rPr>
          <w:noProof/>
        </w:rPr>
        <w:t>Regional Geology</w:t>
      </w:r>
      <w:r>
        <w:rPr>
          <w:noProof/>
        </w:rPr>
        <w:tab/>
      </w:r>
      <w:r>
        <w:rPr>
          <w:noProof/>
        </w:rPr>
        <w:fldChar w:fldCharType="begin"/>
      </w:r>
      <w:r>
        <w:rPr>
          <w:noProof/>
        </w:rPr>
        <w:instrText xml:space="preserve"> PAGEREF _Toc513813338 \h </w:instrText>
      </w:r>
      <w:r>
        <w:rPr>
          <w:noProof/>
        </w:rPr>
      </w:r>
      <w:r>
        <w:rPr>
          <w:noProof/>
        </w:rPr>
        <w:fldChar w:fldCharType="separate"/>
      </w:r>
      <w:r w:rsidR="00DE2AC3">
        <w:rPr>
          <w:noProof/>
        </w:rPr>
        <w:t>4</w:t>
      </w:r>
      <w:r>
        <w:rPr>
          <w:noProof/>
        </w:rPr>
        <w:fldChar w:fldCharType="end"/>
      </w:r>
    </w:p>
    <w:p w14:paraId="33AB9C4B" w14:textId="03A40AC4" w:rsidR="008E317F" w:rsidRDefault="008E317F">
      <w:pPr>
        <w:pStyle w:val="TOC2"/>
        <w:rPr>
          <w:rFonts w:asciiTheme="minorHAnsi" w:eastAsiaTheme="minorEastAsia" w:hAnsiTheme="minorHAnsi" w:cstheme="minorBidi"/>
          <w:noProof/>
          <w:color w:val="auto"/>
          <w:sz w:val="22"/>
          <w:szCs w:val="22"/>
          <w:lang w:eastAsia="en-AU"/>
        </w:rPr>
      </w:pPr>
      <w:r w:rsidRPr="00FD3997">
        <w:rPr>
          <w:rFonts w:eastAsiaTheme="minorHAnsi" w:cs="Arial"/>
          <w:noProof/>
        </w:rPr>
        <w:t>2.1</w:t>
      </w:r>
      <w:r>
        <w:rPr>
          <w:rFonts w:asciiTheme="minorHAnsi" w:eastAsiaTheme="minorEastAsia" w:hAnsiTheme="minorHAnsi" w:cstheme="minorBidi"/>
          <w:noProof/>
          <w:color w:val="auto"/>
          <w:sz w:val="22"/>
          <w:szCs w:val="22"/>
          <w:lang w:eastAsia="en-AU"/>
        </w:rPr>
        <w:tab/>
      </w:r>
      <w:r w:rsidRPr="00FD3997">
        <w:rPr>
          <w:rFonts w:eastAsiaTheme="minorHAnsi"/>
          <w:noProof/>
        </w:rPr>
        <w:t>Tectonic setting</w:t>
      </w:r>
      <w:r>
        <w:rPr>
          <w:noProof/>
        </w:rPr>
        <w:tab/>
      </w:r>
      <w:r>
        <w:rPr>
          <w:noProof/>
        </w:rPr>
        <w:fldChar w:fldCharType="begin"/>
      </w:r>
      <w:r>
        <w:rPr>
          <w:noProof/>
        </w:rPr>
        <w:instrText xml:space="preserve"> PAGEREF _Toc513813339 \h </w:instrText>
      </w:r>
      <w:r>
        <w:rPr>
          <w:noProof/>
        </w:rPr>
      </w:r>
      <w:r>
        <w:rPr>
          <w:noProof/>
        </w:rPr>
        <w:fldChar w:fldCharType="separate"/>
      </w:r>
      <w:r w:rsidR="00DE2AC3">
        <w:rPr>
          <w:noProof/>
        </w:rPr>
        <w:t>4</w:t>
      </w:r>
      <w:r>
        <w:rPr>
          <w:noProof/>
        </w:rPr>
        <w:fldChar w:fldCharType="end"/>
      </w:r>
    </w:p>
    <w:p w14:paraId="5997BDB0" w14:textId="248E714A" w:rsidR="008E317F" w:rsidRDefault="008E317F">
      <w:pPr>
        <w:pStyle w:val="TOC2"/>
        <w:rPr>
          <w:rFonts w:asciiTheme="minorHAnsi" w:eastAsiaTheme="minorEastAsia" w:hAnsiTheme="minorHAnsi" w:cstheme="minorBidi"/>
          <w:noProof/>
          <w:color w:val="auto"/>
          <w:sz w:val="22"/>
          <w:szCs w:val="22"/>
          <w:lang w:eastAsia="en-AU"/>
        </w:rPr>
      </w:pPr>
      <w:r w:rsidRPr="00FD3997">
        <w:rPr>
          <w:rFonts w:eastAsiaTheme="minorHAnsi" w:cs="Arial"/>
          <w:noProof/>
        </w:rPr>
        <w:t>2.2</w:t>
      </w:r>
      <w:r>
        <w:rPr>
          <w:rFonts w:asciiTheme="minorHAnsi" w:eastAsiaTheme="minorEastAsia" w:hAnsiTheme="minorHAnsi" w:cstheme="minorBidi"/>
          <w:noProof/>
          <w:color w:val="auto"/>
          <w:sz w:val="22"/>
          <w:szCs w:val="22"/>
          <w:lang w:eastAsia="en-AU"/>
        </w:rPr>
        <w:tab/>
      </w:r>
      <w:r w:rsidRPr="00FD3997">
        <w:rPr>
          <w:rFonts w:eastAsiaTheme="minorHAnsi"/>
          <w:noProof/>
        </w:rPr>
        <w:t>Stratigraphy</w:t>
      </w:r>
      <w:r>
        <w:rPr>
          <w:noProof/>
        </w:rPr>
        <w:tab/>
      </w:r>
      <w:r>
        <w:rPr>
          <w:noProof/>
        </w:rPr>
        <w:fldChar w:fldCharType="begin"/>
      </w:r>
      <w:r>
        <w:rPr>
          <w:noProof/>
        </w:rPr>
        <w:instrText xml:space="preserve"> PAGEREF _Toc513813340 \h </w:instrText>
      </w:r>
      <w:r>
        <w:rPr>
          <w:noProof/>
        </w:rPr>
      </w:r>
      <w:r>
        <w:rPr>
          <w:noProof/>
        </w:rPr>
        <w:fldChar w:fldCharType="separate"/>
      </w:r>
      <w:r w:rsidR="00DE2AC3">
        <w:rPr>
          <w:noProof/>
        </w:rPr>
        <w:t>4</w:t>
      </w:r>
      <w:r>
        <w:rPr>
          <w:noProof/>
        </w:rPr>
        <w:fldChar w:fldCharType="end"/>
      </w:r>
    </w:p>
    <w:p w14:paraId="2D54FDFA" w14:textId="2C9355D2" w:rsidR="008E317F" w:rsidRDefault="008E317F">
      <w:pPr>
        <w:pStyle w:val="TOC2"/>
        <w:rPr>
          <w:rFonts w:asciiTheme="minorHAnsi" w:eastAsiaTheme="minorEastAsia" w:hAnsiTheme="minorHAnsi" w:cstheme="minorBidi"/>
          <w:noProof/>
          <w:color w:val="auto"/>
          <w:sz w:val="22"/>
          <w:szCs w:val="22"/>
          <w:lang w:eastAsia="en-AU"/>
        </w:rPr>
      </w:pPr>
      <w:r w:rsidRPr="00FD3997">
        <w:rPr>
          <w:rFonts w:eastAsiaTheme="minorHAnsi" w:cs="Arial"/>
          <w:noProof/>
        </w:rPr>
        <w:t>2.3</w:t>
      </w:r>
      <w:r>
        <w:rPr>
          <w:rFonts w:asciiTheme="minorHAnsi" w:eastAsiaTheme="minorEastAsia" w:hAnsiTheme="minorHAnsi" w:cstheme="minorBidi"/>
          <w:noProof/>
          <w:color w:val="auto"/>
          <w:sz w:val="22"/>
          <w:szCs w:val="22"/>
          <w:lang w:eastAsia="en-AU"/>
        </w:rPr>
        <w:tab/>
      </w:r>
      <w:r w:rsidRPr="00FD3997">
        <w:rPr>
          <w:rFonts w:eastAsiaTheme="minorHAnsi"/>
          <w:noProof/>
        </w:rPr>
        <w:t>Petroleum systems</w:t>
      </w:r>
      <w:r>
        <w:rPr>
          <w:noProof/>
        </w:rPr>
        <w:tab/>
      </w:r>
      <w:r>
        <w:rPr>
          <w:noProof/>
        </w:rPr>
        <w:fldChar w:fldCharType="begin"/>
      </w:r>
      <w:r>
        <w:rPr>
          <w:noProof/>
        </w:rPr>
        <w:instrText xml:space="preserve"> PAGEREF _Toc513813341 \h </w:instrText>
      </w:r>
      <w:r>
        <w:rPr>
          <w:noProof/>
        </w:rPr>
      </w:r>
      <w:r>
        <w:rPr>
          <w:noProof/>
        </w:rPr>
        <w:fldChar w:fldCharType="separate"/>
      </w:r>
      <w:r w:rsidR="00DE2AC3">
        <w:rPr>
          <w:noProof/>
        </w:rPr>
        <w:t>11</w:t>
      </w:r>
      <w:r>
        <w:rPr>
          <w:noProof/>
        </w:rPr>
        <w:fldChar w:fldCharType="end"/>
      </w:r>
    </w:p>
    <w:p w14:paraId="30A02F05" w14:textId="3C79052C" w:rsidR="008E317F" w:rsidRDefault="008E317F">
      <w:pPr>
        <w:pStyle w:val="TOC1"/>
        <w:tabs>
          <w:tab w:val="left" w:pos="600"/>
        </w:tabs>
        <w:rPr>
          <w:rFonts w:asciiTheme="minorHAnsi" w:eastAsiaTheme="minorEastAsia" w:hAnsiTheme="minorHAnsi" w:cstheme="minorBidi"/>
          <w:noProof/>
          <w:color w:val="auto"/>
          <w:sz w:val="22"/>
          <w:szCs w:val="22"/>
          <w:lang w:eastAsia="en-AU"/>
        </w:rPr>
      </w:pPr>
      <w:r w:rsidRPr="00FD3997">
        <w:rPr>
          <w:rFonts w:eastAsiaTheme="minorHAnsi"/>
          <w:noProof/>
        </w:rPr>
        <w:t>3</w:t>
      </w:r>
      <w:r>
        <w:rPr>
          <w:rFonts w:asciiTheme="minorHAnsi" w:eastAsiaTheme="minorEastAsia" w:hAnsiTheme="minorHAnsi" w:cstheme="minorBidi"/>
          <w:noProof/>
          <w:color w:val="auto"/>
          <w:sz w:val="22"/>
          <w:szCs w:val="22"/>
          <w:lang w:eastAsia="en-AU"/>
        </w:rPr>
        <w:tab/>
      </w:r>
      <w:r w:rsidRPr="00FD3997">
        <w:rPr>
          <w:rFonts w:eastAsiaTheme="minorHAnsi"/>
          <w:noProof/>
        </w:rPr>
        <w:t>Exploration and production history</w:t>
      </w:r>
      <w:r>
        <w:rPr>
          <w:noProof/>
        </w:rPr>
        <w:tab/>
      </w:r>
      <w:r>
        <w:rPr>
          <w:noProof/>
        </w:rPr>
        <w:fldChar w:fldCharType="begin"/>
      </w:r>
      <w:r>
        <w:rPr>
          <w:noProof/>
        </w:rPr>
        <w:instrText xml:space="preserve"> PAGEREF _Toc513813342 \h </w:instrText>
      </w:r>
      <w:r>
        <w:rPr>
          <w:noProof/>
        </w:rPr>
      </w:r>
      <w:r>
        <w:rPr>
          <w:noProof/>
        </w:rPr>
        <w:fldChar w:fldCharType="separate"/>
      </w:r>
      <w:r w:rsidR="00DE2AC3">
        <w:rPr>
          <w:noProof/>
        </w:rPr>
        <w:t>13</w:t>
      </w:r>
      <w:r>
        <w:rPr>
          <w:noProof/>
        </w:rPr>
        <w:fldChar w:fldCharType="end"/>
      </w:r>
    </w:p>
    <w:p w14:paraId="0C38AC6F" w14:textId="62C6C9AD" w:rsidR="008E317F" w:rsidRDefault="008E317F">
      <w:pPr>
        <w:pStyle w:val="TOC1"/>
        <w:tabs>
          <w:tab w:val="left" w:pos="600"/>
        </w:tabs>
        <w:rPr>
          <w:rFonts w:asciiTheme="minorHAnsi" w:eastAsiaTheme="minorEastAsia" w:hAnsiTheme="minorHAnsi" w:cstheme="minorBidi"/>
          <w:noProof/>
          <w:color w:val="auto"/>
          <w:sz w:val="22"/>
          <w:szCs w:val="22"/>
          <w:lang w:eastAsia="en-AU"/>
        </w:rPr>
      </w:pPr>
      <w:r w:rsidRPr="00FD3997">
        <w:rPr>
          <w:rFonts w:eastAsiaTheme="minorHAnsi"/>
          <w:noProof/>
        </w:rPr>
        <w:t>4</w:t>
      </w:r>
      <w:r>
        <w:rPr>
          <w:rFonts w:asciiTheme="minorHAnsi" w:eastAsiaTheme="minorEastAsia" w:hAnsiTheme="minorHAnsi" w:cstheme="minorBidi"/>
          <w:noProof/>
          <w:color w:val="auto"/>
          <w:sz w:val="22"/>
          <w:szCs w:val="22"/>
          <w:lang w:eastAsia="en-AU"/>
        </w:rPr>
        <w:tab/>
      </w:r>
      <w:r w:rsidRPr="00FD3997">
        <w:rPr>
          <w:rFonts w:eastAsiaTheme="minorHAnsi"/>
          <w:noProof/>
        </w:rPr>
        <w:t>Acreage release areas</w:t>
      </w:r>
      <w:r>
        <w:rPr>
          <w:noProof/>
        </w:rPr>
        <w:tab/>
      </w:r>
      <w:r>
        <w:rPr>
          <w:noProof/>
        </w:rPr>
        <w:fldChar w:fldCharType="begin"/>
      </w:r>
      <w:r>
        <w:rPr>
          <w:noProof/>
        </w:rPr>
        <w:instrText xml:space="preserve"> PAGEREF _Toc513813343 \h </w:instrText>
      </w:r>
      <w:r>
        <w:rPr>
          <w:noProof/>
        </w:rPr>
      </w:r>
      <w:r>
        <w:rPr>
          <w:noProof/>
        </w:rPr>
        <w:fldChar w:fldCharType="separate"/>
      </w:r>
      <w:r w:rsidR="00DE2AC3">
        <w:rPr>
          <w:noProof/>
        </w:rPr>
        <w:t>15</w:t>
      </w:r>
      <w:r>
        <w:rPr>
          <w:noProof/>
        </w:rPr>
        <w:fldChar w:fldCharType="end"/>
      </w:r>
    </w:p>
    <w:p w14:paraId="753BDB17" w14:textId="03B1F2BD"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4.1</w:t>
      </w:r>
      <w:r>
        <w:rPr>
          <w:rFonts w:asciiTheme="minorHAnsi" w:eastAsiaTheme="minorEastAsia" w:hAnsiTheme="minorHAnsi" w:cstheme="minorBidi"/>
          <w:noProof/>
          <w:color w:val="auto"/>
          <w:sz w:val="22"/>
          <w:szCs w:val="22"/>
          <w:lang w:eastAsia="en-AU"/>
        </w:rPr>
        <w:tab/>
      </w:r>
      <w:r>
        <w:rPr>
          <w:noProof/>
        </w:rPr>
        <w:t>18-1(v)</w:t>
      </w:r>
      <w:r>
        <w:rPr>
          <w:noProof/>
        </w:rPr>
        <w:tab/>
      </w:r>
      <w:r>
        <w:rPr>
          <w:noProof/>
        </w:rPr>
        <w:fldChar w:fldCharType="begin"/>
      </w:r>
      <w:r>
        <w:rPr>
          <w:noProof/>
        </w:rPr>
        <w:instrText xml:space="preserve"> PAGEREF _Toc513813344 \h </w:instrText>
      </w:r>
      <w:r>
        <w:rPr>
          <w:noProof/>
        </w:rPr>
      </w:r>
      <w:r>
        <w:rPr>
          <w:noProof/>
        </w:rPr>
        <w:fldChar w:fldCharType="separate"/>
      </w:r>
      <w:r w:rsidR="00DE2AC3">
        <w:rPr>
          <w:noProof/>
        </w:rPr>
        <w:t>15</w:t>
      </w:r>
      <w:r>
        <w:rPr>
          <w:noProof/>
        </w:rPr>
        <w:fldChar w:fldCharType="end"/>
      </w:r>
    </w:p>
    <w:p w14:paraId="1450E71C" w14:textId="6540F4BF"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4.2</w:t>
      </w:r>
      <w:r>
        <w:rPr>
          <w:rFonts w:asciiTheme="minorHAnsi" w:eastAsiaTheme="minorEastAsia" w:hAnsiTheme="minorHAnsi" w:cstheme="minorBidi"/>
          <w:noProof/>
          <w:color w:val="auto"/>
          <w:sz w:val="22"/>
          <w:szCs w:val="22"/>
          <w:lang w:eastAsia="en-AU"/>
        </w:rPr>
        <w:tab/>
      </w:r>
      <w:r>
        <w:rPr>
          <w:noProof/>
        </w:rPr>
        <w:t>18-2(v)</w:t>
      </w:r>
      <w:r>
        <w:rPr>
          <w:noProof/>
        </w:rPr>
        <w:tab/>
      </w:r>
      <w:r>
        <w:rPr>
          <w:noProof/>
        </w:rPr>
        <w:fldChar w:fldCharType="begin"/>
      </w:r>
      <w:r>
        <w:rPr>
          <w:noProof/>
        </w:rPr>
        <w:instrText xml:space="preserve"> PAGEREF _Toc513813345 \h </w:instrText>
      </w:r>
      <w:r>
        <w:rPr>
          <w:noProof/>
        </w:rPr>
      </w:r>
      <w:r>
        <w:rPr>
          <w:noProof/>
        </w:rPr>
        <w:fldChar w:fldCharType="separate"/>
      </w:r>
      <w:r w:rsidR="00DE2AC3">
        <w:rPr>
          <w:noProof/>
        </w:rPr>
        <w:t>16</w:t>
      </w:r>
      <w:r>
        <w:rPr>
          <w:noProof/>
        </w:rPr>
        <w:fldChar w:fldCharType="end"/>
      </w:r>
    </w:p>
    <w:p w14:paraId="7EBEEA6B" w14:textId="23177689"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4.3</w:t>
      </w:r>
      <w:r>
        <w:rPr>
          <w:rFonts w:asciiTheme="minorHAnsi" w:eastAsiaTheme="minorEastAsia" w:hAnsiTheme="minorHAnsi" w:cstheme="minorBidi"/>
          <w:noProof/>
          <w:color w:val="auto"/>
          <w:sz w:val="22"/>
          <w:szCs w:val="22"/>
          <w:lang w:eastAsia="en-AU"/>
        </w:rPr>
        <w:tab/>
      </w:r>
      <w:r>
        <w:rPr>
          <w:noProof/>
        </w:rPr>
        <w:t>18-3(v)</w:t>
      </w:r>
      <w:r>
        <w:rPr>
          <w:noProof/>
        </w:rPr>
        <w:tab/>
      </w:r>
      <w:r>
        <w:rPr>
          <w:noProof/>
        </w:rPr>
        <w:fldChar w:fldCharType="begin"/>
      </w:r>
      <w:r>
        <w:rPr>
          <w:noProof/>
        </w:rPr>
        <w:instrText xml:space="preserve"> PAGEREF _Toc513813346 \h </w:instrText>
      </w:r>
      <w:r>
        <w:rPr>
          <w:noProof/>
        </w:rPr>
      </w:r>
      <w:r>
        <w:rPr>
          <w:noProof/>
        </w:rPr>
        <w:fldChar w:fldCharType="separate"/>
      </w:r>
      <w:r w:rsidR="00DE2AC3">
        <w:rPr>
          <w:noProof/>
        </w:rPr>
        <w:t>16</w:t>
      </w:r>
      <w:r>
        <w:rPr>
          <w:noProof/>
        </w:rPr>
        <w:fldChar w:fldCharType="end"/>
      </w:r>
    </w:p>
    <w:p w14:paraId="7D34157C" w14:textId="50967EFC"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4.4</w:t>
      </w:r>
      <w:r>
        <w:rPr>
          <w:rFonts w:asciiTheme="minorHAnsi" w:eastAsiaTheme="minorEastAsia" w:hAnsiTheme="minorHAnsi" w:cstheme="minorBidi"/>
          <w:noProof/>
          <w:color w:val="auto"/>
          <w:sz w:val="22"/>
          <w:szCs w:val="22"/>
          <w:lang w:eastAsia="en-AU"/>
        </w:rPr>
        <w:tab/>
      </w:r>
      <w:r>
        <w:rPr>
          <w:noProof/>
        </w:rPr>
        <w:t>18-4(v)</w:t>
      </w:r>
      <w:r>
        <w:rPr>
          <w:noProof/>
        </w:rPr>
        <w:tab/>
      </w:r>
      <w:r>
        <w:rPr>
          <w:noProof/>
        </w:rPr>
        <w:fldChar w:fldCharType="begin"/>
      </w:r>
      <w:r>
        <w:rPr>
          <w:noProof/>
        </w:rPr>
        <w:instrText xml:space="preserve"> PAGEREF _Toc513813347 \h </w:instrText>
      </w:r>
      <w:r>
        <w:rPr>
          <w:noProof/>
        </w:rPr>
      </w:r>
      <w:r>
        <w:rPr>
          <w:noProof/>
        </w:rPr>
        <w:fldChar w:fldCharType="separate"/>
      </w:r>
      <w:r w:rsidR="00DE2AC3">
        <w:rPr>
          <w:noProof/>
        </w:rPr>
        <w:t>18</w:t>
      </w:r>
      <w:r>
        <w:rPr>
          <w:noProof/>
        </w:rPr>
        <w:fldChar w:fldCharType="end"/>
      </w:r>
    </w:p>
    <w:p w14:paraId="522937BF" w14:textId="664E785B"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4.5</w:t>
      </w:r>
      <w:r>
        <w:rPr>
          <w:rFonts w:asciiTheme="minorHAnsi" w:eastAsiaTheme="minorEastAsia" w:hAnsiTheme="minorHAnsi" w:cstheme="minorBidi"/>
          <w:noProof/>
          <w:color w:val="auto"/>
          <w:sz w:val="22"/>
          <w:szCs w:val="22"/>
          <w:lang w:eastAsia="en-AU"/>
        </w:rPr>
        <w:tab/>
      </w:r>
      <w:r>
        <w:rPr>
          <w:noProof/>
        </w:rPr>
        <w:t>18-5(v)</w:t>
      </w:r>
      <w:r>
        <w:rPr>
          <w:noProof/>
        </w:rPr>
        <w:tab/>
      </w:r>
      <w:r>
        <w:rPr>
          <w:noProof/>
        </w:rPr>
        <w:fldChar w:fldCharType="begin"/>
      </w:r>
      <w:r>
        <w:rPr>
          <w:noProof/>
        </w:rPr>
        <w:instrText xml:space="preserve"> PAGEREF _Toc513813348 \h </w:instrText>
      </w:r>
      <w:r>
        <w:rPr>
          <w:noProof/>
        </w:rPr>
      </w:r>
      <w:r>
        <w:rPr>
          <w:noProof/>
        </w:rPr>
        <w:fldChar w:fldCharType="separate"/>
      </w:r>
      <w:r w:rsidR="00DE2AC3">
        <w:rPr>
          <w:noProof/>
        </w:rPr>
        <w:t>19</w:t>
      </w:r>
      <w:r>
        <w:rPr>
          <w:noProof/>
        </w:rPr>
        <w:fldChar w:fldCharType="end"/>
      </w:r>
    </w:p>
    <w:p w14:paraId="124C846A" w14:textId="2D84408E" w:rsidR="008E317F" w:rsidRDefault="008E317F">
      <w:pPr>
        <w:pStyle w:val="TOC1"/>
        <w:tabs>
          <w:tab w:val="left" w:pos="600"/>
        </w:tabs>
        <w:rPr>
          <w:rFonts w:asciiTheme="minorHAnsi" w:eastAsiaTheme="minorEastAsia" w:hAnsiTheme="minorHAnsi" w:cstheme="minorBidi"/>
          <w:noProof/>
          <w:color w:val="auto"/>
          <w:sz w:val="22"/>
          <w:szCs w:val="22"/>
          <w:lang w:eastAsia="en-AU"/>
        </w:rPr>
      </w:pPr>
      <w:r>
        <w:rPr>
          <w:noProof/>
        </w:rPr>
        <w:t>5</w:t>
      </w:r>
      <w:r>
        <w:rPr>
          <w:rFonts w:asciiTheme="minorHAnsi" w:eastAsiaTheme="minorEastAsia" w:hAnsiTheme="minorHAnsi" w:cstheme="minorBidi"/>
          <w:noProof/>
          <w:color w:val="auto"/>
          <w:sz w:val="22"/>
          <w:szCs w:val="22"/>
          <w:lang w:eastAsia="en-AU"/>
        </w:rPr>
        <w:tab/>
      </w:r>
      <w:r>
        <w:rPr>
          <w:noProof/>
        </w:rPr>
        <w:t>Data and information</w:t>
      </w:r>
      <w:r>
        <w:rPr>
          <w:noProof/>
        </w:rPr>
        <w:tab/>
      </w:r>
      <w:r>
        <w:rPr>
          <w:noProof/>
        </w:rPr>
        <w:fldChar w:fldCharType="begin"/>
      </w:r>
      <w:r>
        <w:rPr>
          <w:noProof/>
        </w:rPr>
        <w:instrText xml:space="preserve"> PAGEREF _Toc513813349 \h </w:instrText>
      </w:r>
      <w:r>
        <w:rPr>
          <w:noProof/>
        </w:rPr>
      </w:r>
      <w:r>
        <w:rPr>
          <w:noProof/>
        </w:rPr>
        <w:fldChar w:fldCharType="separate"/>
      </w:r>
      <w:r w:rsidR="00DE2AC3">
        <w:rPr>
          <w:noProof/>
        </w:rPr>
        <w:t>20</w:t>
      </w:r>
      <w:r>
        <w:rPr>
          <w:noProof/>
        </w:rPr>
        <w:fldChar w:fldCharType="end"/>
      </w:r>
    </w:p>
    <w:p w14:paraId="1C808ACF" w14:textId="246607F7"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5.1</w:t>
      </w:r>
      <w:r>
        <w:rPr>
          <w:rFonts w:asciiTheme="minorHAnsi" w:eastAsiaTheme="minorEastAsia" w:hAnsiTheme="minorHAnsi" w:cstheme="minorBidi"/>
          <w:noProof/>
          <w:color w:val="auto"/>
          <w:sz w:val="22"/>
          <w:szCs w:val="22"/>
          <w:lang w:eastAsia="en-AU"/>
        </w:rPr>
        <w:tab/>
      </w:r>
      <w:r>
        <w:rPr>
          <w:noProof/>
        </w:rPr>
        <w:t>Data coverage and access</w:t>
      </w:r>
      <w:r>
        <w:rPr>
          <w:noProof/>
        </w:rPr>
        <w:tab/>
      </w:r>
      <w:r>
        <w:rPr>
          <w:noProof/>
        </w:rPr>
        <w:fldChar w:fldCharType="begin"/>
      </w:r>
      <w:r>
        <w:rPr>
          <w:noProof/>
        </w:rPr>
        <w:instrText xml:space="preserve"> PAGEREF _Toc513813350 \h </w:instrText>
      </w:r>
      <w:r>
        <w:rPr>
          <w:noProof/>
        </w:rPr>
      </w:r>
      <w:r>
        <w:rPr>
          <w:noProof/>
        </w:rPr>
        <w:fldChar w:fldCharType="separate"/>
      </w:r>
      <w:r w:rsidR="00DE2AC3">
        <w:rPr>
          <w:noProof/>
        </w:rPr>
        <w:t>20</w:t>
      </w:r>
      <w:r>
        <w:rPr>
          <w:noProof/>
        </w:rPr>
        <w:fldChar w:fldCharType="end"/>
      </w:r>
    </w:p>
    <w:p w14:paraId="0A59F8CD" w14:textId="013DD2C5"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5.2</w:t>
      </w:r>
      <w:r>
        <w:rPr>
          <w:rFonts w:asciiTheme="minorHAnsi" w:eastAsiaTheme="minorEastAsia" w:hAnsiTheme="minorHAnsi" w:cstheme="minorBidi"/>
          <w:noProof/>
          <w:color w:val="auto"/>
          <w:sz w:val="22"/>
          <w:szCs w:val="22"/>
          <w:lang w:eastAsia="en-AU"/>
        </w:rPr>
        <w:tab/>
      </w:r>
      <w:r>
        <w:rPr>
          <w:noProof/>
        </w:rPr>
        <w:t>Further information</w:t>
      </w:r>
      <w:r>
        <w:rPr>
          <w:noProof/>
        </w:rPr>
        <w:tab/>
      </w:r>
      <w:r>
        <w:rPr>
          <w:noProof/>
        </w:rPr>
        <w:fldChar w:fldCharType="begin"/>
      </w:r>
      <w:r>
        <w:rPr>
          <w:noProof/>
        </w:rPr>
        <w:instrText xml:space="preserve"> PAGEREF _Toc513813351 \h </w:instrText>
      </w:r>
      <w:r>
        <w:rPr>
          <w:noProof/>
        </w:rPr>
      </w:r>
      <w:r>
        <w:rPr>
          <w:noProof/>
        </w:rPr>
        <w:fldChar w:fldCharType="separate"/>
      </w:r>
      <w:r w:rsidR="00DE2AC3">
        <w:rPr>
          <w:noProof/>
        </w:rPr>
        <w:t>21</w:t>
      </w:r>
      <w:r>
        <w:rPr>
          <w:noProof/>
        </w:rPr>
        <w:fldChar w:fldCharType="end"/>
      </w:r>
    </w:p>
    <w:p w14:paraId="38AA7C88" w14:textId="094110BE" w:rsidR="008E317F" w:rsidRDefault="008E317F">
      <w:pPr>
        <w:pStyle w:val="TOC1"/>
        <w:tabs>
          <w:tab w:val="left" w:pos="600"/>
        </w:tabs>
        <w:rPr>
          <w:rFonts w:asciiTheme="minorHAnsi" w:eastAsiaTheme="minorEastAsia" w:hAnsiTheme="minorHAnsi" w:cstheme="minorBidi"/>
          <w:noProof/>
          <w:color w:val="auto"/>
          <w:sz w:val="22"/>
          <w:szCs w:val="22"/>
          <w:lang w:eastAsia="en-AU"/>
        </w:rPr>
      </w:pPr>
      <w:r>
        <w:rPr>
          <w:noProof/>
        </w:rPr>
        <w:t>6</w:t>
      </w:r>
      <w:r>
        <w:rPr>
          <w:rFonts w:asciiTheme="minorHAnsi" w:eastAsiaTheme="minorEastAsia" w:hAnsiTheme="minorHAnsi" w:cstheme="minorBidi"/>
          <w:noProof/>
          <w:color w:val="auto"/>
          <w:sz w:val="22"/>
          <w:szCs w:val="22"/>
          <w:lang w:eastAsia="en-AU"/>
        </w:rPr>
        <w:tab/>
      </w:r>
      <w:r>
        <w:rPr>
          <w:noProof/>
        </w:rPr>
        <w:t>Special notes</w:t>
      </w:r>
      <w:r>
        <w:rPr>
          <w:noProof/>
        </w:rPr>
        <w:tab/>
      </w:r>
      <w:r>
        <w:rPr>
          <w:noProof/>
        </w:rPr>
        <w:fldChar w:fldCharType="begin"/>
      </w:r>
      <w:r>
        <w:rPr>
          <w:noProof/>
        </w:rPr>
        <w:instrText xml:space="preserve"> PAGEREF _Toc513813352 \h </w:instrText>
      </w:r>
      <w:r>
        <w:rPr>
          <w:noProof/>
        </w:rPr>
      </w:r>
      <w:r>
        <w:rPr>
          <w:noProof/>
        </w:rPr>
        <w:fldChar w:fldCharType="separate"/>
      </w:r>
      <w:r w:rsidR="00DE2AC3">
        <w:rPr>
          <w:noProof/>
        </w:rPr>
        <w:t>22</w:t>
      </w:r>
      <w:r>
        <w:rPr>
          <w:noProof/>
        </w:rPr>
        <w:fldChar w:fldCharType="end"/>
      </w:r>
    </w:p>
    <w:p w14:paraId="7F783FC0" w14:textId="528B2BC8"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6.1</w:t>
      </w:r>
      <w:r>
        <w:rPr>
          <w:rFonts w:asciiTheme="minorHAnsi" w:eastAsiaTheme="minorEastAsia" w:hAnsiTheme="minorHAnsi" w:cstheme="minorBidi"/>
          <w:noProof/>
          <w:color w:val="auto"/>
          <w:sz w:val="22"/>
          <w:szCs w:val="22"/>
          <w:lang w:eastAsia="en-AU"/>
        </w:rPr>
        <w:tab/>
      </w:r>
      <w:r>
        <w:rPr>
          <w:noProof/>
        </w:rPr>
        <w:t>Legislation</w:t>
      </w:r>
      <w:r>
        <w:rPr>
          <w:noProof/>
        </w:rPr>
        <w:tab/>
      </w:r>
      <w:r>
        <w:rPr>
          <w:noProof/>
        </w:rPr>
        <w:fldChar w:fldCharType="begin"/>
      </w:r>
      <w:r>
        <w:rPr>
          <w:noProof/>
        </w:rPr>
        <w:instrText xml:space="preserve"> PAGEREF _Toc513813353 \h </w:instrText>
      </w:r>
      <w:r>
        <w:rPr>
          <w:noProof/>
        </w:rPr>
      </w:r>
      <w:r>
        <w:rPr>
          <w:noProof/>
        </w:rPr>
        <w:fldChar w:fldCharType="separate"/>
      </w:r>
      <w:r w:rsidR="00DE2AC3">
        <w:rPr>
          <w:noProof/>
        </w:rPr>
        <w:t>22</w:t>
      </w:r>
      <w:r>
        <w:rPr>
          <w:noProof/>
        </w:rPr>
        <w:fldChar w:fldCharType="end"/>
      </w:r>
    </w:p>
    <w:p w14:paraId="43329A7E" w14:textId="7BB21AB5"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6.2</w:t>
      </w:r>
      <w:r>
        <w:rPr>
          <w:rFonts w:asciiTheme="minorHAnsi" w:eastAsiaTheme="minorEastAsia" w:hAnsiTheme="minorHAnsi" w:cstheme="minorBidi"/>
          <w:noProof/>
          <w:color w:val="auto"/>
          <w:sz w:val="22"/>
          <w:szCs w:val="22"/>
          <w:lang w:eastAsia="en-AU"/>
        </w:rPr>
        <w:tab/>
      </w:r>
      <w:r>
        <w:rPr>
          <w:noProof/>
        </w:rPr>
        <w:t>Environmental and coastal land considerations</w:t>
      </w:r>
      <w:r>
        <w:rPr>
          <w:noProof/>
        </w:rPr>
        <w:tab/>
      </w:r>
      <w:r>
        <w:rPr>
          <w:noProof/>
        </w:rPr>
        <w:fldChar w:fldCharType="begin"/>
      </w:r>
      <w:r>
        <w:rPr>
          <w:noProof/>
        </w:rPr>
        <w:instrText xml:space="preserve"> PAGEREF _Toc513813354 \h </w:instrText>
      </w:r>
      <w:r>
        <w:rPr>
          <w:noProof/>
        </w:rPr>
      </w:r>
      <w:r>
        <w:rPr>
          <w:noProof/>
        </w:rPr>
        <w:fldChar w:fldCharType="separate"/>
      </w:r>
      <w:r w:rsidR="00DE2AC3">
        <w:rPr>
          <w:noProof/>
        </w:rPr>
        <w:t>22</w:t>
      </w:r>
      <w:r>
        <w:rPr>
          <w:noProof/>
        </w:rPr>
        <w:fldChar w:fldCharType="end"/>
      </w:r>
    </w:p>
    <w:p w14:paraId="075DA36D" w14:textId="6BB5805F"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6.3</w:t>
      </w:r>
      <w:r>
        <w:rPr>
          <w:rFonts w:asciiTheme="minorHAnsi" w:eastAsiaTheme="minorEastAsia" w:hAnsiTheme="minorHAnsi" w:cstheme="minorBidi"/>
          <w:noProof/>
          <w:color w:val="auto"/>
          <w:sz w:val="22"/>
          <w:szCs w:val="22"/>
          <w:lang w:eastAsia="en-AU"/>
        </w:rPr>
        <w:tab/>
      </w:r>
      <w:r>
        <w:rPr>
          <w:noProof/>
        </w:rPr>
        <w:t>Fisheries</w:t>
      </w:r>
      <w:r>
        <w:rPr>
          <w:noProof/>
        </w:rPr>
        <w:tab/>
      </w:r>
      <w:r>
        <w:rPr>
          <w:noProof/>
        </w:rPr>
        <w:fldChar w:fldCharType="begin"/>
      </w:r>
      <w:r>
        <w:rPr>
          <w:noProof/>
        </w:rPr>
        <w:instrText xml:space="preserve"> PAGEREF _Toc513813355 \h </w:instrText>
      </w:r>
      <w:r>
        <w:rPr>
          <w:noProof/>
        </w:rPr>
      </w:r>
      <w:r>
        <w:rPr>
          <w:noProof/>
        </w:rPr>
        <w:fldChar w:fldCharType="separate"/>
      </w:r>
      <w:r w:rsidR="00DE2AC3">
        <w:rPr>
          <w:noProof/>
        </w:rPr>
        <w:t>23</w:t>
      </w:r>
      <w:r>
        <w:rPr>
          <w:noProof/>
        </w:rPr>
        <w:fldChar w:fldCharType="end"/>
      </w:r>
    </w:p>
    <w:p w14:paraId="2E53434C" w14:textId="0E361E68"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6.4</w:t>
      </w:r>
      <w:r>
        <w:rPr>
          <w:rFonts w:asciiTheme="minorHAnsi" w:eastAsiaTheme="minorEastAsia" w:hAnsiTheme="minorHAnsi" w:cstheme="minorBidi"/>
          <w:noProof/>
          <w:color w:val="auto"/>
          <w:sz w:val="22"/>
          <w:szCs w:val="22"/>
          <w:lang w:eastAsia="en-AU"/>
        </w:rPr>
        <w:tab/>
      </w:r>
      <w:r>
        <w:rPr>
          <w:noProof/>
        </w:rPr>
        <w:t>Historic sites</w:t>
      </w:r>
      <w:r>
        <w:rPr>
          <w:noProof/>
        </w:rPr>
        <w:tab/>
      </w:r>
      <w:r>
        <w:rPr>
          <w:noProof/>
        </w:rPr>
        <w:fldChar w:fldCharType="begin"/>
      </w:r>
      <w:r>
        <w:rPr>
          <w:noProof/>
        </w:rPr>
        <w:instrText xml:space="preserve"> PAGEREF _Toc513813356 \h </w:instrText>
      </w:r>
      <w:r>
        <w:rPr>
          <w:noProof/>
        </w:rPr>
      </w:r>
      <w:r>
        <w:rPr>
          <w:noProof/>
        </w:rPr>
        <w:fldChar w:fldCharType="separate"/>
      </w:r>
      <w:r w:rsidR="00DE2AC3">
        <w:rPr>
          <w:noProof/>
        </w:rPr>
        <w:t>23</w:t>
      </w:r>
      <w:r>
        <w:rPr>
          <w:noProof/>
        </w:rPr>
        <w:fldChar w:fldCharType="end"/>
      </w:r>
    </w:p>
    <w:p w14:paraId="4B498503" w14:textId="256C6D6F"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6.5</w:t>
      </w:r>
      <w:r>
        <w:rPr>
          <w:rFonts w:asciiTheme="minorHAnsi" w:eastAsiaTheme="minorEastAsia" w:hAnsiTheme="minorHAnsi" w:cstheme="minorBidi"/>
          <w:noProof/>
          <w:color w:val="auto"/>
          <w:sz w:val="22"/>
          <w:szCs w:val="22"/>
          <w:lang w:eastAsia="en-AU"/>
        </w:rPr>
        <w:tab/>
      </w:r>
      <w:r>
        <w:rPr>
          <w:noProof/>
        </w:rPr>
        <w:t>Native Title and Aboriginal Heritage</w:t>
      </w:r>
      <w:r>
        <w:rPr>
          <w:noProof/>
        </w:rPr>
        <w:tab/>
      </w:r>
      <w:r>
        <w:rPr>
          <w:noProof/>
        </w:rPr>
        <w:fldChar w:fldCharType="begin"/>
      </w:r>
      <w:r>
        <w:rPr>
          <w:noProof/>
        </w:rPr>
        <w:instrText xml:space="preserve"> PAGEREF _Toc513813357 \h </w:instrText>
      </w:r>
      <w:r>
        <w:rPr>
          <w:noProof/>
        </w:rPr>
      </w:r>
      <w:r>
        <w:rPr>
          <w:noProof/>
        </w:rPr>
        <w:fldChar w:fldCharType="separate"/>
      </w:r>
      <w:r w:rsidR="00DE2AC3">
        <w:rPr>
          <w:noProof/>
        </w:rPr>
        <w:t>24</w:t>
      </w:r>
      <w:r>
        <w:rPr>
          <w:noProof/>
        </w:rPr>
        <w:fldChar w:fldCharType="end"/>
      </w:r>
    </w:p>
    <w:p w14:paraId="5E80AC17" w14:textId="16952064" w:rsidR="008E317F" w:rsidRDefault="008E317F">
      <w:pPr>
        <w:pStyle w:val="TOC2"/>
        <w:rPr>
          <w:rFonts w:asciiTheme="minorHAnsi" w:eastAsiaTheme="minorEastAsia" w:hAnsiTheme="minorHAnsi" w:cstheme="minorBidi"/>
          <w:noProof/>
          <w:color w:val="auto"/>
          <w:sz w:val="22"/>
          <w:szCs w:val="22"/>
          <w:lang w:eastAsia="en-AU"/>
        </w:rPr>
      </w:pPr>
      <w:r w:rsidRPr="00FD3997">
        <w:rPr>
          <w:rFonts w:cs="Arial"/>
          <w:noProof/>
        </w:rPr>
        <w:t>6.6</w:t>
      </w:r>
      <w:r>
        <w:rPr>
          <w:rFonts w:asciiTheme="minorHAnsi" w:eastAsiaTheme="minorEastAsia" w:hAnsiTheme="minorHAnsi" w:cstheme="minorBidi"/>
          <w:noProof/>
          <w:color w:val="auto"/>
          <w:sz w:val="22"/>
          <w:szCs w:val="22"/>
          <w:lang w:eastAsia="en-AU"/>
        </w:rPr>
        <w:tab/>
      </w:r>
      <w:r>
        <w:rPr>
          <w:noProof/>
        </w:rPr>
        <w:t>Marine safety</w:t>
      </w:r>
      <w:r>
        <w:rPr>
          <w:noProof/>
        </w:rPr>
        <w:tab/>
      </w:r>
      <w:r>
        <w:rPr>
          <w:noProof/>
        </w:rPr>
        <w:fldChar w:fldCharType="begin"/>
      </w:r>
      <w:r>
        <w:rPr>
          <w:noProof/>
        </w:rPr>
        <w:instrText xml:space="preserve"> PAGEREF _Toc513813358 \h </w:instrText>
      </w:r>
      <w:r>
        <w:rPr>
          <w:noProof/>
        </w:rPr>
      </w:r>
      <w:r>
        <w:rPr>
          <w:noProof/>
        </w:rPr>
        <w:fldChar w:fldCharType="separate"/>
      </w:r>
      <w:r w:rsidR="00DE2AC3">
        <w:rPr>
          <w:noProof/>
        </w:rPr>
        <w:t>25</w:t>
      </w:r>
      <w:r>
        <w:rPr>
          <w:noProof/>
        </w:rPr>
        <w:fldChar w:fldCharType="end"/>
      </w:r>
    </w:p>
    <w:p w14:paraId="0956CCB2" w14:textId="44158191" w:rsidR="008E317F" w:rsidRDefault="008E317F">
      <w:pPr>
        <w:pStyle w:val="TOC1"/>
        <w:tabs>
          <w:tab w:val="left" w:pos="600"/>
        </w:tabs>
        <w:rPr>
          <w:rFonts w:asciiTheme="minorHAnsi" w:eastAsiaTheme="minorEastAsia" w:hAnsiTheme="minorHAnsi" w:cstheme="minorBidi"/>
          <w:noProof/>
          <w:color w:val="auto"/>
          <w:sz w:val="22"/>
          <w:szCs w:val="22"/>
          <w:lang w:eastAsia="en-AU"/>
        </w:rPr>
      </w:pPr>
      <w:r>
        <w:rPr>
          <w:noProof/>
        </w:rPr>
        <w:t>7</w:t>
      </w:r>
      <w:r>
        <w:rPr>
          <w:rFonts w:asciiTheme="minorHAnsi" w:eastAsiaTheme="minorEastAsia" w:hAnsiTheme="minorHAnsi" w:cstheme="minorBidi"/>
          <w:noProof/>
          <w:color w:val="auto"/>
          <w:sz w:val="22"/>
          <w:szCs w:val="22"/>
          <w:lang w:eastAsia="en-AU"/>
        </w:rPr>
        <w:tab/>
      </w:r>
      <w:r>
        <w:rPr>
          <w:noProof/>
        </w:rPr>
        <w:t>References</w:t>
      </w:r>
      <w:r>
        <w:rPr>
          <w:noProof/>
        </w:rPr>
        <w:tab/>
      </w:r>
      <w:r>
        <w:rPr>
          <w:noProof/>
        </w:rPr>
        <w:fldChar w:fldCharType="begin"/>
      </w:r>
      <w:r>
        <w:rPr>
          <w:noProof/>
        </w:rPr>
        <w:instrText xml:space="preserve"> PAGEREF _Toc513813359 \h </w:instrText>
      </w:r>
      <w:r>
        <w:rPr>
          <w:noProof/>
        </w:rPr>
      </w:r>
      <w:r>
        <w:rPr>
          <w:noProof/>
        </w:rPr>
        <w:fldChar w:fldCharType="separate"/>
      </w:r>
      <w:r w:rsidR="00DE2AC3">
        <w:rPr>
          <w:noProof/>
        </w:rPr>
        <w:t>26</w:t>
      </w:r>
      <w:r>
        <w:rPr>
          <w:noProof/>
        </w:rPr>
        <w:fldChar w:fldCharType="end"/>
      </w:r>
    </w:p>
    <w:p w14:paraId="61F77013" w14:textId="2EF54D8A" w:rsidR="008E317F" w:rsidRDefault="008E317F">
      <w:pPr>
        <w:pStyle w:val="TOC1"/>
        <w:rPr>
          <w:rFonts w:asciiTheme="minorHAnsi" w:eastAsiaTheme="minorEastAsia" w:hAnsiTheme="minorHAnsi" w:cstheme="minorBidi"/>
          <w:noProof/>
          <w:color w:val="auto"/>
          <w:sz w:val="22"/>
          <w:szCs w:val="22"/>
          <w:lang w:eastAsia="en-AU"/>
        </w:rPr>
      </w:pPr>
      <w:r>
        <w:rPr>
          <w:noProof/>
        </w:rPr>
        <w:t>Appendix 1 Graticular block listing</w:t>
      </w:r>
      <w:r>
        <w:rPr>
          <w:noProof/>
        </w:rPr>
        <w:tab/>
      </w:r>
      <w:r>
        <w:rPr>
          <w:noProof/>
        </w:rPr>
        <w:fldChar w:fldCharType="begin"/>
      </w:r>
      <w:r>
        <w:rPr>
          <w:noProof/>
        </w:rPr>
        <w:instrText xml:space="preserve"> PAGEREF _Toc513813360 \h </w:instrText>
      </w:r>
      <w:r>
        <w:rPr>
          <w:noProof/>
        </w:rPr>
      </w:r>
      <w:r>
        <w:rPr>
          <w:noProof/>
        </w:rPr>
        <w:fldChar w:fldCharType="separate"/>
      </w:r>
      <w:r w:rsidR="00DE2AC3">
        <w:rPr>
          <w:noProof/>
        </w:rPr>
        <w:t>31</w:t>
      </w:r>
      <w:r>
        <w:rPr>
          <w:noProof/>
        </w:rPr>
        <w:fldChar w:fldCharType="end"/>
      </w:r>
    </w:p>
    <w:p w14:paraId="6C937792" w14:textId="56F75A84" w:rsidR="008E317F" w:rsidRDefault="008E317F">
      <w:pPr>
        <w:pStyle w:val="TOC1"/>
        <w:rPr>
          <w:rFonts w:asciiTheme="minorHAnsi" w:eastAsiaTheme="minorEastAsia" w:hAnsiTheme="minorHAnsi" w:cstheme="minorBidi"/>
          <w:noProof/>
          <w:color w:val="auto"/>
          <w:sz w:val="22"/>
          <w:szCs w:val="22"/>
          <w:lang w:eastAsia="en-AU"/>
        </w:rPr>
      </w:pPr>
      <w:r>
        <w:rPr>
          <w:noProof/>
        </w:rPr>
        <w:t>Appendix 2 Wells and boreholes near 18-1(v) to 18-5(v)</w:t>
      </w:r>
      <w:r>
        <w:rPr>
          <w:noProof/>
        </w:rPr>
        <w:tab/>
      </w:r>
      <w:r>
        <w:rPr>
          <w:noProof/>
        </w:rPr>
        <w:fldChar w:fldCharType="begin"/>
      </w:r>
      <w:r>
        <w:rPr>
          <w:noProof/>
        </w:rPr>
        <w:instrText xml:space="preserve"> PAGEREF _Toc513813361 \h </w:instrText>
      </w:r>
      <w:r>
        <w:rPr>
          <w:noProof/>
        </w:rPr>
      </w:r>
      <w:r>
        <w:rPr>
          <w:noProof/>
        </w:rPr>
        <w:fldChar w:fldCharType="separate"/>
      </w:r>
      <w:r w:rsidR="00DE2AC3">
        <w:rPr>
          <w:noProof/>
        </w:rPr>
        <w:t>32</w:t>
      </w:r>
      <w:r>
        <w:rPr>
          <w:noProof/>
        </w:rPr>
        <w:fldChar w:fldCharType="end"/>
      </w:r>
    </w:p>
    <w:p w14:paraId="705F00BD" w14:textId="5890B00E" w:rsidR="008E317F" w:rsidRDefault="008E317F">
      <w:pPr>
        <w:pStyle w:val="TOC1"/>
        <w:rPr>
          <w:rFonts w:asciiTheme="minorHAnsi" w:eastAsiaTheme="minorEastAsia" w:hAnsiTheme="minorHAnsi" w:cstheme="minorBidi"/>
          <w:noProof/>
          <w:color w:val="auto"/>
          <w:sz w:val="22"/>
          <w:szCs w:val="22"/>
          <w:lang w:eastAsia="en-AU"/>
        </w:rPr>
      </w:pPr>
      <w:r>
        <w:rPr>
          <w:noProof/>
        </w:rPr>
        <w:t>Appendix 3 Seismic coverage</w:t>
      </w:r>
      <w:r>
        <w:rPr>
          <w:noProof/>
        </w:rPr>
        <w:tab/>
      </w:r>
      <w:r>
        <w:rPr>
          <w:noProof/>
        </w:rPr>
        <w:fldChar w:fldCharType="begin"/>
      </w:r>
      <w:r>
        <w:rPr>
          <w:noProof/>
        </w:rPr>
        <w:instrText xml:space="preserve"> PAGEREF _Toc513813362 \h </w:instrText>
      </w:r>
      <w:r>
        <w:rPr>
          <w:noProof/>
        </w:rPr>
      </w:r>
      <w:r>
        <w:rPr>
          <w:noProof/>
        </w:rPr>
        <w:fldChar w:fldCharType="separate"/>
      </w:r>
      <w:r w:rsidR="00DE2AC3">
        <w:rPr>
          <w:noProof/>
        </w:rPr>
        <w:t>34</w:t>
      </w:r>
      <w:r>
        <w:rPr>
          <w:noProof/>
        </w:rPr>
        <w:fldChar w:fldCharType="end"/>
      </w:r>
    </w:p>
    <w:p w14:paraId="07AC57A9" w14:textId="56DA4451" w:rsidR="008E317F" w:rsidRDefault="008E317F">
      <w:pPr>
        <w:pStyle w:val="TOC1"/>
        <w:rPr>
          <w:rFonts w:asciiTheme="minorHAnsi" w:eastAsiaTheme="minorEastAsia" w:hAnsiTheme="minorHAnsi" w:cstheme="minorBidi"/>
          <w:noProof/>
          <w:color w:val="auto"/>
          <w:sz w:val="22"/>
          <w:szCs w:val="22"/>
          <w:lang w:eastAsia="en-AU"/>
        </w:rPr>
      </w:pPr>
      <w:r>
        <w:rPr>
          <w:noProof/>
        </w:rPr>
        <w:t>Appendix 4 Marine and Terrestrial Parks and Reserves</w:t>
      </w:r>
      <w:r>
        <w:rPr>
          <w:noProof/>
        </w:rPr>
        <w:tab/>
      </w:r>
      <w:r>
        <w:rPr>
          <w:noProof/>
        </w:rPr>
        <w:fldChar w:fldCharType="begin"/>
      </w:r>
      <w:r>
        <w:rPr>
          <w:noProof/>
        </w:rPr>
        <w:instrText xml:space="preserve"> PAGEREF _Toc513813363 \h </w:instrText>
      </w:r>
      <w:r>
        <w:rPr>
          <w:noProof/>
        </w:rPr>
      </w:r>
      <w:r>
        <w:rPr>
          <w:noProof/>
        </w:rPr>
        <w:fldChar w:fldCharType="separate"/>
      </w:r>
      <w:r w:rsidR="00DE2AC3">
        <w:rPr>
          <w:noProof/>
        </w:rPr>
        <w:t>35</w:t>
      </w:r>
      <w:r>
        <w:rPr>
          <w:noProof/>
        </w:rPr>
        <w:fldChar w:fldCharType="end"/>
      </w:r>
    </w:p>
    <w:p w14:paraId="79ABB1C0" w14:textId="39B1165C" w:rsidR="008E317F" w:rsidRDefault="008E317F">
      <w:pPr>
        <w:pStyle w:val="TOC1"/>
        <w:rPr>
          <w:rFonts w:asciiTheme="minorHAnsi" w:eastAsiaTheme="minorEastAsia" w:hAnsiTheme="minorHAnsi" w:cstheme="minorBidi"/>
          <w:noProof/>
          <w:color w:val="auto"/>
          <w:sz w:val="22"/>
          <w:szCs w:val="22"/>
          <w:lang w:eastAsia="en-AU"/>
        </w:rPr>
      </w:pPr>
      <w:r>
        <w:rPr>
          <w:noProof/>
        </w:rPr>
        <w:t>Appendix 5 Historic sites - protected shipwrecks</w:t>
      </w:r>
      <w:r>
        <w:rPr>
          <w:noProof/>
        </w:rPr>
        <w:tab/>
      </w:r>
      <w:r>
        <w:rPr>
          <w:noProof/>
        </w:rPr>
        <w:fldChar w:fldCharType="begin"/>
      </w:r>
      <w:r>
        <w:rPr>
          <w:noProof/>
        </w:rPr>
        <w:instrText xml:space="preserve"> PAGEREF _Toc513813364 \h </w:instrText>
      </w:r>
      <w:r>
        <w:rPr>
          <w:noProof/>
        </w:rPr>
      </w:r>
      <w:r>
        <w:rPr>
          <w:noProof/>
        </w:rPr>
        <w:fldChar w:fldCharType="separate"/>
      </w:r>
      <w:r w:rsidR="00DE2AC3">
        <w:rPr>
          <w:noProof/>
        </w:rPr>
        <w:t>36</w:t>
      </w:r>
      <w:r>
        <w:rPr>
          <w:noProof/>
        </w:rPr>
        <w:fldChar w:fldCharType="end"/>
      </w:r>
    </w:p>
    <w:p w14:paraId="7204C345" w14:textId="7C1124F8" w:rsidR="004371F6" w:rsidRDefault="0019464B" w:rsidP="004371F6">
      <w:pPr>
        <w:pStyle w:val="bodyCopy"/>
      </w:pPr>
      <w:r>
        <w:rPr>
          <w:noProof/>
          <w:color w:val="auto"/>
          <w:lang w:eastAsia="en-AU"/>
        </w:rPr>
        <w:fldChar w:fldCharType="end"/>
      </w:r>
      <w:r w:rsidR="004371F6">
        <w:br w:type="page"/>
      </w:r>
    </w:p>
    <w:p w14:paraId="3BC421FB" w14:textId="77777777" w:rsidR="0018740E" w:rsidRPr="00F751B9" w:rsidRDefault="005E66F2" w:rsidP="00010204">
      <w:pPr>
        <w:pStyle w:val="Heading1"/>
      </w:pPr>
      <w:bookmarkStart w:id="1" w:name="_Toc513813335"/>
      <w:r w:rsidRPr="00F751B9">
        <w:lastRenderedPageBreak/>
        <w:t>Victorian</w:t>
      </w:r>
      <w:r w:rsidR="00774C45">
        <w:t xml:space="preserve"> </w:t>
      </w:r>
      <w:r w:rsidR="001B6C62">
        <w:t>o</w:t>
      </w:r>
      <w:r w:rsidRPr="00F751B9">
        <w:t>ffshore petroleum acreage release</w:t>
      </w:r>
      <w:r w:rsidR="00670157">
        <w:t xml:space="preserve"> </w:t>
      </w:r>
      <w:r w:rsidR="00670157" w:rsidRPr="00F751B9">
        <w:t>2018</w:t>
      </w:r>
      <w:bookmarkEnd w:id="1"/>
    </w:p>
    <w:p w14:paraId="6E587405" w14:textId="77777777" w:rsidR="009D7345" w:rsidRDefault="009D7345" w:rsidP="00606E0C">
      <w:pPr>
        <w:pStyle w:val="Heading2"/>
      </w:pPr>
      <w:bookmarkStart w:id="2" w:name="_Toc513813336"/>
      <w:r>
        <w:t>Summary information</w:t>
      </w:r>
      <w:bookmarkEnd w:id="2"/>
    </w:p>
    <w:p w14:paraId="5267DBDA" w14:textId="4833D575" w:rsidR="00774C45" w:rsidRDefault="00774C45" w:rsidP="00853FDD">
      <w:pPr>
        <w:pStyle w:val="bodyCopy"/>
      </w:pPr>
      <w:r>
        <w:t xml:space="preserve">The Victorian Government is inviting applications for five </w:t>
      </w:r>
      <w:r w:rsidR="00DE32EE">
        <w:t>petroleum acreage release areas</w:t>
      </w:r>
      <w:r>
        <w:t xml:space="preserve"> 18-1(v), </w:t>
      </w:r>
      <w:r w:rsidR="00DE32EE">
        <w:t>18-2(v), 18-3</w:t>
      </w:r>
      <w:r>
        <w:t>(v)</w:t>
      </w:r>
      <w:r w:rsidR="00DE32EE">
        <w:t xml:space="preserve">, 18-4(v) and 18-5(v), within </w:t>
      </w:r>
      <w:r>
        <w:t>State Coastal Waters in the Otway Basin</w:t>
      </w:r>
      <w:r w:rsidR="00225110">
        <w:t xml:space="preserve"> (Figure 1</w:t>
      </w:r>
      <w:r w:rsidR="00853FDD">
        <w:t>)</w:t>
      </w:r>
      <w:r>
        <w:t xml:space="preserve">. </w:t>
      </w:r>
      <w:r w:rsidR="00BC63D3" w:rsidRPr="00D93AC2">
        <w:t xml:space="preserve">These five offshore acreage release areas cover </w:t>
      </w:r>
      <w:r w:rsidR="00606E0C" w:rsidRPr="00853FDD">
        <w:t>13</w:t>
      </w:r>
      <w:r w:rsidR="00412942">
        <w:t>18</w:t>
      </w:r>
      <w:r w:rsidRPr="00853FDD">
        <w:t xml:space="preserve"> km</w:t>
      </w:r>
      <w:r w:rsidRPr="00853FDD">
        <w:rPr>
          <w:vertAlign w:val="superscript"/>
        </w:rPr>
        <w:t>2</w:t>
      </w:r>
      <w:r>
        <w:t xml:space="preserve"> and </w:t>
      </w:r>
      <w:r w:rsidR="00DE32EE">
        <w:t>are</w:t>
      </w:r>
      <w:r>
        <w:t xml:space="preserve"> located </w:t>
      </w:r>
      <w:r w:rsidR="00BA62DD">
        <w:t xml:space="preserve">between Port Campbell and the South Australian border. </w:t>
      </w:r>
    </w:p>
    <w:p w14:paraId="756A13BB" w14:textId="77777777" w:rsidR="00606E0C" w:rsidRPr="00606E0C" w:rsidRDefault="00853FDD" w:rsidP="00494E6D">
      <w:pPr>
        <w:pStyle w:val="bodyCopy"/>
        <w:rPr>
          <w:rFonts w:cs="Arial"/>
          <w:lang w:eastAsia="en-AU"/>
        </w:rPr>
      </w:pPr>
      <w:r>
        <w:rPr>
          <w:lang w:val="en-US"/>
        </w:rPr>
        <w:t xml:space="preserve">The five petroleum release areas are all underexplored with limited seismic acquisition and no previous exploration drilling. </w:t>
      </w:r>
      <w:r w:rsidRPr="00606E0C">
        <w:rPr>
          <w:rFonts w:cs="Arial"/>
          <w:lang w:eastAsia="en-AU"/>
        </w:rPr>
        <w:t xml:space="preserve">18-4(v) and 18-5(v) are adjacent to existing producing gas fields in the Shipwreck Trough. </w:t>
      </w:r>
      <w:r>
        <w:rPr>
          <w:rFonts w:cs="Arial"/>
          <w:lang w:eastAsia="en-AU"/>
        </w:rPr>
        <w:t>This</w:t>
      </w:r>
      <w:r w:rsidR="00606E0C" w:rsidRPr="00606E0C">
        <w:rPr>
          <w:rFonts w:cs="Arial"/>
          <w:lang w:eastAsia="en-AU"/>
        </w:rPr>
        <w:t xml:space="preserve"> acreage</w:t>
      </w:r>
      <w:r w:rsidR="00670157">
        <w:rPr>
          <w:rFonts w:cs="Arial"/>
          <w:lang w:eastAsia="en-AU"/>
        </w:rPr>
        <w:t xml:space="preserve"> is within the proven Austral 2</w:t>
      </w:r>
      <w:r w:rsidR="00606E0C" w:rsidRPr="00606E0C">
        <w:rPr>
          <w:rFonts w:cs="Arial"/>
          <w:lang w:eastAsia="en-AU"/>
        </w:rPr>
        <w:t xml:space="preserve"> petroleum system and could provide exploration opportunities similar to the Halladale and Speculant gas fields, b</w:t>
      </w:r>
      <w:r w:rsidR="002B752A">
        <w:rPr>
          <w:rFonts w:cs="Arial"/>
          <w:lang w:eastAsia="en-AU"/>
        </w:rPr>
        <w:t>rought into production in 2016.</w:t>
      </w:r>
    </w:p>
    <w:p w14:paraId="0183EF76" w14:textId="77777777" w:rsidR="003508BB" w:rsidRPr="003508BB" w:rsidRDefault="00606E0C" w:rsidP="00853FDD">
      <w:pPr>
        <w:pStyle w:val="bodyCopy"/>
        <w:rPr>
          <w:rFonts w:cs="Arial"/>
          <w:lang w:eastAsia="en-AU"/>
        </w:rPr>
      </w:pPr>
      <w:r w:rsidRPr="00606E0C">
        <w:rPr>
          <w:rFonts w:cs="Arial"/>
          <w:lang w:eastAsia="en-AU"/>
        </w:rPr>
        <w:t>Drilling from onshore to access offshore fields is permissible, s</w:t>
      </w:r>
      <w:r w:rsidR="003508BB">
        <w:rPr>
          <w:rFonts w:cs="Arial"/>
          <w:lang w:eastAsia="en-AU"/>
        </w:rPr>
        <w:t>ubject to regulatory approvals.</w:t>
      </w:r>
    </w:p>
    <w:p w14:paraId="3D864587" w14:textId="77777777" w:rsidR="00225110" w:rsidRDefault="00BC63D3" w:rsidP="00E21161">
      <w:pPr>
        <w:pStyle w:val="bodyCopy"/>
        <w:rPr>
          <w:lang w:val="en-US"/>
        </w:rPr>
      </w:pPr>
      <w:r>
        <w:rPr>
          <w:lang w:val="en-US"/>
        </w:rPr>
        <w:t xml:space="preserve">Applications for the five blocks are via work program bidding, with the release closing </w:t>
      </w:r>
      <w:r w:rsidR="003C1BD0">
        <w:rPr>
          <w:lang w:val="en-US"/>
        </w:rPr>
        <w:t xml:space="preserve">at 6pm </w:t>
      </w:r>
      <w:r>
        <w:rPr>
          <w:lang w:val="en-US"/>
        </w:rPr>
        <w:t xml:space="preserve">on </w:t>
      </w:r>
      <w:r w:rsidR="00606E0C">
        <w:rPr>
          <w:lang w:val="en-US"/>
        </w:rPr>
        <w:t xml:space="preserve">15 </w:t>
      </w:r>
      <w:r>
        <w:rPr>
          <w:lang w:val="en-US"/>
        </w:rPr>
        <w:t>February 2019.</w:t>
      </w:r>
      <w:r w:rsidR="00225110">
        <w:rPr>
          <w:lang w:val="en-US"/>
        </w:rPr>
        <w:t xml:space="preserve"> </w:t>
      </w:r>
    </w:p>
    <w:p w14:paraId="632626B5" w14:textId="122637FF" w:rsidR="00853FDD" w:rsidRDefault="00225110" w:rsidP="00E21161">
      <w:pPr>
        <w:pStyle w:val="bodyCopy"/>
        <w:rPr>
          <w:lang w:val="en-US"/>
        </w:rPr>
      </w:pPr>
      <w:r>
        <w:rPr>
          <w:lang w:val="en-US"/>
        </w:rPr>
        <w:t xml:space="preserve">Details regarding applications are included in the </w:t>
      </w:r>
      <w:r w:rsidRPr="00225110">
        <w:rPr>
          <w:i/>
          <w:lang w:val="en-US"/>
        </w:rPr>
        <w:t>2018 Offshore Acreage Release – Application form</w:t>
      </w:r>
      <w:r>
        <w:rPr>
          <w:lang w:val="en-US"/>
        </w:rPr>
        <w:t xml:space="preserve">, released with this report and available at </w:t>
      </w:r>
      <w:hyperlink r:id="rId17" w:history="1">
        <w:r w:rsidR="006A1C7E">
          <w:rPr>
            <w:rStyle w:val="Hyperlink"/>
            <w:lang w:val="en-US"/>
          </w:rPr>
          <w:t>http://earthresources.vic.gov.au/home/2018-acreage-release</w:t>
        </w:r>
      </w:hyperlink>
      <w:r>
        <w:rPr>
          <w:lang w:val="en-US"/>
        </w:rPr>
        <w:t>.</w:t>
      </w:r>
    </w:p>
    <w:p w14:paraId="49A7CAD1" w14:textId="77777777" w:rsidR="00F751B9" w:rsidRPr="00670157" w:rsidRDefault="00DE32EE" w:rsidP="00670157">
      <w:pPr>
        <w:pStyle w:val="bodyCopy"/>
      </w:pPr>
      <w:r>
        <w:rPr>
          <w:noProof/>
          <w:lang w:eastAsia="en-AU"/>
        </w:rPr>
        <w:drawing>
          <wp:inline distT="0" distB="0" distL="0" distR="0" wp14:anchorId="510EA7EF" wp14:editId="3A4D6254">
            <wp:extent cx="5772150" cy="4207130"/>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v0108_acreage_release_2018_Flyer_Map.png"/>
                    <pic:cNvPicPr/>
                  </pic:nvPicPr>
                  <pic:blipFill rotWithShape="1">
                    <a:blip r:embed="rId18" cstate="print">
                      <a:extLst>
                        <a:ext uri="{28A0092B-C50C-407E-A947-70E740481C1C}">
                          <a14:useLocalDpi xmlns:a14="http://schemas.microsoft.com/office/drawing/2010/main" val="0"/>
                        </a:ext>
                      </a:extLst>
                    </a:blip>
                    <a:srcRect l="8919" t="6998" r="11855" b="10995"/>
                    <a:stretch/>
                  </pic:blipFill>
                  <pic:spPr bwMode="auto">
                    <a:xfrm>
                      <a:off x="0" y="0"/>
                      <a:ext cx="5780143" cy="42129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1C7E54" w14:textId="56532135" w:rsidR="00F751B9" w:rsidRDefault="00F751B9" w:rsidP="00F751B9">
      <w:pPr>
        <w:pStyle w:val="Caption"/>
      </w:pPr>
      <w:bookmarkStart w:id="3" w:name="_Toc513629355"/>
      <w:r>
        <w:t xml:space="preserve">Figure </w:t>
      </w:r>
      <w:r w:rsidR="00A004A8">
        <w:fldChar w:fldCharType="begin"/>
      </w:r>
      <w:r w:rsidR="00A004A8">
        <w:instrText xml:space="preserve"> SEQ Figure \* ARABIC </w:instrText>
      </w:r>
      <w:r w:rsidR="00A004A8">
        <w:fldChar w:fldCharType="separate"/>
      </w:r>
      <w:r w:rsidR="00DE2AC3">
        <w:rPr>
          <w:noProof/>
        </w:rPr>
        <w:t>1</w:t>
      </w:r>
      <w:r w:rsidR="00A004A8">
        <w:rPr>
          <w:noProof/>
        </w:rPr>
        <w:fldChar w:fldCharType="end"/>
      </w:r>
      <w:r>
        <w:t xml:space="preserve"> </w:t>
      </w:r>
      <w:r w:rsidRPr="00BD5DC4">
        <w:t xml:space="preserve">Location of the 2018 offshore petroleum acreage release in the Otway </w:t>
      </w:r>
      <w:r>
        <w:t>B</w:t>
      </w:r>
      <w:r w:rsidRPr="00BD5DC4">
        <w:t>asin</w:t>
      </w:r>
      <w:bookmarkEnd w:id="3"/>
    </w:p>
    <w:p w14:paraId="71274483" w14:textId="77777777" w:rsidR="00853FDD" w:rsidRPr="00BC63D3" w:rsidRDefault="00853FDD" w:rsidP="00853FDD">
      <w:pPr>
        <w:pStyle w:val="bodyCopy"/>
        <w:rPr>
          <w:lang w:val="en-US"/>
        </w:rPr>
      </w:pPr>
    </w:p>
    <w:p w14:paraId="0A7C5A4B" w14:textId="77777777" w:rsidR="00B53734" w:rsidRPr="00A81761" w:rsidRDefault="00B53734" w:rsidP="00B53734">
      <w:pPr>
        <w:pStyle w:val="Heading2"/>
      </w:pPr>
      <w:bookmarkStart w:id="4" w:name="_Toc513813337"/>
      <w:r>
        <w:lastRenderedPageBreak/>
        <w:t>Victorian Gas Program</w:t>
      </w:r>
      <w:bookmarkEnd w:id="4"/>
    </w:p>
    <w:p w14:paraId="5FA096BB" w14:textId="77777777" w:rsidR="00B53734" w:rsidRDefault="00B53734" w:rsidP="00B53734">
      <w:pPr>
        <w:pStyle w:val="bodyCopy"/>
      </w:pPr>
      <w:r w:rsidRPr="00A81761">
        <w:t>The Victorian State Government has allocated $42.5 million to the Geological Survey of Victoria (GSV) to deliver the Victorian Gas Program, which includes actions to support commercial exploration for further discoverie</w:t>
      </w:r>
      <w:r w:rsidR="00C81388">
        <w:t>s of gas off Victoria’s coast.</w:t>
      </w:r>
    </w:p>
    <w:p w14:paraId="2EC37993" w14:textId="7C819003" w:rsidR="00013F24" w:rsidRPr="001E0497" w:rsidRDefault="00013F24" w:rsidP="00670157">
      <w:pPr>
        <w:pStyle w:val="bodyCopy"/>
        <w:rPr>
          <w:lang w:val="en-GB" w:eastAsia="en-GB"/>
        </w:rPr>
      </w:pPr>
      <w:r w:rsidRPr="001E0497">
        <w:rPr>
          <w:lang w:val="en-GB" w:eastAsia="en-GB"/>
        </w:rPr>
        <w:t>The</w:t>
      </w:r>
      <w:r>
        <w:rPr>
          <w:lang w:val="en-GB" w:eastAsia="en-GB"/>
        </w:rPr>
        <w:t xml:space="preserve"> </w:t>
      </w:r>
      <w:r w:rsidRPr="001E0497">
        <w:rPr>
          <w:lang w:val="en-GB" w:eastAsia="en-GB"/>
        </w:rPr>
        <w:t>Victorian</w:t>
      </w:r>
      <w:r>
        <w:rPr>
          <w:lang w:val="en-GB" w:eastAsia="en-GB"/>
        </w:rPr>
        <w:t xml:space="preserve"> </w:t>
      </w:r>
      <w:r w:rsidRPr="001E0497">
        <w:rPr>
          <w:lang w:val="en-GB" w:eastAsia="en-GB"/>
        </w:rPr>
        <w:t>Gas</w:t>
      </w:r>
      <w:r>
        <w:rPr>
          <w:lang w:val="en-GB" w:eastAsia="en-GB"/>
        </w:rPr>
        <w:t xml:space="preserve"> </w:t>
      </w:r>
      <w:r w:rsidRPr="001E0497">
        <w:rPr>
          <w:lang w:val="en-GB" w:eastAsia="en-GB"/>
        </w:rPr>
        <w:t>Program</w:t>
      </w:r>
      <w:r w:rsidR="00BA319F">
        <w:rPr>
          <w:lang w:val="en-GB" w:eastAsia="en-GB"/>
        </w:rPr>
        <w:t xml:space="preserve"> (VGP)</w:t>
      </w:r>
      <w:r w:rsidRPr="001E0497">
        <w:rPr>
          <w:lang w:val="en-GB" w:eastAsia="en-GB"/>
        </w:rPr>
        <w:t>,</w:t>
      </w:r>
      <w:r>
        <w:rPr>
          <w:lang w:val="en-GB" w:eastAsia="en-GB"/>
        </w:rPr>
        <w:t xml:space="preserve"> </w:t>
      </w:r>
      <w:r w:rsidRPr="001E0497">
        <w:rPr>
          <w:lang w:val="en-GB" w:eastAsia="en-GB"/>
        </w:rPr>
        <w:t>which</w:t>
      </w:r>
      <w:r>
        <w:rPr>
          <w:lang w:val="en-GB" w:eastAsia="en-GB"/>
        </w:rPr>
        <w:t xml:space="preserve"> </w:t>
      </w:r>
      <w:r w:rsidRPr="001E0497">
        <w:rPr>
          <w:lang w:val="en-GB" w:eastAsia="en-GB"/>
        </w:rPr>
        <w:t>is</w:t>
      </w:r>
      <w:r>
        <w:rPr>
          <w:lang w:val="en-GB" w:eastAsia="en-GB"/>
        </w:rPr>
        <w:t xml:space="preserve"> </w:t>
      </w:r>
      <w:r w:rsidRPr="001E0497">
        <w:rPr>
          <w:lang w:val="en-GB" w:eastAsia="en-GB"/>
        </w:rPr>
        <w:t>currently</w:t>
      </w:r>
      <w:r>
        <w:rPr>
          <w:lang w:val="en-GB" w:eastAsia="en-GB"/>
        </w:rPr>
        <w:t xml:space="preserve"> </w:t>
      </w:r>
      <w:r w:rsidRPr="001E0497">
        <w:rPr>
          <w:lang w:val="en-GB" w:eastAsia="en-GB"/>
        </w:rPr>
        <w:t>underway</w:t>
      </w:r>
      <w:r>
        <w:rPr>
          <w:lang w:val="en-GB" w:eastAsia="en-GB"/>
        </w:rPr>
        <w:t xml:space="preserve"> </w:t>
      </w:r>
      <w:r w:rsidRPr="001E0497">
        <w:rPr>
          <w:lang w:val="en-GB" w:eastAsia="en-GB"/>
        </w:rPr>
        <w:t>until</w:t>
      </w:r>
      <w:r>
        <w:rPr>
          <w:lang w:val="en-GB" w:eastAsia="en-GB"/>
        </w:rPr>
        <w:t xml:space="preserve"> </w:t>
      </w:r>
      <w:r w:rsidRPr="001E0497">
        <w:rPr>
          <w:lang w:val="en-GB" w:eastAsia="en-GB"/>
        </w:rPr>
        <w:t>2020,</w:t>
      </w:r>
      <w:r>
        <w:rPr>
          <w:lang w:val="en-GB" w:eastAsia="en-GB"/>
        </w:rPr>
        <w:t xml:space="preserve"> </w:t>
      </w:r>
      <w:r w:rsidRPr="001E0497">
        <w:rPr>
          <w:lang w:val="en-GB" w:eastAsia="en-GB"/>
        </w:rPr>
        <w:t>will</w:t>
      </w:r>
      <w:r>
        <w:rPr>
          <w:lang w:val="en-GB" w:eastAsia="en-GB"/>
        </w:rPr>
        <w:t xml:space="preserve"> </w:t>
      </w:r>
      <w:r w:rsidRPr="001E0497">
        <w:rPr>
          <w:lang w:val="en-GB" w:eastAsia="en-GB"/>
        </w:rPr>
        <w:t>deliver</w:t>
      </w:r>
      <w:r>
        <w:rPr>
          <w:lang w:val="en-GB" w:eastAsia="en-GB"/>
        </w:rPr>
        <w:t xml:space="preserve"> </w:t>
      </w:r>
      <w:r w:rsidRPr="001E0497">
        <w:rPr>
          <w:lang w:val="en-GB" w:eastAsia="en-GB"/>
        </w:rPr>
        <w:t>a</w:t>
      </w:r>
      <w:r>
        <w:rPr>
          <w:lang w:val="en-GB" w:eastAsia="en-GB"/>
        </w:rPr>
        <w:t xml:space="preserve"> </w:t>
      </w:r>
      <w:r w:rsidRPr="001E0497">
        <w:rPr>
          <w:lang w:val="en-GB" w:eastAsia="en-GB"/>
        </w:rPr>
        <w:t>comprehensive</w:t>
      </w:r>
      <w:r>
        <w:rPr>
          <w:lang w:val="en-GB" w:eastAsia="en-GB"/>
        </w:rPr>
        <w:t xml:space="preserve"> </w:t>
      </w:r>
      <w:r w:rsidRPr="001E0497">
        <w:rPr>
          <w:lang w:val="en-GB" w:eastAsia="en-GB"/>
        </w:rPr>
        <w:t>program</w:t>
      </w:r>
      <w:r>
        <w:rPr>
          <w:lang w:val="en-GB" w:eastAsia="en-GB"/>
        </w:rPr>
        <w:t xml:space="preserve"> </w:t>
      </w:r>
      <w:r w:rsidRPr="001E0497">
        <w:rPr>
          <w:lang w:val="en-GB" w:eastAsia="en-GB"/>
        </w:rPr>
        <w:t>of</w:t>
      </w:r>
      <w:r>
        <w:rPr>
          <w:lang w:val="en-GB" w:eastAsia="en-GB"/>
        </w:rPr>
        <w:t xml:space="preserve"> </w:t>
      </w:r>
      <w:r w:rsidRPr="001E0497">
        <w:rPr>
          <w:lang w:val="en-GB" w:eastAsia="en-GB"/>
        </w:rPr>
        <w:t>geoscience</w:t>
      </w:r>
      <w:r>
        <w:rPr>
          <w:lang w:val="en-GB" w:eastAsia="en-GB"/>
        </w:rPr>
        <w:t xml:space="preserve"> </w:t>
      </w:r>
      <w:r w:rsidRPr="001E0497">
        <w:rPr>
          <w:lang w:val="en-GB" w:eastAsia="en-GB"/>
        </w:rPr>
        <w:t>and</w:t>
      </w:r>
      <w:r>
        <w:rPr>
          <w:lang w:val="en-GB" w:eastAsia="en-GB"/>
        </w:rPr>
        <w:t xml:space="preserve"> </w:t>
      </w:r>
      <w:r w:rsidRPr="001E0497">
        <w:rPr>
          <w:lang w:val="en-GB" w:eastAsia="en-GB"/>
        </w:rPr>
        <w:t>environmental</w:t>
      </w:r>
      <w:r>
        <w:rPr>
          <w:lang w:val="en-GB" w:eastAsia="en-GB"/>
        </w:rPr>
        <w:t xml:space="preserve"> </w:t>
      </w:r>
      <w:r w:rsidRPr="001E0497">
        <w:rPr>
          <w:lang w:val="en-GB" w:eastAsia="en-GB"/>
        </w:rPr>
        <w:t>research</w:t>
      </w:r>
      <w:r>
        <w:rPr>
          <w:lang w:val="en-GB" w:eastAsia="en-GB"/>
        </w:rPr>
        <w:t xml:space="preserve"> </w:t>
      </w:r>
      <w:r w:rsidRPr="001E0497">
        <w:rPr>
          <w:lang w:val="en-GB" w:eastAsia="en-GB"/>
        </w:rPr>
        <w:t>and</w:t>
      </w:r>
      <w:r>
        <w:rPr>
          <w:lang w:val="en-GB" w:eastAsia="en-GB"/>
        </w:rPr>
        <w:t xml:space="preserve"> </w:t>
      </w:r>
      <w:r w:rsidRPr="001E0497">
        <w:rPr>
          <w:lang w:val="en-GB" w:eastAsia="en-GB"/>
        </w:rPr>
        <w:t>related</w:t>
      </w:r>
      <w:r>
        <w:rPr>
          <w:lang w:val="en-GB" w:eastAsia="en-GB"/>
        </w:rPr>
        <w:t xml:space="preserve"> </w:t>
      </w:r>
      <w:r w:rsidRPr="001E0497">
        <w:rPr>
          <w:lang w:val="en-GB" w:eastAsia="en-GB"/>
        </w:rPr>
        <w:t>activities,</w:t>
      </w:r>
      <w:r>
        <w:rPr>
          <w:lang w:val="en-GB" w:eastAsia="en-GB"/>
        </w:rPr>
        <w:t xml:space="preserve"> </w:t>
      </w:r>
      <w:r w:rsidRPr="001E0497">
        <w:rPr>
          <w:lang w:val="en-GB" w:eastAsia="en-GB"/>
        </w:rPr>
        <w:t>including</w:t>
      </w:r>
      <w:r>
        <w:rPr>
          <w:lang w:val="en-GB" w:eastAsia="en-GB"/>
        </w:rPr>
        <w:t xml:space="preserve"> </w:t>
      </w:r>
      <w:r w:rsidRPr="001E0497">
        <w:rPr>
          <w:lang w:val="en-GB" w:eastAsia="en-GB"/>
        </w:rPr>
        <w:t>community</w:t>
      </w:r>
      <w:r>
        <w:rPr>
          <w:lang w:val="en-GB" w:eastAsia="en-GB"/>
        </w:rPr>
        <w:t xml:space="preserve"> </w:t>
      </w:r>
      <w:r w:rsidRPr="001E0497">
        <w:rPr>
          <w:lang w:val="en-GB" w:eastAsia="en-GB"/>
        </w:rPr>
        <w:t>engagement,</w:t>
      </w:r>
      <w:r>
        <w:rPr>
          <w:lang w:val="en-GB" w:eastAsia="en-GB"/>
        </w:rPr>
        <w:t xml:space="preserve"> </w:t>
      </w:r>
      <w:r w:rsidRPr="001E0497">
        <w:rPr>
          <w:lang w:val="en-GB" w:eastAsia="en-GB"/>
        </w:rPr>
        <w:t>resource</w:t>
      </w:r>
      <w:r>
        <w:rPr>
          <w:lang w:val="en-GB" w:eastAsia="en-GB"/>
        </w:rPr>
        <w:t xml:space="preserve"> </w:t>
      </w:r>
      <w:r w:rsidRPr="001E0497">
        <w:rPr>
          <w:lang w:val="en-GB" w:eastAsia="en-GB"/>
        </w:rPr>
        <w:t>planning</w:t>
      </w:r>
      <w:r>
        <w:rPr>
          <w:lang w:val="en-GB" w:eastAsia="en-GB"/>
        </w:rPr>
        <w:t xml:space="preserve"> </w:t>
      </w:r>
      <w:r w:rsidRPr="001E0497">
        <w:rPr>
          <w:lang w:val="en-GB" w:eastAsia="en-GB"/>
        </w:rPr>
        <w:t>and</w:t>
      </w:r>
      <w:r>
        <w:rPr>
          <w:lang w:val="en-GB" w:eastAsia="en-GB"/>
        </w:rPr>
        <w:t xml:space="preserve"> </w:t>
      </w:r>
      <w:r w:rsidRPr="001E0497">
        <w:rPr>
          <w:lang w:val="en-GB" w:eastAsia="en-GB"/>
        </w:rPr>
        <w:t>regulatory</w:t>
      </w:r>
      <w:r>
        <w:rPr>
          <w:lang w:val="en-GB" w:eastAsia="en-GB"/>
        </w:rPr>
        <w:t xml:space="preserve"> </w:t>
      </w:r>
      <w:r w:rsidRPr="001E0497">
        <w:rPr>
          <w:lang w:val="en-GB" w:eastAsia="en-GB"/>
        </w:rPr>
        <w:t>improvements</w:t>
      </w:r>
      <w:r>
        <w:rPr>
          <w:lang w:val="en-GB" w:eastAsia="en-GB"/>
        </w:rPr>
        <w:t xml:space="preserve"> </w:t>
      </w:r>
      <w:r w:rsidRPr="001E0497">
        <w:rPr>
          <w:lang w:val="en-GB" w:eastAsia="en-GB"/>
        </w:rPr>
        <w:t>for</w:t>
      </w:r>
      <w:r>
        <w:rPr>
          <w:lang w:val="en-GB" w:eastAsia="en-GB"/>
        </w:rPr>
        <w:t xml:space="preserve"> </w:t>
      </w:r>
      <w:r w:rsidRPr="001E0497">
        <w:rPr>
          <w:lang w:val="en-GB" w:eastAsia="en-GB"/>
        </w:rPr>
        <w:t>onshore</w:t>
      </w:r>
      <w:r>
        <w:rPr>
          <w:lang w:val="en-GB" w:eastAsia="en-GB"/>
        </w:rPr>
        <w:t xml:space="preserve"> </w:t>
      </w:r>
      <w:r w:rsidRPr="001E0497">
        <w:rPr>
          <w:lang w:val="en-GB" w:eastAsia="en-GB"/>
        </w:rPr>
        <w:t>conventional</w:t>
      </w:r>
      <w:r>
        <w:rPr>
          <w:lang w:val="en-GB" w:eastAsia="en-GB"/>
        </w:rPr>
        <w:t xml:space="preserve"> </w:t>
      </w:r>
      <w:r w:rsidRPr="001E0497">
        <w:rPr>
          <w:lang w:val="en-GB" w:eastAsia="en-GB"/>
        </w:rPr>
        <w:t>gas,</w:t>
      </w:r>
      <w:r>
        <w:rPr>
          <w:lang w:val="en-GB" w:eastAsia="en-GB"/>
        </w:rPr>
        <w:t xml:space="preserve"> </w:t>
      </w:r>
      <w:r w:rsidRPr="001E0497">
        <w:rPr>
          <w:lang w:val="en-GB" w:eastAsia="en-GB"/>
        </w:rPr>
        <w:t>offshore</w:t>
      </w:r>
      <w:r>
        <w:rPr>
          <w:lang w:val="en-GB" w:eastAsia="en-GB"/>
        </w:rPr>
        <w:t xml:space="preserve"> </w:t>
      </w:r>
      <w:r w:rsidRPr="001E0497">
        <w:rPr>
          <w:lang w:val="en-GB" w:eastAsia="en-GB"/>
        </w:rPr>
        <w:t>gas</w:t>
      </w:r>
      <w:r>
        <w:rPr>
          <w:lang w:val="en-GB" w:eastAsia="en-GB"/>
        </w:rPr>
        <w:t xml:space="preserve"> </w:t>
      </w:r>
      <w:r w:rsidRPr="001E0497">
        <w:rPr>
          <w:lang w:val="en-GB" w:eastAsia="en-GB"/>
        </w:rPr>
        <w:t>and</w:t>
      </w:r>
      <w:r>
        <w:rPr>
          <w:lang w:val="en-GB" w:eastAsia="en-GB"/>
        </w:rPr>
        <w:t xml:space="preserve"> </w:t>
      </w:r>
      <w:r w:rsidRPr="001E0497">
        <w:rPr>
          <w:lang w:val="en-GB" w:eastAsia="en-GB"/>
        </w:rPr>
        <w:t>underground</w:t>
      </w:r>
      <w:r>
        <w:rPr>
          <w:lang w:val="en-GB" w:eastAsia="en-GB"/>
        </w:rPr>
        <w:t xml:space="preserve"> </w:t>
      </w:r>
      <w:r w:rsidRPr="001E0497">
        <w:rPr>
          <w:lang w:val="en-GB" w:eastAsia="en-GB"/>
        </w:rPr>
        <w:t>gas</w:t>
      </w:r>
      <w:r>
        <w:rPr>
          <w:lang w:val="en-GB" w:eastAsia="en-GB"/>
        </w:rPr>
        <w:t xml:space="preserve"> </w:t>
      </w:r>
      <w:r w:rsidRPr="001E0497">
        <w:rPr>
          <w:lang w:val="en-GB" w:eastAsia="en-GB"/>
        </w:rPr>
        <w:t>storage.</w:t>
      </w:r>
      <w:r>
        <w:rPr>
          <w:lang w:val="en-GB" w:eastAsia="en-GB"/>
        </w:rPr>
        <w:t xml:space="preserve"> </w:t>
      </w:r>
      <w:r w:rsidRPr="001E0497">
        <w:rPr>
          <w:lang w:val="en-GB" w:eastAsia="en-GB"/>
        </w:rPr>
        <w:t>It</w:t>
      </w:r>
      <w:r>
        <w:rPr>
          <w:lang w:val="en-GB" w:eastAsia="en-GB"/>
        </w:rPr>
        <w:t xml:space="preserve"> </w:t>
      </w:r>
      <w:r w:rsidRPr="001E0497">
        <w:rPr>
          <w:lang w:val="en-GB" w:eastAsia="en-GB"/>
        </w:rPr>
        <w:t>will</w:t>
      </w:r>
      <w:r>
        <w:rPr>
          <w:lang w:val="en-GB" w:eastAsia="en-GB"/>
        </w:rPr>
        <w:t xml:space="preserve"> </w:t>
      </w:r>
      <w:r w:rsidRPr="001E0497">
        <w:rPr>
          <w:lang w:val="en-GB" w:eastAsia="en-GB"/>
        </w:rPr>
        <w:t>assess</w:t>
      </w:r>
      <w:r>
        <w:rPr>
          <w:lang w:val="en-GB" w:eastAsia="en-GB"/>
        </w:rPr>
        <w:t xml:space="preserve"> </w:t>
      </w:r>
      <w:r w:rsidRPr="001E0497">
        <w:rPr>
          <w:lang w:val="en-GB" w:eastAsia="en-GB"/>
        </w:rPr>
        <w:t>Victoria’s</w:t>
      </w:r>
      <w:r>
        <w:rPr>
          <w:lang w:val="en-GB" w:eastAsia="en-GB"/>
        </w:rPr>
        <w:t xml:space="preserve"> </w:t>
      </w:r>
      <w:r w:rsidRPr="001E0497">
        <w:rPr>
          <w:lang w:val="en-GB" w:eastAsia="en-GB"/>
        </w:rPr>
        <w:t>gas</w:t>
      </w:r>
      <w:r>
        <w:rPr>
          <w:lang w:val="en-GB" w:eastAsia="en-GB"/>
        </w:rPr>
        <w:t xml:space="preserve"> </w:t>
      </w:r>
      <w:r w:rsidRPr="001E0497">
        <w:rPr>
          <w:lang w:val="en-GB" w:eastAsia="en-GB"/>
        </w:rPr>
        <w:t>prospectivity</w:t>
      </w:r>
      <w:r>
        <w:rPr>
          <w:lang w:val="en-GB" w:eastAsia="en-GB"/>
        </w:rPr>
        <w:t xml:space="preserve"> </w:t>
      </w:r>
      <w:r w:rsidRPr="001E0497">
        <w:rPr>
          <w:lang w:val="en-GB" w:eastAsia="en-GB"/>
        </w:rPr>
        <w:t>and</w:t>
      </w:r>
      <w:r>
        <w:rPr>
          <w:lang w:val="en-GB" w:eastAsia="en-GB"/>
        </w:rPr>
        <w:t xml:space="preserve"> </w:t>
      </w:r>
      <w:r w:rsidRPr="001E0497">
        <w:rPr>
          <w:lang w:val="en-GB" w:eastAsia="en-GB"/>
        </w:rPr>
        <w:t>issues</w:t>
      </w:r>
      <w:r>
        <w:rPr>
          <w:lang w:val="en-GB" w:eastAsia="en-GB"/>
        </w:rPr>
        <w:t xml:space="preserve"> </w:t>
      </w:r>
      <w:r w:rsidRPr="001E0497">
        <w:rPr>
          <w:lang w:val="en-GB" w:eastAsia="en-GB"/>
        </w:rPr>
        <w:t>associated</w:t>
      </w:r>
      <w:r>
        <w:rPr>
          <w:lang w:val="en-GB" w:eastAsia="en-GB"/>
        </w:rPr>
        <w:t xml:space="preserve"> </w:t>
      </w:r>
      <w:r w:rsidRPr="001E0497">
        <w:rPr>
          <w:lang w:val="en-GB" w:eastAsia="en-GB"/>
        </w:rPr>
        <w:t>with</w:t>
      </w:r>
      <w:r>
        <w:rPr>
          <w:lang w:val="en-GB" w:eastAsia="en-GB"/>
        </w:rPr>
        <w:t xml:space="preserve"> </w:t>
      </w:r>
      <w:r w:rsidRPr="001E0497">
        <w:rPr>
          <w:lang w:val="en-GB" w:eastAsia="en-GB"/>
        </w:rPr>
        <w:t>gas</w:t>
      </w:r>
      <w:r>
        <w:rPr>
          <w:lang w:val="en-GB" w:eastAsia="en-GB"/>
        </w:rPr>
        <w:t xml:space="preserve"> </w:t>
      </w:r>
      <w:r w:rsidRPr="001E0497">
        <w:rPr>
          <w:lang w:val="en-GB" w:eastAsia="en-GB"/>
        </w:rPr>
        <w:t>exploration</w:t>
      </w:r>
      <w:r>
        <w:rPr>
          <w:lang w:val="en-GB" w:eastAsia="en-GB"/>
        </w:rPr>
        <w:t xml:space="preserve"> </w:t>
      </w:r>
      <w:r w:rsidRPr="001E0497">
        <w:rPr>
          <w:lang w:val="en-GB" w:eastAsia="en-GB"/>
        </w:rPr>
        <w:t>and</w:t>
      </w:r>
      <w:r>
        <w:rPr>
          <w:lang w:val="en-GB" w:eastAsia="en-GB"/>
        </w:rPr>
        <w:t xml:space="preserve"> </w:t>
      </w:r>
      <w:r w:rsidRPr="001E0497">
        <w:rPr>
          <w:lang w:val="en-GB" w:eastAsia="en-GB"/>
        </w:rPr>
        <w:t>development</w:t>
      </w:r>
      <w:r>
        <w:rPr>
          <w:lang w:val="en-GB" w:eastAsia="en-GB"/>
        </w:rPr>
        <w:t xml:space="preserve"> </w:t>
      </w:r>
      <w:r w:rsidRPr="001E0497">
        <w:rPr>
          <w:lang w:val="en-GB" w:eastAsia="en-GB"/>
        </w:rPr>
        <w:t>to</w:t>
      </w:r>
      <w:r>
        <w:rPr>
          <w:lang w:val="en-GB" w:eastAsia="en-GB"/>
        </w:rPr>
        <w:t xml:space="preserve"> </w:t>
      </w:r>
      <w:r w:rsidRPr="001E0497">
        <w:rPr>
          <w:lang w:val="en-GB" w:eastAsia="en-GB"/>
        </w:rPr>
        <w:t>inform</w:t>
      </w:r>
      <w:r>
        <w:rPr>
          <w:lang w:val="en-GB" w:eastAsia="en-GB"/>
        </w:rPr>
        <w:t xml:space="preserve"> </w:t>
      </w:r>
      <w:r w:rsidRPr="001E0497">
        <w:rPr>
          <w:lang w:val="en-GB" w:eastAsia="en-GB"/>
        </w:rPr>
        <w:t>future</w:t>
      </w:r>
      <w:r>
        <w:rPr>
          <w:lang w:val="en-GB" w:eastAsia="en-GB"/>
        </w:rPr>
        <w:t xml:space="preserve"> </w:t>
      </w:r>
      <w:r w:rsidRPr="001E0497">
        <w:rPr>
          <w:lang w:val="en-GB" w:eastAsia="en-GB"/>
        </w:rPr>
        <w:t>decisions</w:t>
      </w:r>
      <w:r>
        <w:rPr>
          <w:lang w:val="en-GB" w:eastAsia="en-GB"/>
        </w:rPr>
        <w:t xml:space="preserve"> </w:t>
      </w:r>
      <w:r w:rsidRPr="001E0497">
        <w:rPr>
          <w:lang w:val="en-GB" w:eastAsia="en-GB"/>
        </w:rPr>
        <w:t>made</w:t>
      </w:r>
      <w:r>
        <w:rPr>
          <w:lang w:val="en-GB" w:eastAsia="en-GB"/>
        </w:rPr>
        <w:t xml:space="preserve"> </w:t>
      </w:r>
      <w:r w:rsidRPr="001E0497">
        <w:rPr>
          <w:lang w:val="en-GB" w:eastAsia="en-GB"/>
        </w:rPr>
        <w:t>by</w:t>
      </w:r>
      <w:r>
        <w:rPr>
          <w:lang w:val="en-GB" w:eastAsia="en-GB"/>
        </w:rPr>
        <w:t xml:space="preserve"> </w:t>
      </w:r>
      <w:r w:rsidRPr="001E0497">
        <w:rPr>
          <w:lang w:val="en-GB" w:eastAsia="en-GB"/>
        </w:rPr>
        <w:t>the</w:t>
      </w:r>
      <w:r>
        <w:rPr>
          <w:lang w:val="en-GB" w:eastAsia="en-GB"/>
        </w:rPr>
        <w:t xml:space="preserve"> </w:t>
      </w:r>
      <w:r w:rsidRPr="001E0497">
        <w:rPr>
          <w:lang w:val="en-GB" w:eastAsia="en-GB"/>
        </w:rPr>
        <w:t>Victorian</w:t>
      </w:r>
      <w:r>
        <w:rPr>
          <w:lang w:val="en-GB" w:eastAsia="en-GB"/>
        </w:rPr>
        <w:t xml:space="preserve"> </w:t>
      </w:r>
      <w:r w:rsidRPr="001E0497">
        <w:rPr>
          <w:lang w:val="en-GB" w:eastAsia="en-GB"/>
        </w:rPr>
        <w:t>Government.</w:t>
      </w:r>
    </w:p>
    <w:p w14:paraId="1C1BB6A0" w14:textId="224537DF" w:rsidR="00013F24" w:rsidRPr="001E0497" w:rsidRDefault="00013F24" w:rsidP="00670157">
      <w:pPr>
        <w:pStyle w:val="bodyCopy"/>
        <w:rPr>
          <w:lang w:val="en-GB" w:eastAsia="en-GB"/>
        </w:rPr>
      </w:pPr>
      <w:r w:rsidRPr="001E0497">
        <w:rPr>
          <w:lang w:val="en-GB" w:eastAsia="en-GB"/>
        </w:rPr>
        <w:t>The</w:t>
      </w:r>
      <w:r>
        <w:rPr>
          <w:lang w:val="en-GB" w:eastAsia="en-GB"/>
        </w:rPr>
        <w:t xml:space="preserve"> objectives of the </w:t>
      </w:r>
      <w:r w:rsidR="00BA319F">
        <w:rPr>
          <w:lang w:val="en-GB" w:eastAsia="en-GB"/>
        </w:rPr>
        <w:t>VGP</w:t>
      </w:r>
      <w:r>
        <w:rPr>
          <w:lang w:val="en-GB" w:eastAsia="en-GB"/>
        </w:rPr>
        <w:t xml:space="preserve"> are:</w:t>
      </w:r>
    </w:p>
    <w:p w14:paraId="6E39D0C5" w14:textId="77777777" w:rsidR="00013F24" w:rsidRPr="00D10F1B" w:rsidRDefault="00013F24" w:rsidP="00670157">
      <w:pPr>
        <w:pStyle w:val="bodyCopy"/>
        <w:ind w:left="397"/>
      </w:pPr>
      <w:r w:rsidRPr="00BD4DAA">
        <w:rPr>
          <w:b/>
        </w:rPr>
        <w:t>Delivering</w:t>
      </w:r>
      <w:r>
        <w:rPr>
          <w:b/>
        </w:rPr>
        <w:t xml:space="preserve"> </w:t>
      </w:r>
      <w:r w:rsidRPr="00BD4DAA">
        <w:rPr>
          <w:b/>
        </w:rPr>
        <w:t>extensive</w:t>
      </w:r>
      <w:r>
        <w:rPr>
          <w:b/>
        </w:rPr>
        <w:t xml:space="preserve"> </w:t>
      </w:r>
      <w:r w:rsidRPr="00BD4DAA">
        <w:rPr>
          <w:b/>
        </w:rPr>
        <w:t>scientific,</w:t>
      </w:r>
      <w:r>
        <w:rPr>
          <w:b/>
        </w:rPr>
        <w:t xml:space="preserve"> </w:t>
      </w:r>
      <w:r w:rsidRPr="00BD4DAA">
        <w:rPr>
          <w:b/>
        </w:rPr>
        <w:t>technical</w:t>
      </w:r>
      <w:r>
        <w:rPr>
          <w:b/>
        </w:rPr>
        <w:t xml:space="preserve"> </w:t>
      </w:r>
      <w:r w:rsidRPr="00BD4DAA">
        <w:rPr>
          <w:b/>
        </w:rPr>
        <w:t>and</w:t>
      </w:r>
      <w:r>
        <w:rPr>
          <w:b/>
        </w:rPr>
        <w:t xml:space="preserve"> </w:t>
      </w:r>
      <w:r w:rsidRPr="00BD4DAA">
        <w:rPr>
          <w:b/>
        </w:rPr>
        <w:t>environmental</w:t>
      </w:r>
      <w:r>
        <w:rPr>
          <w:b/>
        </w:rPr>
        <w:t xml:space="preserve"> </w:t>
      </w:r>
      <w:r w:rsidRPr="00BD4DAA">
        <w:rPr>
          <w:b/>
        </w:rPr>
        <w:t>studies</w:t>
      </w:r>
      <w:r>
        <w:rPr>
          <w:b/>
        </w:rPr>
        <w:t xml:space="preserve"> </w:t>
      </w:r>
      <w:r w:rsidRPr="00BD4DAA">
        <w:rPr>
          <w:b/>
        </w:rPr>
        <w:t>on</w:t>
      </w:r>
      <w:r>
        <w:rPr>
          <w:b/>
        </w:rPr>
        <w:t xml:space="preserve"> </w:t>
      </w:r>
      <w:r w:rsidRPr="00BD4DAA">
        <w:rPr>
          <w:b/>
        </w:rPr>
        <w:t>the</w:t>
      </w:r>
      <w:r>
        <w:rPr>
          <w:b/>
        </w:rPr>
        <w:t xml:space="preserve"> </w:t>
      </w:r>
      <w:r w:rsidRPr="00BD4DAA">
        <w:rPr>
          <w:b/>
        </w:rPr>
        <w:t>risks,</w:t>
      </w:r>
      <w:r>
        <w:rPr>
          <w:b/>
        </w:rPr>
        <w:t xml:space="preserve"> </w:t>
      </w:r>
      <w:r w:rsidRPr="00BD4DAA">
        <w:rPr>
          <w:b/>
        </w:rPr>
        <w:t>benefits</w:t>
      </w:r>
      <w:r>
        <w:rPr>
          <w:b/>
        </w:rPr>
        <w:t xml:space="preserve"> </w:t>
      </w:r>
      <w:r w:rsidRPr="00BD4DAA">
        <w:rPr>
          <w:b/>
        </w:rPr>
        <w:t>and</w:t>
      </w:r>
      <w:r>
        <w:rPr>
          <w:b/>
        </w:rPr>
        <w:t xml:space="preserve"> </w:t>
      </w:r>
      <w:r w:rsidRPr="00BD4DAA">
        <w:rPr>
          <w:b/>
        </w:rPr>
        <w:t>impacts</w:t>
      </w:r>
      <w:r>
        <w:rPr>
          <w:b/>
        </w:rPr>
        <w:t xml:space="preserve"> </w:t>
      </w:r>
      <w:r w:rsidRPr="00BD4DAA">
        <w:rPr>
          <w:b/>
        </w:rPr>
        <w:t>of</w:t>
      </w:r>
      <w:r>
        <w:rPr>
          <w:b/>
        </w:rPr>
        <w:t xml:space="preserve"> </w:t>
      </w:r>
      <w:r w:rsidRPr="00BD4DAA">
        <w:rPr>
          <w:b/>
        </w:rPr>
        <w:t>onshore</w:t>
      </w:r>
      <w:r>
        <w:rPr>
          <w:b/>
        </w:rPr>
        <w:t xml:space="preserve"> </w:t>
      </w:r>
      <w:r w:rsidRPr="00BD4DAA">
        <w:rPr>
          <w:b/>
        </w:rPr>
        <w:t>conventional</w:t>
      </w:r>
      <w:r>
        <w:rPr>
          <w:b/>
        </w:rPr>
        <w:t xml:space="preserve"> </w:t>
      </w:r>
      <w:r w:rsidRPr="00BD4DAA">
        <w:rPr>
          <w:b/>
        </w:rPr>
        <w:t>gas</w:t>
      </w:r>
      <w:r>
        <w:rPr>
          <w:b/>
        </w:rPr>
        <w:t xml:space="preserve"> </w:t>
      </w:r>
      <w:r w:rsidRPr="00D10F1B">
        <w:t>while</w:t>
      </w:r>
      <w:r>
        <w:t xml:space="preserve"> </w:t>
      </w:r>
      <w:r w:rsidRPr="00D10F1B">
        <w:t>the</w:t>
      </w:r>
      <w:r>
        <w:t xml:space="preserve"> </w:t>
      </w:r>
      <w:r w:rsidRPr="00D10F1B">
        <w:t>moratorium</w:t>
      </w:r>
      <w:r>
        <w:t xml:space="preserve"> </w:t>
      </w:r>
      <w:r w:rsidRPr="00D10F1B">
        <w:t>is</w:t>
      </w:r>
      <w:r>
        <w:t xml:space="preserve"> </w:t>
      </w:r>
      <w:r w:rsidRPr="00D10F1B">
        <w:t>in</w:t>
      </w:r>
      <w:r>
        <w:t xml:space="preserve"> </w:t>
      </w:r>
      <w:r w:rsidRPr="00D10F1B">
        <w:t>place</w:t>
      </w:r>
      <w:r>
        <w:t xml:space="preserve"> </w:t>
      </w:r>
      <w:r w:rsidRPr="00D10F1B">
        <w:t>until</w:t>
      </w:r>
      <w:r>
        <w:t xml:space="preserve"> </w:t>
      </w:r>
      <w:r w:rsidRPr="00D10F1B">
        <w:t>30</w:t>
      </w:r>
      <w:r>
        <w:t xml:space="preserve"> </w:t>
      </w:r>
      <w:r w:rsidRPr="00D10F1B">
        <w:t>June</w:t>
      </w:r>
      <w:r>
        <w:t xml:space="preserve"> </w:t>
      </w:r>
      <w:r w:rsidRPr="00D10F1B">
        <w:t>2020.</w:t>
      </w:r>
      <w:r>
        <w:t xml:space="preserve"> </w:t>
      </w:r>
      <w:r w:rsidRPr="00D10F1B">
        <w:t>As</w:t>
      </w:r>
      <w:r>
        <w:t xml:space="preserve"> </w:t>
      </w:r>
      <w:r w:rsidRPr="00D10F1B">
        <w:t>there</w:t>
      </w:r>
      <w:r>
        <w:t xml:space="preserve"> </w:t>
      </w:r>
      <w:r w:rsidRPr="00D10F1B">
        <w:t>are</w:t>
      </w:r>
      <w:r>
        <w:t xml:space="preserve"> </w:t>
      </w:r>
      <w:r w:rsidRPr="00D10F1B">
        <w:t>no</w:t>
      </w:r>
      <w:r>
        <w:t xml:space="preserve"> </w:t>
      </w:r>
      <w:r w:rsidRPr="00D10F1B">
        <w:t>proved</w:t>
      </w:r>
      <w:r>
        <w:t xml:space="preserve"> </w:t>
      </w:r>
      <w:r w:rsidRPr="00D10F1B">
        <w:t>and</w:t>
      </w:r>
      <w:r>
        <w:t xml:space="preserve"> </w:t>
      </w:r>
      <w:r w:rsidRPr="00D10F1B">
        <w:t>probable</w:t>
      </w:r>
      <w:r>
        <w:t xml:space="preserve"> </w:t>
      </w:r>
      <w:r w:rsidRPr="00D10F1B">
        <w:t>onshore</w:t>
      </w:r>
      <w:r>
        <w:t xml:space="preserve"> </w:t>
      </w:r>
      <w:r w:rsidRPr="00D10F1B">
        <w:t>gas</w:t>
      </w:r>
      <w:r>
        <w:t xml:space="preserve"> </w:t>
      </w:r>
      <w:r w:rsidRPr="00D10F1B">
        <w:t>reserves</w:t>
      </w:r>
      <w:r>
        <w:t xml:space="preserve"> </w:t>
      </w:r>
      <w:r w:rsidRPr="00D10F1B">
        <w:t>in</w:t>
      </w:r>
      <w:r>
        <w:t xml:space="preserve"> </w:t>
      </w:r>
      <w:r w:rsidRPr="00D10F1B">
        <w:t>Victoria,</w:t>
      </w:r>
      <w:r>
        <w:t xml:space="preserve"> </w:t>
      </w:r>
      <w:r w:rsidRPr="00D10F1B">
        <w:t>the</w:t>
      </w:r>
      <w:r>
        <w:t xml:space="preserve"> </w:t>
      </w:r>
      <w:r w:rsidRPr="00D10F1B">
        <w:t>geoscience</w:t>
      </w:r>
      <w:r>
        <w:t xml:space="preserve"> </w:t>
      </w:r>
      <w:r w:rsidRPr="00D10F1B">
        <w:t>investigations</w:t>
      </w:r>
      <w:r>
        <w:t xml:space="preserve"> </w:t>
      </w:r>
      <w:r w:rsidRPr="00D10F1B">
        <w:t>into</w:t>
      </w:r>
      <w:r>
        <w:t xml:space="preserve"> </w:t>
      </w:r>
      <w:r w:rsidRPr="00D10F1B">
        <w:t>onshore</w:t>
      </w:r>
      <w:r>
        <w:t xml:space="preserve"> </w:t>
      </w:r>
      <w:r w:rsidRPr="00D10F1B">
        <w:t>conventional</w:t>
      </w:r>
      <w:r>
        <w:t xml:space="preserve"> </w:t>
      </w:r>
      <w:r w:rsidRPr="00D10F1B">
        <w:t>gas</w:t>
      </w:r>
      <w:r>
        <w:t xml:space="preserve"> </w:t>
      </w:r>
      <w:r w:rsidRPr="00D10F1B">
        <w:t>are</w:t>
      </w:r>
      <w:r>
        <w:t xml:space="preserve"> </w:t>
      </w:r>
      <w:r w:rsidRPr="00D10F1B">
        <w:t>designed</w:t>
      </w:r>
      <w:r>
        <w:t xml:space="preserve"> </w:t>
      </w:r>
      <w:r w:rsidRPr="00D10F1B">
        <w:t>to</w:t>
      </w:r>
      <w:r>
        <w:t xml:space="preserve"> </w:t>
      </w:r>
      <w:r w:rsidRPr="00D10F1B">
        <w:t>provide</w:t>
      </w:r>
      <w:r>
        <w:t xml:space="preserve"> </w:t>
      </w:r>
      <w:r w:rsidRPr="00D10F1B">
        <w:t>an</w:t>
      </w:r>
      <w:r>
        <w:t xml:space="preserve"> </w:t>
      </w:r>
      <w:r w:rsidRPr="00D10F1B">
        <w:t>evidence-based</w:t>
      </w:r>
      <w:r>
        <w:t xml:space="preserve"> </w:t>
      </w:r>
      <w:r w:rsidRPr="00D10F1B">
        <w:t>resource</w:t>
      </w:r>
      <w:r>
        <w:t xml:space="preserve"> </w:t>
      </w:r>
      <w:r w:rsidRPr="00D10F1B">
        <w:t>estimate.</w:t>
      </w:r>
    </w:p>
    <w:p w14:paraId="3B0AFBB2" w14:textId="77777777" w:rsidR="00013F24" w:rsidRPr="00D10F1B" w:rsidRDefault="00013F24" w:rsidP="00670157">
      <w:pPr>
        <w:pStyle w:val="bodyCopy"/>
        <w:ind w:left="397"/>
      </w:pPr>
      <w:r w:rsidRPr="00BD4DAA">
        <w:rPr>
          <w:b/>
        </w:rPr>
        <w:t>Supporting</w:t>
      </w:r>
      <w:r>
        <w:rPr>
          <w:b/>
        </w:rPr>
        <w:t xml:space="preserve"> </w:t>
      </w:r>
      <w:r w:rsidRPr="00BD4DAA">
        <w:rPr>
          <w:b/>
        </w:rPr>
        <w:t>commercial</w:t>
      </w:r>
      <w:r>
        <w:rPr>
          <w:b/>
        </w:rPr>
        <w:t xml:space="preserve"> </w:t>
      </w:r>
      <w:r w:rsidRPr="00BD4DAA">
        <w:rPr>
          <w:b/>
        </w:rPr>
        <w:t>exploration</w:t>
      </w:r>
      <w:r>
        <w:rPr>
          <w:b/>
        </w:rPr>
        <w:t xml:space="preserve"> </w:t>
      </w:r>
      <w:r w:rsidRPr="00BD4DAA">
        <w:rPr>
          <w:b/>
        </w:rPr>
        <w:t>for</w:t>
      </w:r>
      <w:r>
        <w:rPr>
          <w:b/>
        </w:rPr>
        <w:t xml:space="preserve"> </w:t>
      </w:r>
      <w:r w:rsidRPr="00BD4DAA">
        <w:rPr>
          <w:b/>
        </w:rPr>
        <w:t>further</w:t>
      </w:r>
      <w:r>
        <w:rPr>
          <w:b/>
        </w:rPr>
        <w:t xml:space="preserve"> </w:t>
      </w:r>
      <w:r w:rsidRPr="00BD4DAA">
        <w:rPr>
          <w:b/>
        </w:rPr>
        <w:t>discoveries</w:t>
      </w:r>
      <w:r>
        <w:rPr>
          <w:b/>
        </w:rPr>
        <w:t xml:space="preserve"> </w:t>
      </w:r>
      <w:r w:rsidRPr="00BD4DAA">
        <w:rPr>
          <w:b/>
        </w:rPr>
        <w:t>of</w:t>
      </w:r>
      <w:r>
        <w:rPr>
          <w:b/>
        </w:rPr>
        <w:t xml:space="preserve"> </w:t>
      </w:r>
      <w:r w:rsidRPr="00BD4DAA">
        <w:rPr>
          <w:b/>
        </w:rPr>
        <w:t>gas</w:t>
      </w:r>
      <w:r>
        <w:rPr>
          <w:b/>
        </w:rPr>
        <w:t xml:space="preserve"> </w:t>
      </w:r>
      <w:r w:rsidRPr="00BD4DAA">
        <w:rPr>
          <w:b/>
        </w:rPr>
        <w:t>off</w:t>
      </w:r>
      <w:r>
        <w:rPr>
          <w:b/>
        </w:rPr>
        <w:t xml:space="preserve"> </w:t>
      </w:r>
      <w:r w:rsidRPr="00BD4DAA">
        <w:rPr>
          <w:b/>
        </w:rPr>
        <w:t>Victoria’s</w:t>
      </w:r>
      <w:r>
        <w:rPr>
          <w:b/>
        </w:rPr>
        <w:t xml:space="preserve"> </w:t>
      </w:r>
      <w:r w:rsidRPr="00BD4DAA">
        <w:rPr>
          <w:b/>
        </w:rPr>
        <w:t>coast</w:t>
      </w:r>
      <w:r>
        <w:rPr>
          <w:b/>
        </w:rPr>
        <w:t xml:space="preserve"> </w:t>
      </w:r>
      <w:r w:rsidRPr="00D10F1B">
        <w:t>to</w:t>
      </w:r>
      <w:r>
        <w:t xml:space="preserve"> </w:t>
      </w:r>
      <w:r w:rsidRPr="00D10F1B">
        <w:t>help</w:t>
      </w:r>
      <w:r>
        <w:t xml:space="preserve"> </w:t>
      </w:r>
      <w:r w:rsidRPr="00D10F1B">
        <w:t>increase</w:t>
      </w:r>
      <w:r>
        <w:t xml:space="preserve"> </w:t>
      </w:r>
      <w:r w:rsidRPr="00D10F1B">
        <w:t>gas</w:t>
      </w:r>
      <w:r>
        <w:t xml:space="preserve"> </w:t>
      </w:r>
      <w:r w:rsidRPr="00D10F1B">
        <w:t>supply.</w:t>
      </w:r>
      <w:r>
        <w:t xml:space="preserve"> </w:t>
      </w:r>
      <w:r w:rsidRPr="00D10F1B">
        <w:t>This</w:t>
      </w:r>
      <w:r>
        <w:t xml:space="preserve"> </w:t>
      </w:r>
      <w:r w:rsidRPr="00D10F1B">
        <w:t>work</w:t>
      </w:r>
      <w:r>
        <w:t xml:space="preserve"> </w:t>
      </w:r>
      <w:r w:rsidRPr="00D10F1B">
        <w:t>will</w:t>
      </w:r>
      <w:r>
        <w:t xml:space="preserve"> </w:t>
      </w:r>
      <w:r w:rsidRPr="00D10F1B">
        <w:t>acquire</w:t>
      </w:r>
      <w:r>
        <w:t xml:space="preserve"> </w:t>
      </w:r>
      <w:r w:rsidRPr="00D10F1B">
        <w:t>new</w:t>
      </w:r>
      <w:r>
        <w:t xml:space="preserve"> </w:t>
      </w:r>
      <w:r w:rsidRPr="00D10F1B">
        <w:t>geoscientific</w:t>
      </w:r>
      <w:r>
        <w:t xml:space="preserve"> </w:t>
      </w:r>
      <w:r w:rsidRPr="00D10F1B">
        <w:t>information</w:t>
      </w:r>
      <w:r>
        <w:t xml:space="preserve"> </w:t>
      </w:r>
      <w:r w:rsidRPr="00D10F1B">
        <w:t>to</w:t>
      </w:r>
      <w:r>
        <w:t xml:space="preserve"> </w:t>
      </w:r>
      <w:r w:rsidRPr="00D10F1B">
        <w:t>identify</w:t>
      </w:r>
      <w:r>
        <w:t xml:space="preserve"> </w:t>
      </w:r>
      <w:r w:rsidRPr="00D10F1B">
        <w:t>prospective</w:t>
      </w:r>
      <w:r>
        <w:t xml:space="preserve"> </w:t>
      </w:r>
      <w:r w:rsidRPr="00D10F1B">
        <w:t>areas</w:t>
      </w:r>
      <w:r>
        <w:t xml:space="preserve"> </w:t>
      </w:r>
      <w:r w:rsidRPr="00D10F1B">
        <w:t>in</w:t>
      </w:r>
      <w:r>
        <w:t xml:space="preserve"> </w:t>
      </w:r>
      <w:r w:rsidRPr="00D10F1B">
        <w:t>the</w:t>
      </w:r>
      <w:r>
        <w:t xml:space="preserve"> </w:t>
      </w:r>
      <w:r w:rsidRPr="00D10F1B">
        <w:t>offshore</w:t>
      </w:r>
      <w:r>
        <w:t xml:space="preserve"> </w:t>
      </w:r>
      <w:r w:rsidRPr="00D10F1B">
        <w:t>part</w:t>
      </w:r>
      <w:r>
        <w:t xml:space="preserve"> </w:t>
      </w:r>
      <w:r w:rsidRPr="00D10F1B">
        <w:t>of</w:t>
      </w:r>
      <w:r>
        <w:t xml:space="preserve"> </w:t>
      </w:r>
      <w:r w:rsidRPr="00D10F1B">
        <w:t>the</w:t>
      </w:r>
      <w:r>
        <w:t xml:space="preserve"> </w:t>
      </w:r>
      <w:r w:rsidRPr="00D10F1B">
        <w:t>Otway</w:t>
      </w:r>
      <w:r>
        <w:t xml:space="preserve"> </w:t>
      </w:r>
      <w:r w:rsidR="00FB7D6E">
        <w:t>B</w:t>
      </w:r>
      <w:r w:rsidRPr="00D10F1B">
        <w:t>asin.</w:t>
      </w:r>
    </w:p>
    <w:p w14:paraId="2F66A552" w14:textId="77777777" w:rsidR="00013F24" w:rsidRPr="00D10F1B" w:rsidRDefault="00013F24" w:rsidP="00670157">
      <w:pPr>
        <w:pStyle w:val="bodyCopy"/>
        <w:ind w:left="397"/>
      </w:pPr>
      <w:r w:rsidRPr="00BD4DAA">
        <w:rPr>
          <w:b/>
        </w:rPr>
        <w:t>Investigating</w:t>
      </w:r>
      <w:r>
        <w:rPr>
          <w:b/>
        </w:rPr>
        <w:t xml:space="preserve"> </w:t>
      </w:r>
      <w:r w:rsidRPr="00BD4DAA">
        <w:rPr>
          <w:b/>
        </w:rPr>
        <w:t>the</w:t>
      </w:r>
      <w:r>
        <w:rPr>
          <w:b/>
        </w:rPr>
        <w:t xml:space="preserve"> </w:t>
      </w:r>
      <w:r w:rsidRPr="00BD4DAA">
        <w:rPr>
          <w:b/>
        </w:rPr>
        <w:t>opportunities</w:t>
      </w:r>
      <w:r>
        <w:rPr>
          <w:b/>
        </w:rPr>
        <w:t xml:space="preserve"> </w:t>
      </w:r>
      <w:r w:rsidRPr="00BD4DAA">
        <w:rPr>
          <w:b/>
        </w:rPr>
        <w:t>for</w:t>
      </w:r>
      <w:r>
        <w:rPr>
          <w:b/>
        </w:rPr>
        <w:t xml:space="preserve"> </w:t>
      </w:r>
      <w:r w:rsidRPr="00BD4DAA">
        <w:rPr>
          <w:b/>
        </w:rPr>
        <w:t>further</w:t>
      </w:r>
      <w:r>
        <w:rPr>
          <w:b/>
        </w:rPr>
        <w:t xml:space="preserve"> </w:t>
      </w:r>
      <w:r w:rsidRPr="00BD4DAA">
        <w:rPr>
          <w:b/>
        </w:rPr>
        <w:t>underground</w:t>
      </w:r>
      <w:r>
        <w:rPr>
          <w:b/>
        </w:rPr>
        <w:t xml:space="preserve"> </w:t>
      </w:r>
      <w:r w:rsidRPr="00BD4DAA">
        <w:rPr>
          <w:b/>
        </w:rPr>
        <w:t>gas</w:t>
      </w:r>
      <w:r>
        <w:rPr>
          <w:b/>
        </w:rPr>
        <w:t xml:space="preserve"> </w:t>
      </w:r>
      <w:r w:rsidRPr="00BD4DAA">
        <w:rPr>
          <w:b/>
        </w:rPr>
        <w:t>storage</w:t>
      </w:r>
      <w:r>
        <w:t xml:space="preserve"> </w:t>
      </w:r>
      <w:r w:rsidRPr="00D10F1B">
        <w:t>in</w:t>
      </w:r>
      <w:r>
        <w:t xml:space="preserve"> </w:t>
      </w:r>
      <w:r w:rsidRPr="00D10F1B">
        <w:t>the</w:t>
      </w:r>
      <w:r>
        <w:t xml:space="preserve"> </w:t>
      </w:r>
      <w:r w:rsidRPr="00D10F1B">
        <w:t>onshore</w:t>
      </w:r>
      <w:r>
        <w:t xml:space="preserve"> </w:t>
      </w:r>
      <w:r w:rsidRPr="00D10F1B">
        <w:t>Otway</w:t>
      </w:r>
      <w:r>
        <w:t xml:space="preserve"> </w:t>
      </w:r>
      <w:r w:rsidR="00FB7D6E">
        <w:t>B</w:t>
      </w:r>
      <w:r w:rsidRPr="00D10F1B">
        <w:t>asin</w:t>
      </w:r>
      <w:r>
        <w:t xml:space="preserve"> </w:t>
      </w:r>
      <w:r w:rsidRPr="00D10F1B">
        <w:t>to</w:t>
      </w:r>
      <w:r>
        <w:t xml:space="preserve"> </w:t>
      </w:r>
      <w:r w:rsidRPr="00D10F1B">
        <w:t>boost</w:t>
      </w:r>
      <w:r>
        <w:t xml:space="preserve"> </w:t>
      </w:r>
      <w:r w:rsidRPr="00D10F1B">
        <w:t>the</w:t>
      </w:r>
      <w:r>
        <w:t xml:space="preserve"> </w:t>
      </w:r>
      <w:r w:rsidRPr="00D10F1B">
        <w:t>security</w:t>
      </w:r>
      <w:r>
        <w:t xml:space="preserve"> </w:t>
      </w:r>
      <w:r w:rsidRPr="00D10F1B">
        <w:t>of</w:t>
      </w:r>
      <w:r>
        <w:t xml:space="preserve"> </w:t>
      </w:r>
      <w:r w:rsidRPr="00D10F1B">
        <w:t>gas</w:t>
      </w:r>
      <w:r>
        <w:t xml:space="preserve"> </w:t>
      </w:r>
      <w:r w:rsidRPr="00D10F1B">
        <w:t>supplies</w:t>
      </w:r>
      <w:r>
        <w:t xml:space="preserve"> </w:t>
      </w:r>
      <w:r w:rsidRPr="00D10F1B">
        <w:t>and</w:t>
      </w:r>
      <w:r>
        <w:t xml:space="preserve"> </w:t>
      </w:r>
      <w:r w:rsidRPr="00D10F1B">
        <w:t>to</w:t>
      </w:r>
      <w:r>
        <w:t xml:space="preserve"> </w:t>
      </w:r>
      <w:r w:rsidRPr="00D10F1B">
        <w:t>mitigate</w:t>
      </w:r>
      <w:r>
        <w:t xml:space="preserve"> </w:t>
      </w:r>
      <w:r w:rsidRPr="00D10F1B">
        <w:t>short-term</w:t>
      </w:r>
      <w:r>
        <w:t xml:space="preserve"> </w:t>
      </w:r>
      <w:r w:rsidRPr="00D10F1B">
        <w:t>price</w:t>
      </w:r>
      <w:r>
        <w:t xml:space="preserve"> </w:t>
      </w:r>
      <w:r w:rsidRPr="00D10F1B">
        <w:t>peaks,</w:t>
      </w:r>
      <w:r>
        <w:t xml:space="preserve"> </w:t>
      </w:r>
      <w:r w:rsidRPr="00D10F1B">
        <w:t>particularly</w:t>
      </w:r>
      <w:r>
        <w:t xml:space="preserve"> </w:t>
      </w:r>
      <w:r w:rsidRPr="00D10F1B">
        <w:t>during</w:t>
      </w:r>
      <w:r>
        <w:t xml:space="preserve"> </w:t>
      </w:r>
      <w:r w:rsidRPr="00D10F1B">
        <w:t>any</w:t>
      </w:r>
      <w:r>
        <w:t xml:space="preserve"> </w:t>
      </w:r>
      <w:r w:rsidRPr="00D10F1B">
        <w:t>interruptions</w:t>
      </w:r>
      <w:r>
        <w:t xml:space="preserve"> </w:t>
      </w:r>
      <w:r w:rsidRPr="00D10F1B">
        <w:t>in</w:t>
      </w:r>
      <w:r>
        <w:t xml:space="preserve"> </w:t>
      </w:r>
      <w:r w:rsidRPr="00D10F1B">
        <w:t>the</w:t>
      </w:r>
      <w:r>
        <w:t xml:space="preserve"> </w:t>
      </w:r>
      <w:r w:rsidRPr="00D10F1B">
        <w:t>gas</w:t>
      </w:r>
      <w:r>
        <w:t xml:space="preserve"> </w:t>
      </w:r>
      <w:r w:rsidRPr="00D10F1B">
        <w:t>supply</w:t>
      </w:r>
      <w:r>
        <w:t xml:space="preserve"> </w:t>
      </w:r>
      <w:r w:rsidRPr="00D10F1B">
        <w:t>system.</w:t>
      </w:r>
    </w:p>
    <w:p w14:paraId="0FE10379" w14:textId="77777777" w:rsidR="00013F24" w:rsidRPr="00D10F1B" w:rsidRDefault="00013F24" w:rsidP="00670157">
      <w:pPr>
        <w:pStyle w:val="bodyCopy"/>
        <w:ind w:left="397"/>
      </w:pPr>
      <w:r w:rsidRPr="00BD4DAA">
        <w:rPr>
          <w:b/>
        </w:rPr>
        <w:t>Supporting</w:t>
      </w:r>
      <w:r>
        <w:rPr>
          <w:b/>
        </w:rPr>
        <w:t xml:space="preserve"> </w:t>
      </w:r>
      <w:r w:rsidRPr="00BD4DAA">
        <w:rPr>
          <w:b/>
        </w:rPr>
        <w:t>the</w:t>
      </w:r>
      <w:r>
        <w:rPr>
          <w:b/>
        </w:rPr>
        <w:t xml:space="preserve"> </w:t>
      </w:r>
      <w:r w:rsidRPr="00BD4DAA">
        <w:rPr>
          <w:b/>
        </w:rPr>
        <w:t>work</w:t>
      </w:r>
      <w:r>
        <w:rPr>
          <w:b/>
        </w:rPr>
        <w:t xml:space="preserve"> </w:t>
      </w:r>
      <w:r w:rsidRPr="00BD4DAA">
        <w:rPr>
          <w:b/>
        </w:rPr>
        <w:t>programs</w:t>
      </w:r>
      <w:r>
        <w:rPr>
          <w:b/>
        </w:rPr>
        <w:t xml:space="preserve"> </w:t>
      </w:r>
      <w:r w:rsidRPr="00BD4DAA">
        <w:rPr>
          <w:b/>
        </w:rPr>
        <w:t>for</w:t>
      </w:r>
      <w:r>
        <w:rPr>
          <w:b/>
        </w:rPr>
        <w:t xml:space="preserve"> </w:t>
      </w:r>
      <w:r w:rsidRPr="00BD4DAA">
        <w:rPr>
          <w:b/>
        </w:rPr>
        <w:t>onshore</w:t>
      </w:r>
      <w:r>
        <w:rPr>
          <w:b/>
        </w:rPr>
        <w:t xml:space="preserve"> </w:t>
      </w:r>
      <w:r w:rsidRPr="00BD4DAA">
        <w:rPr>
          <w:b/>
        </w:rPr>
        <w:t>conventional</w:t>
      </w:r>
      <w:r>
        <w:rPr>
          <w:b/>
        </w:rPr>
        <w:t xml:space="preserve"> </w:t>
      </w:r>
      <w:r w:rsidRPr="00BD4DAA">
        <w:rPr>
          <w:b/>
        </w:rPr>
        <w:t>gas</w:t>
      </w:r>
      <w:r>
        <w:rPr>
          <w:b/>
        </w:rPr>
        <w:t xml:space="preserve"> </w:t>
      </w:r>
      <w:r w:rsidRPr="00BD4DAA">
        <w:rPr>
          <w:b/>
        </w:rPr>
        <w:t>and</w:t>
      </w:r>
      <w:r>
        <w:rPr>
          <w:b/>
        </w:rPr>
        <w:t xml:space="preserve"> </w:t>
      </w:r>
      <w:r w:rsidRPr="00BD4DAA">
        <w:rPr>
          <w:b/>
        </w:rPr>
        <w:t>offshore</w:t>
      </w:r>
      <w:r>
        <w:rPr>
          <w:b/>
        </w:rPr>
        <w:t xml:space="preserve"> </w:t>
      </w:r>
      <w:r w:rsidRPr="00BD4DAA">
        <w:rPr>
          <w:b/>
        </w:rPr>
        <w:t>gas,</w:t>
      </w:r>
      <w:r>
        <w:t xml:space="preserve"> </w:t>
      </w:r>
      <w:r w:rsidRPr="00D10F1B">
        <w:t>including</w:t>
      </w:r>
      <w:r>
        <w:t xml:space="preserve"> </w:t>
      </w:r>
      <w:r w:rsidRPr="00D10F1B">
        <w:t>resource</w:t>
      </w:r>
      <w:r>
        <w:t xml:space="preserve"> </w:t>
      </w:r>
      <w:r w:rsidRPr="00D10F1B">
        <w:t>planning,</w:t>
      </w:r>
      <w:r>
        <w:t xml:space="preserve"> </w:t>
      </w:r>
      <w:r w:rsidRPr="00D10F1B">
        <w:t>regulatory</w:t>
      </w:r>
      <w:r>
        <w:t xml:space="preserve"> </w:t>
      </w:r>
      <w:r w:rsidRPr="00D10F1B">
        <w:t>improvements</w:t>
      </w:r>
      <w:r>
        <w:t xml:space="preserve"> </w:t>
      </w:r>
      <w:r w:rsidRPr="00D10F1B">
        <w:t>and</w:t>
      </w:r>
      <w:r>
        <w:t xml:space="preserve"> </w:t>
      </w:r>
      <w:r w:rsidRPr="00D10F1B">
        <w:t>a</w:t>
      </w:r>
      <w:r>
        <w:t xml:space="preserve"> </w:t>
      </w:r>
      <w:r w:rsidRPr="00D10F1B">
        <w:t>comprehensive</w:t>
      </w:r>
      <w:r>
        <w:t xml:space="preserve"> </w:t>
      </w:r>
      <w:r w:rsidRPr="00D10F1B">
        <w:t>engagement</w:t>
      </w:r>
      <w:r>
        <w:t xml:space="preserve"> </w:t>
      </w:r>
      <w:r w:rsidRPr="00D10F1B">
        <w:t>program</w:t>
      </w:r>
      <w:r>
        <w:t xml:space="preserve"> </w:t>
      </w:r>
      <w:r w:rsidRPr="00D10F1B">
        <w:t>for</w:t>
      </w:r>
      <w:r>
        <w:t xml:space="preserve"> </w:t>
      </w:r>
      <w:r w:rsidRPr="00D10F1B">
        <w:t>farmers,</w:t>
      </w:r>
      <w:r>
        <w:t xml:space="preserve"> </w:t>
      </w:r>
      <w:r w:rsidRPr="00D10F1B">
        <w:t>industry,</w:t>
      </w:r>
      <w:r>
        <w:t xml:space="preserve"> </w:t>
      </w:r>
      <w:r w:rsidRPr="00D10F1B">
        <w:t>local</w:t>
      </w:r>
      <w:r>
        <w:t xml:space="preserve"> </w:t>
      </w:r>
      <w:r w:rsidRPr="00D10F1B">
        <w:t>government</w:t>
      </w:r>
      <w:r>
        <w:t xml:space="preserve"> </w:t>
      </w:r>
      <w:r w:rsidRPr="00D10F1B">
        <w:t>and</w:t>
      </w:r>
      <w:r>
        <w:t xml:space="preserve"> </w:t>
      </w:r>
      <w:r w:rsidRPr="00D10F1B">
        <w:t>regional</w:t>
      </w:r>
      <w:r>
        <w:t xml:space="preserve"> </w:t>
      </w:r>
      <w:r w:rsidRPr="00D10F1B">
        <w:t>communities.</w:t>
      </w:r>
    </w:p>
    <w:p w14:paraId="464EF3C7" w14:textId="3D0DCBFE" w:rsidR="00013F24" w:rsidRPr="00FB7D6E" w:rsidRDefault="00013F24" w:rsidP="00670157">
      <w:pPr>
        <w:pStyle w:val="bodyCopy"/>
      </w:pPr>
      <w:r w:rsidRPr="00BD4DAA">
        <w:t>The</w:t>
      </w:r>
      <w:r>
        <w:t xml:space="preserve"> </w:t>
      </w:r>
      <w:r w:rsidRPr="00BD4DAA">
        <w:t>studies</w:t>
      </w:r>
      <w:r>
        <w:t xml:space="preserve"> </w:t>
      </w:r>
      <w:r w:rsidRPr="00BD4DAA">
        <w:t>will</w:t>
      </w:r>
      <w:r>
        <w:t xml:space="preserve"> </w:t>
      </w:r>
      <w:r w:rsidRPr="00BD4DAA">
        <w:t>be</w:t>
      </w:r>
      <w:r>
        <w:t xml:space="preserve"> </w:t>
      </w:r>
      <w:r w:rsidRPr="00BD4DAA">
        <w:t>undertaken</w:t>
      </w:r>
      <w:r>
        <w:t xml:space="preserve"> </w:t>
      </w:r>
      <w:r w:rsidRPr="00BD4DAA">
        <w:t>by</w:t>
      </w:r>
      <w:r>
        <w:t xml:space="preserve"> </w:t>
      </w:r>
      <w:r w:rsidRPr="00BD4DAA">
        <w:t>scientists</w:t>
      </w:r>
      <w:r>
        <w:t xml:space="preserve"> </w:t>
      </w:r>
      <w:r w:rsidRPr="00BD4DAA">
        <w:t>and</w:t>
      </w:r>
      <w:r>
        <w:t xml:space="preserve"> </w:t>
      </w:r>
      <w:r w:rsidRPr="00BD4DAA">
        <w:t>other</w:t>
      </w:r>
      <w:r>
        <w:t xml:space="preserve"> </w:t>
      </w:r>
      <w:r w:rsidRPr="00BD4DAA">
        <w:t>professionals</w:t>
      </w:r>
      <w:r>
        <w:t xml:space="preserve"> </w:t>
      </w:r>
      <w:r w:rsidRPr="00BD4DAA">
        <w:t>from</w:t>
      </w:r>
      <w:r>
        <w:t xml:space="preserve"> </w:t>
      </w:r>
      <w:r w:rsidR="00BA319F">
        <w:t>GSV</w:t>
      </w:r>
      <w:r>
        <w:t xml:space="preserve"> </w:t>
      </w:r>
      <w:r w:rsidRPr="00BD4DAA">
        <w:t>and</w:t>
      </w:r>
      <w:r>
        <w:t xml:space="preserve"> </w:t>
      </w:r>
      <w:r w:rsidRPr="00BD4DAA">
        <w:t>will</w:t>
      </w:r>
      <w:r>
        <w:t xml:space="preserve"> </w:t>
      </w:r>
      <w:r w:rsidRPr="00D10F1B">
        <w:t>focus</w:t>
      </w:r>
      <w:r>
        <w:t xml:space="preserve"> </w:t>
      </w:r>
      <w:r w:rsidRPr="00D10F1B">
        <w:t>on</w:t>
      </w:r>
      <w:r>
        <w:t xml:space="preserve"> </w:t>
      </w:r>
      <w:r w:rsidRPr="00D10F1B">
        <w:t>the</w:t>
      </w:r>
      <w:r>
        <w:t xml:space="preserve"> </w:t>
      </w:r>
      <w:r w:rsidRPr="00D10F1B">
        <w:t>Otway</w:t>
      </w:r>
      <w:r>
        <w:t xml:space="preserve"> </w:t>
      </w:r>
      <w:r w:rsidRPr="00D10F1B">
        <w:t>Basin</w:t>
      </w:r>
      <w:r>
        <w:t xml:space="preserve"> </w:t>
      </w:r>
      <w:r w:rsidRPr="00D10F1B">
        <w:t>in</w:t>
      </w:r>
      <w:r>
        <w:t xml:space="preserve"> </w:t>
      </w:r>
      <w:r w:rsidRPr="00D10F1B">
        <w:t>south</w:t>
      </w:r>
      <w:r w:rsidR="00BA319F">
        <w:t xml:space="preserve"> </w:t>
      </w:r>
      <w:r w:rsidRPr="00D10F1B">
        <w:t>west</w:t>
      </w:r>
      <w:r>
        <w:t xml:space="preserve"> </w:t>
      </w:r>
      <w:r w:rsidRPr="00D10F1B">
        <w:t>Victoria</w:t>
      </w:r>
      <w:r>
        <w:t xml:space="preserve"> </w:t>
      </w:r>
      <w:r w:rsidRPr="00D10F1B">
        <w:t>and</w:t>
      </w:r>
      <w:r>
        <w:t xml:space="preserve"> </w:t>
      </w:r>
      <w:r w:rsidRPr="00D10F1B">
        <w:t>the</w:t>
      </w:r>
      <w:r>
        <w:t xml:space="preserve"> </w:t>
      </w:r>
      <w:r w:rsidRPr="00D10F1B">
        <w:t>Gippslan</w:t>
      </w:r>
      <w:r>
        <w:t>d Basin in south east Victoria.</w:t>
      </w:r>
      <w:r w:rsidR="00FB7D6E">
        <w:t xml:space="preserve"> </w:t>
      </w:r>
      <w:r w:rsidRPr="001E0497">
        <w:rPr>
          <w:lang w:val="en-GB" w:eastAsia="en-GB"/>
        </w:rPr>
        <w:t>All</w:t>
      </w:r>
      <w:r>
        <w:rPr>
          <w:lang w:val="en-GB" w:eastAsia="en-GB"/>
        </w:rPr>
        <w:t xml:space="preserve"> </w:t>
      </w:r>
      <w:r w:rsidRPr="001E0497">
        <w:rPr>
          <w:lang w:val="en-GB" w:eastAsia="en-GB"/>
        </w:rPr>
        <w:t>study</w:t>
      </w:r>
      <w:r>
        <w:rPr>
          <w:lang w:val="en-GB" w:eastAsia="en-GB"/>
        </w:rPr>
        <w:t xml:space="preserve"> </w:t>
      </w:r>
      <w:r w:rsidRPr="001E0497">
        <w:rPr>
          <w:lang w:val="en-GB" w:eastAsia="en-GB"/>
        </w:rPr>
        <w:t>results</w:t>
      </w:r>
      <w:r>
        <w:rPr>
          <w:lang w:val="en-GB" w:eastAsia="en-GB"/>
        </w:rPr>
        <w:t xml:space="preserve"> </w:t>
      </w:r>
      <w:r w:rsidRPr="001E0497">
        <w:rPr>
          <w:lang w:val="en-GB" w:eastAsia="en-GB"/>
        </w:rPr>
        <w:t>will</w:t>
      </w:r>
      <w:r>
        <w:rPr>
          <w:lang w:val="en-GB" w:eastAsia="en-GB"/>
        </w:rPr>
        <w:t xml:space="preserve"> </w:t>
      </w:r>
      <w:r w:rsidRPr="001E0497">
        <w:rPr>
          <w:lang w:val="en-GB" w:eastAsia="en-GB"/>
        </w:rPr>
        <w:t>be</w:t>
      </w:r>
      <w:r>
        <w:rPr>
          <w:lang w:val="en-GB" w:eastAsia="en-GB"/>
        </w:rPr>
        <w:t xml:space="preserve"> </w:t>
      </w:r>
      <w:r w:rsidRPr="001E0497">
        <w:rPr>
          <w:lang w:val="en-GB" w:eastAsia="en-GB"/>
        </w:rPr>
        <w:t>made</w:t>
      </w:r>
      <w:r>
        <w:rPr>
          <w:lang w:val="en-GB" w:eastAsia="en-GB"/>
        </w:rPr>
        <w:t xml:space="preserve"> </w:t>
      </w:r>
      <w:r w:rsidRPr="001E0497">
        <w:rPr>
          <w:lang w:val="en-GB" w:eastAsia="en-GB"/>
        </w:rPr>
        <w:t>publicly</w:t>
      </w:r>
      <w:r>
        <w:rPr>
          <w:lang w:val="en-GB" w:eastAsia="en-GB"/>
        </w:rPr>
        <w:t xml:space="preserve"> </w:t>
      </w:r>
      <w:r w:rsidRPr="001E0497">
        <w:rPr>
          <w:lang w:val="en-GB" w:eastAsia="en-GB"/>
        </w:rPr>
        <w:t>available.</w:t>
      </w:r>
    </w:p>
    <w:p w14:paraId="5DEAE352" w14:textId="77777777" w:rsidR="00FB7D6E" w:rsidRDefault="00FB7D6E" w:rsidP="00FB7D6E">
      <w:pPr>
        <w:pStyle w:val="Heading3"/>
        <w:rPr>
          <w:lang w:val="en-GB" w:eastAsia="en-GB"/>
        </w:rPr>
      </w:pPr>
      <w:r>
        <w:rPr>
          <w:lang w:val="en-GB" w:eastAsia="en-GB"/>
        </w:rPr>
        <w:t>Offshore gas geoscience program</w:t>
      </w:r>
    </w:p>
    <w:p w14:paraId="171FAC50" w14:textId="77777777" w:rsidR="00C91D8E" w:rsidRDefault="00C91D8E" w:rsidP="00FB7D6E">
      <w:pPr>
        <w:pStyle w:val="bodyCopy"/>
        <w:rPr>
          <w:lang w:val="en-GB" w:eastAsia="en-GB"/>
        </w:rPr>
      </w:pPr>
      <w:r>
        <w:rPr>
          <w:lang w:val="en-GB" w:eastAsia="en-GB"/>
        </w:rPr>
        <w:t>The 2018 acreage release is part of the offshore gas geoscience program within the VGP.</w:t>
      </w:r>
    </w:p>
    <w:p w14:paraId="352245A4" w14:textId="77777777" w:rsidR="00FB7D6E" w:rsidRPr="001E0497" w:rsidRDefault="00FB7D6E" w:rsidP="00FB7D6E">
      <w:pPr>
        <w:pStyle w:val="bodyCopy"/>
        <w:rPr>
          <w:lang w:val="en-GB" w:eastAsia="en-GB"/>
        </w:rPr>
      </w:pPr>
      <w:r w:rsidRPr="001E0497">
        <w:rPr>
          <w:lang w:val="en-GB" w:eastAsia="en-GB"/>
        </w:rPr>
        <w:t>The</w:t>
      </w:r>
      <w:r>
        <w:rPr>
          <w:lang w:val="en-GB" w:eastAsia="en-GB"/>
        </w:rPr>
        <w:t xml:space="preserve"> </w:t>
      </w:r>
      <w:r w:rsidRPr="001E0497">
        <w:rPr>
          <w:lang w:val="en-GB" w:eastAsia="en-GB"/>
        </w:rPr>
        <w:t>offshore</w:t>
      </w:r>
      <w:r>
        <w:rPr>
          <w:lang w:val="en-GB" w:eastAsia="en-GB"/>
        </w:rPr>
        <w:t xml:space="preserve"> </w:t>
      </w:r>
      <w:r w:rsidRPr="001E0497">
        <w:rPr>
          <w:lang w:val="en-GB" w:eastAsia="en-GB"/>
        </w:rPr>
        <w:t>gas</w:t>
      </w:r>
      <w:r>
        <w:rPr>
          <w:lang w:val="en-GB" w:eastAsia="en-GB"/>
        </w:rPr>
        <w:t xml:space="preserve"> </w:t>
      </w:r>
      <w:r w:rsidRPr="001E0497">
        <w:rPr>
          <w:lang w:val="en-GB" w:eastAsia="en-GB"/>
        </w:rPr>
        <w:t>geoscience</w:t>
      </w:r>
      <w:r>
        <w:rPr>
          <w:lang w:val="en-GB" w:eastAsia="en-GB"/>
        </w:rPr>
        <w:t xml:space="preserve"> </w:t>
      </w:r>
      <w:r w:rsidRPr="001E0497">
        <w:rPr>
          <w:lang w:val="en-GB" w:eastAsia="en-GB"/>
        </w:rPr>
        <w:t>program</w:t>
      </w:r>
      <w:r>
        <w:rPr>
          <w:lang w:val="en-GB" w:eastAsia="en-GB"/>
        </w:rPr>
        <w:t xml:space="preserve"> </w:t>
      </w:r>
      <w:r w:rsidRPr="001E0497">
        <w:rPr>
          <w:lang w:val="en-GB" w:eastAsia="en-GB"/>
        </w:rPr>
        <w:t>will</w:t>
      </w:r>
      <w:r>
        <w:rPr>
          <w:lang w:val="en-GB" w:eastAsia="en-GB"/>
        </w:rPr>
        <w:t xml:space="preserve"> </w:t>
      </w:r>
      <w:r w:rsidRPr="001E0497">
        <w:rPr>
          <w:lang w:val="en-GB" w:eastAsia="en-GB"/>
        </w:rPr>
        <w:t>support</w:t>
      </w:r>
      <w:r>
        <w:rPr>
          <w:lang w:val="en-GB" w:eastAsia="en-GB"/>
        </w:rPr>
        <w:t xml:space="preserve"> </w:t>
      </w:r>
      <w:r w:rsidRPr="001E0497">
        <w:rPr>
          <w:lang w:val="en-GB" w:eastAsia="en-GB"/>
        </w:rPr>
        <w:t>the</w:t>
      </w:r>
      <w:r>
        <w:rPr>
          <w:lang w:val="en-GB" w:eastAsia="en-GB"/>
        </w:rPr>
        <w:t xml:space="preserve"> </w:t>
      </w:r>
      <w:r w:rsidRPr="001E0497">
        <w:rPr>
          <w:lang w:val="en-GB" w:eastAsia="en-GB"/>
        </w:rPr>
        <w:t>commercial</w:t>
      </w:r>
      <w:r>
        <w:rPr>
          <w:lang w:val="en-GB" w:eastAsia="en-GB"/>
        </w:rPr>
        <w:t xml:space="preserve"> </w:t>
      </w:r>
      <w:r w:rsidRPr="001E0497">
        <w:rPr>
          <w:lang w:val="en-GB" w:eastAsia="en-GB"/>
        </w:rPr>
        <w:t>exploration</w:t>
      </w:r>
      <w:r>
        <w:rPr>
          <w:lang w:val="en-GB" w:eastAsia="en-GB"/>
        </w:rPr>
        <w:t xml:space="preserve"> </w:t>
      </w:r>
      <w:r w:rsidRPr="001E0497">
        <w:rPr>
          <w:lang w:val="en-GB" w:eastAsia="en-GB"/>
        </w:rPr>
        <w:t>for</w:t>
      </w:r>
      <w:r>
        <w:rPr>
          <w:lang w:val="en-GB" w:eastAsia="en-GB"/>
        </w:rPr>
        <w:t xml:space="preserve"> </w:t>
      </w:r>
      <w:r w:rsidRPr="001E0497">
        <w:rPr>
          <w:lang w:val="en-GB" w:eastAsia="en-GB"/>
        </w:rPr>
        <w:t>further</w:t>
      </w:r>
      <w:r>
        <w:rPr>
          <w:lang w:val="en-GB" w:eastAsia="en-GB"/>
        </w:rPr>
        <w:t xml:space="preserve"> </w:t>
      </w:r>
      <w:r w:rsidRPr="001E0497">
        <w:rPr>
          <w:lang w:val="en-GB" w:eastAsia="en-GB"/>
        </w:rPr>
        <w:t>gas</w:t>
      </w:r>
      <w:r>
        <w:rPr>
          <w:lang w:val="en-GB" w:eastAsia="en-GB"/>
        </w:rPr>
        <w:t xml:space="preserve"> </w:t>
      </w:r>
      <w:r w:rsidRPr="001E0497">
        <w:rPr>
          <w:lang w:val="en-GB" w:eastAsia="en-GB"/>
        </w:rPr>
        <w:t>discoveries</w:t>
      </w:r>
      <w:r>
        <w:rPr>
          <w:lang w:val="en-GB" w:eastAsia="en-GB"/>
        </w:rPr>
        <w:t xml:space="preserve"> </w:t>
      </w:r>
      <w:r w:rsidRPr="001E0497">
        <w:rPr>
          <w:lang w:val="en-GB" w:eastAsia="en-GB"/>
        </w:rPr>
        <w:t>off</w:t>
      </w:r>
      <w:r>
        <w:rPr>
          <w:lang w:val="en-GB" w:eastAsia="en-GB"/>
        </w:rPr>
        <w:t xml:space="preserve"> </w:t>
      </w:r>
      <w:r w:rsidRPr="001E0497">
        <w:rPr>
          <w:lang w:val="en-GB" w:eastAsia="en-GB"/>
        </w:rPr>
        <w:t>the</w:t>
      </w:r>
      <w:r>
        <w:rPr>
          <w:lang w:val="en-GB" w:eastAsia="en-GB"/>
        </w:rPr>
        <w:t xml:space="preserve"> </w:t>
      </w:r>
      <w:r w:rsidRPr="001E0497">
        <w:rPr>
          <w:lang w:val="en-GB" w:eastAsia="en-GB"/>
        </w:rPr>
        <w:t>Victorian</w:t>
      </w:r>
      <w:r>
        <w:rPr>
          <w:lang w:val="en-GB" w:eastAsia="en-GB"/>
        </w:rPr>
        <w:t xml:space="preserve"> </w:t>
      </w:r>
      <w:r w:rsidRPr="001E0497">
        <w:rPr>
          <w:lang w:val="en-GB" w:eastAsia="en-GB"/>
        </w:rPr>
        <w:t>coast.</w:t>
      </w:r>
      <w:r>
        <w:rPr>
          <w:lang w:val="en-GB" w:eastAsia="en-GB"/>
        </w:rPr>
        <w:t xml:space="preserve"> </w:t>
      </w:r>
      <w:r w:rsidRPr="001E0497">
        <w:rPr>
          <w:lang w:val="en-GB" w:eastAsia="en-GB"/>
        </w:rPr>
        <w:t>This</w:t>
      </w:r>
      <w:r>
        <w:rPr>
          <w:lang w:val="en-GB" w:eastAsia="en-GB"/>
        </w:rPr>
        <w:t xml:space="preserve"> </w:t>
      </w:r>
      <w:r w:rsidRPr="001E0497">
        <w:rPr>
          <w:lang w:val="en-GB" w:eastAsia="en-GB"/>
        </w:rPr>
        <w:t>work</w:t>
      </w:r>
      <w:r>
        <w:rPr>
          <w:lang w:val="en-GB" w:eastAsia="en-GB"/>
        </w:rPr>
        <w:t xml:space="preserve"> </w:t>
      </w:r>
      <w:r w:rsidRPr="001E0497">
        <w:rPr>
          <w:lang w:val="en-GB" w:eastAsia="en-GB"/>
        </w:rPr>
        <w:t>will</w:t>
      </w:r>
      <w:r>
        <w:rPr>
          <w:lang w:val="en-GB" w:eastAsia="en-GB"/>
        </w:rPr>
        <w:t xml:space="preserve"> </w:t>
      </w:r>
      <w:r w:rsidRPr="001E0497">
        <w:rPr>
          <w:lang w:val="en-GB" w:eastAsia="en-GB"/>
        </w:rPr>
        <w:t>acquire</w:t>
      </w:r>
      <w:r>
        <w:rPr>
          <w:lang w:val="en-GB" w:eastAsia="en-GB"/>
        </w:rPr>
        <w:t xml:space="preserve"> </w:t>
      </w:r>
      <w:r w:rsidRPr="001E0497">
        <w:rPr>
          <w:lang w:val="en-GB" w:eastAsia="en-GB"/>
        </w:rPr>
        <w:t>new</w:t>
      </w:r>
      <w:r>
        <w:rPr>
          <w:lang w:val="en-GB" w:eastAsia="en-GB"/>
        </w:rPr>
        <w:t xml:space="preserve"> </w:t>
      </w:r>
      <w:r w:rsidRPr="001E0497">
        <w:rPr>
          <w:lang w:val="en-GB" w:eastAsia="en-GB"/>
        </w:rPr>
        <w:t>geoscientific</w:t>
      </w:r>
      <w:r>
        <w:rPr>
          <w:lang w:val="en-GB" w:eastAsia="en-GB"/>
        </w:rPr>
        <w:t xml:space="preserve"> </w:t>
      </w:r>
      <w:r w:rsidRPr="001E0497">
        <w:rPr>
          <w:lang w:val="en-GB" w:eastAsia="en-GB"/>
        </w:rPr>
        <w:t>information</w:t>
      </w:r>
      <w:r>
        <w:rPr>
          <w:lang w:val="en-GB" w:eastAsia="en-GB"/>
        </w:rPr>
        <w:t xml:space="preserve"> </w:t>
      </w:r>
      <w:r w:rsidRPr="001E0497">
        <w:rPr>
          <w:lang w:val="en-GB" w:eastAsia="en-GB"/>
        </w:rPr>
        <w:t>to</w:t>
      </w:r>
      <w:r>
        <w:rPr>
          <w:lang w:val="en-GB" w:eastAsia="en-GB"/>
        </w:rPr>
        <w:t xml:space="preserve"> </w:t>
      </w:r>
      <w:r w:rsidRPr="001E0497">
        <w:rPr>
          <w:lang w:val="en-GB" w:eastAsia="en-GB"/>
        </w:rPr>
        <w:t>identify</w:t>
      </w:r>
      <w:r>
        <w:rPr>
          <w:lang w:val="en-GB" w:eastAsia="en-GB"/>
        </w:rPr>
        <w:t xml:space="preserve"> </w:t>
      </w:r>
      <w:r w:rsidRPr="001E0497">
        <w:rPr>
          <w:lang w:val="en-GB" w:eastAsia="en-GB"/>
        </w:rPr>
        <w:t>areas</w:t>
      </w:r>
      <w:r>
        <w:rPr>
          <w:lang w:val="en-GB" w:eastAsia="en-GB"/>
        </w:rPr>
        <w:t xml:space="preserve"> </w:t>
      </w:r>
      <w:r w:rsidRPr="001E0497">
        <w:rPr>
          <w:lang w:val="en-GB" w:eastAsia="en-GB"/>
        </w:rPr>
        <w:t>off</w:t>
      </w:r>
      <w:r>
        <w:rPr>
          <w:lang w:val="en-GB" w:eastAsia="en-GB"/>
        </w:rPr>
        <w:t xml:space="preserve"> </w:t>
      </w:r>
      <w:r w:rsidRPr="001E0497">
        <w:rPr>
          <w:lang w:val="en-GB" w:eastAsia="en-GB"/>
        </w:rPr>
        <w:t>the</w:t>
      </w:r>
      <w:r>
        <w:rPr>
          <w:lang w:val="en-GB" w:eastAsia="en-GB"/>
        </w:rPr>
        <w:t xml:space="preserve"> </w:t>
      </w:r>
      <w:r w:rsidRPr="001E0497">
        <w:rPr>
          <w:lang w:val="en-GB" w:eastAsia="en-GB"/>
        </w:rPr>
        <w:t>Victorian</w:t>
      </w:r>
      <w:r>
        <w:rPr>
          <w:lang w:val="en-GB" w:eastAsia="en-GB"/>
        </w:rPr>
        <w:t xml:space="preserve"> </w:t>
      </w:r>
      <w:r w:rsidRPr="001E0497">
        <w:rPr>
          <w:lang w:val="en-GB" w:eastAsia="en-GB"/>
        </w:rPr>
        <w:t>coast,</w:t>
      </w:r>
      <w:r>
        <w:rPr>
          <w:lang w:val="en-GB" w:eastAsia="en-GB"/>
        </w:rPr>
        <w:t xml:space="preserve"> </w:t>
      </w:r>
      <w:r w:rsidRPr="001E0497">
        <w:rPr>
          <w:lang w:val="en-GB" w:eastAsia="en-GB"/>
        </w:rPr>
        <w:t>specifically</w:t>
      </w:r>
      <w:r>
        <w:rPr>
          <w:lang w:val="en-GB" w:eastAsia="en-GB"/>
        </w:rPr>
        <w:t xml:space="preserve"> </w:t>
      </w:r>
      <w:r w:rsidRPr="001E0497">
        <w:rPr>
          <w:lang w:val="en-GB" w:eastAsia="en-GB"/>
        </w:rPr>
        <w:t>in</w:t>
      </w:r>
      <w:r>
        <w:rPr>
          <w:lang w:val="en-GB" w:eastAsia="en-GB"/>
        </w:rPr>
        <w:t xml:space="preserve"> </w:t>
      </w:r>
      <w:r w:rsidRPr="001E0497">
        <w:rPr>
          <w:lang w:val="en-GB" w:eastAsia="en-GB"/>
        </w:rPr>
        <w:t>the</w:t>
      </w:r>
      <w:r>
        <w:rPr>
          <w:lang w:val="en-GB" w:eastAsia="en-GB"/>
        </w:rPr>
        <w:t xml:space="preserve"> </w:t>
      </w:r>
      <w:r w:rsidRPr="001E0497">
        <w:rPr>
          <w:lang w:val="en-GB" w:eastAsia="en-GB"/>
        </w:rPr>
        <w:t>Otway</w:t>
      </w:r>
      <w:r>
        <w:rPr>
          <w:lang w:val="en-GB" w:eastAsia="en-GB"/>
        </w:rPr>
        <w:t xml:space="preserve"> </w:t>
      </w:r>
      <w:r w:rsidRPr="001E0497">
        <w:rPr>
          <w:lang w:val="en-GB" w:eastAsia="en-GB"/>
        </w:rPr>
        <w:t>Basin,</w:t>
      </w:r>
      <w:r>
        <w:rPr>
          <w:lang w:val="en-GB" w:eastAsia="en-GB"/>
        </w:rPr>
        <w:t xml:space="preserve"> </w:t>
      </w:r>
      <w:r w:rsidRPr="001E0497">
        <w:rPr>
          <w:lang w:val="en-GB" w:eastAsia="en-GB"/>
        </w:rPr>
        <w:t>that</w:t>
      </w:r>
      <w:r>
        <w:rPr>
          <w:lang w:val="en-GB" w:eastAsia="en-GB"/>
        </w:rPr>
        <w:t xml:space="preserve"> </w:t>
      </w:r>
      <w:r w:rsidRPr="001E0497">
        <w:rPr>
          <w:lang w:val="en-GB" w:eastAsia="en-GB"/>
        </w:rPr>
        <w:t>are</w:t>
      </w:r>
      <w:r>
        <w:rPr>
          <w:lang w:val="en-GB" w:eastAsia="en-GB"/>
        </w:rPr>
        <w:t xml:space="preserve"> </w:t>
      </w:r>
      <w:r w:rsidRPr="001E0497">
        <w:rPr>
          <w:lang w:val="en-GB" w:eastAsia="en-GB"/>
        </w:rPr>
        <w:t>likely</w:t>
      </w:r>
      <w:r>
        <w:rPr>
          <w:lang w:val="en-GB" w:eastAsia="en-GB"/>
        </w:rPr>
        <w:t xml:space="preserve"> </w:t>
      </w:r>
      <w:r w:rsidRPr="001E0497">
        <w:rPr>
          <w:lang w:val="en-GB" w:eastAsia="en-GB"/>
        </w:rPr>
        <w:t>to</w:t>
      </w:r>
      <w:r>
        <w:rPr>
          <w:lang w:val="en-GB" w:eastAsia="en-GB"/>
        </w:rPr>
        <w:t xml:space="preserve"> </w:t>
      </w:r>
      <w:r w:rsidRPr="001E0497">
        <w:rPr>
          <w:lang w:val="en-GB" w:eastAsia="en-GB"/>
        </w:rPr>
        <w:t>be</w:t>
      </w:r>
      <w:r>
        <w:rPr>
          <w:lang w:val="en-GB" w:eastAsia="en-GB"/>
        </w:rPr>
        <w:t xml:space="preserve"> </w:t>
      </w:r>
      <w:r w:rsidRPr="001E0497">
        <w:rPr>
          <w:lang w:val="en-GB" w:eastAsia="en-GB"/>
        </w:rPr>
        <w:t>prospective</w:t>
      </w:r>
      <w:r>
        <w:rPr>
          <w:lang w:val="en-GB" w:eastAsia="en-GB"/>
        </w:rPr>
        <w:t xml:space="preserve"> </w:t>
      </w:r>
      <w:r w:rsidRPr="001E0497">
        <w:rPr>
          <w:lang w:val="en-GB" w:eastAsia="en-GB"/>
        </w:rPr>
        <w:t>for</w:t>
      </w:r>
      <w:r>
        <w:rPr>
          <w:lang w:val="en-GB" w:eastAsia="en-GB"/>
        </w:rPr>
        <w:t xml:space="preserve"> </w:t>
      </w:r>
      <w:r w:rsidRPr="001E0497">
        <w:rPr>
          <w:lang w:val="en-GB" w:eastAsia="en-GB"/>
        </w:rPr>
        <w:t>offshore</w:t>
      </w:r>
      <w:r>
        <w:rPr>
          <w:lang w:val="en-GB" w:eastAsia="en-GB"/>
        </w:rPr>
        <w:t xml:space="preserve"> </w:t>
      </w:r>
      <w:r w:rsidRPr="001E0497">
        <w:rPr>
          <w:lang w:val="en-GB" w:eastAsia="en-GB"/>
        </w:rPr>
        <w:t>gas.</w:t>
      </w:r>
    </w:p>
    <w:p w14:paraId="7ED6707A" w14:textId="1B8A370B" w:rsidR="000608F9" w:rsidRPr="00C91D8E" w:rsidRDefault="00FB7D6E" w:rsidP="000608F9">
      <w:pPr>
        <w:pStyle w:val="bodyCopy"/>
        <w:rPr>
          <w:lang w:val="en-GB" w:eastAsia="en-GB"/>
        </w:rPr>
      </w:pPr>
      <w:r w:rsidRPr="001E0497">
        <w:rPr>
          <w:lang w:val="en-GB" w:eastAsia="en-GB"/>
        </w:rPr>
        <w:t>The</w:t>
      </w:r>
      <w:r>
        <w:rPr>
          <w:lang w:val="en-GB" w:eastAsia="en-GB"/>
        </w:rPr>
        <w:t xml:space="preserve"> </w:t>
      </w:r>
      <w:r w:rsidRPr="001E0497">
        <w:rPr>
          <w:lang w:val="en-GB" w:eastAsia="en-GB"/>
        </w:rPr>
        <w:t>offshore</w:t>
      </w:r>
      <w:r>
        <w:rPr>
          <w:lang w:val="en-GB" w:eastAsia="en-GB"/>
        </w:rPr>
        <w:t xml:space="preserve"> </w:t>
      </w:r>
      <w:r w:rsidRPr="001E0497">
        <w:rPr>
          <w:lang w:val="en-GB" w:eastAsia="en-GB"/>
        </w:rPr>
        <w:t>gas</w:t>
      </w:r>
      <w:r>
        <w:rPr>
          <w:lang w:val="en-GB" w:eastAsia="en-GB"/>
        </w:rPr>
        <w:t xml:space="preserve"> </w:t>
      </w:r>
      <w:r w:rsidRPr="001E0497">
        <w:rPr>
          <w:lang w:val="en-GB" w:eastAsia="en-GB"/>
        </w:rPr>
        <w:t>geoscience</w:t>
      </w:r>
      <w:r>
        <w:rPr>
          <w:lang w:val="en-GB" w:eastAsia="en-GB"/>
        </w:rPr>
        <w:t xml:space="preserve"> </w:t>
      </w:r>
      <w:r w:rsidRPr="001E0497">
        <w:rPr>
          <w:lang w:val="en-GB" w:eastAsia="en-GB"/>
        </w:rPr>
        <w:t>program</w:t>
      </w:r>
      <w:r>
        <w:rPr>
          <w:lang w:val="en-GB" w:eastAsia="en-GB"/>
        </w:rPr>
        <w:t xml:space="preserve"> </w:t>
      </w:r>
      <w:r w:rsidRPr="001E0497">
        <w:rPr>
          <w:lang w:val="en-GB" w:eastAsia="en-GB"/>
        </w:rPr>
        <w:t>will</w:t>
      </w:r>
      <w:r>
        <w:rPr>
          <w:lang w:val="en-GB" w:eastAsia="en-GB"/>
        </w:rPr>
        <w:t xml:space="preserve"> </w:t>
      </w:r>
      <w:r w:rsidRPr="001E0497">
        <w:rPr>
          <w:lang w:val="en-GB" w:eastAsia="en-GB"/>
        </w:rPr>
        <w:t>improve</w:t>
      </w:r>
      <w:r>
        <w:rPr>
          <w:lang w:val="en-GB" w:eastAsia="en-GB"/>
        </w:rPr>
        <w:t xml:space="preserve"> </w:t>
      </w:r>
      <w:r w:rsidRPr="001E0497">
        <w:rPr>
          <w:lang w:val="en-GB" w:eastAsia="en-GB"/>
        </w:rPr>
        <w:t>the</w:t>
      </w:r>
      <w:r>
        <w:rPr>
          <w:lang w:val="en-GB" w:eastAsia="en-GB"/>
        </w:rPr>
        <w:t xml:space="preserve"> </w:t>
      </w:r>
      <w:r w:rsidRPr="001E0497">
        <w:rPr>
          <w:lang w:val="en-GB" w:eastAsia="en-GB"/>
        </w:rPr>
        <w:t>understanding</w:t>
      </w:r>
      <w:r>
        <w:rPr>
          <w:lang w:val="en-GB" w:eastAsia="en-GB"/>
        </w:rPr>
        <w:t xml:space="preserve"> </w:t>
      </w:r>
      <w:r w:rsidRPr="001E0497">
        <w:rPr>
          <w:lang w:val="en-GB" w:eastAsia="en-GB"/>
        </w:rPr>
        <w:t>of</w:t>
      </w:r>
      <w:r>
        <w:rPr>
          <w:lang w:val="en-GB" w:eastAsia="en-GB"/>
        </w:rPr>
        <w:t xml:space="preserve"> </w:t>
      </w:r>
      <w:r w:rsidRPr="001E0497">
        <w:rPr>
          <w:lang w:val="en-GB" w:eastAsia="en-GB"/>
        </w:rPr>
        <w:t>gas</w:t>
      </w:r>
      <w:r>
        <w:rPr>
          <w:lang w:val="en-GB" w:eastAsia="en-GB"/>
        </w:rPr>
        <w:t xml:space="preserve"> </w:t>
      </w:r>
      <w:r w:rsidRPr="001E0497">
        <w:rPr>
          <w:lang w:val="en-GB" w:eastAsia="en-GB"/>
        </w:rPr>
        <w:t>prospectivity</w:t>
      </w:r>
      <w:r>
        <w:rPr>
          <w:lang w:val="en-GB" w:eastAsia="en-GB"/>
        </w:rPr>
        <w:t xml:space="preserve"> </w:t>
      </w:r>
      <w:r w:rsidRPr="001E0497">
        <w:rPr>
          <w:lang w:val="en-GB" w:eastAsia="en-GB"/>
        </w:rPr>
        <w:t>through</w:t>
      </w:r>
      <w:r>
        <w:rPr>
          <w:lang w:val="en-GB" w:eastAsia="en-GB"/>
        </w:rPr>
        <w:t xml:space="preserve"> the acquisition of a new airborne gravity survey (Figure1 – pink polygon). The survey area of interest covers 30</w:t>
      </w:r>
      <w:r w:rsidRPr="001E0497">
        <w:rPr>
          <w:lang w:val="en-GB" w:eastAsia="en-GB"/>
        </w:rPr>
        <w:t>,000</w:t>
      </w:r>
      <w:r>
        <w:rPr>
          <w:lang w:val="en-GB" w:eastAsia="en-GB"/>
        </w:rPr>
        <w:t xml:space="preserve"> </w:t>
      </w:r>
      <w:r w:rsidRPr="001E0497">
        <w:rPr>
          <w:lang w:val="en-GB" w:eastAsia="en-GB"/>
        </w:rPr>
        <w:t>square</w:t>
      </w:r>
      <w:r>
        <w:rPr>
          <w:lang w:val="en-GB" w:eastAsia="en-GB"/>
        </w:rPr>
        <w:t xml:space="preserve"> </w:t>
      </w:r>
      <w:r w:rsidR="00463658">
        <w:rPr>
          <w:lang w:val="en-GB" w:eastAsia="en-GB"/>
        </w:rPr>
        <w:t>km</w:t>
      </w:r>
      <w:r>
        <w:rPr>
          <w:lang w:val="en-GB" w:eastAsia="en-GB"/>
        </w:rPr>
        <w:t xml:space="preserve"> </w:t>
      </w:r>
      <w:r w:rsidRPr="001E0497">
        <w:rPr>
          <w:lang w:val="en-GB" w:eastAsia="en-GB"/>
        </w:rPr>
        <w:t>of</w:t>
      </w:r>
      <w:r>
        <w:rPr>
          <w:lang w:val="en-GB" w:eastAsia="en-GB"/>
        </w:rPr>
        <w:t xml:space="preserve"> </w:t>
      </w:r>
      <w:r w:rsidRPr="001E0497">
        <w:rPr>
          <w:lang w:val="en-GB" w:eastAsia="en-GB"/>
        </w:rPr>
        <w:t>the</w:t>
      </w:r>
      <w:r>
        <w:rPr>
          <w:lang w:val="en-GB" w:eastAsia="en-GB"/>
        </w:rPr>
        <w:t xml:space="preserve"> </w:t>
      </w:r>
      <w:r w:rsidRPr="001E0497">
        <w:rPr>
          <w:lang w:val="en-GB" w:eastAsia="en-GB"/>
        </w:rPr>
        <w:t>Otway</w:t>
      </w:r>
      <w:r>
        <w:rPr>
          <w:lang w:val="en-GB" w:eastAsia="en-GB"/>
        </w:rPr>
        <w:t xml:space="preserve"> </w:t>
      </w:r>
      <w:r w:rsidRPr="001E0497">
        <w:rPr>
          <w:lang w:val="en-GB" w:eastAsia="en-GB"/>
        </w:rPr>
        <w:t>geological</w:t>
      </w:r>
      <w:r>
        <w:rPr>
          <w:lang w:val="en-GB" w:eastAsia="en-GB"/>
        </w:rPr>
        <w:t xml:space="preserve"> </w:t>
      </w:r>
      <w:r w:rsidRPr="001E0497">
        <w:rPr>
          <w:lang w:val="en-GB" w:eastAsia="en-GB"/>
        </w:rPr>
        <w:t>basin,</w:t>
      </w:r>
      <w:r>
        <w:rPr>
          <w:lang w:val="en-GB" w:eastAsia="en-GB"/>
        </w:rPr>
        <w:t xml:space="preserve"> </w:t>
      </w:r>
      <w:r w:rsidRPr="001E0497">
        <w:rPr>
          <w:lang w:val="en-GB" w:eastAsia="en-GB"/>
        </w:rPr>
        <w:t>including</w:t>
      </w:r>
      <w:r>
        <w:rPr>
          <w:lang w:val="en-GB" w:eastAsia="en-GB"/>
        </w:rPr>
        <w:t xml:space="preserve"> </w:t>
      </w:r>
      <w:r w:rsidRPr="001E0497">
        <w:rPr>
          <w:lang w:val="en-GB" w:eastAsia="en-GB"/>
        </w:rPr>
        <w:t>State</w:t>
      </w:r>
      <w:r>
        <w:rPr>
          <w:lang w:val="en-GB" w:eastAsia="en-GB"/>
        </w:rPr>
        <w:t xml:space="preserve"> </w:t>
      </w:r>
      <w:r w:rsidRPr="001E0497">
        <w:rPr>
          <w:lang w:val="en-GB" w:eastAsia="en-GB"/>
        </w:rPr>
        <w:t>onshore</w:t>
      </w:r>
      <w:r>
        <w:rPr>
          <w:lang w:val="en-GB" w:eastAsia="en-GB"/>
        </w:rPr>
        <w:t xml:space="preserve"> </w:t>
      </w:r>
      <w:r w:rsidRPr="001E0497">
        <w:rPr>
          <w:lang w:val="en-GB" w:eastAsia="en-GB"/>
        </w:rPr>
        <w:t>and</w:t>
      </w:r>
      <w:r>
        <w:rPr>
          <w:lang w:val="en-GB" w:eastAsia="en-GB"/>
        </w:rPr>
        <w:t xml:space="preserve"> </w:t>
      </w:r>
      <w:r w:rsidRPr="001E0497">
        <w:rPr>
          <w:lang w:val="en-GB" w:eastAsia="en-GB"/>
        </w:rPr>
        <w:t>offshore</w:t>
      </w:r>
      <w:r>
        <w:rPr>
          <w:lang w:val="en-GB" w:eastAsia="en-GB"/>
        </w:rPr>
        <w:t xml:space="preserve"> </w:t>
      </w:r>
      <w:r w:rsidRPr="001E0497">
        <w:rPr>
          <w:lang w:val="en-GB" w:eastAsia="en-GB"/>
        </w:rPr>
        <w:t>areas</w:t>
      </w:r>
      <w:r>
        <w:rPr>
          <w:lang w:val="en-GB" w:eastAsia="en-GB"/>
        </w:rPr>
        <w:t xml:space="preserve"> </w:t>
      </w:r>
      <w:r w:rsidRPr="001E0497">
        <w:rPr>
          <w:lang w:val="en-GB" w:eastAsia="en-GB"/>
        </w:rPr>
        <w:t>and</w:t>
      </w:r>
      <w:r>
        <w:rPr>
          <w:lang w:val="en-GB" w:eastAsia="en-GB"/>
        </w:rPr>
        <w:t xml:space="preserve"> </w:t>
      </w:r>
      <w:r w:rsidRPr="001E0497">
        <w:rPr>
          <w:lang w:val="en-GB" w:eastAsia="en-GB"/>
        </w:rPr>
        <w:t>Commonwealth</w:t>
      </w:r>
      <w:r>
        <w:rPr>
          <w:lang w:val="en-GB" w:eastAsia="en-GB"/>
        </w:rPr>
        <w:t xml:space="preserve"> </w:t>
      </w:r>
      <w:r w:rsidRPr="001E0497">
        <w:rPr>
          <w:lang w:val="en-GB" w:eastAsia="en-GB"/>
        </w:rPr>
        <w:t>waters.</w:t>
      </w:r>
      <w:r>
        <w:rPr>
          <w:lang w:val="en-GB" w:eastAsia="en-GB"/>
        </w:rPr>
        <w:t xml:space="preserve"> </w:t>
      </w:r>
      <w:r>
        <w:t>The</w:t>
      </w:r>
      <w:r w:rsidRPr="00A81761">
        <w:t xml:space="preserve"> airborne gravity survey </w:t>
      </w:r>
      <w:r>
        <w:t>aims to</w:t>
      </w:r>
      <w:r w:rsidRPr="00A81761">
        <w:t xml:space="preserve"> provide new data to better understand basin architecture, particularly in the three nautical mile zone where seismic data </w:t>
      </w:r>
      <w:r w:rsidR="00BA319F">
        <w:t>is</w:t>
      </w:r>
      <w:r w:rsidR="00BA319F" w:rsidRPr="00A81761">
        <w:t xml:space="preserve"> </w:t>
      </w:r>
      <w:r w:rsidRPr="00A81761">
        <w:t>limited</w:t>
      </w:r>
      <w:r>
        <w:t>.</w:t>
      </w:r>
    </w:p>
    <w:p w14:paraId="03A5F89A" w14:textId="77777777" w:rsidR="00D75914" w:rsidRDefault="00D75914" w:rsidP="00E14D94">
      <w:pPr>
        <w:pStyle w:val="Heading1"/>
      </w:pPr>
      <w:bookmarkStart w:id="5" w:name="_Toc513813338"/>
      <w:r>
        <w:lastRenderedPageBreak/>
        <w:t>Regional Geology</w:t>
      </w:r>
      <w:bookmarkEnd w:id="5"/>
    </w:p>
    <w:p w14:paraId="113EDE3A" w14:textId="77777777" w:rsidR="00D12C02" w:rsidRPr="00010204" w:rsidRDefault="00D12C02" w:rsidP="00010204">
      <w:pPr>
        <w:pStyle w:val="Heading2"/>
        <w:rPr>
          <w:rStyle w:val="Heading2Char"/>
          <w:rFonts w:eastAsiaTheme="minorHAnsi"/>
        </w:rPr>
      </w:pPr>
      <w:r>
        <w:rPr>
          <w:rFonts w:eastAsiaTheme="minorHAnsi" w:cs="Arial"/>
          <w:color w:val="AEC12D"/>
          <w:sz w:val="32"/>
          <w:szCs w:val="32"/>
        </w:rPr>
        <w:t xml:space="preserve"> </w:t>
      </w:r>
      <w:bookmarkStart w:id="6" w:name="_Toc513813339"/>
      <w:r w:rsidRPr="00010204">
        <w:rPr>
          <w:rStyle w:val="Heading2Char"/>
          <w:rFonts w:eastAsiaTheme="minorHAnsi"/>
        </w:rPr>
        <w:t>Tectonic setting</w:t>
      </w:r>
      <w:bookmarkEnd w:id="6"/>
      <w:r w:rsidRPr="00010204">
        <w:rPr>
          <w:rStyle w:val="Heading2Char"/>
          <w:rFonts w:eastAsiaTheme="minorHAnsi"/>
        </w:rPr>
        <w:t xml:space="preserve"> </w:t>
      </w:r>
    </w:p>
    <w:p w14:paraId="33E005FA" w14:textId="028CECBA" w:rsidR="00D12C02" w:rsidRPr="00010204" w:rsidRDefault="00D12C02" w:rsidP="00010204">
      <w:pPr>
        <w:rPr>
          <w:rFonts w:eastAsiaTheme="minorHAnsi"/>
        </w:rPr>
      </w:pPr>
      <w:r>
        <w:rPr>
          <w:rFonts w:eastAsiaTheme="minorHAnsi"/>
        </w:rPr>
        <w:t>The Otway Basin is a northwest</w:t>
      </w:r>
      <w:r>
        <w:rPr>
          <w:rFonts w:ascii="Cambria Math" w:eastAsiaTheme="minorHAnsi" w:hAnsi="Cambria Math" w:cs="Cambria Math"/>
        </w:rPr>
        <w:t>-</w:t>
      </w:r>
      <w:r>
        <w:rPr>
          <w:rFonts w:eastAsiaTheme="minorHAnsi"/>
        </w:rPr>
        <w:t>southeast trending basin that extends for 500 km along the onshore and offshore parts of sou</w:t>
      </w:r>
      <w:r w:rsidR="00C91D8E">
        <w:rPr>
          <w:rFonts w:eastAsiaTheme="minorHAnsi"/>
        </w:rPr>
        <w:t>th-eastern Australia (Figure 2</w:t>
      </w:r>
      <w:r>
        <w:rPr>
          <w:rFonts w:eastAsiaTheme="minorHAnsi"/>
        </w:rPr>
        <w:t xml:space="preserve">). It is a passive margin, rift basin (Brown </w:t>
      </w:r>
      <w:r>
        <w:rPr>
          <w:rFonts w:eastAsiaTheme="minorHAnsi"/>
          <w:i/>
          <w:iCs/>
        </w:rPr>
        <w:t>et al</w:t>
      </w:r>
      <w:r>
        <w:rPr>
          <w:rFonts w:eastAsiaTheme="minorHAnsi"/>
        </w:rPr>
        <w:t>., 2003) that formed during the break</w:t>
      </w:r>
      <w:r>
        <w:rPr>
          <w:rFonts w:ascii="Cambria Math" w:eastAsiaTheme="minorHAnsi" w:hAnsi="Cambria Math" w:cs="Cambria Math"/>
        </w:rPr>
        <w:t>-</w:t>
      </w:r>
      <w:r>
        <w:rPr>
          <w:rFonts w:eastAsiaTheme="minorHAnsi"/>
        </w:rPr>
        <w:t>up of southern and eastern Gondwana.</w:t>
      </w:r>
    </w:p>
    <w:p w14:paraId="3452166C" w14:textId="4BF50A79" w:rsidR="00D12C02" w:rsidRPr="00010204" w:rsidRDefault="00D12C02" w:rsidP="00010204">
      <w:pPr>
        <w:rPr>
          <w:rFonts w:eastAsiaTheme="minorHAnsi"/>
        </w:rPr>
      </w:pPr>
      <w:r>
        <w:rPr>
          <w:rFonts w:eastAsiaTheme="minorHAnsi"/>
        </w:rPr>
        <w:t>Rifting in the Late Jurassic</w:t>
      </w:r>
      <w:r>
        <w:rPr>
          <w:rFonts w:ascii="Cambria Math" w:eastAsiaTheme="minorHAnsi" w:hAnsi="Cambria Math" w:cs="Cambria Math"/>
        </w:rPr>
        <w:t>-</w:t>
      </w:r>
      <w:r>
        <w:rPr>
          <w:rFonts w:eastAsiaTheme="minorHAnsi"/>
        </w:rPr>
        <w:t>Early Cretaceous resulted in the development of graben</w:t>
      </w:r>
      <w:r w:rsidR="00BB3AAA">
        <w:rPr>
          <w:rFonts w:eastAsiaTheme="minorHAnsi"/>
        </w:rPr>
        <w:t>s</w:t>
      </w:r>
      <w:r>
        <w:rPr>
          <w:rFonts w:eastAsiaTheme="minorHAnsi"/>
        </w:rPr>
        <w:t xml:space="preserve"> and half graben</w:t>
      </w:r>
      <w:r w:rsidR="00BB3AAA">
        <w:rPr>
          <w:rFonts w:eastAsiaTheme="minorHAnsi"/>
        </w:rPr>
        <w:t>s</w:t>
      </w:r>
      <w:r>
        <w:rPr>
          <w:rFonts w:eastAsiaTheme="minorHAnsi"/>
        </w:rPr>
        <w:t xml:space="preserve"> of limited lateral extent (Krassay </w:t>
      </w:r>
      <w:r>
        <w:rPr>
          <w:rFonts w:eastAsiaTheme="minorHAnsi"/>
          <w:i/>
          <w:iCs/>
        </w:rPr>
        <w:t>et al</w:t>
      </w:r>
      <w:r>
        <w:rPr>
          <w:rFonts w:eastAsiaTheme="minorHAnsi"/>
        </w:rPr>
        <w:t>.,</w:t>
      </w:r>
      <w:r>
        <w:rPr>
          <w:rFonts w:eastAsiaTheme="minorHAnsi"/>
          <w:i/>
          <w:iCs/>
        </w:rPr>
        <w:t xml:space="preserve"> </w:t>
      </w:r>
      <w:r>
        <w:rPr>
          <w:rFonts w:eastAsiaTheme="minorHAnsi"/>
        </w:rPr>
        <w:t>2004) and varying orientations (NW</w:t>
      </w:r>
      <w:r>
        <w:rPr>
          <w:rFonts w:ascii="Cambria Math" w:eastAsiaTheme="minorHAnsi" w:hAnsi="Cambria Math" w:cs="Cambria Math"/>
        </w:rPr>
        <w:t>-</w:t>
      </w:r>
      <w:r>
        <w:rPr>
          <w:rFonts w:eastAsiaTheme="minorHAnsi"/>
        </w:rPr>
        <w:t>SE in the onshore Otway Basin, E</w:t>
      </w:r>
      <w:r>
        <w:rPr>
          <w:rFonts w:ascii="Cambria Math" w:eastAsiaTheme="minorHAnsi" w:hAnsi="Cambria Math" w:cs="Cambria Math"/>
        </w:rPr>
        <w:t>-</w:t>
      </w:r>
      <w:r>
        <w:rPr>
          <w:rFonts w:eastAsiaTheme="minorHAnsi"/>
        </w:rPr>
        <w:t>W in the western and central Otway Basin, SW</w:t>
      </w:r>
      <w:r>
        <w:rPr>
          <w:rFonts w:ascii="Cambria Math" w:eastAsiaTheme="minorHAnsi" w:hAnsi="Cambria Math" w:cs="Cambria Math"/>
        </w:rPr>
        <w:t>-</w:t>
      </w:r>
      <w:r>
        <w:rPr>
          <w:rFonts w:eastAsiaTheme="minorHAnsi"/>
        </w:rPr>
        <w:t>NE in the eastern Otway Basin and Torquay Sub</w:t>
      </w:r>
      <w:r>
        <w:rPr>
          <w:rFonts w:ascii="Cambria Math" w:eastAsiaTheme="minorHAnsi" w:hAnsi="Cambria Math" w:cs="Cambria Math"/>
        </w:rPr>
        <w:t>-</w:t>
      </w:r>
      <w:r>
        <w:rPr>
          <w:rFonts w:eastAsiaTheme="minorHAnsi"/>
        </w:rPr>
        <w:t>basin, and N</w:t>
      </w:r>
      <w:r>
        <w:rPr>
          <w:rFonts w:ascii="Cambria Math" w:eastAsiaTheme="minorHAnsi" w:hAnsi="Cambria Math" w:cs="Cambria Math"/>
        </w:rPr>
        <w:t>-</w:t>
      </w:r>
      <w:r>
        <w:rPr>
          <w:rFonts w:eastAsiaTheme="minorHAnsi"/>
        </w:rPr>
        <w:t xml:space="preserve">S in the Shipwreck Trough) (Stacey </w:t>
      </w:r>
      <w:r>
        <w:rPr>
          <w:rFonts w:eastAsiaTheme="minorHAnsi"/>
          <w:i/>
          <w:iCs/>
        </w:rPr>
        <w:t>et al</w:t>
      </w:r>
      <w:r>
        <w:rPr>
          <w:rFonts w:eastAsiaTheme="minorHAnsi"/>
        </w:rPr>
        <w:t>., 2013). Up to 8 km of Otway Group continental and fluvio</w:t>
      </w:r>
      <w:r>
        <w:rPr>
          <w:rFonts w:ascii="Cambria Math" w:eastAsiaTheme="minorHAnsi" w:hAnsi="Cambria Math" w:cs="Cambria Math"/>
        </w:rPr>
        <w:t>-</w:t>
      </w:r>
      <w:r>
        <w:rPr>
          <w:rFonts w:eastAsiaTheme="minorHAnsi"/>
        </w:rPr>
        <w:t>lacustrine sediments were deposited in the Early Cretaceous depocentres.</w:t>
      </w:r>
    </w:p>
    <w:p w14:paraId="4C32F577" w14:textId="129F963B" w:rsidR="00D12C02" w:rsidRPr="00010204" w:rsidRDefault="00D12C02" w:rsidP="00010204">
      <w:pPr>
        <w:rPr>
          <w:rFonts w:eastAsiaTheme="minorHAnsi"/>
        </w:rPr>
      </w:pPr>
      <w:r>
        <w:rPr>
          <w:rFonts w:eastAsiaTheme="minorHAnsi"/>
        </w:rPr>
        <w:t>Compressional inversion and uplift in the early Late Cretaceous separated the Torquay Sub</w:t>
      </w:r>
      <w:r>
        <w:rPr>
          <w:rFonts w:ascii="Cambria Math" w:eastAsiaTheme="minorHAnsi" w:hAnsi="Cambria Math" w:cs="Cambria Math"/>
        </w:rPr>
        <w:t>-</w:t>
      </w:r>
      <w:r>
        <w:rPr>
          <w:rFonts w:eastAsiaTheme="minorHAnsi"/>
        </w:rPr>
        <w:t xml:space="preserve">basin from the eastern Otway Basin and shifted the locus of extension offshore (Krassay </w:t>
      </w:r>
      <w:r>
        <w:rPr>
          <w:rFonts w:eastAsiaTheme="minorHAnsi"/>
          <w:i/>
          <w:iCs/>
        </w:rPr>
        <w:t>et al</w:t>
      </w:r>
      <w:r>
        <w:rPr>
          <w:rFonts w:eastAsiaTheme="minorHAnsi"/>
        </w:rPr>
        <w:t>., 2004). A thick sequence of Sherbrook Group fluvial, deltaic and shallow marine sediments was deposited in the Late Cretaceous depocentres, including the Shipwreck Trough.</w:t>
      </w:r>
    </w:p>
    <w:p w14:paraId="59FFB3F7" w14:textId="77777777" w:rsidR="00D12C02" w:rsidRPr="00010204" w:rsidRDefault="00D12C02" w:rsidP="00010204">
      <w:pPr>
        <w:rPr>
          <w:rFonts w:ascii="Cambria Math" w:eastAsiaTheme="minorHAnsi" w:hAnsi="Cambria Math" w:cs="Cambria Math"/>
        </w:rPr>
      </w:pPr>
      <w:r>
        <w:rPr>
          <w:rFonts w:eastAsiaTheme="minorHAnsi"/>
        </w:rPr>
        <w:t>Rifting in the Otway Basin “culminated at the end of the Cretaceous and is marked by a regional intra</w:t>
      </w:r>
      <w:r>
        <w:rPr>
          <w:rFonts w:ascii="Cambria Math" w:eastAsiaTheme="minorHAnsi" w:hAnsi="Cambria Math" w:cs="Cambria Math"/>
        </w:rPr>
        <w:t>-</w:t>
      </w:r>
      <w:r>
        <w:rPr>
          <w:rFonts w:eastAsiaTheme="minorHAnsi"/>
        </w:rPr>
        <w:t xml:space="preserve">Maastrichtian unconformity” (Holford </w:t>
      </w:r>
      <w:r>
        <w:rPr>
          <w:rFonts w:eastAsiaTheme="minorHAnsi"/>
          <w:i/>
          <w:iCs/>
        </w:rPr>
        <w:t>et al</w:t>
      </w:r>
      <w:r>
        <w:rPr>
          <w:rFonts w:eastAsiaTheme="minorHAnsi"/>
        </w:rPr>
        <w:t xml:space="preserve">, 2014). Krassay </w:t>
      </w:r>
      <w:r>
        <w:rPr>
          <w:rFonts w:eastAsiaTheme="minorHAnsi"/>
          <w:i/>
          <w:iCs/>
        </w:rPr>
        <w:t xml:space="preserve">et al </w:t>
      </w:r>
      <w:r>
        <w:rPr>
          <w:rFonts w:eastAsiaTheme="minorHAnsi"/>
        </w:rPr>
        <w:t>(2004) have interpreted this to represent the</w:t>
      </w:r>
      <w:r>
        <w:rPr>
          <w:rFonts w:ascii="Cambria Math" w:eastAsiaTheme="minorHAnsi" w:hAnsi="Cambria Math" w:cs="Cambria Math"/>
        </w:rPr>
        <w:t xml:space="preserve"> </w:t>
      </w:r>
      <w:r>
        <w:rPr>
          <w:rFonts w:eastAsiaTheme="minorHAnsi"/>
        </w:rPr>
        <w:t>time when the continental plates of Australia and Antarctica separated, although the first evidence of oceanic</w:t>
      </w:r>
      <w:r>
        <w:rPr>
          <w:rFonts w:ascii="Cambria Math" w:eastAsiaTheme="minorHAnsi" w:hAnsi="Cambria Math" w:cs="Cambria Math"/>
        </w:rPr>
        <w:t xml:space="preserve"> </w:t>
      </w:r>
      <w:r>
        <w:rPr>
          <w:rFonts w:eastAsiaTheme="minorHAnsi"/>
        </w:rPr>
        <w:t>crust in the Otway Basin does not appear until the middle Eocene (Norvick &amp; Smith, 2001).</w:t>
      </w:r>
    </w:p>
    <w:p w14:paraId="41A7ED7C" w14:textId="77777777" w:rsidR="00010204" w:rsidRDefault="00D12C02" w:rsidP="00010204">
      <w:pPr>
        <w:rPr>
          <w:rFonts w:eastAsiaTheme="minorHAnsi"/>
        </w:rPr>
      </w:pPr>
      <w:r>
        <w:rPr>
          <w:rFonts w:eastAsiaTheme="minorHAnsi"/>
        </w:rPr>
        <w:t>The intra</w:t>
      </w:r>
      <w:r>
        <w:rPr>
          <w:rFonts w:ascii="Cambria Math" w:eastAsiaTheme="minorHAnsi" w:hAnsi="Cambria Math" w:cs="Cambria Math"/>
        </w:rPr>
        <w:t>-</w:t>
      </w:r>
      <w:r>
        <w:rPr>
          <w:rFonts w:eastAsiaTheme="minorHAnsi"/>
        </w:rPr>
        <w:t>Maastrichtian unconformity was followed by basin margin subsidence and the deposition of the transgressive siliciclastic Wangerrip Group, which reaches a maximum thickness of more than 1200 m in the Portland Trough (Holdgate &amp; Gallagher, 2003). Local inversion in the middle Eocene resulted in the intra</w:t>
      </w:r>
      <w:r>
        <w:rPr>
          <w:rFonts w:ascii="Cambria Math" w:eastAsiaTheme="minorHAnsi" w:hAnsi="Cambria Math" w:cs="Cambria Math"/>
        </w:rPr>
        <w:t>-</w:t>
      </w:r>
      <w:r>
        <w:rPr>
          <w:rFonts w:eastAsiaTheme="minorHAnsi"/>
        </w:rPr>
        <w:t xml:space="preserve">Lutetian unconformity, which separates the Wangerrip Group from the overlying prograding marine clastics and carbonates of the Nirranda Group (Holdgate &amp; Gallagher, 2003; Krassay </w:t>
      </w:r>
      <w:r>
        <w:rPr>
          <w:rFonts w:eastAsiaTheme="minorHAnsi"/>
          <w:i/>
          <w:iCs/>
        </w:rPr>
        <w:t>et al</w:t>
      </w:r>
      <w:r>
        <w:rPr>
          <w:rFonts w:eastAsiaTheme="minorHAnsi"/>
        </w:rPr>
        <w:t xml:space="preserve">., 2004). The Nirranda Group has a maximum thickness of about 200 m in the Portland Trough and the Port Campbell Embayment (Holdgate &amp; Gallagher, 2003). The marine marls and limestones of the Heytesbury Group are separated by two regional unconformities from the underlying Nirranda Group and the overlying thin Pliocene to Pleistocene shallow marine sediments and basalts of the Bridgewater Bay Group. </w:t>
      </w:r>
    </w:p>
    <w:p w14:paraId="624E9752" w14:textId="77777777" w:rsidR="006058EA" w:rsidRDefault="006058EA" w:rsidP="006058EA">
      <w:pPr>
        <w:pStyle w:val="Heading2"/>
        <w:rPr>
          <w:rFonts w:ascii="Times New Roman" w:eastAsiaTheme="minorHAnsi" w:hAnsi="Times New Roman"/>
          <w:color w:val="auto"/>
          <w:sz w:val="24"/>
          <w:szCs w:val="24"/>
        </w:rPr>
      </w:pPr>
      <w:bookmarkStart w:id="7" w:name="_Toc513813340"/>
      <w:r>
        <w:rPr>
          <w:rFonts w:eastAsiaTheme="minorHAnsi"/>
        </w:rPr>
        <w:t>Stratigraphy</w:t>
      </w:r>
      <w:bookmarkEnd w:id="7"/>
      <w:r>
        <w:rPr>
          <w:rFonts w:eastAsiaTheme="minorHAnsi"/>
        </w:rPr>
        <w:t xml:space="preserve"> </w:t>
      </w:r>
    </w:p>
    <w:p w14:paraId="7C10067E" w14:textId="77777777" w:rsidR="006058EA" w:rsidRDefault="006058EA" w:rsidP="006058EA">
      <w:pPr>
        <w:rPr>
          <w:rFonts w:eastAsiaTheme="minorHAnsi"/>
        </w:rPr>
      </w:pPr>
      <w:r>
        <w:rPr>
          <w:rFonts w:eastAsiaTheme="minorHAnsi"/>
        </w:rPr>
        <w:t xml:space="preserve">The mostly sedimentary rock units found both at the surface and in the subsurface across the Otway region have been described to various extents. Based on lithological variations in the Otway Basin, six main sequences are described: the Otway Group, Sherbrook Group, Wangerrip Group, Nirranda Group, Heytesbury Group and Bridgewater Bay Group (Figure 3). </w:t>
      </w:r>
    </w:p>
    <w:p w14:paraId="0DD60A96" w14:textId="77777777" w:rsidR="00010204" w:rsidRDefault="00010204" w:rsidP="006058EA">
      <w:pPr>
        <w:pStyle w:val="bodyCopy"/>
        <w:rPr>
          <w:rFonts w:eastAsiaTheme="minorHAnsi"/>
        </w:rPr>
      </w:pPr>
      <w:r>
        <w:rPr>
          <w:rFonts w:eastAsiaTheme="minorHAnsi"/>
        </w:rPr>
        <w:br w:type="page"/>
      </w:r>
    </w:p>
    <w:p w14:paraId="6760C4E0" w14:textId="77777777" w:rsidR="009F1DF8" w:rsidRDefault="00430080" w:rsidP="006058EA">
      <w:pPr>
        <w:pStyle w:val="Caption"/>
      </w:pPr>
      <w:r>
        <w:rPr>
          <w:noProof/>
          <w:lang w:eastAsia="en-AU"/>
        </w:rPr>
        <w:lastRenderedPageBreak/>
        <w:drawing>
          <wp:inline distT="0" distB="0" distL="0" distR="0" wp14:anchorId="45C1F693" wp14:editId="3D1D38DF">
            <wp:extent cx="7817766" cy="5735569"/>
            <wp:effectExtent l="0" t="6667" r="5397" b="539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tway Basin GDA94 Boreholes with Biostratigraphy &amp; Seismic &amp; Tectonic Elements v2_without title.pn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826617" cy="5742063"/>
                    </a:xfrm>
                    <a:prstGeom prst="rect">
                      <a:avLst/>
                    </a:prstGeom>
                  </pic:spPr>
                </pic:pic>
              </a:graphicData>
            </a:graphic>
          </wp:inline>
        </w:drawing>
      </w:r>
    </w:p>
    <w:p w14:paraId="066DC1E9" w14:textId="3A3CAE25" w:rsidR="00010204" w:rsidRDefault="00010204" w:rsidP="00670157">
      <w:pPr>
        <w:pStyle w:val="Caption"/>
      </w:pPr>
      <w:bookmarkStart w:id="8" w:name="_Toc513629356"/>
      <w:r w:rsidRPr="00010204">
        <w:t xml:space="preserve">Figure </w:t>
      </w:r>
      <w:r w:rsidR="00A004A8">
        <w:fldChar w:fldCharType="begin"/>
      </w:r>
      <w:r w:rsidR="00A004A8">
        <w:instrText xml:space="preserve"> SEQ</w:instrText>
      </w:r>
      <w:r w:rsidR="00A004A8">
        <w:instrText xml:space="preserve"> Figure \* ARABIC </w:instrText>
      </w:r>
      <w:r w:rsidR="00A004A8">
        <w:fldChar w:fldCharType="separate"/>
      </w:r>
      <w:r w:rsidR="00DE2AC3">
        <w:rPr>
          <w:noProof/>
        </w:rPr>
        <w:t>2</w:t>
      </w:r>
      <w:r w:rsidR="00A004A8">
        <w:rPr>
          <w:noProof/>
        </w:rPr>
        <w:fldChar w:fldCharType="end"/>
      </w:r>
      <w:r w:rsidRPr="00670157" w:rsidDel="00010204">
        <w:t xml:space="preserve"> </w:t>
      </w:r>
      <w:r w:rsidRPr="00670157">
        <w:t>Depocentres of the Otway Basin showing the distribution of gas fields</w:t>
      </w:r>
      <w:bookmarkEnd w:id="8"/>
    </w:p>
    <w:p w14:paraId="3BB4B6C6" w14:textId="77777777" w:rsidR="00796772" w:rsidRDefault="00796772">
      <w:pPr>
        <w:spacing w:before="0" w:after="200"/>
      </w:pPr>
      <w:r>
        <w:br w:type="page"/>
      </w:r>
    </w:p>
    <w:p w14:paraId="1ED4AD70" w14:textId="77777777" w:rsidR="00796772" w:rsidRDefault="006058EA" w:rsidP="00494E6D">
      <w:pPr>
        <w:rPr>
          <w:rFonts w:eastAsiaTheme="minorHAnsi"/>
        </w:rPr>
      </w:pPr>
      <w:bookmarkStart w:id="9" w:name="_Toc511490998"/>
      <w:bookmarkStart w:id="10" w:name="_Toc511491096"/>
      <w:bookmarkStart w:id="11" w:name="_Toc512851919"/>
      <w:bookmarkStart w:id="12" w:name="_Toc511490999"/>
      <w:bookmarkStart w:id="13" w:name="_Toc511491097"/>
      <w:bookmarkStart w:id="14" w:name="_Toc512851920"/>
      <w:bookmarkEnd w:id="9"/>
      <w:bookmarkEnd w:id="10"/>
      <w:bookmarkEnd w:id="11"/>
      <w:bookmarkEnd w:id="12"/>
      <w:bookmarkEnd w:id="13"/>
      <w:bookmarkEnd w:id="14"/>
      <w:r>
        <w:rPr>
          <w:rFonts w:eastAsiaTheme="minorHAnsi"/>
          <w:noProof/>
          <w:lang w:eastAsia="en-AU"/>
        </w:rPr>
        <w:lastRenderedPageBreak/>
        <w:drawing>
          <wp:inline distT="0" distB="0" distL="0" distR="0" wp14:anchorId="251BAA31" wp14:editId="315CD1D9">
            <wp:extent cx="5241204" cy="7953375"/>
            <wp:effectExtent l="0" t="0" r="0" b="0"/>
            <wp:docPr id="7" name="Picture 7" descr="G:\ER\ERPP\GSV\Energy\VGP Otway\VGP reports_project outputs\Otway Basin Figures\Otway Basin Stratigraphy - Updated Colours -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RPP\GSV\Energy\VGP Otway\VGP reports_project outputs\Otway Basin Figures\Otway Basin Stratigraphy - Updated Colours - Blac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1204" cy="7953375"/>
                    </a:xfrm>
                    <a:prstGeom prst="rect">
                      <a:avLst/>
                    </a:prstGeom>
                    <a:noFill/>
                    <a:ln>
                      <a:noFill/>
                    </a:ln>
                  </pic:spPr>
                </pic:pic>
              </a:graphicData>
            </a:graphic>
          </wp:inline>
        </w:drawing>
      </w:r>
    </w:p>
    <w:p w14:paraId="600E5D8E" w14:textId="33D07641" w:rsidR="00796772" w:rsidRPr="00C91D8E" w:rsidRDefault="00796772" w:rsidP="00C91D8E">
      <w:pPr>
        <w:pStyle w:val="Caption"/>
      </w:pPr>
      <w:bookmarkStart w:id="15" w:name="_Toc513629357"/>
      <w:r>
        <w:t xml:space="preserve">Figure </w:t>
      </w:r>
      <w:r w:rsidR="00A004A8">
        <w:fldChar w:fldCharType="begin"/>
      </w:r>
      <w:r w:rsidR="00A004A8">
        <w:instrText xml:space="preserve"> SEQ Figure \* ARABIC </w:instrText>
      </w:r>
      <w:r w:rsidR="00A004A8">
        <w:fldChar w:fldCharType="separate"/>
      </w:r>
      <w:r w:rsidR="00DE2AC3">
        <w:rPr>
          <w:noProof/>
        </w:rPr>
        <w:t>3</w:t>
      </w:r>
      <w:r w:rsidR="00A004A8">
        <w:rPr>
          <w:noProof/>
        </w:rPr>
        <w:fldChar w:fldCharType="end"/>
      </w:r>
      <w:r w:rsidRPr="00C91D8E">
        <w:t xml:space="preserve"> Stratigraph</w:t>
      </w:r>
      <w:r w:rsidR="00C91D8E">
        <w:t>y of the</w:t>
      </w:r>
      <w:r>
        <w:t xml:space="preserve"> </w:t>
      </w:r>
      <w:r w:rsidR="00C91D8E">
        <w:t xml:space="preserve">Victorian </w:t>
      </w:r>
      <w:r w:rsidRPr="00C91D8E">
        <w:t>Otway Basin</w:t>
      </w:r>
      <w:bookmarkEnd w:id="15"/>
      <w:r w:rsidRPr="00C91D8E">
        <w:t xml:space="preserve"> </w:t>
      </w:r>
    </w:p>
    <w:p w14:paraId="2227EF73" w14:textId="77777777" w:rsidR="00796772" w:rsidRDefault="00796772">
      <w:pPr>
        <w:spacing w:before="0" w:after="200"/>
        <w:rPr>
          <w:rFonts w:eastAsiaTheme="minorHAnsi"/>
        </w:rPr>
      </w:pPr>
      <w:r>
        <w:rPr>
          <w:rFonts w:eastAsiaTheme="minorHAnsi"/>
        </w:rPr>
        <w:br w:type="page"/>
      </w:r>
    </w:p>
    <w:p w14:paraId="7119C09A" w14:textId="77777777" w:rsidR="00D12C02" w:rsidRDefault="00D12C02" w:rsidP="001A5DDB">
      <w:pPr>
        <w:pStyle w:val="Heading3"/>
        <w:rPr>
          <w:rFonts w:ascii="Times New Roman" w:eastAsiaTheme="minorHAnsi" w:hAnsi="Times New Roman"/>
          <w:color w:val="auto"/>
          <w:sz w:val="24"/>
          <w:szCs w:val="24"/>
        </w:rPr>
      </w:pPr>
      <w:bookmarkStart w:id="16" w:name="_Toc511491003"/>
      <w:bookmarkEnd w:id="16"/>
      <w:r>
        <w:rPr>
          <w:rFonts w:eastAsiaTheme="minorHAnsi"/>
          <w:b w:val="0"/>
        </w:rPr>
        <w:lastRenderedPageBreak/>
        <w:t xml:space="preserve">Casterton Formation </w:t>
      </w:r>
    </w:p>
    <w:p w14:paraId="03FECC22" w14:textId="0F5319D9" w:rsidR="00D12C02" w:rsidRPr="00C91D8E" w:rsidRDefault="00D12C02" w:rsidP="00C91D8E">
      <w:pPr>
        <w:rPr>
          <w:rFonts w:eastAsiaTheme="minorHAnsi"/>
        </w:rPr>
      </w:pPr>
      <w:r>
        <w:rPr>
          <w:rFonts w:eastAsiaTheme="minorHAnsi"/>
        </w:rPr>
        <w:t>The Casterton Formation was deposited during the latest Jurassic to Early Cretaceous in half-graben</w:t>
      </w:r>
      <w:r w:rsidR="00BB3AAA">
        <w:rPr>
          <w:rFonts w:eastAsiaTheme="minorHAnsi"/>
        </w:rPr>
        <w:t>s</w:t>
      </w:r>
      <w:r>
        <w:rPr>
          <w:rFonts w:eastAsiaTheme="minorHAnsi"/>
        </w:rPr>
        <w:t xml:space="preserve"> related to rifting between Australia and Antarctica (Mitchell </w:t>
      </w:r>
      <w:r>
        <w:rPr>
          <w:rFonts w:eastAsiaTheme="minorHAnsi"/>
          <w:i/>
          <w:iCs/>
        </w:rPr>
        <w:t>et al</w:t>
      </w:r>
      <w:r>
        <w:rPr>
          <w:rFonts w:eastAsiaTheme="minorHAnsi"/>
        </w:rPr>
        <w:t xml:space="preserve">., 1997). The Casterton Formation type section is found between 2220 mKB and 2450 mKB in Casterton-1 (Morton </w:t>
      </w:r>
      <w:r>
        <w:rPr>
          <w:rFonts w:eastAsiaTheme="minorHAnsi"/>
          <w:i/>
          <w:iCs/>
        </w:rPr>
        <w:t>et al</w:t>
      </w:r>
      <w:r>
        <w:rPr>
          <w:rFonts w:eastAsiaTheme="minorHAnsi"/>
        </w:rPr>
        <w:t xml:space="preserve">., 1994). It “consists of interbedded carbonaceous shale, with minor feldspathic sandstone and siltstone and basaltic volcanics” (Morton </w:t>
      </w:r>
      <w:r>
        <w:rPr>
          <w:rFonts w:eastAsiaTheme="minorHAnsi"/>
          <w:i/>
          <w:iCs/>
        </w:rPr>
        <w:t>et al</w:t>
      </w:r>
      <w:r>
        <w:rPr>
          <w:rFonts w:eastAsiaTheme="minorHAnsi"/>
        </w:rPr>
        <w:t xml:space="preserve">., 1994). </w:t>
      </w:r>
    </w:p>
    <w:p w14:paraId="60E9F550" w14:textId="77777777" w:rsidR="00D12C02" w:rsidRDefault="00D12C02" w:rsidP="001A5DDB">
      <w:pPr>
        <w:pStyle w:val="Heading3"/>
        <w:rPr>
          <w:rFonts w:ascii="Times New Roman" w:eastAsiaTheme="minorHAnsi" w:hAnsi="Times New Roman"/>
          <w:color w:val="auto"/>
          <w:sz w:val="24"/>
          <w:szCs w:val="24"/>
        </w:rPr>
      </w:pPr>
      <w:r>
        <w:rPr>
          <w:rFonts w:eastAsiaTheme="minorHAnsi"/>
        </w:rPr>
        <w:t>Otway Group</w:t>
      </w:r>
    </w:p>
    <w:p w14:paraId="0A74EA6A" w14:textId="77777777" w:rsidR="00D12C02" w:rsidRPr="00C91D8E" w:rsidRDefault="00D12C02" w:rsidP="00C91D8E">
      <w:pPr>
        <w:rPr>
          <w:rFonts w:eastAsiaTheme="minorHAnsi"/>
        </w:rPr>
      </w:pPr>
      <w:r>
        <w:rPr>
          <w:rFonts w:eastAsiaTheme="minorHAnsi"/>
        </w:rPr>
        <w:t xml:space="preserve">There are some notable discrepancies between the accepted stratigraphic nomenclature for the Otway Group as adopted for the South Australian portion of Otway Basin versus that for Victoria. For instance, the status of the Group is raised to Supergroup in South Australia. Units such as the Katnook Sandstone and the Laira Formation are identified within the Crayfish Group in South Australia, whereas these have not been identified in Victoria (Parker, 1995). </w:t>
      </w:r>
    </w:p>
    <w:p w14:paraId="42518AA6" w14:textId="77777777" w:rsidR="00D12C02" w:rsidRDefault="00D12C02" w:rsidP="00494E6D">
      <w:pPr>
        <w:pStyle w:val="Heading4"/>
        <w:numPr>
          <w:ilvl w:val="0"/>
          <w:numId w:val="0"/>
        </w:numPr>
        <w:ind w:left="864" w:hanging="864"/>
        <w:rPr>
          <w:rFonts w:eastAsiaTheme="minorHAnsi"/>
          <w:bCs/>
        </w:rPr>
      </w:pPr>
      <w:r>
        <w:rPr>
          <w:rFonts w:eastAsiaTheme="minorHAnsi"/>
          <w:bCs/>
        </w:rPr>
        <w:t>Pretty Hill Formation</w:t>
      </w:r>
    </w:p>
    <w:p w14:paraId="4D40C73D" w14:textId="77777777" w:rsidR="00D12C02" w:rsidRPr="00C91D8E" w:rsidRDefault="00D12C02" w:rsidP="001A5DDB">
      <w:pPr>
        <w:rPr>
          <w:rFonts w:eastAsiaTheme="minorHAnsi"/>
        </w:rPr>
      </w:pPr>
      <w:r>
        <w:rPr>
          <w:rFonts w:eastAsiaTheme="minorHAnsi"/>
        </w:rPr>
        <w:t>The Pretty Hill Formation is the only lithostratigraphic unit from the Crayfish</w:t>
      </w:r>
      <w:r w:rsidR="00E47867">
        <w:rPr>
          <w:rFonts w:eastAsiaTheme="minorHAnsi"/>
        </w:rPr>
        <w:t xml:space="preserve"> Subgroup that is identified in </w:t>
      </w:r>
      <w:r>
        <w:rPr>
          <w:rFonts w:eastAsiaTheme="minorHAnsi"/>
        </w:rPr>
        <w:t>Victoria. The Pretty Hill Formation consists of sandstone, with varying propor</w:t>
      </w:r>
      <w:r w:rsidR="00E47867">
        <w:rPr>
          <w:rFonts w:eastAsiaTheme="minorHAnsi"/>
        </w:rPr>
        <w:t xml:space="preserve">tions of interbedded siltstone, </w:t>
      </w:r>
      <w:r>
        <w:rPr>
          <w:rFonts w:eastAsiaTheme="minorHAnsi"/>
        </w:rPr>
        <w:t>claystone and shale, which were deposited in fluvio-lacustrine and alluvial en</w:t>
      </w:r>
      <w:r w:rsidR="00E47867">
        <w:rPr>
          <w:rFonts w:eastAsiaTheme="minorHAnsi"/>
        </w:rPr>
        <w:t xml:space="preserve">vironments, although at the top </w:t>
      </w:r>
      <w:r>
        <w:rPr>
          <w:rFonts w:eastAsiaTheme="minorHAnsi"/>
        </w:rPr>
        <w:t xml:space="preserve">of Moyne Falls-1 rare saline algae indicate brackish conditions (Morgan, 1997).  </w:t>
      </w:r>
    </w:p>
    <w:p w14:paraId="49284D32" w14:textId="77777777" w:rsidR="00087E01" w:rsidRDefault="00D12C02" w:rsidP="001A5DDB">
      <w:pPr>
        <w:rPr>
          <w:rFonts w:eastAsiaTheme="minorHAnsi" w:cs="Arial"/>
          <w:color w:val="000000"/>
        </w:rPr>
      </w:pPr>
      <w:r>
        <w:rPr>
          <w:rFonts w:eastAsiaTheme="minorHAnsi"/>
        </w:rPr>
        <w:t>In the Penola Trough, the Pretty Hill Formation is subdivided into four in</w:t>
      </w:r>
      <w:r w:rsidR="00E47867">
        <w:rPr>
          <w:rFonts w:eastAsiaTheme="minorHAnsi"/>
        </w:rPr>
        <w:t xml:space="preserve">formal members: the Pretty Hill </w:t>
      </w:r>
      <w:r>
        <w:rPr>
          <w:rFonts w:eastAsiaTheme="minorHAnsi"/>
        </w:rPr>
        <w:t xml:space="preserve">sandstone, Sawpit sandstone, Sawpit shale and McEachern sandstone (Lovibond </w:t>
      </w:r>
      <w:r>
        <w:rPr>
          <w:rFonts w:eastAsiaTheme="minorHAnsi"/>
          <w:i/>
          <w:iCs/>
        </w:rPr>
        <w:t>et al</w:t>
      </w:r>
      <w:r w:rsidR="00E47867">
        <w:rPr>
          <w:rFonts w:eastAsiaTheme="minorHAnsi"/>
        </w:rPr>
        <w:t xml:space="preserve">., 1995) but the </w:t>
      </w:r>
      <w:r>
        <w:rPr>
          <w:rFonts w:eastAsiaTheme="minorHAnsi"/>
        </w:rPr>
        <w:t xml:space="preserve">application of this division is questioned (Guzel, 2015). </w:t>
      </w:r>
    </w:p>
    <w:p w14:paraId="2A264F6E" w14:textId="77777777" w:rsidR="00087E01" w:rsidRDefault="00087E01" w:rsidP="00494E6D">
      <w:pPr>
        <w:pStyle w:val="Heading4"/>
        <w:numPr>
          <w:ilvl w:val="0"/>
          <w:numId w:val="0"/>
        </w:numPr>
        <w:ind w:left="864" w:hanging="864"/>
        <w:rPr>
          <w:rFonts w:eastAsiaTheme="minorHAnsi"/>
        </w:rPr>
      </w:pPr>
      <w:r>
        <w:rPr>
          <w:rFonts w:eastAsiaTheme="minorHAnsi"/>
        </w:rPr>
        <w:t>Laira Formation</w:t>
      </w:r>
    </w:p>
    <w:p w14:paraId="1AC207C1" w14:textId="389B0C1B" w:rsidR="00B80521" w:rsidRPr="00B80521" w:rsidRDefault="00D96407" w:rsidP="00B80521">
      <w:pPr>
        <w:pStyle w:val="bodyCopy"/>
        <w:rPr>
          <w:rFonts w:eastAsiaTheme="minorHAnsi"/>
        </w:rPr>
      </w:pPr>
      <w:r>
        <w:t xml:space="preserve">The Laira Formation consists of light grey to green siltstone and claystone interbedded with </w:t>
      </w:r>
      <w:r w:rsidR="00BA319F">
        <w:t>fine grained</w:t>
      </w:r>
      <w:r>
        <w:t xml:space="preserve"> sandstone deposited in fluvial floodplain to shallow lacustrine environments (Boult </w:t>
      </w:r>
      <w:r w:rsidRPr="00611DE3">
        <w:rPr>
          <w:i/>
        </w:rPr>
        <w:t>et al</w:t>
      </w:r>
      <w:r>
        <w:t>, 2002) and was first defined by Morton (1990) from the type section encountered in Katnook</w:t>
      </w:r>
      <w:r w:rsidR="00A8036C">
        <w:t>-</w:t>
      </w:r>
      <w:r>
        <w:t xml:space="preserve">2 in South Australia. It is most well developed in the Penola Trough and gives way to the Pretty Hill Formation in the eastern part of the </w:t>
      </w:r>
      <w:r w:rsidRPr="00E65EE6">
        <w:t>basin. Parker (1995) identified the Laira Formation from several wells in the Victorian section of the Penola Trough, but pointed out that the stratigraphic units described in Early Cretaceous half grabens are often restricted to these depocentres.</w:t>
      </w:r>
    </w:p>
    <w:p w14:paraId="20B033F5" w14:textId="77777777" w:rsidR="00D12C02" w:rsidRPr="00C91D8E" w:rsidRDefault="00D12C02" w:rsidP="00494E6D">
      <w:pPr>
        <w:pStyle w:val="Heading4"/>
        <w:numPr>
          <w:ilvl w:val="0"/>
          <w:numId w:val="0"/>
        </w:numPr>
        <w:ind w:left="864" w:hanging="864"/>
      </w:pPr>
      <w:r w:rsidRPr="00C91D8E">
        <w:t>Eumeralla Formation</w:t>
      </w:r>
    </w:p>
    <w:p w14:paraId="22C6045D" w14:textId="4F528C51" w:rsidR="00D12C02" w:rsidRDefault="00D12C02" w:rsidP="001A5DDB">
      <w:pPr>
        <w:rPr>
          <w:rFonts w:eastAsiaTheme="minorHAnsi"/>
        </w:rPr>
      </w:pPr>
      <w:r>
        <w:rPr>
          <w:rFonts w:eastAsiaTheme="minorHAnsi"/>
        </w:rPr>
        <w:t>The Eumeralla Formation is composed of medium to coarse</w:t>
      </w:r>
      <w:r w:rsidR="00BA319F">
        <w:rPr>
          <w:rFonts w:eastAsiaTheme="minorHAnsi"/>
        </w:rPr>
        <w:t xml:space="preserve"> </w:t>
      </w:r>
      <w:r>
        <w:rPr>
          <w:rFonts w:eastAsiaTheme="minorHAnsi"/>
        </w:rPr>
        <w:t>grained fluvial</w:t>
      </w:r>
      <w:r w:rsidR="00E47867">
        <w:rPr>
          <w:rFonts w:eastAsiaTheme="minorHAnsi"/>
        </w:rPr>
        <w:t xml:space="preserve"> channel sandstones interbedded </w:t>
      </w:r>
      <w:r>
        <w:rPr>
          <w:rFonts w:eastAsiaTheme="minorHAnsi"/>
        </w:rPr>
        <w:t>with mudstone, fine sandstone and shale, including palaeosoils and co</w:t>
      </w:r>
      <w:r w:rsidR="00E47867">
        <w:rPr>
          <w:rFonts w:eastAsiaTheme="minorHAnsi"/>
        </w:rPr>
        <w:t xml:space="preserve">al seams that were deposited in </w:t>
      </w:r>
      <w:r>
        <w:rPr>
          <w:rFonts w:eastAsiaTheme="minorHAnsi"/>
        </w:rPr>
        <w:t>levees and floodplains (Duddy, 2003). The sandstones and mudston</w:t>
      </w:r>
      <w:r w:rsidR="00E47867">
        <w:rPr>
          <w:rFonts w:eastAsiaTheme="minorHAnsi"/>
        </w:rPr>
        <w:t>es are quartz-poor</w:t>
      </w:r>
      <w:r w:rsidR="001D7AD6">
        <w:rPr>
          <w:rFonts w:eastAsiaTheme="minorHAnsi"/>
        </w:rPr>
        <w:t>,</w:t>
      </w:r>
      <w:r w:rsidR="00E47867">
        <w:rPr>
          <w:rFonts w:eastAsiaTheme="minorHAnsi"/>
        </w:rPr>
        <w:t xml:space="preserve"> volcanogenic </w:t>
      </w:r>
      <w:r>
        <w:rPr>
          <w:rFonts w:eastAsiaTheme="minorHAnsi"/>
        </w:rPr>
        <w:t>sediments derived largely from the products of contemporaneous explosive dacitic volcanism (Duddy, 2003).</w:t>
      </w:r>
    </w:p>
    <w:p w14:paraId="21A22CC4" w14:textId="77777777" w:rsidR="00D12C02" w:rsidRPr="00C91D8E" w:rsidRDefault="00D12C02" w:rsidP="001A5DDB">
      <w:pPr>
        <w:rPr>
          <w:rFonts w:eastAsiaTheme="minorHAnsi"/>
        </w:rPr>
      </w:pPr>
      <w:r>
        <w:rPr>
          <w:rFonts w:eastAsiaTheme="minorHAnsi"/>
        </w:rPr>
        <w:t>Outcrops of the Eumeralla Formation occur in the Otway Ranges, Barrabool High and Merino High. In the Victorian Otway Basin, the Windermere and Heathfield sandstones an</w:t>
      </w:r>
      <w:r w:rsidR="00E47867">
        <w:rPr>
          <w:rFonts w:eastAsiaTheme="minorHAnsi"/>
        </w:rPr>
        <w:t xml:space="preserve">d the Killara Coal Measures are </w:t>
      </w:r>
      <w:r>
        <w:rPr>
          <w:rFonts w:eastAsiaTheme="minorHAnsi"/>
        </w:rPr>
        <w:t xml:space="preserve">recognised as distinct units within the Eumeralla Formation.  </w:t>
      </w:r>
    </w:p>
    <w:p w14:paraId="659C31E5" w14:textId="77777777" w:rsidR="00E47867" w:rsidRPr="00E47867" w:rsidRDefault="00E47867" w:rsidP="001A5DDB">
      <w:pPr>
        <w:pStyle w:val="Heading5"/>
        <w:rPr>
          <w:rFonts w:eastAsiaTheme="minorHAnsi"/>
        </w:rPr>
      </w:pPr>
      <w:r w:rsidRPr="00E47867">
        <w:rPr>
          <w:rFonts w:eastAsiaTheme="minorHAnsi"/>
        </w:rPr>
        <w:t>Windermere Sandstone</w:t>
      </w:r>
    </w:p>
    <w:p w14:paraId="3432FE1A" w14:textId="2CDDD9DE" w:rsidR="00E47867" w:rsidRPr="00C91D8E" w:rsidRDefault="00E47867" w:rsidP="001A5DDB">
      <w:pPr>
        <w:rPr>
          <w:rFonts w:eastAsiaTheme="minorHAnsi"/>
        </w:rPr>
      </w:pPr>
      <w:r>
        <w:rPr>
          <w:rFonts w:eastAsiaTheme="minorHAnsi"/>
        </w:rPr>
        <w:t xml:space="preserve">The Windermere Sandstone is composed of interbedded sandstones and shales and is 105 </w:t>
      </w:r>
      <w:r w:rsidR="00463658">
        <w:rPr>
          <w:rFonts w:eastAsiaTheme="minorHAnsi"/>
        </w:rPr>
        <w:t>m</w:t>
      </w:r>
      <w:r>
        <w:rPr>
          <w:rFonts w:eastAsiaTheme="minorHAnsi"/>
        </w:rPr>
        <w:t xml:space="preserve"> thick at its type section in Windermere-2. The Windermere Sandstone is considered to occur at the base of the Eumeralla Formation and was deposited in the base of troughs; usually upon an unconformable base, due to a “significant change in depositional and structural style” (Morton </w:t>
      </w:r>
      <w:r>
        <w:rPr>
          <w:rFonts w:eastAsiaTheme="minorHAnsi"/>
          <w:i/>
          <w:iCs/>
        </w:rPr>
        <w:t>et al</w:t>
      </w:r>
      <w:r>
        <w:rPr>
          <w:rFonts w:eastAsiaTheme="minorHAnsi"/>
        </w:rPr>
        <w:t>.,</w:t>
      </w:r>
      <w:r>
        <w:rPr>
          <w:rFonts w:eastAsiaTheme="minorHAnsi"/>
          <w:i/>
          <w:iCs/>
        </w:rPr>
        <w:t xml:space="preserve"> </w:t>
      </w:r>
      <w:r>
        <w:rPr>
          <w:rFonts w:eastAsiaTheme="minorHAnsi"/>
        </w:rPr>
        <w:t xml:space="preserve">1994).  </w:t>
      </w:r>
    </w:p>
    <w:p w14:paraId="234AF21B" w14:textId="395AA664" w:rsidR="00E47867" w:rsidRPr="00C91D8E" w:rsidRDefault="00E47867" w:rsidP="001A5DDB">
      <w:pPr>
        <w:rPr>
          <w:rFonts w:eastAsiaTheme="minorHAnsi"/>
        </w:rPr>
      </w:pPr>
      <w:r>
        <w:rPr>
          <w:rFonts w:eastAsiaTheme="minorHAnsi"/>
        </w:rPr>
        <w:lastRenderedPageBreak/>
        <w:t>The gas discovered in Katnook-1 in South Australia was reservoired in the Windermere Sandstone</w:t>
      </w:r>
      <w:r w:rsidR="001D7AD6">
        <w:rPr>
          <w:rFonts w:eastAsiaTheme="minorHAnsi"/>
        </w:rPr>
        <w:t>,</w:t>
      </w:r>
      <w:r>
        <w:rPr>
          <w:rFonts w:eastAsiaTheme="minorHAnsi"/>
        </w:rPr>
        <w:t xml:space="preserve"> although the reservoir was reported to be of poor quality (Kopsen &amp; Scholefield, 1990). In Victoria, oil in the Windermere Sandstone is considered to be sourced from a coaly lithology in the Crayfish Subgroup – an Austral-1 source (Boreham </w:t>
      </w:r>
      <w:r>
        <w:rPr>
          <w:rFonts w:eastAsiaTheme="minorHAnsi"/>
          <w:i/>
          <w:iCs/>
        </w:rPr>
        <w:t>et al</w:t>
      </w:r>
      <w:r>
        <w:rPr>
          <w:rFonts w:eastAsiaTheme="minorHAnsi"/>
        </w:rPr>
        <w:t xml:space="preserve">., 2004). </w:t>
      </w:r>
    </w:p>
    <w:p w14:paraId="0D36B44D" w14:textId="77777777" w:rsidR="00E47867" w:rsidRDefault="00E47867" w:rsidP="001A5DDB">
      <w:pPr>
        <w:pStyle w:val="Heading5"/>
        <w:rPr>
          <w:rFonts w:eastAsiaTheme="minorHAnsi"/>
        </w:rPr>
      </w:pPr>
      <w:r>
        <w:rPr>
          <w:rFonts w:eastAsiaTheme="minorHAnsi"/>
        </w:rPr>
        <w:t>Heathfield Sandstone</w:t>
      </w:r>
    </w:p>
    <w:p w14:paraId="06AFB42F" w14:textId="77777777" w:rsidR="00E47867" w:rsidRPr="00C91D8E" w:rsidRDefault="00E47867" w:rsidP="001A5DDB">
      <w:pPr>
        <w:rPr>
          <w:rFonts w:eastAsiaTheme="minorHAnsi"/>
        </w:rPr>
      </w:pPr>
      <w:r>
        <w:rPr>
          <w:rFonts w:eastAsiaTheme="minorHAnsi"/>
        </w:rPr>
        <w:t xml:space="preserve">The Heathfield Sandstone is a distinct quartzose sandstone and is recognised in a number of wells in the Penola Trough (Duddy, 2003). It is represented by poorly consolidated quartz sand between 1254.3 and 1263.1 m in the well Heathfield-1 (Brown, 1965). Whilst the Heathfield Sandstone probably reflects limited accumulations derived from local basement sources its widespread distribution in the Albian suggests a common origin, perhaps related to a period of uplift and erosion of the northern margin to the Penola Trough that rejuvenated the supply of quartzose detritus and possibly during “a lull in local contemporaneous volcanism” (Duddy, 2003).  </w:t>
      </w:r>
    </w:p>
    <w:p w14:paraId="1DA02A1F" w14:textId="473BD9C2" w:rsidR="00E47867" w:rsidRPr="00C91D8E" w:rsidRDefault="00E47867" w:rsidP="001A5DDB">
      <w:pPr>
        <w:rPr>
          <w:rFonts w:eastAsiaTheme="minorHAnsi"/>
        </w:rPr>
      </w:pPr>
      <w:r>
        <w:rPr>
          <w:rFonts w:eastAsiaTheme="minorHAnsi"/>
        </w:rPr>
        <w:t>Distinct sandstones of the same age have also been identified on the Merino High, on the central northern margin of the Otway Basin, in the Ross Creek Trough, in the Windermere Trough, and in Fergusons Hill-1, between the Ross Creek Trough and the Otway Ranges, and in North Eumeralla-1, Eumeralla-1 and Killara</w:t>
      </w:r>
      <w:r w:rsidR="00A8036C">
        <w:rPr>
          <w:rFonts w:eastAsiaTheme="minorHAnsi"/>
        </w:rPr>
        <w:t>-</w:t>
      </w:r>
      <w:r>
        <w:rPr>
          <w:rFonts w:eastAsiaTheme="minorHAnsi"/>
        </w:rPr>
        <w:t xml:space="preserve">1, north of the Windermere Trough (Guzel, </w:t>
      </w:r>
      <w:r w:rsidR="00087E01">
        <w:rPr>
          <w:rFonts w:eastAsiaTheme="minorHAnsi"/>
        </w:rPr>
        <w:t>2015).</w:t>
      </w:r>
    </w:p>
    <w:p w14:paraId="247C9FD6" w14:textId="77777777" w:rsidR="00E47867" w:rsidRDefault="00E47867" w:rsidP="001A5DDB">
      <w:pPr>
        <w:pStyle w:val="Heading5"/>
        <w:rPr>
          <w:rFonts w:eastAsiaTheme="minorHAnsi"/>
        </w:rPr>
      </w:pPr>
      <w:r>
        <w:rPr>
          <w:rFonts w:eastAsiaTheme="minorHAnsi"/>
        </w:rPr>
        <w:t>Killara Coal Measures</w:t>
      </w:r>
    </w:p>
    <w:p w14:paraId="5C0C8D89" w14:textId="65AE1B8C" w:rsidR="00E47867" w:rsidRDefault="00E47867" w:rsidP="001A5DDB">
      <w:pPr>
        <w:rPr>
          <w:rFonts w:eastAsiaTheme="minorHAnsi"/>
        </w:rPr>
      </w:pPr>
      <w:r>
        <w:rPr>
          <w:rFonts w:eastAsiaTheme="minorHAnsi"/>
        </w:rPr>
        <w:t>The black coals of the Early Cretaceous Eumeralla Formation have been intersected by petroleum exploration companies for many decades. Following the drilling of Killara-1, Buckingham (1992) first applied the informal name - the ‘Killara Coals’ to describe the coal seams found at the base of the Eumeralla Formation. The Killara Coal Measures are therefore not a formal lithostratigraphic unit and</w:t>
      </w:r>
      <w:r w:rsidR="00BA319F">
        <w:rPr>
          <w:rFonts w:eastAsiaTheme="minorHAnsi"/>
        </w:rPr>
        <w:t>,</w:t>
      </w:r>
      <w:r>
        <w:rPr>
          <w:rFonts w:eastAsiaTheme="minorHAnsi"/>
        </w:rPr>
        <w:t xml:space="preserve"> whilst coal beds may occur in the “Basal Eumeralla Formation”</w:t>
      </w:r>
      <w:r w:rsidR="00BA319F">
        <w:rPr>
          <w:rFonts w:eastAsiaTheme="minorHAnsi"/>
        </w:rPr>
        <w:t>,</w:t>
      </w:r>
      <w:r>
        <w:rPr>
          <w:rFonts w:eastAsiaTheme="minorHAnsi"/>
        </w:rPr>
        <w:t xml:space="preserve"> they also occur elsewhere in the Eumeralla Formation (Guzel, 2015). Coals of the same age (as found in Killara-1) from the base of the Eumeralla Formation are found in Lindon-1 on the Lake Condah High, Stoneyford-1 on the Stoneyford High, and possibly in Hawkesdale-1 on the central northern margin of the Otway Basin (Wakelin-King &amp; Menpes, 2007). The coals of the Eumeralla Formation are not laterally extensive and as a consequence, are difficult to correlate.  </w:t>
      </w:r>
    </w:p>
    <w:p w14:paraId="689EB4D5" w14:textId="77777777" w:rsidR="000F71AD" w:rsidRDefault="000F71AD" w:rsidP="00C91D8E">
      <w:pPr>
        <w:pStyle w:val="Heading3"/>
        <w:rPr>
          <w:rFonts w:eastAsiaTheme="minorHAnsi"/>
        </w:rPr>
      </w:pPr>
      <w:r>
        <w:rPr>
          <w:rFonts w:eastAsiaTheme="minorHAnsi"/>
        </w:rPr>
        <w:t>Sherbrook Group</w:t>
      </w:r>
    </w:p>
    <w:p w14:paraId="2B8C3715" w14:textId="6363C62A" w:rsidR="000F71AD" w:rsidRPr="0079417C" w:rsidRDefault="000F71AD" w:rsidP="00C91D8E">
      <w:pPr>
        <w:rPr>
          <w:rFonts w:eastAsiaTheme="minorHAnsi"/>
        </w:rPr>
      </w:pPr>
      <w:r>
        <w:rPr>
          <w:rFonts w:eastAsiaTheme="minorHAnsi"/>
        </w:rPr>
        <w:t xml:space="preserve">The siliciclastic Sherbrook Group was derived largely from eroded Palaeozoic basement and the Eumeralla Formation (Duddy, 2003). The nature of the contact between the Sherbrook and Otway groups is variable – from conformable or mildly disconformable in the Late Cretaceous depocentres to massively unconformable where the Sherbrook Group wedges out onto the mid-Cretaceous inversion structures (Duddy, 2003). As a consequence, the Sherbrook Group is absent from the northern margin of the Otway Basin, except in Heathfield-1 in the Penola Trough, where it is only 140.6 m thick (Guzel, 2015).  </w:t>
      </w:r>
    </w:p>
    <w:p w14:paraId="3D29E317" w14:textId="77777777" w:rsidR="00E47867" w:rsidRDefault="00E47867" w:rsidP="00494E6D">
      <w:pPr>
        <w:pStyle w:val="Heading4"/>
        <w:numPr>
          <w:ilvl w:val="0"/>
          <w:numId w:val="0"/>
        </w:numPr>
        <w:ind w:left="864" w:hanging="864"/>
        <w:rPr>
          <w:rFonts w:eastAsiaTheme="minorHAnsi"/>
        </w:rPr>
      </w:pPr>
      <w:r>
        <w:rPr>
          <w:rFonts w:eastAsiaTheme="minorHAnsi"/>
        </w:rPr>
        <w:t>Waarre Formation</w:t>
      </w:r>
    </w:p>
    <w:p w14:paraId="0AF9C79E" w14:textId="05B62037" w:rsidR="00E47867" w:rsidRDefault="00E47867" w:rsidP="001A5DDB">
      <w:pPr>
        <w:rPr>
          <w:rFonts w:eastAsiaTheme="minorHAnsi"/>
        </w:rPr>
      </w:pPr>
      <w:r>
        <w:rPr>
          <w:rFonts w:eastAsiaTheme="minorHAnsi"/>
        </w:rPr>
        <w:t>The Waarre Formation (previously the Waarre Sandstone of Bock &amp; Glenie, 1965) is the basal unit of the Sherbrook Group. The unit is characterised by clean quartzose sandstones, conglomerates and minor siltstones and shales of non-marine origin. The type section is identified in the petroleum well Port Campbell</w:t>
      </w:r>
      <w:r w:rsidR="00823638">
        <w:rPr>
          <w:rFonts w:eastAsiaTheme="minorHAnsi"/>
        </w:rPr>
        <w:t>-</w:t>
      </w:r>
      <w:r>
        <w:rPr>
          <w:rFonts w:eastAsiaTheme="minorHAnsi"/>
        </w:rPr>
        <w:t xml:space="preserve">2 (Morton </w:t>
      </w:r>
      <w:r>
        <w:rPr>
          <w:rFonts w:eastAsiaTheme="minorHAnsi"/>
          <w:i/>
          <w:iCs/>
        </w:rPr>
        <w:t>et</w:t>
      </w:r>
      <w:r>
        <w:rPr>
          <w:rFonts w:eastAsiaTheme="minorHAnsi"/>
        </w:rPr>
        <w:t xml:space="preserve"> </w:t>
      </w:r>
      <w:r>
        <w:rPr>
          <w:rFonts w:eastAsiaTheme="minorHAnsi"/>
          <w:i/>
          <w:iCs/>
        </w:rPr>
        <w:t>al</w:t>
      </w:r>
      <w:r>
        <w:rPr>
          <w:rFonts w:eastAsiaTheme="minorHAnsi"/>
        </w:rPr>
        <w:t>., 1994). Commonly in the Port Campbell Embayment wells, the Waarre Formation is divided into units A, B and C on the basis of lithological variations (Buffin, 1989).</w:t>
      </w:r>
    </w:p>
    <w:p w14:paraId="2B6BBF35" w14:textId="77777777" w:rsidR="00225FC8" w:rsidRPr="00C91D8E" w:rsidRDefault="00225FC8" w:rsidP="00494E6D">
      <w:pPr>
        <w:pStyle w:val="Heading4"/>
        <w:numPr>
          <w:ilvl w:val="0"/>
          <w:numId w:val="0"/>
        </w:numPr>
        <w:ind w:left="864" w:hanging="864"/>
      </w:pPr>
      <w:r w:rsidRPr="00C91D8E">
        <w:t>Flaxman Formation</w:t>
      </w:r>
    </w:p>
    <w:p w14:paraId="5F9320AE" w14:textId="36FE811F" w:rsidR="00225FC8" w:rsidRPr="00C91D8E" w:rsidRDefault="00225FC8" w:rsidP="001A5DDB">
      <w:pPr>
        <w:rPr>
          <w:rFonts w:eastAsiaTheme="minorHAnsi"/>
        </w:rPr>
      </w:pPr>
      <w:r>
        <w:rPr>
          <w:rFonts w:eastAsiaTheme="minorHAnsi"/>
        </w:rPr>
        <w:t>The Flaxman Formation is typically an interbedded sand/shale unit. It is composed of dark grey silty</w:t>
      </w:r>
      <w:r w:rsidR="00FB0730">
        <w:rPr>
          <w:rFonts w:eastAsiaTheme="minorHAnsi"/>
        </w:rPr>
        <w:t xml:space="preserve"> </w:t>
      </w:r>
      <w:r>
        <w:rPr>
          <w:rFonts w:eastAsiaTheme="minorHAnsi"/>
        </w:rPr>
        <w:t xml:space="preserve">mudstone and </w:t>
      </w:r>
      <w:r w:rsidR="00BA319F">
        <w:rPr>
          <w:rFonts w:eastAsiaTheme="minorHAnsi"/>
        </w:rPr>
        <w:t>fine grained</w:t>
      </w:r>
      <w:r>
        <w:rPr>
          <w:rFonts w:eastAsiaTheme="minorHAnsi"/>
        </w:rPr>
        <w:t xml:space="preserve"> grey brown sandstones, with distinctive ‘float</w:t>
      </w:r>
      <w:r w:rsidR="000F71AD">
        <w:rPr>
          <w:rFonts w:eastAsiaTheme="minorHAnsi"/>
        </w:rPr>
        <w:t xml:space="preserve">ing quartz’ from coarse sand </w:t>
      </w:r>
      <w:r w:rsidR="000F71AD">
        <w:rPr>
          <w:rFonts w:eastAsiaTheme="minorHAnsi"/>
        </w:rPr>
        <w:lastRenderedPageBreak/>
        <w:t xml:space="preserve">to </w:t>
      </w:r>
      <w:r>
        <w:rPr>
          <w:rFonts w:eastAsiaTheme="minorHAnsi"/>
        </w:rPr>
        <w:t>pebbles, common microplankton, and irregular glauconite, which beco</w:t>
      </w:r>
      <w:r w:rsidR="000F71AD">
        <w:rPr>
          <w:rFonts w:eastAsiaTheme="minorHAnsi"/>
        </w:rPr>
        <w:t xml:space="preserve">mes more common along with rare </w:t>
      </w:r>
      <w:r>
        <w:rPr>
          <w:rFonts w:eastAsiaTheme="minorHAnsi"/>
        </w:rPr>
        <w:t>arenaceous and calcareous foraminifera towards the top (Duddy, 2003). It</w:t>
      </w:r>
      <w:r w:rsidR="000F71AD">
        <w:rPr>
          <w:rFonts w:eastAsiaTheme="minorHAnsi"/>
        </w:rPr>
        <w:t xml:space="preserve"> is considered that the Flaxman </w:t>
      </w:r>
      <w:r>
        <w:rPr>
          <w:rFonts w:eastAsiaTheme="minorHAnsi"/>
        </w:rPr>
        <w:t xml:space="preserve">Formation was deposited in a lower delta plain environment (Boyd &amp; Gallagher, 2001). </w:t>
      </w:r>
    </w:p>
    <w:p w14:paraId="2A59978B" w14:textId="77777777" w:rsidR="00225FC8" w:rsidRPr="00C91D8E" w:rsidRDefault="00225FC8" w:rsidP="00494E6D">
      <w:pPr>
        <w:pStyle w:val="Heading4"/>
        <w:numPr>
          <w:ilvl w:val="0"/>
          <w:numId w:val="0"/>
        </w:numPr>
        <w:ind w:left="864" w:hanging="864"/>
      </w:pPr>
      <w:r w:rsidRPr="00C91D8E">
        <w:t>Belfast Mudstone</w:t>
      </w:r>
    </w:p>
    <w:p w14:paraId="4A176B4A" w14:textId="77777777" w:rsidR="000F71AD" w:rsidRDefault="00225FC8" w:rsidP="001A5DDB">
      <w:pPr>
        <w:rPr>
          <w:rFonts w:eastAsiaTheme="minorHAnsi"/>
        </w:rPr>
      </w:pPr>
      <w:r>
        <w:rPr>
          <w:rFonts w:eastAsiaTheme="minorHAnsi"/>
        </w:rPr>
        <w:t>The Belfast Mudstone, in the middle of the Sherbrook Group, is a “remarkabl</w:t>
      </w:r>
      <w:r w:rsidR="000F71AD">
        <w:rPr>
          <w:rFonts w:eastAsiaTheme="minorHAnsi"/>
        </w:rPr>
        <w:t xml:space="preserve">y uniform pyritic marine shale” </w:t>
      </w:r>
      <w:r>
        <w:rPr>
          <w:rFonts w:eastAsiaTheme="minorHAnsi"/>
        </w:rPr>
        <w:t>(Duddy, 2003). In Victoria, the Belfast Mudstone represents a middle to ou</w:t>
      </w:r>
      <w:r w:rsidR="000F71AD">
        <w:rPr>
          <w:rFonts w:eastAsiaTheme="minorHAnsi"/>
        </w:rPr>
        <w:t xml:space="preserve">ter shelf, open marine prodelta </w:t>
      </w:r>
      <w:r>
        <w:rPr>
          <w:rFonts w:eastAsiaTheme="minorHAnsi"/>
        </w:rPr>
        <w:t>environment (Boyd &amp; Gallagher, 2001) and forms a major regional s</w:t>
      </w:r>
      <w:r w:rsidR="000F71AD">
        <w:rPr>
          <w:rFonts w:eastAsiaTheme="minorHAnsi"/>
        </w:rPr>
        <w:t xml:space="preserve">eal for prospective hydrocarbon </w:t>
      </w:r>
      <w:r>
        <w:rPr>
          <w:rFonts w:eastAsiaTheme="minorHAnsi"/>
        </w:rPr>
        <w:t xml:space="preserve">accumulations in sandstone reservoirs in the Waarre and Flaxman </w:t>
      </w:r>
      <w:r w:rsidR="000F71AD">
        <w:rPr>
          <w:rFonts w:eastAsiaTheme="minorHAnsi"/>
        </w:rPr>
        <w:t xml:space="preserve">Formations (Duddy, 2003). It is </w:t>
      </w:r>
      <w:r>
        <w:rPr>
          <w:rFonts w:eastAsiaTheme="minorHAnsi"/>
        </w:rPr>
        <w:t xml:space="preserve">conformable with, and partly a facies variant of, the underlying Flaxman Formation and the </w:t>
      </w:r>
      <w:r w:rsidR="000F71AD">
        <w:rPr>
          <w:rFonts w:eastAsiaTheme="minorHAnsi"/>
        </w:rPr>
        <w:t>overlying P</w:t>
      </w:r>
      <w:r>
        <w:rPr>
          <w:rFonts w:eastAsiaTheme="minorHAnsi"/>
        </w:rPr>
        <w:t>aaratte Formation, and includes a “significant contribution of detritus fro</w:t>
      </w:r>
      <w:r w:rsidR="000F71AD">
        <w:rPr>
          <w:rFonts w:eastAsiaTheme="minorHAnsi"/>
        </w:rPr>
        <w:t xml:space="preserve">m reworking of the volcanogenic </w:t>
      </w:r>
      <w:r>
        <w:rPr>
          <w:rFonts w:eastAsiaTheme="minorHAnsi"/>
        </w:rPr>
        <w:t xml:space="preserve">sediments of the Eumeralla Formation” (Duddy, 2003). </w:t>
      </w:r>
    </w:p>
    <w:p w14:paraId="7F7BCDC5" w14:textId="77777777" w:rsidR="00796772" w:rsidRDefault="00796772" w:rsidP="00494E6D">
      <w:pPr>
        <w:pStyle w:val="Heading4"/>
        <w:numPr>
          <w:ilvl w:val="0"/>
          <w:numId w:val="0"/>
        </w:numPr>
        <w:ind w:left="864" w:hanging="864"/>
        <w:rPr>
          <w:rFonts w:eastAsiaTheme="minorHAnsi"/>
        </w:rPr>
      </w:pPr>
      <w:r>
        <w:rPr>
          <w:rFonts w:eastAsiaTheme="minorHAnsi"/>
        </w:rPr>
        <w:t>Nullawarre Greensand</w:t>
      </w:r>
    </w:p>
    <w:p w14:paraId="4B92013E" w14:textId="77777777" w:rsidR="00796772" w:rsidRDefault="00D96407" w:rsidP="001A5DDB">
      <w:pPr>
        <w:rPr>
          <w:rFonts w:eastAsiaTheme="minorHAnsi"/>
        </w:rPr>
      </w:pPr>
      <w:r>
        <w:t>The Nullawarre Greensand, also originally described as part of the Paaratte Formation, is a distinctive green, glauconitic, fine to coarse grained sandstone. It has been intersected in wells and bores in and around the Port Campbell Embayment, Tyrendarra Embayment and Mussel Platform (Woollands &amp; Wong, 2001).</w:t>
      </w:r>
    </w:p>
    <w:p w14:paraId="3B4678F9" w14:textId="77777777" w:rsidR="00796772" w:rsidRDefault="00796772" w:rsidP="00494E6D">
      <w:pPr>
        <w:pStyle w:val="Heading4"/>
        <w:numPr>
          <w:ilvl w:val="0"/>
          <w:numId w:val="0"/>
        </w:numPr>
        <w:ind w:left="864" w:hanging="864"/>
        <w:rPr>
          <w:rFonts w:eastAsiaTheme="minorHAnsi"/>
        </w:rPr>
      </w:pPr>
      <w:r>
        <w:rPr>
          <w:rFonts w:eastAsiaTheme="minorHAnsi"/>
        </w:rPr>
        <w:t>Skull Creek Mudstone</w:t>
      </w:r>
    </w:p>
    <w:p w14:paraId="199BACF2" w14:textId="77777777" w:rsidR="00796772" w:rsidRPr="00C91D8E" w:rsidRDefault="00D96407" w:rsidP="001A5DDB">
      <w:pPr>
        <w:rPr>
          <w:rFonts w:eastAsiaTheme="minorHAnsi"/>
        </w:rPr>
      </w:pPr>
      <w:r>
        <w:t>The Skull Creek Mudstone exists in the onshore and nearshore areas of the Port Campbell Embayment as a thin unit, thickening substantially in the offshore towards the outer shelf. Initially described as a member of the Paaratte Formation, it was proposed as a formation by Partridge (2001) who assigned it to Early Campanian zones in the onshore, ranging to Late Campanian offshore.</w:t>
      </w:r>
    </w:p>
    <w:p w14:paraId="04467425" w14:textId="77777777" w:rsidR="00225FC8" w:rsidRPr="00C91D8E" w:rsidRDefault="00225FC8" w:rsidP="00494E6D">
      <w:pPr>
        <w:pStyle w:val="Heading4"/>
        <w:numPr>
          <w:ilvl w:val="0"/>
          <w:numId w:val="0"/>
        </w:numPr>
        <w:ind w:left="864" w:hanging="864"/>
      </w:pPr>
      <w:r w:rsidRPr="00C91D8E">
        <w:t>Paaratte Formation</w:t>
      </w:r>
    </w:p>
    <w:p w14:paraId="1DE253B6" w14:textId="5CAC635E" w:rsidR="00225FC8" w:rsidRPr="00C91D8E" w:rsidRDefault="00225FC8" w:rsidP="001A5DDB">
      <w:pPr>
        <w:rPr>
          <w:rFonts w:eastAsiaTheme="minorHAnsi"/>
        </w:rPr>
      </w:pPr>
      <w:r>
        <w:rPr>
          <w:rFonts w:eastAsiaTheme="minorHAnsi"/>
        </w:rPr>
        <w:t xml:space="preserve">The Paaratte Formation consists of quartzose, fine to </w:t>
      </w:r>
      <w:r w:rsidR="00BA319F">
        <w:rPr>
          <w:rFonts w:eastAsiaTheme="minorHAnsi"/>
        </w:rPr>
        <w:t>coarse grained</w:t>
      </w:r>
      <w:r>
        <w:rPr>
          <w:rFonts w:eastAsiaTheme="minorHAnsi"/>
        </w:rPr>
        <w:t>, la</w:t>
      </w:r>
      <w:r w:rsidR="000F71AD">
        <w:rPr>
          <w:rFonts w:eastAsiaTheme="minorHAnsi"/>
        </w:rPr>
        <w:t xml:space="preserve">minated, sometimes bioturbated, </w:t>
      </w:r>
      <w:r>
        <w:rPr>
          <w:rFonts w:eastAsiaTheme="minorHAnsi"/>
        </w:rPr>
        <w:t>cross-bedded, greenish sandstones interbedded with mudstone and occa</w:t>
      </w:r>
      <w:r w:rsidR="000F71AD">
        <w:rPr>
          <w:rFonts w:eastAsiaTheme="minorHAnsi"/>
        </w:rPr>
        <w:t xml:space="preserve">sional coals (Duddy, 2003) that </w:t>
      </w:r>
      <w:r>
        <w:rPr>
          <w:rFonts w:eastAsiaTheme="minorHAnsi"/>
        </w:rPr>
        <w:t xml:space="preserve">were mainly deposited in a marine lower-upper deltaic environment (Boyd &amp; Gallagher, 2001).  </w:t>
      </w:r>
    </w:p>
    <w:p w14:paraId="0EB21D4D" w14:textId="77777777" w:rsidR="00225FC8" w:rsidRPr="00C91D8E" w:rsidRDefault="00225FC8" w:rsidP="00494E6D">
      <w:pPr>
        <w:pStyle w:val="Heading4"/>
        <w:numPr>
          <w:ilvl w:val="0"/>
          <w:numId w:val="0"/>
        </w:numPr>
        <w:ind w:left="864" w:hanging="864"/>
      </w:pPr>
      <w:r w:rsidRPr="00C91D8E">
        <w:t>Timboon Sandstone</w:t>
      </w:r>
    </w:p>
    <w:p w14:paraId="621ABE94" w14:textId="77777777" w:rsidR="00225FC8" w:rsidRPr="00C91D8E" w:rsidRDefault="00225FC8" w:rsidP="001A5DDB">
      <w:pPr>
        <w:rPr>
          <w:rFonts w:eastAsiaTheme="minorHAnsi"/>
        </w:rPr>
      </w:pPr>
      <w:r>
        <w:rPr>
          <w:rFonts w:eastAsiaTheme="minorHAnsi"/>
        </w:rPr>
        <w:t>The Timboon Sandstone, at the top of the Sherbrook Group, is characterised by fine to very coarse</w:t>
      </w:r>
      <w:r w:rsidR="0079417C">
        <w:rPr>
          <w:rFonts w:eastAsiaTheme="minorHAnsi"/>
        </w:rPr>
        <w:t xml:space="preserve"> </w:t>
      </w:r>
      <w:r>
        <w:rPr>
          <w:rFonts w:eastAsiaTheme="minorHAnsi"/>
        </w:rPr>
        <w:t xml:space="preserve">sandstones with siltstone/mudstone interbeds with occasional leaf fossils and represents the onset of fluvial terrestrial interdistributary deposition in the Otway Basin (Boyd &amp; Gallagher, 2001). The culmination of rifting in the Otway Basin is marked by a regional intra-Maastrichtian unconformity (Holford </w:t>
      </w:r>
      <w:r>
        <w:rPr>
          <w:rFonts w:eastAsiaTheme="minorHAnsi"/>
          <w:i/>
          <w:iCs/>
        </w:rPr>
        <w:t>et al</w:t>
      </w:r>
      <w:r>
        <w:rPr>
          <w:rFonts w:eastAsiaTheme="minorHAnsi"/>
        </w:rPr>
        <w:t xml:space="preserve">., 2014) at the top of the Sherbrook Group. </w:t>
      </w:r>
    </w:p>
    <w:p w14:paraId="370E2907" w14:textId="77777777" w:rsidR="0079417C" w:rsidRDefault="0079417C" w:rsidP="00C91D8E">
      <w:pPr>
        <w:pStyle w:val="Heading3"/>
        <w:rPr>
          <w:rFonts w:eastAsiaTheme="minorHAnsi"/>
        </w:rPr>
      </w:pPr>
      <w:r w:rsidRPr="000F71AD">
        <w:rPr>
          <w:rFonts w:eastAsiaTheme="minorHAnsi"/>
        </w:rPr>
        <w:t>Wangerrip Group</w:t>
      </w:r>
    </w:p>
    <w:p w14:paraId="3548D5A6" w14:textId="77777777" w:rsidR="0079417C" w:rsidRDefault="0079417C" w:rsidP="00C91D8E">
      <w:pPr>
        <w:rPr>
          <w:rFonts w:eastAsiaTheme="minorHAnsi"/>
        </w:rPr>
      </w:pPr>
      <w:r>
        <w:rPr>
          <w:rFonts w:eastAsiaTheme="minorHAnsi"/>
        </w:rPr>
        <w:t xml:space="preserve">The transgressive siliciclastic Wangerrip Group consists of the Cretaceous/Tertiary Boundary Shale (the Massacre Shale), the Pebble Point Formation, Pember Mudstone and the Dilwyn Formation. Local inversion in the middle Eocene resulted in an intra-Lutetian unconformity that separates the Wangerrip Group from the overlying Nirranda Group (Holdgate &amp; Gallagher, 2003; Krassay </w:t>
      </w:r>
      <w:r>
        <w:rPr>
          <w:rFonts w:eastAsiaTheme="minorHAnsi"/>
          <w:i/>
          <w:iCs/>
        </w:rPr>
        <w:t>et al</w:t>
      </w:r>
      <w:r>
        <w:rPr>
          <w:rFonts w:eastAsiaTheme="minorHAnsi"/>
        </w:rPr>
        <w:t xml:space="preserve">., 2004); whilst an intra-Maastrichtian unconformity, associated with the culmination of rifting in the Otway Basin (Holford </w:t>
      </w:r>
      <w:r>
        <w:rPr>
          <w:rFonts w:eastAsiaTheme="minorHAnsi"/>
          <w:i/>
          <w:iCs/>
        </w:rPr>
        <w:t>et al</w:t>
      </w:r>
      <w:r>
        <w:rPr>
          <w:rFonts w:eastAsiaTheme="minorHAnsi"/>
        </w:rPr>
        <w:t xml:space="preserve">., 2014), separates it from the underlying Sherbrook Group. </w:t>
      </w:r>
    </w:p>
    <w:p w14:paraId="46390E8E" w14:textId="77777777" w:rsidR="00796772" w:rsidRDefault="00796772" w:rsidP="00C91D8E">
      <w:pPr>
        <w:pStyle w:val="Heading4"/>
        <w:numPr>
          <w:ilvl w:val="0"/>
          <w:numId w:val="0"/>
        </w:numPr>
        <w:ind w:left="864" w:hanging="864"/>
        <w:rPr>
          <w:rFonts w:eastAsiaTheme="minorHAnsi"/>
        </w:rPr>
      </w:pPr>
      <w:r>
        <w:rPr>
          <w:rFonts w:eastAsiaTheme="minorHAnsi"/>
        </w:rPr>
        <w:lastRenderedPageBreak/>
        <w:t>Massacre Shale</w:t>
      </w:r>
    </w:p>
    <w:p w14:paraId="15F041D8" w14:textId="77777777" w:rsidR="00796772" w:rsidRPr="00C91D8E" w:rsidRDefault="00D96407" w:rsidP="00C91D8E">
      <w:pPr>
        <w:rPr>
          <w:rFonts w:eastAsiaTheme="minorHAnsi"/>
        </w:rPr>
      </w:pPr>
      <w:r>
        <w:t>The Massacre Shale occurs as a thin shale unit straddling the Cretaceous-Tertiary boundary and was deposited in a widespread transgressive event. The formation has a distinctive log signature and pinches out in the offshore section of the basin (Partridge, 2001).</w:t>
      </w:r>
    </w:p>
    <w:p w14:paraId="3D1AB04B" w14:textId="77777777" w:rsidR="00225FC8" w:rsidRPr="004E0169" w:rsidRDefault="00225FC8" w:rsidP="00494E6D">
      <w:pPr>
        <w:pStyle w:val="Heading4"/>
        <w:numPr>
          <w:ilvl w:val="0"/>
          <w:numId w:val="0"/>
        </w:numPr>
        <w:ind w:left="864" w:hanging="864"/>
      </w:pPr>
      <w:r w:rsidRPr="004E0169">
        <w:t>Pebble Point Formation</w:t>
      </w:r>
    </w:p>
    <w:p w14:paraId="43EA0942" w14:textId="5C6CF692" w:rsidR="00225FC8" w:rsidRPr="00C91D8E" w:rsidRDefault="00225FC8" w:rsidP="004E0169">
      <w:pPr>
        <w:rPr>
          <w:rFonts w:eastAsiaTheme="minorHAnsi"/>
        </w:rPr>
      </w:pPr>
      <w:r>
        <w:rPr>
          <w:rFonts w:eastAsiaTheme="minorHAnsi"/>
        </w:rPr>
        <w:t>The Pebble Point Formation consists of ferruginous (mainly quartz) sandst</w:t>
      </w:r>
      <w:r w:rsidR="00087E01">
        <w:rPr>
          <w:rFonts w:eastAsiaTheme="minorHAnsi"/>
        </w:rPr>
        <w:t xml:space="preserve">one, grit and conglomerate with </w:t>
      </w:r>
      <w:r>
        <w:rPr>
          <w:rFonts w:eastAsiaTheme="minorHAnsi"/>
        </w:rPr>
        <w:t>less common fossiliferous beds (Holdgate &amp; Gallagher, 2003). In th</w:t>
      </w:r>
      <w:r w:rsidR="00087E01">
        <w:rPr>
          <w:rFonts w:eastAsiaTheme="minorHAnsi"/>
        </w:rPr>
        <w:t xml:space="preserve">e Gambier Embayment oolitic and </w:t>
      </w:r>
      <w:r>
        <w:rPr>
          <w:rFonts w:eastAsiaTheme="minorHAnsi"/>
        </w:rPr>
        <w:t>pelletal sandstone and claystones display a complex mineralogy ranging f</w:t>
      </w:r>
      <w:r w:rsidR="00087E01">
        <w:rPr>
          <w:rFonts w:eastAsiaTheme="minorHAnsi"/>
        </w:rPr>
        <w:t xml:space="preserve">rom chlorite to glauconite with </w:t>
      </w:r>
      <w:r>
        <w:rPr>
          <w:rFonts w:eastAsiaTheme="minorHAnsi"/>
        </w:rPr>
        <w:t>secondary replacement by siderite and phosphate (Holdgate &amp; Gallaghe</w:t>
      </w:r>
      <w:r w:rsidR="00087E01">
        <w:rPr>
          <w:rFonts w:eastAsiaTheme="minorHAnsi"/>
        </w:rPr>
        <w:t xml:space="preserve">r, 2003). Macro and microfossil </w:t>
      </w:r>
      <w:r>
        <w:rPr>
          <w:rFonts w:eastAsiaTheme="minorHAnsi"/>
        </w:rPr>
        <w:t>content indicate a dominantly transgressive shallow marine environment and an early to mid</w:t>
      </w:r>
      <w:r w:rsidR="00087E01">
        <w:rPr>
          <w:rFonts w:eastAsiaTheme="minorHAnsi"/>
        </w:rPr>
        <w:t xml:space="preserve">dle Paleocene </w:t>
      </w:r>
      <w:r>
        <w:rPr>
          <w:rFonts w:eastAsiaTheme="minorHAnsi"/>
        </w:rPr>
        <w:t xml:space="preserve">age (Holdgate &amp; Gallagher, 2003). </w:t>
      </w:r>
    </w:p>
    <w:p w14:paraId="047204EB" w14:textId="77777777" w:rsidR="00087E01" w:rsidRDefault="00087E01" w:rsidP="00494E6D">
      <w:pPr>
        <w:pStyle w:val="Heading4"/>
        <w:numPr>
          <w:ilvl w:val="0"/>
          <w:numId w:val="0"/>
        </w:numPr>
        <w:ind w:left="864" w:hanging="864"/>
        <w:rPr>
          <w:rFonts w:eastAsiaTheme="minorHAnsi"/>
        </w:rPr>
      </w:pPr>
      <w:r>
        <w:rPr>
          <w:rFonts w:eastAsiaTheme="minorHAnsi"/>
        </w:rPr>
        <w:t>Pember Mudstone</w:t>
      </w:r>
    </w:p>
    <w:p w14:paraId="253359FA" w14:textId="1016EAA5" w:rsidR="00087E01" w:rsidRPr="00C91D8E" w:rsidRDefault="00087E01" w:rsidP="004E0169">
      <w:pPr>
        <w:rPr>
          <w:rFonts w:eastAsiaTheme="minorHAnsi"/>
        </w:rPr>
      </w:pPr>
      <w:r>
        <w:rPr>
          <w:rFonts w:eastAsiaTheme="minorHAnsi"/>
        </w:rPr>
        <w:t>The Pember Mudstone consists of tan to grey siltstones, mudstones and shales, usually pyritic,</w:t>
      </w:r>
      <w:r w:rsidR="0079417C">
        <w:rPr>
          <w:rFonts w:eastAsiaTheme="minorHAnsi"/>
        </w:rPr>
        <w:t xml:space="preserve"> </w:t>
      </w:r>
      <w:r>
        <w:rPr>
          <w:rFonts w:eastAsiaTheme="minorHAnsi"/>
        </w:rPr>
        <w:t>carbonaceous and micaceous, and locally glauconitic. Carbonate-ceme</w:t>
      </w:r>
      <w:r w:rsidR="0079417C">
        <w:rPr>
          <w:rFonts w:eastAsiaTheme="minorHAnsi"/>
        </w:rPr>
        <w:t xml:space="preserve">nted sandstones are more common </w:t>
      </w:r>
      <w:r>
        <w:rPr>
          <w:rFonts w:eastAsiaTheme="minorHAnsi"/>
        </w:rPr>
        <w:t>in the upper part of the formation, as are rare arenaceous foraminifera (H</w:t>
      </w:r>
      <w:r w:rsidR="0079417C">
        <w:rPr>
          <w:rFonts w:eastAsiaTheme="minorHAnsi"/>
        </w:rPr>
        <w:t xml:space="preserve">oldgate &amp; Gallagher, 2003). The </w:t>
      </w:r>
      <w:r>
        <w:rPr>
          <w:rFonts w:eastAsiaTheme="minorHAnsi"/>
        </w:rPr>
        <w:t xml:space="preserve">Pember Mudstone represents a delta-front and prodelta environment. </w:t>
      </w:r>
      <w:r w:rsidR="0079417C">
        <w:rPr>
          <w:rFonts w:eastAsiaTheme="minorHAnsi"/>
        </w:rPr>
        <w:t xml:space="preserve">Although it usually conformably </w:t>
      </w:r>
      <w:r>
        <w:rPr>
          <w:rFonts w:eastAsiaTheme="minorHAnsi"/>
        </w:rPr>
        <w:t>overlies the Pebble Point Formation (Holdgate &amp; Gallagher, 2003), in places there is evidence of a</w:t>
      </w:r>
      <w:r w:rsidR="0079417C">
        <w:rPr>
          <w:rFonts w:eastAsiaTheme="minorHAnsi"/>
        </w:rPr>
        <w:t xml:space="preserve"> </w:t>
      </w:r>
      <w:r>
        <w:rPr>
          <w:rFonts w:eastAsiaTheme="minorHAnsi"/>
        </w:rPr>
        <w:t>disconformable relationship (Tabassi &amp; Davey, 1986; Keating, 1993) and in Greenslopes-1, north of the</w:t>
      </w:r>
      <w:r w:rsidR="0079417C">
        <w:rPr>
          <w:rFonts w:eastAsiaTheme="minorHAnsi"/>
        </w:rPr>
        <w:t xml:space="preserve"> </w:t>
      </w:r>
      <w:r>
        <w:rPr>
          <w:rFonts w:eastAsiaTheme="minorHAnsi"/>
        </w:rPr>
        <w:t>Windermere Trough, it is absent</w:t>
      </w:r>
      <w:r w:rsidR="001768D2">
        <w:rPr>
          <w:rFonts w:eastAsiaTheme="minorHAnsi"/>
        </w:rPr>
        <w:t>.</w:t>
      </w:r>
      <w:r>
        <w:rPr>
          <w:rFonts w:eastAsiaTheme="minorHAnsi"/>
        </w:rPr>
        <w:t xml:space="preserve"> </w:t>
      </w:r>
    </w:p>
    <w:p w14:paraId="3E0FA4E9" w14:textId="77777777" w:rsidR="00087E01" w:rsidRDefault="00087E01" w:rsidP="00494E6D">
      <w:pPr>
        <w:pStyle w:val="Heading4"/>
        <w:numPr>
          <w:ilvl w:val="0"/>
          <w:numId w:val="0"/>
        </w:numPr>
        <w:ind w:left="864" w:hanging="864"/>
        <w:rPr>
          <w:rFonts w:eastAsiaTheme="minorHAnsi"/>
        </w:rPr>
      </w:pPr>
      <w:r>
        <w:rPr>
          <w:rFonts w:eastAsiaTheme="minorHAnsi"/>
        </w:rPr>
        <w:t>Dilwyn Formation</w:t>
      </w:r>
    </w:p>
    <w:p w14:paraId="7936575B" w14:textId="254B90B8" w:rsidR="00087E01" w:rsidRPr="00C91D8E" w:rsidRDefault="00087E01" w:rsidP="00C91D8E">
      <w:pPr>
        <w:rPr>
          <w:rFonts w:eastAsiaTheme="minorHAnsi"/>
        </w:rPr>
      </w:pPr>
      <w:r>
        <w:rPr>
          <w:rFonts w:eastAsiaTheme="minorHAnsi"/>
        </w:rPr>
        <w:t xml:space="preserve">The Dilwyn Formation is transitional with the underlying Pember Mudstone and </w:t>
      </w:r>
      <w:r w:rsidR="0079417C">
        <w:rPr>
          <w:rFonts w:eastAsiaTheme="minorHAnsi"/>
        </w:rPr>
        <w:t xml:space="preserve">is characterised by </w:t>
      </w:r>
      <w:r>
        <w:rPr>
          <w:rFonts w:eastAsiaTheme="minorHAnsi"/>
        </w:rPr>
        <w:t>sandstones predominating over shales and by transgressive-regressive repetitions of sandstone-siltstone</w:t>
      </w:r>
      <w:r w:rsidR="0079417C">
        <w:rPr>
          <w:rFonts w:eastAsiaTheme="minorHAnsi"/>
        </w:rPr>
        <w:t xml:space="preserve"> claystone (Holdgate &amp; Gallagher, 2003). </w:t>
      </w:r>
      <w:r>
        <w:rPr>
          <w:rFonts w:eastAsiaTheme="minorHAnsi"/>
        </w:rPr>
        <w:t>The</w:t>
      </w:r>
      <w:r w:rsidR="0079417C">
        <w:rPr>
          <w:rFonts w:eastAsiaTheme="minorHAnsi"/>
        </w:rPr>
        <w:t xml:space="preserve"> sandstones were deposited as distributary channels, and barriers and offshore bars </w:t>
      </w:r>
      <w:r>
        <w:rPr>
          <w:rFonts w:eastAsiaTheme="minorHAnsi"/>
        </w:rPr>
        <w:t>assoc</w:t>
      </w:r>
      <w:r w:rsidR="0079417C">
        <w:rPr>
          <w:rFonts w:eastAsiaTheme="minorHAnsi"/>
        </w:rPr>
        <w:t xml:space="preserve">iated with a delta-front environment, whilst the shales may include marine arenaceous and calcareous foraminifera (Holdgate &amp; Gallagher, 2003). </w:t>
      </w:r>
      <w:r w:rsidR="00265A67">
        <w:rPr>
          <w:rFonts w:eastAsiaTheme="minorHAnsi"/>
        </w:rPr>
        <w:t xml:space="preserve">Brown </w:t>
      </w:r>
      <w:r w:rsidR="0079417C">
        <w:rPr>
          <w:rFonts w:eastAsiaTheme="minorHAnsi"/>
        </w:rPr>
        <w:t>c</w:t>
      </w:r>
      <w:r>
        <w:rPr>
          <w:rFonts w:eastAsiaTheme="minorHAnsi"/>
        </w:rPr>
        <w:t>oals</w:t>
      </w:r>
      <w:r w:rsidR="0079417C">
        <w:rPr>
          <w:rFonts w:eastAsiaTheme="minorHAnsi"/>
        </w:rPr>
        <w:t xml:space="preserve"> </w:t>
      </w:r>
      <w:r>
        <w:rPr>
          <w:rFonts w:eastAsiaTheme="minorHAnsi"/>
        </w:rPr>
        <w:t>are</w:t>
      </w:r>
      <w:r w:rsidR="0079417C">
        <w:rPr>
          <w:rFonts w:eastAsiaTheme="minorHAnsi"/>
        </w:rPr>
        <w:t xml:space="preserve"> found in the Dilwyn </w:t>
      </w:r>
      <w:r>
        <w:rPr>
          <w:rFonts w:eastAsiaTheme="minorHAnsi"/>
        </w:rPr>
        <w:t>Formation;</w:t>
      </w:r>
      <w:r w:rsidR="0079417C">
        <w:rPr>
          <w:rFonts w:eastAsiaTheme="minorHAnsi"/>
        </w:rPr>
        <w:t xml:space="preserve"> such as those at </w:t>
      </w:r>
      <w:r>
        <w:rPr>
          <w:rFonts w:eastAsiaTheme="minorHAnsi"/>
        </w:rPr>
        <w:t>Benwerrin</w:t>
      </w:r>
      <w:r w:rsidR="0079417C">
        <w:rPr>
          <w:rFonts w:eastAsiaTheme="minorHAnsi"/>
        </w:rPr>
        <w:t xml:space="preserve"> that are considered </w:t>
      </w:r>
      <w:r>
        <w:rPr>
          <w:rFonts w:eastAsiaTheme="minorHAnsi"/>
        </w:rPr>
        <w:t>Palaeocene</w:t>
      </w:r>
      <w:r w:rsidR="0079417C">
        <w:rPr>
          <w:rFonts w:eastAsiaTheme="minorHAnsi"/>
        </w:rPr>
        <w:t xml:space="preserve"> in </w:t>
      </w:r>
      <w:r>
        <w:rPr>
          <w:rFonts w:eastAsiaTheme="minorHAnsi"/>
        </w:rPr>
        <w:t>ag</w:t>
      </w:r>
      <w:r w:rsidR="0079417C">
        <w:rPr>
          <w:rFonts w:eastAsiaTheme="minorHAnsi"/>
        </w:rPr>
        <w:t>e (Gloe &amp; Holdgate, 1991).</w:t>
      </w:r>
    </w:p>
    <w:p w14:paraId="34C240A9" w14:textId="77777777" w:rsidR="00FB0730" w:rsidRPr="00C91D8E" w:rsidRDefault="00FB0730" w:rsidP="00C91D8E">
      <w:pPr>
        <w:pStyle w:val="Heading3"/>
        <w:rPr>
          <w:rFonts w:eastAsiaTheme="minorHAnsi"/>
          <w:b w:val="0"/>
          <w:bCs w:val="0"/>
          <w:vanish/>
        </w:rPr>
      </w:pPr>
      <w:r>
        <w:rPr>
          <w:rFonts w:eastAsiaTheme="minorHAnsi"/>
        </w:rPr>
        <w:t>Nirranda Group</w:t>
      </w:r>
    </w:p>
    <w:p w14:paraId="1B375DF3" w14:textId="5EFBAB00" w:rsidR="00FB0730" w:rsidRPr="004E0169" w:rsidRDefault="00FB0730" w:rsidP="00C91D8E">
      <w:pPr>
        <w:rPr>
          <w:rFonts w:eastAsiaTheme="minorHAnsi"/>
        </w:rPr>
      </w:pPr>
      <w:r>
        <w:rPr>
          <w:rFonts w:eastAsiaTheme="minorHAnsi"/>
        </w:rPr>
        <w:t>The marine Nirranda Group consists of the carbonate</w:t>
      </w:r>
      <w:r w:rsidR="00BA319F">
        <w:rPr>
          <w:rFonts w:eastAsiaTheme="minorHAnsi"/>
        </w:rPr>
        <w:t xml:space="preserve"> </w:t>
      </w:r>
      <w:r>
        <w:rPr>
          <w:rFonts w:eastAsiaTheme="minorHAnsi"/>
        </w:rPr>
        <w:t xml:space="preserve">dominated Narrawaturk Marl, the mixed carbonate and clastic Mepunga Formation (Holdgate &amp; Gallagher, 2003) and, northeast of the Port Campbell Embayment, the clastic Demons Bluff Formation (Tickell </w:t>
      </w:r>
      <w:r>
        <w:rPr>
          <w:rFonts w:eastAsiaTheme="minorHAnsi"/>
          <w:i/>
          <w:iCs/>
        </w:rPr>
        <w:t>et al</w:t>
      </w:r>
      <w:r>
        <w:rPr>
          <w:rFonts w:eastAsiaTheme="minorHAnsi"/>
        </w:rPr>
        <w:t xml:space="preserve">., 1992). An intra-Lutetian unconformity, due to local inversion in the middle Eocene, separates the Nirranda Group from the underlying Wangerrip Group (Holdgate &amp; Gallagher, 2003; Krassay </w:t>
      </w:r>
      <w:r>
        <w:rPr>
          <w:rFonts w:eastAsiaTheme="minorHAnsi"/>
          <w:i/>
          <w:iCs/>
        </w:rPr>
        <w:t>et al</w:t>
      </w:r>
      <w:r>
        <w:rPr>
          <w:rFonts w:eastAsiaTheme="minorHAnsi"/>
        </w:rPr>
        <w:t xml:space="preserve">., 2004), and an early-late Oligocene regional unconformity occurs between the Nirranda Group and the overlying Heytesbury Group. </w:t>
      </w:r>
    </w:p>
    <w:p w14:paraId="361C02DA" w14:textId="77777777" w:rsidR="00087E01" w:rsidRPr="00C91D8E" w:rsidRDefault="00087E01" w:rsidP="00494E6D">
      <w:pPr>
        <w:pStyle w:val="Heading4"/>
        <w:numPr>
          <w:ilvl w:val="0"/>
          <w:numId w:val="0"/>
        </w:numPr>
        <w:ind w:left="864" w:hanging="864"/>
      </w:pPr>
      <w:r w:rsidRPr="00C91D8E">
        <w:t>Mepunga Formation</w:t>
      </w:r>
    </w:p>
    <w:p w14:paraId="6BA63B49" w14:textId="77777777" w:rsidR="00087E01" w:rsidRPr="00C91D8E" w:rsidRDefault="00087E01" w:rsidP="00C91D8E">
      <w:pPr>
        <w:rPr>
          <w:rFonts w:eastAsiaTheme="minorHAnsi"/>
        </w:rPr>
      </w:pPr>
      <w:r>
        <w:rPr>
          <w:rFonts w:eastAsiaTheme="minorHAnsi"/>
        </w:rPr>
        <w:t xml:space="preserve">The Mepunga Formation consists of coarse often pebbly, ferruginous, occasionally glauconitic sandstones, with sandstones and sandy limestones that are often dolomitic, glauconitic and ferruginous offshore and in the Portland Trough (Holdgate &amp; Gallagher, 2003). The foraminiferal faunas indicate deposition in paralic high-energy shoreline environments in the north, to outer shelf marine environments in the south; whilst the preservation of restricted calcareous faunas and miliolinids indicates inner to mid-shelf marine environments in the eastern part of the basin (Holdgate &amp; Gallagher, 2003). </w:t>
      </w:r>
    </w:p>
    <w:p w14:paraId="633D5468" w14:textId="77777777" w:rsidR="00087E01" w:rsidRPr="00FB0730" w:rsidRDefault="00087E01" w:rsidP="00494E6D">
      <w:pPr>
        <w:pStyle w:val="Heading4"/>
        <w:numPr>
          <w:ilvl w:val="0"/>
          <w:numId w:val="0"/>
        </w:numPr>
        <w:ind w:left="864" w:hanging="864"/>
      </w:pPr>
      <w:r w:rsidRPr="00FB0730">
        <w:lastRenderedPageBreak/>
        <w:t>Narrawaturk Marl</w:t>
      </w:r>
    </w:p>
    <w:p w14:paraId="42DC0168" w14:textId="77777777" w:rsidR="00087E01" w:rsidRPr="00FB0730" w:rsidRDefault="00087E01" w:rsidP="00C91D8E">
      <w:pPr>
        <w:rPr>
          <w:rFonts w:eastAsiaTheme="minorHAnsi"/>
        </w:rPr>
      </w:pPr>
      <w:r>
        <w:rPr>
          <w:rFonts w:eastAsiaTheme="minorHAnsi"/>
        </w:rPr>
        <w:t xml:space="preserve">The Narrawaturk Marl consists of marly, sandy, ferruginous, glauconitic, occasionally dolomitic mudstone, occasionally cherty and dolomitic marl; some coarse ferruginous sandstone; sandy limestone and sandy marl; and, in the west, a dolomitic marly limestone (Holdgate &amp; Gallagher, 2003). Based on planktonic foraminifera most of the Narrawaturk Marl is early Oligocene in age (Holdgate &amp; Gallagher, 2003). </w:t>
      </w:r>
    </w:p>
    <w:p w14:paraId="0D2ED4A4" w14:textId="77777777" w:rsidR="00087E01" w:rsidRDefault="00087E01" w:rsidP="00494E6D">
      <w:pPr>
        <w:pStyle w:val="Heading4"/>
        <w:numPr>
          <w:ilvl w:val="0"/>
          <w:numId w:val="0"/>
        </w:numPr>
        <w:ind w:left="864" w:hanging="864"/>
        <w:rPr>
          <w:rFonts w:eastAsiaTheme="minorHAnsi"/>
        </w:rPr>
      </w:pPr>
      <w:r>
        <w:rPr>
          <w:rFonts w:eastAsiaTheme="minorHAnsi"/>
        </w:rPr>
        <w:t>Clifton Formation</w:t>
      </w:r>
    </w:p>
    <w:p w14:paraId="58A05398" w14:textId="77777777" w:rsidR="00087E01" w:rsidRDefault="00087E01" w:rsidP="00C91D8E">
      <w:pPr>
        <w:rPr>
          <w:rFonts w:eastAsiaTheme="minorHAnsi"/>
        </w:rPr>
      </w:pPr>
      <w:r>
        <w:rPr>
          <w:rFonts w:eastAsiaTheme="minorHAnsi"/>
        </w:rPr>
        <w:t>The Clifton Formation consists of sandy limestone, which may be dolomitic or contain thin horizons of phosphate and limonite nodules, limestone and, northeast of the Port Campbell Embayment, ferruginous sandy marl (Holdgate &amp; Gallagher, 2003). The clastics in the sandy facies, deposited around the margin of the basin, were supplied by rivers to the north and east. The depositional environment transitions from paralic coastal environments in the north and east, to high-energy outer shelf environments, where clastic poor limestones are deposited, in the south and west (Holdgate &amp; Gallagher, 2003).</w:t>
      </w:r>
    </w:p>
    <w:p w14:paraId="19B3DB04" w14:textId="77777777" w:rsidR="00FB0730" w:rsidRDefault="00FB0730" w:rsidP="00FB0730">
      <w:pPr>
        <w:pStyle w:val="Heading3"/>
        <w:rPr>
          <w:rFonts w:ascii="Times New Roman" w:eastAsiaTheme="minorHAnsi" w:hAnsi="Times New Roman"/>
          <w:color w:val="auto"/>
          <w:sz w:val="24"/>
          <w:szCs w:val="24"/>
        </w:rPr>
      </w:pPr>
      <w:r>
        <w:rPr>
          <w:rFonts w:eastAsiaTheme="minorHAnsi"/>
        </w:rPr>
        <w:t xml:space="preserve">Heytesbury Group </w:t>
      </w:r>
    </w:p>
    <w:p w14:paraId="23E5F867" w14:textId="0A63B33E" w:rsidR="00FB0730" w:rsidRPr="00C91D8E" w:rsidRDefault="00FB0730" w:rsidP="00FB0730">
      <w:pPr>
        <w:rPr>
          <w:rFonts w:eastAsiaTheme="minorHAnsi"/>
        </w:rPr>
      </w:pPr>
      <w:r>
        <w:rPr>
          <w:rFonts w:eastAsiaTheme="minorHAnsi"/>
        </w:rPr>
        <w:t xml:space="preserve">The marine Heytesbury Group consists of the carbonate-dominated Port Campbell Limestone and Gellibrand Marl, and the basal part-clastic, part-carbonate Clifton Formation (Holdgate &amp; Gallagher, 2003). </w:t>
      </w:r>
      <w:r w:rsidR="007D46A6">
        <w:rPr>
          <w:rFonts w:eastAsiaTheme="minorHAnsi"/>
        </w:rPr>
        <w:t>The</w:t>
      </w:r>
      <w:r>
        <w:rPr>
          <w:rFonts w:eastAsiaTheme="minorHAnsi"/>
        </w:rPr>
        <w:t xml:space="preserve"> base of the Heytesbury Group is </w:t>
      </w:r>
      <w:r w:rsidR="0005619F">
        <w:rPr>
          <w:rFonts w:eastAsiaTheme="minorHAnsi"/>
        </w:rPr>
        <w:t xml:space="preserve">marked by </w:t>
      </w:r>
      <w:r>
        <w:rPr>
          <w:rFonts w:eastAsiaTheme="minorHAnsi"/>
        </w:rPr>
        <w:t xml:space="preserve">a disconformity (Holdgate &amp; Gallagher, 2003), whilst at the top is an unconformity, which formed due to tectonic uplift and regression at the end of the Miocene (Holdgate &amp; Gallagher, 2003).  </w:t>
      </w:r>
    </w:p>
    <w:p w14:paraId="487759FD" w14:textId="77777777" w:rsidR="00FB0730" w:rsidRDefault="00FB0730" w:rsidP="00494E6D">
      <w:pPr>
        <w:pStyle w:val="Heading4"/>
        <w:numPr>
          <w:ilvl w:val="0"/>
          <w:numId w:val="0"/>
        </w:numPr>
        <w:ind w:left="864" w:hanging="864"/>
        <w:rPr>
          <w:rFonts w:eastAsiaTheme="minorHAnsi"/>
        </w:rPr>
      </w:pPr>
      <w:r>
        <w:rPr>
          <w:rFonts w:eastAsiaTheme="minorHAnsi"/>
        </w:rPr>
        <w:t>Gellibrand Marl</w:t>
      </w:r>
    </w:p>
    <w:p w14:paraId="25C41F32" w14:textId="77777777" w:rsidR="00FB0730" w:rsidRPr="00C91D8E" w:rsidRDefault="00FB0730" w:rsidP="00FB0730">
      <w:pPr>
        <w:rPr>
          <w:rFonts w:eastAsiaTheme="minorHAnsi"/>
        </w:rPr>
      </w:pPr>
      <w:r>
        <w:rPr>
          <w:rFonts w:eastAsiaTheme="minorHAnsi"/>
        </w:rPr>
        <w:t xml:space="preserve">The Gellibrand Marl has abundant planktonic foraminifera that indicate a middle Miocene to late Oligocene age (Holdgate &amp; Gallagher, 2003). The marl was deposited in a low-energy inner shelf environment north of Port Campbell where there was clastic input; whilst an outer shelf environment was predominant around the Portland area (Holdgate &amp; Gallagher, 2003). In the Gambier Embayment, more limestone-rich facies were deposited in shallower seas.  </w:t>
      </w:r>
    </w:p>
    <w:p w14:paraId="6FED844C" w14:textId="77777777" w:rsidR="00FB0730" w:rsidRDefault="00FB0730" w:rsidP="00494E6D">
      <w:pPr>
        <w:pStyle w:val="Heading4"/>
        <w:numPr>
          <w:ilvl w:val="0"/>
          <w:numId w:val="0"/>
        </w:numPr>
        <w:ind w:left="864" w:hanging="864"/>
        <w:rPr>
          <w:rFonts w:eastAsiaTheme="minorHAnsi"/>
        </w:rPr>
      </w:pPr>
      <w:r>
        <w:rPr>
          <w:rFonts w:eastAsiaTheme="minorHAnsi"/>
        </w:rPr>
        <w:t>Port Campbell Limestone</w:t>
      </w:r>
    </w:p>
    <w:p w14:paraId="05F94E3A" w14:textId="08ECE2FE" w:rsidR="00FB0730" w:rsidRPr="00C91D8E" w:rsidRDefault="00FB0730" w:rsidP="00FB0730">
      <w:pPr>
        <w:rPr>
          <w:rFonts w:eastAsiaTheme="minorHAnsi"/>
        </w:rPr>
      </w:pPr>
      <w:r>
        <w:rPr>
          <w:rFonts w:eastAsiaTheme="minorHAnsi"/>
        </w:rPr>
        <w:t xml:space="preserve">The Port Campbell Limestone was deposited </w:t>
      </w:r>
      <w:r w:rsidR="0005619F">
        <w:rPr>
          <w:rFonts w:eastAsiaTheme="minorHAnsi"/>
        </w:rPr>
        <w:t xml:space="preserve">in </w:t>
      </w:r>
      <w:r>
        <w:rPr>
          <w:rFonts w:eastAsiaTheme="minorHAnsi"/>
        </w:rPr>
        <w:t>outer shelf water depths during peak transgressions and at mid to inner shelf depths during regressions. The upper part of the Port Campbell Limestone records continuous sea</w:t>
      </w:r>
      <w:r w:rsidR="00BA319F">
        <w:rPr>
          <w:rFonts w:eastAsiaTheme="minorHAnsi"/>
        </w:rPr>
        <w:t xml:space="preserve"> </w:t>
      </w:r>
      <w:r>
        <w:rPr>
          <w:rFonts w:eastAsiaTheme="minorHAnsi"/>
        </w:rPr>
        <w:t xml:space="preserve">level fall towards the end of the Miocene. Based on planktonic foraminifera it is late to early middle Miocene in age (Holdgate &amp; Gallagher, 2003). </w:t>
      </w:r>
    </w:p>
    <w:p w14:paraId="483AA8DD" w14:textId="77777777" w:rsidR="00FB0730" w:rsidRDefault="00FB0730" w:rsidP="00FB0730">
      <w:pPr>
        <w:pStyle w:val="Heading3"/>
        <w:rPr>
          <w:rFonts w:ascii="Times New Roman" w:eastAsiaTheme="minorHAnsi" w:hAnsi="Times New Roman"/>
          <w:color w:val="auto"/>
          <w:sz w:val="24"/>
          <w:szCs w:val="24"/>
        </w:rPr>
      </w:pPr>
      <w:r>
        <w:rPr>
          <w:rFonts w:eastAsiaTheme="minorHAnsi"/>
        </w:rPr>
        <w:t>Bridgewater Bay Group</w:t>
      </w:r>
    </w:p>
    <w:p w14:paraId="0D6CFD0E" w14:textId="77777777" w:rsidR="0025629E" w:rsidRDefault="00FB0730" w:rsidP="00C91D8E">
      <w:pPr>
        <w:rPr>
          <w:rFonts w:eastAsiaTheme="minorHAnsi"/>
        </w:rPr>
      </w:pPr>
      <w:r>
        <w:rPr>
          <w:rFonts w:eastAsiaTheme="minorHAnsi"/>
        </w:rPr>
        <w:t xml:space="preserve">Following widespread tectonic uplift in the Pliocene (e.g. Dickinson </w:t>
      </w:r>
      <w:r>
        <w:rPr>
          <w:rFonts w:eastAsiaTheme="minorHAnsi"/>
          <w:i/>
          <w:iCs/>
        </w:rPr>
        <w:t>et al</w:t>
      </w:r>
      <w:r>
        <w:rPr>
          <w:rFonts w:eastAsiaTheme="minorHAnsi"/>
        </w:rPr>
        <w:t xml:space="preserve">., 2001), a sequence of relatively thin localised units was deposited during the Pliocene to Pleistocene. Some discrepancies exist in the nomenclature but named units include: the Whalers Bluff Formation, Werrikoo Limestone, Nelson Bay Formation, Dorodong Sands, Grange Burn Formation, Hanson Plain Sand, Moorabool Viaduct Formation and the Newer Volcanics (Holdgate &amp; Gallagher, 2003; Cupper </w:t>
      </w:r>
      <w:r>
        <w:rPr>
          <w:rFonts w:eastAsiaTheme="minorHAnsi"/>
          <w:i/>
          <w:iCs/>
        </w:rPr>
        <w:t>et al</w:t>
      </w:r>
      <w:r>
        <w:rPr>
          <w:rFonts w:eastAsiaTheme="minorHAnsi"/>
        </w:rPr>
        <w:t xml:space="preserve">., 2003). </w:t>
      </w:r>
    </w:p>
    <w:p w14:paraId="2934C29A" w14:textId="77777777" w:rsidR="009D7345" w:rsidRDefault="009D7345" w:rsidP="00C91D8E">
      <w:pPr>
        <w:pStyle w:val="Heading2"/>
        <w:rPr>
          <w:rFonts w:eastAsiaTheme="minorHAnsi"/>
        </w:rPr>
      </w:pPr>
      <w:bookmarkStart w:id="17" w:name="_Toc513813341"/>
      <w:r>
        <w:rPr>
          <w:rFonts w:eastAsiaTheme="minorHAnsi"/>
        </w:rPr>
        <w:t>Petroleum systems</w:t>
      </w:r>
      <w:bookmarkEnd w:id="17"/>
    </w:p>
    <w:p w14:paraId="681A507B" w14:textId="77777777" w:rsidR="0096347D" w:rsidRPr="00C91D8E" w:rsidRDefault="0096347D" w:rsidP="00C91D8E">
      <w:pPr>
        <w:rPr>
          <w:rFonts w:eastAsiaTheme="minorHAnsi"/>
        </w:rPr>
      </w:pPr>
      <w:r>
        <w:rPr>
          <w:rFonts w:eastAsiaTheme="minorHAnsi"/>
        </w:rPr>
        <w:t xml:space="preserve">The hydrocarbons of the Otway Basin belong to the Austral petroleum supersystem. The Austral petroleum supersystem, </w:t>
      </w:r>
      <w:r w:rsidR="0005619F">
        <w:rPr>
          <w:rFonts w:eastAsiaTheme="minorHAnsi"/>
        </w:rPr>
        <w:t xml:space="preserve">as </w:t>
      </w:r>
      <w:r>
        <w:rPr>
          <w:rFonts w:eastAsiaTheme="minorHAnsi"/>
        </w:rPr>
        <w:t xml:space="preserve">defined by Bradshaw (1993) and Summons </w:t>
      </w:r>
      <w:r>
        <w:rPr>
          <w:rFonts w:eastAsiaTheme="minorHAnsi"/>
          <w:i/>
          <w:iCs/>
        </w:rPr>
        <w:t>et al</w:t>
      </w:r>
      <w:r>
        <w:rPr>
          <w:rFonts w:eastAsiaTheme="minorHAnsi"/>
        </w:rPr>
        <w:t xml:space="preserve">. (1998), on the basis of the age of the source rocks and their common tectonic history, includes all southern Australian </w:t>
      </w:r>
      <w:r>
        <w:rPr>
          <w:rFonts w:eastAsiaTheme="minorHAnsi"/>
        </w:rPr>
        <w:lastRenderedPageBreak/>
        <w:t xml:space="preserve">sedimentary basins. As such, the hydrocarbons of the Otway Basin are assigned to the Austral supersystem.  </w:t>
      </w:r>
    </w:p>
    <w:p w14:paraId="548E63E9" w14:textId="02CCD117" w:rsidR="0096347D" w:rsidRDefault="0096347D" w:rsidP="00C91D8E">
      <w:pPr>
        <w:rPr>
          <w:rFonts w:eastAsiaTheme="minorHAnsi"/>
        </w:rPr>
      </w:pPr>
      <w:r>
        <w:rPr>
          <w:rFonts w:eastAsiaTheme="minorHAnsi"/>
        </w:rPr>
        <w:t xml:space="preserve">The Austral petroleum supersystem is further divided into three sub-systems (Edwards </w:t>
      </w:r>
      <w:r>
        <w:rPr>
          <w:rFonts w:eastAsiaTheme="minorHAnsi"/>
          <w:i/>
          <w:iCs/>
        </w:rPr>
        <w:t>et al</w:t>
      </w:r>
      <w:r>
        <w:rPr>
          <w:rFonts w:eastAsiaTheme="minorHAnsi"/>
        </w:rPr>
        <w:t>., 1999); Austral</w:t>
      </w:r>
      <w:r w:rsidR="00227B67">
        <w:rPr>
          <w:rFonts w:eastAsiaTheme="minorHAnsi"/>
        </w:rPr>
        <w:t>-</w:t>
      </w:r>
      <w:r>
        <w:rPr>
          <w:rFonts w:eastAsiaTheme="minorHAnsi"/>
        </w:rPr>
        <w:t>1, -2 and -3. The three-fold subdivision recognizes the difference in geochemical characteristics of liquid hydrocarbons encountered in petroleum exploration wells. The main difference between the liquid hydrocarbons is related to the different</w:t>
      </w:r>
      <w:r w:rsidR="008F4C03">
        <w:rPr>
          <w:rFonts w:eastAsiaTheme="minorHAnsi"/>
        </w:rPr>
        <w:t xml:space="preserve"> stratigraphic age</w:t>
      </w:r>
      <w:r w:rsidR="00B14943">
        <w:rPr>
          <w:rFonts w:eastAsiaTheme="minorHAnsi"/>
        </w:rPr>
        <w:t xml:space="preserve"> and</w:t>
      </w:r>
      <w:r>
        <w:rPr>
          <w:rFonts w:eastAsiaTheme="minorHAnsi"/>
        </w:rPr>
        <w:t xml:space="preserve"> depositional environment of the source rocks that form part of each subsystem.</w:t>
      </w:r>
    </w:p>
    <w:p w14:paraId="759BCAB1" w14:textId="7315C9E9" w:rsidR="0067577D" w:rsidRDefault="00B80521" w:rsidP="00C91D8E">
      <w:pPr>
        <w:rPr>
          <w:rFonts w:eastAsiaTheme="minorHAnsi"/>
        </w:rPr>
      </w:pPr>
      <w:r>
        <w:rPr>
          <w:rFonts w:eastAsiaTheme="minorHAnsi"/>
        </w:rPr>
        <w:t xml:space="preserve">Most Otway Basin hydrocarbon discoveries belong to the Austral-1 and Austral-2 petroleum systems (Edwards </w:t>
      </w:r>
      <w:r>
        <w:rPr>
          <w:rFonts w:eastAsiaTheme="minorHAnsi"/>
          <w:i/>
          <w:iCs/>
        </w:rPr>
        <w:t>et al</w:t>
      </w:r>
      <w:r>
        <w:rPr>
          <w:rFonts w:eastAsiaTheme="minorHAnsi"/>
        </w:rPr>
        <w:t xml:space="preserve">., 1999). The Waarre Formation reservoirs, together with the source rocks of the Eumeralla Formation, </w:t>
      </w:r>
      <w:r w:rsidR="00B14943">
        <w:rPr>
          <w:rFonts w:eastAsiaTheme="minorHAnsi"/>
        </w:rPr>
        <w:t xml:space="preserve">and overlying Belfast Mudstone seal units </w:t>
      </w:r>
      <w:r>
        <w:rPr>
          <w:rFonts w:eastAsiaTheme="minorHAnsi"/>
        </w:rPr>
        <w:t xml:space="preserve">comprise the </w:t>
      </w:r>
      <w:r w:rsidR="00227B67">
        <w:rPr>
          <w:rFonts w:eastAsiaTheme="minorHAnsi"/>
        </w:rPr>
        <w:t xml:space="preserve">key elements of the </w:t>
      </w:r>
      <w:r>
        <w:rPr>
          <w:rFonts w:eastAsiaTheme="minorHAnsi"/>
        </w:rPr>
        <w:t>Austral-2 petroleum system.</w:t>
      </w:r>
    </w:p>
    <w:p w14:paraId="74BBDB76" w14:textId="77777777" w:rsidR="00384606" w:rsidRDefault="00384606" w:rsidP="00C91D8E">
      <w:pPr>
        <w:rPr>
          <w:rFonts w:eastAsiaTheme="minorHAnsi"/>
        </w:rPr>
      </w:pPr>
      <w:r>
        <w:rPr>
          <w:rFonts w:eastAsiaTheme="minorHAnsi"/>
        </w:rPr>
        <w:br w:type="page"/>
      </w:r>
    </w:p>
    <w:p w14:paraId="65DF451C" w14:textId="77777777" w:rsidR="0067577D" w:rsidRDefault="0067577D" w:rsidP="0096347D">
      <w:pPr>
        <w:pStyle w:val="Heading1"/>
        <w:rPr>
          <w:rFonts w:eastAsiaTheme="minorHAnsi"/>
        </w:rPr>
      </w:pPr>
      <w:bookmarkStart w:id="18" w:name="_Toc513813342"/>
      <w:r>
        <w:rPr>
          <w:rFonts w:eastAsiaTheme="minorHAnsi"/>
        </w:rPr>
        <w:lastRenderedPageBreak/>
        <w:t>Exploration and production history</w:t>
      </w:r>
      <w:bookmarkEnd w:id="18"/>
    </w:p>
    <w:p w14:paraId="416B3E21" w14:textId="77777777" w:rsidR="0067577D" w:rsidRPr="007E6B02" w:rsidRDefault="0067577D" w:rsidP="0096347D">
      <w:pPr>
        <w:rPr>
          <w:rFonts w:eastAsiaTheme="minorHAnsi"/>
        </w:rPr>
      </w:pPr>
      <w:r>
        <w:rPr>
          <w:rFonts w:eastAsiaTheme="minorHAnsi"/>
        </w:rPr>
        <w:t>Exploration for oil began prior to 1900 in the South Australian portion of the onshore Otway Basin but it was not until the 1920s that wells were sunk for that purpose in Victoria. Some of those initial wells were drilled around Torquay and Anglesea with no success. A small number of companies searched again a decade later</w:t>
      </w:r>
      <w:r w:rsidR="00F1059D">
        <w:rPr>
          <w:rFonts w:eastAsiaTheme="minorHAnsi"/>
        </w:rPr>
        <w:t xml:space="preserve"> </w:t>
      </w:r>
      <w:r w:rsidR="00262AA9">
        <w:rPr>
          <w:rFonts w:eastAsiaTheme="minorHAnsi"/>
        </w:rPr>
        <w:t>around areas such as Geelong</w:t>
      </w:r>
      <w:r>
        <w:rPr>
          <w:rFonts w:eastAsiaTheme="minorHAnsi"/>
        </w:rPr>
        <w:t xml:space="preserve">. Little exploration had occurred until gas was discovered in 1959 in the Waarre Formation in the Port Campbell-1 well near the Port Campbell township (Woollands &amp; Wong, 2001). </w:t>
      </w:r>
    </w:p>
    <w:p w14:paraId="4A3B5499" w14:textId="77777777" w:rsidR="00262AA9" w:rsidRPr="00262AA9" w:rsidRDefault="0067577D" w:rsidP="00262AA9">
      <w:pPr>
        <w:rPr>
          <w:rFonts w:eastAsiaTheme="minorHAnsi"/>
        </w:rPr>
      </w:pPr>
      <w:r>
        <w:rPr>
          <w:rFonts w:eastAsiaTheme="minorHAnsi"/>
        </w:rPr>
        <w:t>With more holes drilled and subsequent resolution of the deeper geology, further drilling in the 1960s targeted the Waarre reservoir sands in seismically defined structures, and tested the underlying Otway Group (e.g. Bain, 1961). Wells were drilled from one end of the basin to the other – from Casterton-1 in the Penola Trough to Hindhaugh Creek-1 on the Bellarine Peninsula. In the late 1960s, the first wells were drilled offshore by Esso and Shell – including Nautilus, Ne</w:t>
      </w:r>
      <w:r w:rsidR="00262AA9">
        <w:rPr>
          <w:rFonts w:eastAsiaTheme="minorHAnsi"/>
        </w:rPr>
        <w:t>rita, Mussel, Pecten and Voluta</w:t>
      </w:r>
      <w:r>
        <w:rPr>
          <w:rFonts w:eastAsiaTheme="minorHAnsi"/>
        </w:rPr>
        <w:t xml:space="preserve">. </w:t>
      </w:r>
      <w:r w:rsidR="00262AA9" w:rsidRPr="00262AA9">
        <w:rPr>
          <w:lang w:val="en-US" w:eastAsia="en-AU"/>
        </w:rPr>
        <w:t xml:space="preserve">Hoping to find an analogue for the </w:t>
      </w:r>
      <w:smartTag w:uri="urn:schemas-microsoft-com:office:smarttags" w:element="place">
        <w:smartTag w:uri="urn:schemas-microsoft-com:office:smarttags" w:element="PlaceName">
          <w:r w:rsidR="00262AA9" w:rsidRPr="00262AA9">
            <w:rPr>
              <w:lang w:val="en-US" w:eastAsia="en-AU"/>
            </w:rPr>
            <w:t>Gippsland</w:t>
          </w:r>
        </w:smartTag>
        <w:r w:rsidR="00262AA9" w:rsidRPr="00262AA9">
          <w:rPr>
            <w:lang w:val="en-US" w:eastAsia="en-AU"/>
          </w:rPr>
          <w:t xml:space="preserve"> </w:t>
        </w:r>
        <w:smartTag w:uri="urn:schemas-microsoft-com:office:smarttags" w:element="PlaceType">
          <w:r w:rsidR="00262AA9" w:rsidRPr="00262AA9">
            <w:rPr>
              <w:lang w:val="en-US" w:eastAsia="en-AU"/>
            </w:rPr>
            <w:t>Basin</w:t>
          </w:r>
        </w:smartTag>
      </w:smartTag>
      <w:r w:rsidR="00262AA9" w:rsidRPr="00262AA9">
        <w:rPr>
          <w:lang w:val="en-US" w:eastAsia="en-AU"/>
        </w:rPr>
        <w:t>, their efforts were largely unrewarded with onl</w:t>
      </w:r>
      <w:r w:rsidR="00F1059D">
        <w:rPr>
          <w:lang w:val="en-US" w:eastAsia="en-AU"/>
        </w:rPr>
        <w:t>y minor gas shows in Pecten-1.</w:t>
      </w:r>
    </w:p>
    <w:p w14:paraId="61295EE7" w14:textId="77777777" w:rsidR="00262AA9" w:rsidRPr="00262AA9" w:rsidRDefault="00262AA9" w:rsidP="00262AA9">
      <w:pPr>
        <w:pStyle w:val="bodyCopy"/>
        <w:rPr>
          <w:lang w:val="en-US" w:eastAsia="en-AU"/>
        </w:rPr>
      </w:pPr>
      <w:r w:rsidRPr="00262AA9">
        <w:rPr>
          <w:lang w:val="en-US" w:eastAsia="en-AU"/>
        </w:rPr>
        <w:t>After a period of limited drilling and seismic acquisition, Beach Petroleum discovered gas in North Paaratte-1 in 1980, only 3 km NE of Port Campbell -1 which had</w:t>
      </w:r>
      <w:r>
        <w:rPr>
          <w:lang w:val="en-US" w:eastAsia="en-AU"/>
        </w:rPr>
        <w:t xml:space="preserve"> been drilled 20 years before. </w:t>
      </w:r>
      <w:r w:rsidRPr="00262AA9">
        <w:rPr>
          <w:lang w:val="en-US" w:eastAsia="en-AU"/>
        </w:rPr>
        <w:t>Encouraged by the gas find, onshore permits were taken out offshore b</w:t>
      </w:r>
      <w:r>
        <w:rPr>
          <w:lang w:val="en-US" w:eastAsia="en-AU"/>
        </w:rPr>
        <w:t xml:space="preserve">y Esso, Phillips and Ultramar. </w:t>
      </w:r>
      <w:r w:rsidRPr="00262AA9">
        <w:rPr>
          <w:lang w:val="en-US" w:eastAsia="en-AU"/>
        </w:rPr>
        <w:t>More small onshore gas discoveries were later made by Beach Petroleum in 1981 at</w:t>
      </w:r>
      <w:r w:rsidR="00384606">
        <w:rPr>
          <w:lang w:val="en-US" w:eastAsia="en-AU"/>
        </w:rPr>
        <w:t xml:space="preserve"> Grumby-1 and Wallaby Creek-1.</w:t>
      </w:r>
    </w:p>
    <w:p w14:paraId="0B2A9E49" w14:textId="2E29811B" w:rsidR="00384606" w:rsidRDefault="00F1059D" w:rsidP="00384606">
      <w:pPr>
        <w:pStyle w:val="bodyCopy"/>
        <w:rPr>
          <w:rFonts w:eastAsiaTheme="minorHAnsi"/>
        </w:rPr>
      </w:pPr>
      <w:r>
        <w:rPr>
          <w:lang w:val="en-US" w:eastAsia="en-AU"/>
        </w:rPr>
        <w:t>In 1986</w:t>
      </w:r>
      <w:r w:rsidR="00262AA9" w:rsidRPr="00262AA9">
        <w:rPr>
          <w:lang w:val="en-US" w:eastAsia="en-AU"/>
        </w:rPr>
        <w:t>, gas fields in the Port Campbell area went into production, supplying the regional centres of Port</w:t>
      </w:r>
      <w:r w:rsidR="00262AA9">
        <w:rPr>
          <w:lang w:val="en-US" w:eastAsia="en-AU"/>
        </w:rPr>
        <w:t xml:space="preserve">land and Warrnambool with gas. </w:t>
      </w:r>
      <w:r w:rsidR="00384606">
        <w:rPr>
          <w:rFonts w:eastAsiaTheme="minorHAnsi"/>
        </w:rPr>
        <w:t>For 20 years between 1986 and 2006, two facilities, North Paaratte and Heytesbury</w:t>
      </w:r>
      <w:r w:rsidR="00BA319F">
        <w:rPr>
          <w:rFonts w:eastAsiaTheme="minorHAnsi"/>
        </w:rPr>
        <w:t>,</w:t>
      </w:r>
      <w:r w:rsidR="00384606">
        <w:rPr>
          <w:rFonts w:eastAsiaTheme="minorHAnsi"/>
        </w:rPr>
        <w:t xml:space="preserve"> processed gas from the onshore fields, until the fields were largely depleted and production ceased.</w:t>
      </w:r>
    </w:p>
    <w:p w14:paraId="7D070C3D" w14:textId="52493D1B" w:rsidR="00262AA9" w:rsidRPr="00262AA9" w:rsidRDefault="00262AA9" w:rsidP="00262AA9">
      <w:pPr>
        <w:pStyle w:val="bodyCopy"/>
        <w:rPr>
          <w:lang w:val="en-US" w:eastAsia="en-AU"/>
        </w:rPr>
      </w:pPr>
      <w:r w:rsidRPr="00262AA9">
        <w:rPr>
          <w:lang w:val="en-US" w:eastAsia="en-AU"/>
        </w:rPr>
        <w:t>BHPP took out three permits in the offshore area and drilled two discovery wells, Minerva-1 in 1993</w:t>
      </w:r>
      <w:r w:rsidR="00BA319F">
        <w:rPr>
          <w:lang w:val="en-US" w:eastAsia="en-AU"/>
        </w:rPr>
        <w:t xml:space="preserve"> and</w:t>
      </w:r>
      <w:r w:rsidRPr="00262AA9">
        <w:rPr>
          <w:lang w:val="en-US" w:eastAsia="en-AU"/>
        </w:rPr>
        <w:t xml:space="preserve"> La Bella-1 in 1</w:t>
      </w:r>
      <w:r>
        <w:rPr>
          <w:lang w:val="en-US" w:eastAsia="en-AU"/>
        </w:rPr>
        <w:t xml:space="preserve">994, as well as two dry wells. </w:t>
      </w:r>
      <w:r w:rsidRPr="00262AA9">
        <w:rPr>
          <w:lang w:val="en-US" w:eastAsia="en-AU"/>
        </w:rPr>
        <w:t>After drilling an additional three wells</w:t>
      </w:r>
      <w:r>
        <w:rPr>
          <w:lang w:val="en-US" w:eastAsia="en-AU"/>
        </w:rPr>
        <w:t>,</w:t>
      </w:r>
      <w:r w:rsidRPr="00262AA9">
        <w:rPr>
          <w:lang w:val="en-US" w:eastAsia="en-AU"/>
        </w:rPr>
        <w:t xml:space="preserve"> which recorded a few gas shows, BHPP relinquished the permits in 1997-98</w:t>
      </w:r>
      <w:r>
        <w:rPr>
          <w:lang w:val="en-US" w:eastAsia="en-AU"/>
        </w:rPr>
        <w:t>, retaining only the</w:t>
      </w:r>
      <w:r w:rsidRPr="00262AA9">
        <w:rPr>
          <w:lang w:val="en-US" w:eastAsia="en-AU"/>
        </w:rPr>
        <w:t xml:space="preserve"> Minerva and La Bella fields.</w:t>
      </w:r>
    </w:p>
    <w:p w14:paraId="126D896F" w14:textId="5EBA06A1" w:rsidR="00262AA9" w:rsidRPr="00262AA9" w:rsidRDefault="00262AA9" w:rsidP="00262AA9">
      <w:pPr>
        <w:pStyle w:val="bodyCopy"/>
        <w:rPr>
          <w:lang w:val="en-US" w:eastAsia="en-AU"/>
        </w:rPr>
      </w:pPr>
      <w:r w:rsidRPr="00262AA9">
        <w:rPr>
          <w:lang w:val="en-US" w:eastAsia="en-AU"/>
        </w:rPr>
        <w:t>In 1999</w:t>
      </w:r>
      <w:r w:rsidR="00BA319F">
        <w:rPr>
          <w:lang w:val="en-US" w:eastAsia="en-AU"/>
        </w:rPr>
        <w:t>,</w:t>
      </w:r>
      <w:r w:rsidRPr="00262AA9">
        <w:rPr>
          <w:lang w:val="en-US" w:eastAsia="en-AU"/>
        </w:rPr>
        <w:t xml:space="preserve"> a gas pipeline was completed between the Port Campbell onshore fields and Lara to link to t</w:t>
      </w:r>
      <w:r>
        <w:rPr>
          <w:lang w:val="en-US" w:eastAsia="en-AU"/>
        </w:rPr>
        <w:t xml:space="preserve">he Victorian pipeline network. </w:t>
      </w:r>
      <w:r w:rsidRPr="00262AA9">
        <w:rPr>
          <w:lang w:val="en-US" w:eastAsia="en-AU"/>
        </w:rPr>
        <w:t xml:space="preserve">The construction of this pipeline </w:t>
      </w:r>
      <w:r w:rsidR="00463658">
        <w:rPr>
          <w:lang w:val="en-US" w:eastAsia="en-AU"/>
        </w:rPr>
        <w:t>(</w:t>
      </w:r>
      <w:r w:rsidRPr="00262AA9">
        <w:rPr>
          <w:lang w:val="en-US" w:eastAsia="en-AU"/>
        </w:rPr>
        <w:t>and the deregulation and privatisation of the Victorian gas industry</w:t>
      </w:r>
      <w:r w:rsidR="00463658">
        <w:rPr>
          <w:lang w:val="en-US" w:eastAsia="en-AU"/>
        </w:rPr>
        <w:t>)</w:t>
      </w:r>
      <w:r w:rsidRPr="00262AA9">
        <w:rPr>
          <w:lang w:val="en-US" w:eastAsia="en-AU"/>
        </w:rPr>
        <w:t xml:space="preserve"> provided for the development of Australia's first commercial underground gas storage facilit</w:t>
      </w:r>
      <w:r>
        <w:rPr>
          <w:lang w:val="en-US" w:eastAsia="en-AU"/>
        </w:rPr>
        <w:t xml:space="preserve">y at Iona, near Port Campbell. </w:t>
      </w:r>
      <w:r w:rsidRPr="00262AA9">
        <w:rPr>
          <w:lang w:val="en-US" w:eastAsia="en-AU"/>
        </w:rPr>
        <w:t>Completion of the pipeline also facilitated the development of the Minerva gas field with first gas in January 2005 and other smal</w:t>
      </w:r>
      <w:r w:rsidR="00F1059D">
        <w:rPr>
          <w:lang w:val="en-US" w:eastAsia="en-AU"/>
        </w:rPr>
        <w:t xml:space="preserve">ler fields connected over time. </w:t>
      </w:r>
      <w:r w:rsidRPr="00262AA9">
        <w:rPr>
          <w:lang w:val="en-US" w:eastAsia="en-AU"/>
        </w:rPr>
        <w:t>It also encouraged further exploration and development with Woodside Petroleum discovering the Thylacine/Geographe offshore gas fields in 1999/2000 and producing first gas in September 2007</w:t>
      </w:r>
      <w:r w:rsidR="00384606">
        <w:rPr>
          <w:rFonts w:eastAsiaTheme="minorHAnsi"/>
        </w:rPr>
        <w:t>. Gas was processed through the Woodside operated Otway Gas Plant</w:t>
      </w:r>
      <w:r w:rsidRPr="00262AA9">
        <w:rPr>
          <w:lang w:val="en-US" w:eastAsia="en-AU"/>
        </w:rPr>
        <w:t>.</w:t>
      </w:r>
      <w:r w:rsidR="00384606">
        <w:rPr>
          <w:lang w:val="en-US" w:eastAsia="en-AU"/>
        </w:rPr>
        <w:t xml:space="preserve"> The same plant still services those fields today but is owned by Beach Energy.</w:t>
      </w:r>
    </w:p>
    <w:p w14:paraId="0F3E11D0" w14:textId="219D35D1" w:rsidR="0067577D" w:rsidRDefault="00E85492" w:rsidP="00F1059D">
      <w:pPr>
        <w:pStyle w:val="bodyCopy"/>
        <w:rPr>
          <w:lang w:val="en-US" w:eastAsia="en-AU"/>
        </w:rPr>
      </w:pPr>
      <w:r>
        <w:rPr>
          <w:lang w:val="en-US" w:eastAsia="en-AU"/>
        </w:rPr>
        <w:t xml:space="preserve">In 2005, Halladale-1 was the first well to be drilled in Victorian State Waters in the Otway Basin. </w:t>
      </w:r>
      <w:r w:rsidR="00C0497B">
        <w:rPr>
          <w:lang w:val="en-US" w:eastAsia="en-AU"/>
        </w:rPr>
        <w:t xml:space="preserve">Halladale-1 was a vertical well with three side tracks, designed to test two structures mapped from the Antares 3D seismic. The Halladale gas field, </w:t>
      </w:r>
      <w:r w:rsidR="00F1059D" w:rsidRPr="00262AA9">
        <w:rPr>
          <w:lang w:val="en-US" w:eastAsia="en-AU"/>
        </w:rPr>
        <w:t>discovered by Origin Energy</w:t>
      </w:r>
      <w:r w:rsidR="00C0497B">
        <w:rPr>
          <w:lang w:val="en-US" w:eastAsia="en-AU"/>
        </w:rPr>
        <w:t xml:space="preserve">, </w:t>
      </w:r>
      <w:r w:rsidR="00F1059D" w:rsidRPr="00262AA9">
        <w:rPr>
          <w:lang w:val="en-US" w:eastAsia="en-AU"/>
        </w:rPr>
        <w:t xml:space="preserve">lies about five </w:t>
      </w:r>
      <w:r w:rsidR="00463658">
        <w:rPr>
          <w:lang w:val="en-US" w:eastAsia="en-AU"/>
        </w:rPr>
        <w:t>km</w:t>
      </w:r>
      <w:r w:rsidR="00F1059D" w:rsidRPr="00262AA9">
        <w:rPr>
          <w:lang w:val="en-US" w:eastAsia="en-AU"/>
        </w:rPr>
        <w:t xml:space="preserve"> offshore</w:t>
      </w:r>
      <w:r w:rsidR="00F1059D">
        <w:rPr>
          <w:lang w:val="en-US" w:eastAsia="en-AU"/>
        </w:rPr>
        <w:t>.</w:t>
      </w:r>
    </w:p>
    <w:p w14:paraId="5B3E0BAA" w14:textId="77777777" w:rsidR="00C0497B" w:rsidRDefault="00E85492" w:rsidP="00E85492">
      <w:r>
        <w:t>Between September 2014 and June 2015, Origin Energy undertook a three-well drilling campaign from an onshore well pad located on the coast near Peterborough.</w:t>
      </w:r>
      <w:r w:rsidR="00C0497B">
        <w:t xml:space="preserve"> E</w:t>
      </w:r>
      <w:r>
        <w:t>xtended-reach wells were drilled to evaluate the Speculant and Halladale prospects located offshore in Victorian State Waters</w:t>
      </w:r>
      <w:r w:rsidR="00C0497B">
        <w:t>.</w:t>
      </w:r>
    </w:p>
    <w:p w14:paraId="76524DF3" w14:textId="6669D4CC" w:rsidR="00E85492" w:rsidRDefault="00E85492" w:rsidP="00E85492">
      <w:r>
        <w:t>The Halladale and Speculant gas fields were brought into production in August 2016, boosting production at the Otway Gas Plant by 80 T</w:t>
      </w:r>
      <w:r w:rsidR="00384606">
        <w:t xml:space="preserve">J/d. </w:t>
      </w:r>
      <w:r>
        <w:t>Origin Energy’s June 2017 reserves report showed that the project had 2P gas reserves of 37 PJ</w:t>
      </w:r>
      <w:r w:rsidR="00384606">
        <w:t xml:space="preserve">. </w:t>
      </w:r>
      <w:r>
        <w:t>Contingent (2C) gas resources in the project area were estimated to be 29 PJ.</w:t>
      </w:r>
      <w:r w:rsidR="00C0497B">
        <w:t xml:space="preserve"> </w:t>
      </w:r>
      <w:r w:rsidR="00AF2F98">
        <w:t>(Origin Energy, 2017)</w:t>
      </w:r>
      <w:r w:rsidR="00173510">
        <w:t>.</w:t>
      </w:r>
    </w:p>
    <w:p w14:paraId="4E855146" w14:textId="77777777" w:rsidR="00E85492" w:rsidRDefault="00384606" w:rsidP="00F1059D">
      <w:pPr>
        <w:pStyle w:val="bodyCopy"/>
        <w:rPr>
          <w:rFonts w:eastAsiaTheme="minorHAnsi"/>
        </w:rPr>
      </w:pPr>
      <w:r>
        <w:rPr>
          <w:rFonts w:eastAsiaTheme="minorHAnsi"/>
        </w:rPr>
        <w:lastRenderedPageBreak/>
        <w:t>Onshore, in the Port Campbell Embayment, gas remains in place in the Grumby and Langley fields due to the high CO</w:t>
      </w:r>
      <w:r>
        <w:rPr>
          <w:rFonts w:eastAsiaTheme="minorHAnsi"/>
          <w:sz w:val="12"/>
          <w:szCs w:val="12"/>
        </w:rPr>
        <w:t>2</w:t>
      </w:r>
      <w:r>
        <w:rPr>
          <w:rFonts w:eastAsiaTheme="minorHAnsi"/>
        </w:rPr>
        <w:t xml:space="preserve"> content – 53% and 66% respectively (Woollands &amp; Wong, 2001); whilst methane remains in place in the Lavers Field. Current onshore activities comprise gas storage at the Iona Gas Plant and minor CO</w:t>
      </w:r>
      <w:r>
        <w:rPr>
          <w:rFonts w:eastAsiaTheme="minorHAnsi"/>
          <w:sz w:val="12"/>
          <w:szCs w:val="12"/>
        </w:rPr>
        <w:t>2</w:t>
      </w:r>
      <w:r>
        <w:rPr>
          <w:rFonts w:eastAsiaTheme="minorHAnsi"/>
        </w:rPr>
        <w:t xml:space="preserve"> production at Boggy Creek.</w:t>
      </w:r>
    </w:p>
    <w:p w14:paraId="16A2D575" w14:textId="2135C3C6" w:rsidR="001B4BAE" w:rsidRPr="00384606" w:rsidRDefault="00E25900" w:rsidP="00F1059D">
      <w:pPr>
        <w:pStyle w:val="bodyCopy"/>
        <w:rPr>
          <w:rFonts w:eastAsiaTheme="minorHAnsi"/>
        </w:rPr>
      </w:pPr>
      <w:r>
        <w:rPr>
          <w:lang w:val="en-GB" w:eastAsia="en-GB"/>
        </w:rPr>
        <w:t xml:space="preserve">In addition, </w:t>
      </w:r>
      <w:r w:rsidRPr="001E0497">
        <w:rPr>
          <w:lang w:val="en-GB" w:eastAsia="en-GB"/>
        </w:rPr>
        <w:t>O’Brien</w:t>
      </w:r>
      <w:r>
        <w:rPr>
          <w:lang w:val="en-GB" w:eastAsia="en-GB"/>
        </w:rPr>
        <w:t xml:space="preserve"> </w:t>
      </w:r>
      <w:r w:rsidRPr="001E0497">
        <w:rPr>
          <w:lang w:val="en-GB" w:eastAsia="en-GB"/>
        </w:rPr>
        <w:t>&amp;</w:t>
      </w:r>
      <w:r>
        <w:rPr>
          <w:lang w:val="en-GB" w:eastAsia="en-GB"/>
        </w:rPr>
        <w:t xml:space="preserve"> </w:t>
      </w:r>
      <w:r w:rsidRPr="001E0497">
        <w:rPr>
          <w:lang w:val="en-GB" w:eastAsia="en-GB"/>
        </w:rPr>
        <w:t>Thomas</w:t>
      </w:r>
      <w:r>
        <w:rPr>
          <w:lang w:val="en-GB" w:eastAsia="en-GB"/>
        </w:rPr>
        <w:t xml:space="preserve"> </w:t>
      </w:r>
      <w:r w:rsidRPr="001E0497">
        <w:rPr>
          <w:lang w:val="en-GB" w:eastAsia="en-GB"/>
        </w:rPr>
        <w:t>(2007)</w:t>
      </w:r>
      <w:r>
        <w:rPr>
          <w:lang w:val="en-GB" w:eastAsia="en-GB"/>
        </w:rPr>
        <w:t xml:space="preserve"> </w:t>
      </w:r>
      <w:r w:rsidRPr="001E0497">
        <w:rPr>
          <w:lang w:val="en-GB" w:eastAsia="en-GB"/>
        </w:rPr>
        <w:t>estimated</w:t>
      </w:r>
      <w:r>
        <w:rPr>
          <w:lang w:val="en-GB" w:eastAsia="en-GB"/>
        </w:rPr>
        <w:t xml:space="preserve"> </w:t>
      </w:r>
      <w:r w:rsidRPr="001E0497">
        <w:rPr>
          <w:lang w:val="en-GB" w:eastAsia="en-GB"/>
        </w:rPr>
        <w:t>that</w:t>
      </w:r>
      <w:r>
        <w:rPr>
          <w:lang w:val="en-GB" w:eastAsia="en-GB"/>
        </w:rPr>
        <w:t xml:space="preserve"> </w:t>
      </w:r>
      <w:r w:rsidRPr="001E0497">
        <w:rPr>
          <w:lang w:val="en-GB" w:eastAsia="en-GB"/>
        </w:rPr>
        <w:t>the</w:t>
      </w:r>
      <w:r>
        <w:rPr>
          <w:lang w:val="en-GB" w:eastAsia="en-GB"/>
        </w:rPr>
        <w:t xml:space="preserve"> </w:t>
      </w:r>
      <w:r w:rsidRPr="001E0497">
        <w:rPr>
          <w:lang w:val="en-GB" w:eastAsia="en-GB"/>
        </w:rPr>
        <w:t>Victorian</w:t>
      </w:r>
      <w:r>
        <w:rPr>
          <w:lang w:val="en-GB" w:eastAsia="en-GB"/>
        </w:rPr>
        <w:t xml:space="preserve"> </w:t>
      </w:r>
      <w:r w:rsidRPr="001E0497">
        <w:rPr>
          <w:lang w:val="en-GB" w:eastAsia="en-GB"/>
        </w:rPr>
        <w:t>Otway</w:t>
      </w:r>
      <w:r>
        <w:rPr>
          <w:lang w:val="en-GB" w:eastAsia="en-GB"/>
        </w:rPr>
        <w:t xml:space="preserve"> </w:t>
      </w:r>
      <w:r w:rsidRPr="001E0497">
        <w:rPr>
          <w:lang w:val="en-GB" w:eastAsia="en-GB"/>
        </w:rPr>
        <w:t>Basin</w:t>
      </w:r>
      <w:r>
        <w:rPr>
          <w:lang w:val="en-GB" w:eastAsia="en-GB"/>
        </w:rPr>
        <w:t xml:space="preserve"> </w:t>
      </w:r>
      <w:r w:rsidRPr="001E0497">
        <w:rPr>
          <w:lang w:val="en-GB" w:eastAsia="en-GB"/>
        </w:rPr>
        <w:t>could</w:t>
      </w:r>
      <w:r>
        <w:rPr>
          <w:lang w:val="en-GB" w:eastAsia="en-GB"/>
        </w:rPr>
        <w:t xml:space="preserve"> </w:t>
      </w:r>
      <w:r w:rsidRPr="001E0497">
        <w:rPr>
          <w:lang w:val="en-GB" w:eastAsia="en-GB"/>
        </w:rPr>
        <w:t>contain</w:t>
      </w:r>
      <w:r>
        <w:rPr>
          <w:lang w:val="en-GB" w:eastAsia="en-GB"/>
        </w:rPr>
        <w:t xml:space="preserve"> </w:t>
      </w:r>
      <w:r w:rsidRPr="001E0497">
        <w:rPr>
          <w:lang w:val="en-GB" w:eastAsia="en-GB"/>
        </w:rPr>
        <w:t>between</w:t>
      </w:r>
      <w:r>
        <w:rPr>
          <w:lang w:val="en-GB" w:eastAsia="en-GB"/>
        </w:rPr>
        <w:t xml:space="preserve"> </w:t>
      </w:r>
      <w:r w:rsidRPr="001E0497">
        <w:rPr>
          <w:lang w:val="en-GB" w:eastAsia="en-GB"/>
        </w:rPr>
        <w:t>1.8</w:t>
      </w:r>
      <w:r>
        <w:rPr>
          <w:lang w:val="en-GB" w:eastAsia="en-GB"/>
        </w:rPr>
        <w:t xml:space="preserve"> </w:t>
      </w:r>
      <w:r w:rsidRPr="001E0497">
        <w:rPr>
          <w:lang w:val="en-GB" w:eastAsia="en-GB"/>
        </w:rPr>
        <w:t>and</w:t>
      </w:r>
      <w:r>
        <w:rPr>
          <w:lang w:val="en-GB" w:eastAsia="en-GB"/>
        </w:rPr>
        <w:t xml:space="preserve"> </w:t>
      </w:r>
      <w:r w:rsidRPr="001E0497">
        <w:rPr>
          <w:lang w:val="en-GB" w:eastAsia="en-GB"/>
        </w:rPr>
        <w:t>3.6</w:t>
      </w:r>
      <w:r>
        <w:rPr>
          <w:lang w:val="en-GB" w:eastAsia="en-GB"/>
        </w:rPr>
        <w:t xml:space="preserve"> </w:t>
      </w:r>
      <w:r w:rsidRPr="001E0497">
        <w:rPr>
          <w:lang w:val="en-GB" w:eastAsia="en-GB"/>
        </w:rPr>
        <w:t>trillion</w:t>
      </w:r>
      <w:r>
        <w:rPr>
          <w:lang w:val="en-GB" w:eastAsia="en-GB"/>
        </w:rPr>
        <w:t xml:space="preserve"> </w:t>
      </w:r>
      <w:r w:rsidRPr="001E0497">
        <w:rPr>
          <w:lang w:val="en-GB" w:eastAsia="en-GB"/>
        </w:rPr>
        <w:t>cubic</w:t>
      </w:r>
      <w:r>
        <w:rPr>
          <w:lang w:val="en-GB" w:eastAsia="en-GB"/>
        </w:rPr>
        <w:t xml:space="preserve"> </w:t>
      </w:r>
      <w:r w:rsidRPr="001E0497">
        <w:rPr>
          <w:lang w:val="en-GB" w:eastAsia="en-GB"/>
        </w:rPr>
        <w:t>feet</w:t>
      </w:r>
      <w:r>
        <w:rPr>
          <w:lang w:val="en-GB" w:eastAsia="en-GB"/>
        </w:rPr>
        <w:t xml:space="preserve"> </w:t>
      </w:r>
      <w:r w:rsidRPr="001E0497">
        <w:rPr>
          <w:lang w:val="en-GB" w:eastAsia="en-GB"/>
        </w:rPr>
        <w:t>of</w:t>
      </w:r>
      <w:r>
        <w:rPr>
          <w:lang w:val="en-GB" w:eastAsia="en-GB"/>
        </w:rPr>
        <w:t xml:space="preserve"> </w:t>
      </w:r>
      <w:r w:rsidRPr="001E0497">
        <w:rPr>
          <w:lang w:val="en-GB" w:eastAsia="en-GB"/>
        </w:rPr>
        <w:t>undiscovered</w:t>
      </w:r>
      <w:r>
        <w:rPr>
          <w:lang w:val="en-GB" w:eastAsia="en-GB"/>
        </w:rPr>
        <w:t xml:space="preserve"> </w:t>
      </w:r>
      <w:r w:rsidRPr="001E0497">
        <w:rPr>
          <w:lang w:val="en-GB" w:eastAsia="en-GB"/>
        </w:rPr>
        <w:t>conventional</w:t>
      </w:r>
      <w:r>
        <w:rPr>
          <w:lang w:val="en-GB" w:eastAsia="en-GB"/>
        </w:rPr>
        <w:t xml:space="preserve"> </w:t>
      </w:r>
      <w:r w:rsidRPr="001E0497">
        <w:rPr>
          <w:lang w:val="en-GB" w:eastAsia="en-GB"/>
        </w:rPr>
        <w:t>gas,</w:t>
      </w:r>
      <w:r>
        <w:rPr>
          <w:lang w:val="en-GB" w:eastAsia="en-GB"/>
        </w:rPr>
        <w:t xml:space="preserve"> although this </w:t>
      </w:r>
      <w:r w:rsidRPr="001E0497">
        <w:rPr>
          <w:lang w:val="en-GB" w:eastAsia="en-GB"/>
        </w:rPr>
        <w:t>calculation</w:t>
      </w:r>
      <w:r>
        <w:rPr>
          <w:lang w:val="en-GB" w:eastAsia="en-GB"/>
        </w:rPr>
        <w:t xml:space="preserve"> </w:t>
      </w:r>
      <w:r w:rsidRPr="001E0497">
        <w:rPr>
          <w:lang w:val="en-GB" w:eastAsia="en-GB"/>
        </w:rPr>
        <w:t>included</w:t>
      </w:r>
      <w:r>
        <w:rPr>
          <w:lang w:val="en-GB" w:eastAsia="en-GB"/>
        </w:rPr>
        <w:t xml:space="preserve"> </w:t>
      </w:r>
      <w:r w:rsidRPr="001E0497">
        <w:rPr>
          <w:lang w:val="en-GB" w:eastAsia="en-GB"/>
        </w:rPr>
        <w:t>both</w:t>
      </w:r>
      <w:r>
        <w:rPr>
          <w:lang w:val="en-GB" w:eastAsia="en-GB"/>
        </w:rPr>
        <w:t xml:space="preserve"> </w:t>
      </w:r>
      <w:r w:rsidRPr="001E0497">
        <w:rPr>
          <w:lang w:val="en-GB" w:eastAsia="en-GB"/>
        </w:rPr>
        <w:t>onshore</w:t>
      </w:r>
      <w:r>
        <w:rPr>
          <w:lang w:val="en-GB" w:eastAsia="en-GB"/>
        </w:rPr>
        <w:t xml:space="preserve"> </w:t>
      </w:r>
      <w:r w:rsidRPr="001E0497">
        <w:rPr>
          <w:lang w:val="en-GB" w:eastAsia="en-GB"/>
        </w:rPr>
        <w:t>and</w:t>
      </w:r>
      <w:r>
        <w:rPr>
          <w:lang w:val="en-GB" w:eastAsia="en-GB"/>
        </w:rPr>
        <w:t xml:space="preserve"> </w:t>
      </w:r>
      <w:r w:rsidRPr="001E0497">
        <w:rPr>
          <w:lang w:val="en-GB" w:eastAsia="en-GB"/>
        </w:rPr>
        <w:t>offshore</w:t>
      </w:r>
      <w:r>
        <w:rPr>
          <w:lang w:val="en-GB" w:eastAsia="en-GB"/>
        </w:rPr>
        <w:t xml:space="preserve"> </w:t>
      </w:r>
      <w:r w:rsidRPr="001E0497">
        <w:rPr>
          <w:lang w:val="en-GB" w:eastAsia="en-GB"/>
        </w:rPr>
        <w:t>areas</w:t>
      </w:r>
      <w:r>
        <w:rPr>
          <w:lang w:val="en-GB" w:eastAsia="en-GB"/>
        </w:rPr>
        <w:t xml:space="preserve"> </w:t>
      </w:r>
      <w:r w:rsidRPr="001E0497">
        <w:rPr>
          <w:lang w:val="en-GB" w:eastAsia="en-GB"/>
        </w:rPr>
        <w:t>in</w:t>
      </w:r>
      <w:r>
        <w:rPr>
          <w:lang w:val="en-GB" w:eastAsia="en-GB"/>
        </w:rPr>
        <w:t xml:space="preserve"> </w:t>
      </w:r>
      <w:r w:rsidRPr="001E0497">
        <w:rPr>
          <w:lang w:val="en-GB" w:eastAsia="en-GB"/>
        </w:rPr>
        <w:t>State</w:t>
      </w:r>
      <w:r>
        <w:rPr>
          <w:lang w:val="en-GB" w:eastAsia="en-GB"/>
        </w:rPr>
        <w:t xml:space="preserve"> </w:t>
      </w:r>
      <w:r w:rsidRPr="001E0497">
        <w:rPr>
          <w:lang w:val="en-GB" w:eastAsia="en-GB"/>
        </w:rPr>
        <w:t>and</w:t>
      </w:r>
      <w:r>
        <w:rPr>
          <w:lang w:val="en-GB" w:eastAsia="en-GB"/>
        </w:rPr>
        <w:t xml:space="preserve"> </w:t>
      </w:r>
      <w:r w:rsidRPr="001E0497">
        <w:rPr>
          <w:lang w:val="en-GB" w:eastAsia="en-GB"/>
        </w:rPr>
        <w:t>Commonwealth</w:t>
      </w:r>
      <w:r>
        <w:rPr>
          <w:lang w:val="en-GB" w:eastAsia="en-GB"/>
        </w:rPr>
        <w:t xml:space="preserve"> </w:t>
      </w:r>
      <w:r w:rsidRPr="001E0497">
        <w:rPr>
          <w:lang w:val="en-GB" w:eastAsia="en-GB"/>
        </w:rPr>
        <w:t>waters.</w:t>
      </w:r>
    </w:p>
    <w:p w14:paraId="6B8BB6C7" w14:textId="77777777" w:rsidR="00855AB3" w:rsidRDefault="00855AB3">
      <w:pPr>
        <w:spacing w:before="0" w:after="200"/>
        <w:rPr>
          <w:rFonts w:eastAsiaTheme="minorHAnsi"/>
          <w:highlight w:val="yellow"/>
        </w:rPr>
      </w:pPr>
      <w:r>
        <w:rPr>
          <w:rFonts w:eastAsiaTheme="minorHAnsi"/>
          <w:highlight w:val="yellow"/>
        </w:rPr>
        <w:br w:type="page"/>
      </w:r>
    </w:p>
    <w:p w14:paraId="69EFF404" w14:textId="77777777" w:rsidR="00855AB3" w:rsidRDefault="00855AB3" w:rsidP="00855AB3">
      <w:pPr>
        <w:pStyle w:val="Heading1"/>
        <w:rPr>
          <w:rFonts w:eastAsiaTheme="minorHAnsi"/>
        </w:rPr>
      </w:pPr>
      <w:bookmarkStart w:id="19" w:name="_Toc513813343"/>
      <w:r>
        <w:rPr>
          <w:rFonts w:eastAsiaTheme="minorHAnsi"/>
        </w:rPr>
        <w:lastRenderedPageBreak/>
        <w:t>Acreage release areas</w:t>
      </w:r>
      <w:bookmarkEnd w:id="19"/>
    </w:p>
    <w:p w14:paraId="357123E2" w14:textId="77777777" w:rsidR="00855AB3" w:rsidRDefault="00855AB3" w:rsidP="00855AB3">
      <w:pPr>
        <w:pStyle w:val="Heading2"/>
      </w:pPr>
      <w:bookmarkStart w:id="20" w:name="_Toc513813344"/>
      <w:r>
        <w:t>18-1(v)</w:t>
      </w:r>
      <w:bookmarkEnd w:id="20"/>
    </w:p>
    <w:p w14:paraId="507A5431" w14:textId="6924984D" w:rsidR="00855AB3" w:rsidRDefault="00855AB3" w:rsidP="00855AB3">
      <w:pPr>
        <w:pStyle w:val="bodyCopy"/>
      </w:pPr>
      <w:bookmarkStart w:id="21" w:name="_Hlk512588555"/>
      <w:r>
        <w:t xml:space="preserve">Block 18-1(v) </w:t>
      </w:r>
      <w:r w:rsidR="00AF2F98">
        <w:t>contains parts of</w:t>
      </w:r>
      <w:r>
        <w:t xml:space="preserve"> 12 graticular blocks and covers an area of 25</w:t>
      </w:r>
      <w:r w:rsidR="003044FE">
        <w:t>8</w:t>
      </w:r>
      <w:r>
        <w:t xml:space="preserve"> km</w:t>
      </w:r>
      <w:r w:rsidRPr="00853FDD">
        <w:rPr>
          <w:vertAlign w:val="superscript"/>
        </w:rPr>
        <w:t>2</w:t>
      </w:r>
      <w:r w:rsidR="00611DE3">
        <w:rPr>
          <w:vertAlign w:val="superscript"/>
        </w:rPr>
        <w:t xml:space="preserve"> </w:t>
      </w:r>
      <w:r w:rsidR="00611DE3">
        <w:t>(Figure 4)</w:t>
      </w:r>
      <w:r>
        <w:t xml:space="preserve">. The acreage release area lies approximately 350 </w:t>
      </w:r>
      <w:r w:rsidR="00463658">
        <w:t xml:space="preserve">km </w:t>
      </w:r>
      <w:r>
        <w:t>WSW of Melbourne and the port city of Portland is located 20 km to the east.</w:t>
      </w:r>
    </w:p>
    <w:p w14:paraId="7FFCB363" w14:textId="12324EE9" w:rsidR="009B1FC1" w:rsidRDefault="00855AB3" w:rsidP="00855AB3">
      <w:pPr>
        <w:pStyle w:val="bodyCopy"/>
      </w:pPr>
      <w:r>
        <w:t xml:space="preserve">Block 18-1(v) is located </w:t>
      </w:r>
      <w:r w:rsidR="009B1FC1">
        <w:t xml:space="preserve">to the south of the </w:t>
      </w:r>
      <w:r w:rsidR="00BA1278">
        <w:t>Mussel-</w:t>
      </w:r>
      <w:r w:rsidR="009B1FC1">
        <w:t>Tart</w:t>
      </w:r>
      <w:r w:rsidR="00BA1278">
        <w:t xml:space="preserve">waup Fault zone </w:t>
      </w:r>
      <w:r>
        <w:t>over the early Tertiary depocentre of the Portland Trough and underlying Late Cretaceous Voluta Trough. Although no wells have been drilled in 18-1(v), nearby petroleum exploration wells include Fermat-1, Normamby-1 and Discovery Bay-1</w:t>
      </w:r>
      <w:r w:rsidR="00AF2F98" w:rsidRPr="00AF2F98">
        <w:t xml:space="preserve"> </w:t>
      </w:r>
      <w:r w:rsidR="00AF2F98">
        <w:t>in offshore Commonwealth Waters</w:t>
      </w:r>
      <w:r>
        <w:t xml:space="preserve">. Onshore, geological control is provided by wells such as Glenelg-1 (aka Nelson Bore) and </w:t>
      </w:r>
      <w:r w:rsidR="00AF2F98">
        <w:t xml:space="preserve">deep </w:t>
      </w:r>
      <w:r>
        <w:t xml:space="preserve">groundwater bores </w:t>
      </w:r>
      <w:r w:rsidR="00AF2F98">
        <w:t>including</w:t>
      </w:r>
      <w:r>
        <w:t xml:space="preserve"> Kentbruck-3, Mouzie-1 and Warrain-7</w:t>
      </w:r>
      <w:r w:rsidR="00AF2F98">
        <w:t>.</w:t>
      </w:r>
      <w:r>
        <w:t xml:space="preserve"> </w:t>
      </w:r>
      <w:r w:rsidR="00611DE3">
        <w:t>Although n</w:t>
      </w:r>
      <w:r w:rsidR="00AF2F98">
        <w:t xml:space="preserve">one of the onshore </w:t>
      </w:r>
      <w:r w:rsidR="009B1FC1">
        <w:t xml:space="preserve">wells </w:t>
      </w:r>
      <w:r w:rsidR="00AF2F98">
        <w:t xml:space="preserve">in the area adjacent to 18-1(v) </w:t>
      </w:r>
      <w:r w:rsidR="009B1FC1">
        <w:t>penetrate the base of the Sherbrook Group/top of the Otway Group</w:t>
      </w:r>
      <w:r>
        <w:t xml:space="preserve">. </w:t>
      </w:r>
      <w:r w:rsidR="009B1FC1">
        <w:t xml:space="preserve">Glenelg-1, drilled onshore close to the South Australian border was a dry hole but only reached the Paaratte Formation, with a total well depth of 2226 </w:t>
      </w:r>
      <w:r w:rsidR="00463658">
        <w:t>m</w:t>
      </w:r>
      <w:r w:rsidR="009B1FC1">
        <w:t xml:space="preserve">. </w:t>
      </w:r>
    </w:p>
    <w:p w14:paraId="1C7AEA22" w14:textId="3F2C6A85" w:rsidR="00D17BBF" w:rsidRDefault="00855AB3" w:rsidP="00855AB3">
      <w:pPr>
        <w:pStyle w:val="bodyCopy"/>
      </w:pPr>
      <w:r>
        <w:t>The two wells that are located closest to 18-1(v) offshore, Normanby-1</w:t>
      </w:r>
      <w:r w:rsidR="00291642">
        <w:t xml:space="preserve"> (1986)</w:t>
      </w:r>
      <w:r>
        <w:t xml:space="preserve"> and Fermat-1</w:t>
      </w:r>
      <w:r w:rsidR="00291642">
        <w:t xml:space="preserve"> </w:t>
      </w:r>
      <w:r w:rsidR="00D17BBF">
        <w:t>(2009)</w:t>
      </w:r>
      <w:r>
        <w:t xml:space="preserve">, both reached </w:t>
      </w:r>
      <w:r w:rsidR="00A24274">
        <w:t xml:space="preserve">and tested </w:t>
      </w:r>
      <w:r>
        <w:t xml:space="preserve">the Waarre Formation at total depths of 3308 and 3586 </w:t>
      </w:r>
      <w:r w:rsidR="00463658">
        <w:t>m</w:t>
      </w:r>
      <w:r>
        <w:t xml:space="preserve"> and reported a weak gas show and oil/gas shows respectively. </w:t>
      </w:r>
      <w:r w:rsidR="00291642">
        <w:t>Fermat-1 tested a stratigraphic trap on the Normanby High</w:t>
      </w:r>
      <w:r w:rsidR="009336BE">
        <w:t xml:space="preserve"> (Beach Petroleum, 2009)</w:t>
      </w:r>
      <w:r w:rsidR="00291642">
        <w:t xml:space="preserve">, whilst Normanby-1 tested a regional NW-SE trending closure. The Waarre Formation had good to moderate porosity in both wells (i.e. 11-19%), with 224 </w:t>
      </w:r>
      <w:r w:rsidR="00463658">
        <w:t>m</w:t>
      </w:r>
      <w:r w:rsidR="00291642">
        <w:t xml:space="preserve"> of the formation intersected in Normanby-1. </w:t>
      </w:r>
      <w:r w:rsidR="00D17BBF">
        <w:t xml:space="preserve">Fermat-1 MDT samples recovered water with minor associated gas. Subsequent geochemical analysis suggests that the fluorescence was from in situ generation at relatively low levels of thermal maturity (equivalent Ro of 0.64%). Minor gas shows and a small amount of gas from an RFT at 3178 </w:t>
      </w:r>
      <w:r w:rsidR="00463658">
        <w:t>m</w:t>
      </w:r>
      <w:r w:rsidR="00D17BBF">
        <w:t xml:space="preserve"> were recorded from Normanby-1</w:t>
      </w:r>
      <w:r w:rsidR="009336BE">
        <w:t xml:space="preserve"> (Templeton &amp; Peattie, 1986)</w:t>
      </w:r>
      <w:r w:rsidR="00D17BBF">
        <w:t>.</w:t>
      </w:r>
    </w:p>
    <w:p w14:paraId="3274D5EC" w14:textId="77777777" w:rsidR="00855AB3" w:rsidRDefault="00D17BBF" w:rsidP="00855AB3">
      <w:pPr>
        <w:pStyle w:val="bodyCopy"/>
      </w:pPr>
      <w:r>
        <w:t xml:space="preserve">Post well analysis for </w:t>
      </w:r>
      <w:r w:rsidR="00291642">
        <w:t xml:space="preserve">Fermat-1 </w:t>
      </w:r>
      <w:r>
        <w:t xml:space="preserve">concluded that a targeted AVO anomaly </w:t>
      </w:r>
      <w:r w:rsidR="002476B3">
        <w:t>was a</w:t>
      </w:r>
      <w:r w:rsidR="00291642">
        <w:t xml:space="preserve"> false positive for the presence of gas</w:t>
      </w:r>
      <w:r w:rsidR="002476B3">
        <w:t>,</w:t>
      </w:r>
      <w:r w:rsidR="00291642">
        <w:t xml:space="preserve"> </w:t>
      </w:r>
      <w:r w:rsidR="003F2584">
        <w:t xml:space="preserve">whereas </w:t>
      </w:r>
      <w:r w:rsidR="00725FF9">
        <w:t xml:space="preserve">failure in Normanby-1 was attributed to </w:t>
      </w:r>
      <w:r w:rsidR="00291642">
        <w:t>the absence of charge or possible cross-fault leakin</w:t>
      </w:r>
      <w:r w:rsidR="00B73C6F">
        <w:t>g at the crest of the structure.</w:t>
      </w:r>
      <w:bookmarkEnd w:id="21"/>
    </w:p>
    <w:p w14:paraId="473F81B8" w14:textId="77777777" w:rsidR="00855AB3" w:rsidRDefault="00273897" w:rsidP="00855AB3">
      <w:pPr>
        <w:pStyle w:val="bodyCopy"/>
      </w:pPr>
      <w:r>
        <w:rPr>
          <w:noProof/>
          <w:lang w:eastAsia="en-AU"/>
        </w:rPr>
        <w:drawing>
          <wp:inline distT="0" distB="0" distL="0" distR="0" wp14:anchorId="50EB4693" wp14:editId="13FD7CD3">
            <wp:extent cx="4314669" cy="3333750"/>
            <wp:effectExtent l="0" t="0" r="0" b="0"/>
            <wp:docPr id="10" name="Picture 10" descr="G:\ER\ERPP\GSV\Systems\Projects\2017_2018\gsv0108_Acreage_release_2018\output\maps\gsv0108_acreage_release_2018_GAZETTE_Colour_MAP1_02May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RPP\GSV\Systems\Projects\2017_2018\gsv0108_Acreage_release_2018\output\maps\gsv0108_acreage_release_2018_GAZETTE_Colour_MAP1_02May2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54" cy="3337910"/>
                    </a:xfrm>
                    <a:prstGeom prst="rect">
                      <a:avLst/>
                    </a:prstGeom>
                    <a:noFill/>
                    <a:ln>
                      <a:noFill/>
                    </a:ln>
                  </pic:spPr>
                </pic:pic>
              </a:graphicData>
            </a:graphic>
          </wp:inline>
        </w:drawing>
      </w:r>
    </w:p>
    <w:p w14:paraId="6A605884" w14:textId="3772562F" w:rsidR="00DE16E3" w:rsidRDefault="00DE16E3" w:rsidP="00DE16E3">
      <w:pPr>
        <w:pStyle w:val="Caption"/>
      </w:pPr>
      <w:bookmarkStart w:id="22" w:name="_Toc513629358"/>
      <w:r>
        <w:t xml:space="preserve">Figure </w:t>
      </w:r>
      <w:r w:rsidR="00A004A8">
        <w:fldChar w:fldCharType="begin"/>
      </w:r>
      <w:r w:rsidR="00A004A8">
        <w:instrText xml:space="preserve"> SEQ Figure \* ARABIC </w:instrText>
      </w:r>
      <w:r w:rsidR="00A004A8">
        <w:fldChar w:fldCharType="separate"/>
      </w:r>
      <w:r w:rsidR="00DE2AC3">
        <w:rPr>
          <w:noProof/>
        </w:rPr>
        <w:t>4</w:t>
      </w:r>
      <w:r w:rsidR="00A004A8">
        <w:rPr>
          <w:noProof/>
        </w:rPr>
        <w:fldChar w:fldCharType="end"/>
      </w:r>
      <w:r>
        <w:t xml:space="preserve"> Location of areas 18-1(v) and 18-2(v) and graticular blocks</w:t>
      </w:r>
      <w:bookmarkEnd w:id="22"/>
    </w:p>
    <w:p w14:paraId="0D30B6A5" w14:textId="77777777" w:rsidR="00855AB3" w:rsidRDefault="00855AB3" w:rsidP="00855AB3">
      <w:pPr>
        <w:pStyle w:val="Heading2"/>
      </w:pPr>
      <w:bookmarkStart w:id="23" w:name="_Toc513813345"/>
      <w:r>
        <w:lastRenderedPageBreak/>
        <w:t>18-2(v)</w:t>
      </w:r>
      <w:bookmarkEnd w:id="23"/>
    </w:p>
    <w:p w14:paraId="20DB80A1" w14:textId="26D0887A" w:rsidR="00855AB3" w:rsidRDefault="00855AB3" w:rsidP="00880142">
      <w:pPr>
        <w:pStyle w:val="bodyCopy"/>
      </w:pPr>
      <w:r>
        <w:t xml:space="preserve">Block 18-2(v) </w:t>
      </w:r>
      <w:r w:rsidR="00463658">
        <w:t>contains parts of</w:t>
      </w:r>
      <w:r>
        <w:t xml:space="preserve"> 15 graticular blocks and covers an area of </w:t>
      </w:r>
      <w:r w:rsidR="003044FE">
        <w:rPr>
          <w:lang w:val="it-IT"/>
        </w:rPr>
        <w:t>439</w:t>
      </w:r>
      <w:r w:rsidRPr="005F679D">
        <w:rPr>
          <w:lang w:val="it-IT"/>
        </w:rPr>
        <w:t xml:space="preserve"> km</w:t>
      </w:r>
      <w:r w:rsidRPr="005F679D">
        <w:rPr>
          <w:rFonts w:cs="Arial"/>
          <w:lang w:val="it-IT"/>
        </w:rPr>
        <w:t>²</w:t>
      </w:r>
      <w:r w:rsidR="00611DE3">
        <w:rPr>
          <w:rFonts w:cs="Arial"/>
          <w:lang w:val="it-IT"/>
        </w:rPr>
        <w:t xml:space="preserve"> </w:t>
      </w:r>
      <w:r w:rsidR="00611DE3">
        <w:t>(Figure 5)</w:t>
      </w:r>
      <w:r>
        <w:t>. The town of Portland is located in the centre of the release area on the coast.</w:t>
      </w:r>
      <w:r w:rsidR="003F2584">
        <w:t xml:space="preserve"> </w:t>
      </w:r>
      <w:r w:rsidR="00D479CC">
        <w:t>18-2(v) is also situated over the Portland and Voluta troughs.</w:t>
      </w:r>
    </w:p>
    <w:p w14:paraId="1FE26C2B" w14:textId="772CFF9F" w:rsidR="00855AB3" w:rsidRDefault="00D479CC" w:rsidP="00855AB3">
      <w:pPr>
        <w:pStyle w:val="bodyCopy"/>
      </w:pPr>
      <w:r>
        <w:t xml:space="preserve">Onshore, two petroleum wells drilled adjacent to the coast near Portland are of limited value. Mirams-1 and Portland North-1 were drilled </w:t>
      </w:r>
      <w:r w:rsidR="009C63E6">
        <w:t xml:space="preserve">in the early 1940s, reaching down no further than the Nirranda Group at 382 and 864 </w:t>
      </w:r>
      <w:r w:rsidR="00463658">
        <w:t>m</w:t>
      </w:r>
      <w:r w:rsidR="009C63E6">
        <w:t xml:space="preserve"> respectively. Nearby groundwater bores Narrawong-13 and -15, reach the Pember Mudstone and the Paaratte Formation</w:t>
      </w:r>
      <w:r w:rsidR="000C74DA">
        <w:t xml:space="preserve"> at 1713 and 1905 </w:t>
      </w:r>
      <w:r w:rsidR="00463658">
        <w:t>m</w:t>
      </w:r>
      <w:r w:rsidR="000C74DA">
        <w:t>. As is the case near 18-1(v), there are no intersections of the base of the Sherbrook Group or top of the Otway Group</w:t>
      </w:r>
      <w:r w:rsidR="006954CA">
        <w:t xml:space="preserve"> from onshore drilling</w:t>
      </w:r>
      <w:r w:rsidR="000C74DA">
        <w:t>.</w:t>
      </w:r>
    </w:p>
    <w:p w14:paraId="4C5C72A1" w14:textId="14576117" w:rsidR="00DE16E3" w:rsidRDefault="006954CA" w:rsidP="001A5DF6">
      <w:pPr>
        <w:pStyle w:val="bodyCopy"/>
      </w:pPr>
      <w:r>
        <w:t>Offshore, Voluta-1 and Callister-1</w:t>
      </w:r>
      <w:r w:rsidR="00DE16E3">
        <w:t xml:space="preserve"> both recorded shows in the lower Sherbrook Group.</w:t>
      </w:r>
      <w:r w:rsidR="001A5DF6">
        <w:t xml:space="preserve"> </w:t>
      </w:r>
      <w:r w:rsidR="00DE16E3" w:rsidRPr="00DE16E3">
        <w:t>Voluta-1</w:t>
      </w:r>
      <w:r w:rsidR="00DE16E3">
        <w:t>, drilled by Shell in 1967, was the first offshore well drilled in the western Otway Basin, testing an anticlinal closure (the Bridgewater Bay High) with the Waarre Formation being the primary reservoir objective</w:t>
      </w:r>
      <w:r w:rsidR="009336BE">
        <w:t xml:space="preserve"> (Shell, 1968)</w:t>
      </w:r>
      <w:r w:rsidR="00DE16E3">
        <w:t xml:space="preserve">. The Belfast </w:t>
      </w:r>
      <w:r w:rsidR="00880142">
        <w:t>Mudstone</w:t>
      </w:r>
      <w:r w:rsidR="00DE16E3">
        <w:t xml:space="preserve"> proved to be substantially thicker than expected</w:t>
      </w:r>
      <w:r w:rsidR="00880142">
        <w:t>,</w:t>
      </w:r>
      <w:r w:rsidR="00DE16E3">
        <w:t xml:space="preserve"> resulting in the </w:t>
      </w:r>
      <w:r w:rsidR="00880142">
        <w:t>deepening</w:t>
      </w:r>
      <w:r w:rsidR="00DE16E3">
        <w:t xml:space="preserve"> </w:t>
      </w:r>
      <w:r w:rsidR="00880142">
        <w:t xml:space="preserve">of the well by some 1100 </w:t>
      </w:r>
      <w:r w:rsidR="00463658">
        <w:t>m</w:t>
      </w:r>
      <w:r w:rsidR="00880142">
        <w:t xml:space="preserve"> </w:t>
      </w:r>
      <w:r w:rsidR="00DE16E3">
        <w:t>to reach the Waarre</w:t>
      </w:r>
      <w:r w:rsidR="00880142">
        <w:t xml:space="preserve"> Formation</w:t>
      </w:r>
      <w:r w:rsidR="00DE16E3">
        <w:t>. Minor gas shows were recorded in the Belfast Formation which did not warrant further evaluation and the well was abandoned at 3974</w:t>
      </w:r>
      <w:r w:rsidR="00463658">
        <w:t xml:space="preserve"> </w:t>
      </w:r>
      <w:r w:rsidR="00DE16E3">
        <w:t xml:space="preserve">m. </w:t>
      </w:r>
    </w:p>
    <w:p w14:paraId="11A66F7F" w14:textId="7734593D" w:rsidR="00DE16E3" w:rsidRPr="00BC63D3" w:rsidRDefault="00DE16E3" w:rsidP="00880142">
      <w:r>
        <w:t xml:space="preserve">Located approximately 18 </w:t>
      </w:r>
      <w:r w:rsidR="00463658">
        <w:t>km</w:t>
      </w:r>
      <w:r>
        <w:t xml:space="preserve"> to the southeast of Voluta-1, the </w:t>
      </w:r>
      <w:r w:rsidRPr="00880142">
        <w:t>Callister-1</w:t>
      </w:r>
      <w:r>
        <w:t xml:space="preserve"> well was drilled by Santos in 2004 reachin</w:t>
      </w:r>
      <w:r w:rsidR="00880142">
        <w:t>g TD at 3914</w:t>
      </w:r>
      <w:r w:rsidR="00463658">
        <w:t xml:space="preserve"> </w:t>
      </w:r>
      <w:r w:rsidR="00880142">
        <w:t>m in the Waarre A</w:t>
      </w:r>
      <w:r w:rsidR="009336BE">
        <w:t xml:space="preserve"> (Subramanian, 2005)</w:t>
      </w:r>
      <w:r w:rsidR="00880142">
        <w:t xml:space="preserve">. </w:t>
      </w:r>
      <w:r>
        <w:t>The well tested the culmination of a northwest to southeast oriented horst block at the south</w:t>
      </w:r>
      <w:r w:rsidR="00880142">
        <w:t>-</w:t>
      </w:r>
      <w:r>
        <w:t>easte</w:t>
      </w:r>
      <w:r w:rsidR="00880142">
        <w:t xml:space="preserve">rn end of the Bridgewater </w:t>
      </w:r>
      <w:r w:rsidR="009336BE">
        <w:t xml:space="preserve">Bay </w:t>
      </w:r>
      <w:r w:rsidR="00880142">
        <w:t>High.</w:t>
      </w:r>
      <w:r>
        <w:t xml:space="preserve"> Callister-1 was designed to test the unproven Austral 3 Belfast-Paaratte gas play with the Austral 2 Waarre play </w:t>
      </w:r>
      <w:r w:rsidR="00880142">
        <w:t xml:space="preserve">forming a secondary objective. </w:t>
      </w:r>
      <w:r>
        <w:t xml:space="preserve">Geochemical analysis of samples from the Belfast </w:t>
      </w:r>
      <w:r w:rsidR="00880142">
        <w:t>Mudstone</w:t>
      </w:r>
      <w:r>
        <w:t xml:space="preserve"> in Voluta-1 demonstrated the presence of mature gas-prone source rock within the section.</w:t>
      </w:r>
      <w:r w:rsidR="00880142">
        <w:t xml:space="preserve"> Although the i</w:t>
      </w:r>
      <w:r>
        <w:t>ntra-Paaratte</w:t>
      </w:r>
      <w:r w:rsidR="00880142">
        <w:t xml:space="preserve"> Formation</w:t>
      </w:r>
      <w:r>
        <w:t xml:space="preserve"> and Nullawarre </w:t>
      </w:r>
      <w:r w:rsidR="00880142">
        <w:t>Greensand</w:t>
      </w:r>
      <w:r>
        <w:t xml:space="preserve"> were intersected, neither unit had hydrocarbon shows.</w:t>
      </w:r>
      <w:r w:rsidR="00880142">
        <w:t xml:space="preserve"> </w:t>
      </w:r>
      <w:r>
        <w:t xml:space="preserve">The Waarre C was intersected </w:t>
      </w:r>
      <w:r w:rsidR="00880142">
        <w:t>with m</w:t>
      </w:r>
      <w:r>
        <w:t xml:space="preserve">inor moderately bright fluorescence seen at the top of the </w:t>
      </w:r>
      <w:r w:rsidR="00880142">
        <w:t>formation</w:t>
      </w:r>
      <w:r>
        <w:t xml:space="preserve"> with 1.5</w:t>
      </w:r>
      <w:r w:rsidR="00463658">
        <w:t xml:space="preserve"> </w:t>
      </w:r>
      <w:r>
        <w:t>m of net pay (</w:t>
      </w:r>
      <w:r>
        <w:rPr>
          <w:rFonts w:cstheme="minorHAnsi"/>
        </w:rPr>
        <w:t>Φ</w:t>
      </w:r>
      <w:r>
        <w:t>; 11.8%) in the Waarre C and 3.5</w:t>
      </w:r>
      <w:r w:rsidR="00463658">
        <w:t xml:space="preserve"> </w:t>
      </w:r>
      <w:r>
        <w:t>m net pay (</w:t>
      </w:r>
      <w:r>
        <w:rPr>
          <w:rFonts w:cstheme="minorHAnsi"/>
        </w:rPr>
        <w:t>Φ</w:t>
      </w:r>
      <w:r>
        <w:t>: 11%) in the Waarre A.</w:t>
      </w:r>
      <w:r w:rsidR="00880142">
        <w:t xml:space="preserve"> </w:t>
      </w:r>
      <w:r>
        <w:t>The well was plugged and abandoned.</w:t>
      </w:r>
    </w:p>
    <w:p w14:paraId="391008EB" w14:textId="77777777" w:rsidR="00855AB3" w:rsidRDefault="00855AB3" w:rsidP="00855AB3">
      <w:pPr>
        <w:pStyle w:val="Heading2"/>
      </w:pPr>
      <w:bookmarkStart w:id="24" w:name="_Toc513813346"/>
      <w:r>
        <w:t>18-3(v)</w:t>
      </w:r>
      <w:bookmarkEnd w:id="24"/>
    </w:p>
    <w:p w14:paraId="3732F889" w14:textId="7B0683B3" w:rsidR="00273897" w:rsidRDefault="00855AB3" w:rsidP="00E270C3">
      <w:pPr>
        <w:pStyle w:val="bodyCopy"/>
      </w:pPr>
      <w:r w:rsidRPr="00E270C3">
        <w:t xml:space="preserve">Block 18-3(v) </w:t>
      </w:r>
      <w:r w:rsidR="00463658">
        <w:t xml:space="preserve">contains parts of </w:t>
      </w:r>
      <w:r w:rsidRPr="00E270C3">
        <w:t xml:space="preserve">15 graticular blocks and covers an area of </w:t>
      </w:r>
      <w:r w:rsidR="00173510" w:rsidRPr="00E270C3">
        <w:t>44</w:t>
      </w:r>
      <w:r w:rsidR="00173510">
        <w:t>3</w:t>
      </w:r>
      <w:r w:rsidR="00173510" w:rsidRPr="00E270C3">
        <w:t xml:space="preserve"> </w:t>
      </w:r>
      <w:r w:rsidRPr="00E270C3">
        <w:t>km²</w:t>
      </w:r>
      <w:r w:rsidR="00611DE3">
        <w:t xml:space="preserve"> </w:t>
      </w:r>
      <w:r w:rsidR="00611DE3" w:rsidRPr="00E270C3">
        <w:t>(Figure 5)</w:t>
      </w:r>
      <w:r w:rsidRPr="00E270C3">
        <w:t xml:space="preserve">. The township of Port Fairy is adjacent to block 18-3(v) on the coast and is approximately 248 </w:t>
      </w:r>
      <w:r w:rsidR="00463658">
        <w:t>km</w:t>
      </w:r>
      <w:r w:rsidRPr="00E270C3">
        <w:t xml:space="preserve"> from Melbourne.</w:t>
      </w:r>
    </w:p>
    <w:p w14:paraId="39757F74" w14:textId="77777777" w:rsidR="000045CC" w:rsidRDefault="000045CC" w:rsidP="000045CC">
      <w:pPr>
        <w:pStyle w:val="bodyCopy"/>
      </w:pPr>
      <w:r>
        <w:t xml:space="preserve">Although no wells have been drilled in block 18(-3(v), a number of petroleum wells have tested plays in the Windermere and Koroit troughs and the Tyrendarra Embayment onshore near the coast. Toward the eastern margin of 18-3(v), Port Fairy-1 (2002) and Killarney EPRL-1 (2004), both drilled by Essential Petroleum, targeted the Waarre Formation. Port Fairy-1 was drilled to test the target formation in a faulted anticlinal closure in the hanging-wall of the WNW-ESE trending Tyrendarra Fault. </w:t>
      </w:r>
      <w:r w:rsidRPr="00267718">
        <w:t>Killarney EPRL-1</w:t>
      </w:r>
      <w:r>
        <w:t>, was drilled 4 km to the east of Port Fairy-1</w:t>
      </w:r>
      <w:r w:rsidRPr="000045CC">
        <w:t xml:space="preserve"> </w:t>
      </w:r>
      <w:r>
        <w:t xml:space="preserve">in a combined structural and stratigraphic trap. The structural trap was a three-way closure against an en-echelon NW-SE trending fault in the hanging-wall of the Tyrendarra Fault. </w:t>
      </w:r>
    </w:p>
    <w:p w14:paraId="6BA75D41" w14:textId="6D4AC2DC" w:rsidR="000045CC" w:rsidRDefault="000045CC" w:rsidP="000045CC">
      <w:pPr>
        <w:pStyle w:val="bodyCopy"/>
      </w:pPr>
      <w:r>
        <w:t xml:space="preserve">In both wells the Waarre Formation was absent. However, in </w:t>
      </w:r>
      <w:r w:rsidRPr="00267718">
        <w:t>Port Fairy-1</w:t>
      </w:r>
      <w:r>
        <w:t xml:space="preserve">, good gas shows were observed in poor quality </w:t>
      </w:r>
      <w:r w:rsidR="00BA319F">
        <w:t>fine grained</w:t>
      </w:r>
      <w:r>
        <w:t xml:space="preserve"> glauconitic sandstones in the Flaxman Formation and in the underlying uppermost Eumeralla Formation. The well was cased and tested the Flaxman Formation to recover gas to surface.  Swabbing produced samples of 52</w:t>
      </w:r>
      <w:r>
        <w:rPr>
          <w:rFonts w:cstheme="minorHAnsi"/>
        </w:rPr>
        <w:t>°</w:t>
      </w:r>
      <w:r>
        <w:t>API oil and a static pressure survey indicated a 15-metre oil column in the production tubing. The Paaratte and Eumeralla formations were also tested with the former producing fresh water at a stabilised rate of 240 bpd</w:t>
      </w:r>
      <w:r w:rsidR="009336BE">
        <w:t xml:space="preserve"> (Essential Petroleum, </w:t>
      </w:r>
      <w:r w:rsidR="009336BE">
        <w:lastRenderedPageBreak/>
        <w:t>2003)</w:t>
      </w:r>
      <w:r>
        <w:t>. The well was subsequently plugged below the Belfast Mudstone and converted into a water well</w:t>
      </w:r>
      <w:r w:rsidR="009336BE">
        <w:t xml:space="preserve"> (Essential Petroleum, 2006)</w:t>
      </w:r>
      <w:r>
        <w:t>.</w:t>
      </w:r>
    </w:p>
    <w:p w14:paraId="0EB177D5" w14:textId="77777777" w:rsidR="00273897" w:rsidRDefault="00273897" w:rsidP="00855AB3">
      <w:pPr>
        <w:pStyle w:val="bodyCopy"/>
      </w:pPr>
      <w:r>
        <w:rPr>
          <w:noProof/>
          <w:lang w:eastAsia="en-AU"/>
        </w:rPr>
        <w:drawing>
          <wp:inline distT="0" distB="0" distL="0" distR="0" wp14:anchorId="1C10D25C" wp14:editId="4C62C83F">
            <wp:extent cx="4210050" cy="3293076"/>
            <wp:effectExtent l="0" t="0" r="0" b="3175"/>
            <wp:docPr id="12" name="Picture 12" descr="G:\ER\ERPP\GSV\Systems\Projects\2017_2018\gsv0108_Acreage_release_2018\output\maps\gsv0108_acreage_release_2018_GAZETTE_Colour_MAP2_02May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RPP\GSV\Systems\Projects\2017_2018\gsv0108_Acreage_release_2018\output\maps\gsv0108_acreage_release_2018_GAZETTE_Colour_MAP2_02May2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1971" cy="3294578"/>
                    </a:xfrm>
                    <a:prstGeom prst="rect">
                      <a:avLst/>
                    </a:prstGeom>
                    <a:noFill/>
                    <a:ln>
                      <a:noFill/>
                    </a:ln>
                  </pic:spPr>
                </pic:pic>
              </a:graphicData>
            </a:graphic>
          </wp:inline>
        </w:drawing>
      </w:r>
    </w:p>
    <w:p w14:paraId="494EEB8A" w14:textId="36DBAE1E" w:rsidR="00DE16E3" w:rsidRDefault="00DE16E3" w:rsidP="00DE16E3">
      <w:pPr>
        <w:pStyle w:val="Caption"/>
      </w:pPr>
      <w:bookmarkStart w:id="25" w:name="_Toc513629359"/>
      <w:r>
        <w:t xml:space="preserve">Figure </w:t>
      </w:r>
      <w:r w:rsidR="00A004A8">
        <w:fldChar w:fldCharType="begin"/>
      </w:r>
      <w:r w:rsidR="00A004A8">
        <w:instrText xml:space="preserve"> SEQ Figure \* ARABIC </w:instrText>
      </w:r>
      <w:r w:rsidR="00A004A8">
        <w:fldChar w:fldCharType="separate"/>
      </w:r>
      <w:r w:rsidR="00DE2AC3">
        <w:rPr>
          <w:noProof/>
        </w:rPr>
        <w:t>5</w:t>
      </w:r>
      <w:r w:rsidR="00A004A8">
        <w:rPr>
          <w:noProof/>
        </w:rPr>
        <w:fldChar w:fldCharType="end"/>
      </w:r>
      <w:r>
        <w:t xml:space="preserve"> Location of areas 18-3(v) and 18-4(v) and graticular blocks</w:t>
      </w:r>
      <w:bookmarkEnd w:id="25"/>
    </w:p>
    <w:p w14:paraId="73AED9B5" w14:textId="77777777" w:rsidR="00267718" w:rsidRDefault="000045CC" w:rsidP="00267718">
      <w:r>
        <w:t xml:space="preserve">Killarney EPRL-1 </w:t>
      </w:r>
      <w:r w:rsidR="00267718">
        <w:t>intersected good quality reservoir sandstones in the Paaratte</w:t>
      </w:r>
      <w:r>
        <w:t xml:space="preserve"> and</w:t>
      </w:r>
      <w:r w:rsidR="00267718">
        <w:t xml:space="preserve"> Dilwyn </w:t>
      </w:r>
      <w:r>
        <w:t xml:space="preserve">formations and the </w:t>
      </w:r>
      <w:r w:rsidR="00267718">
        <w:t xml:space="preserve">Nullawarre </w:t>
      </w:r>
      <w:r>
        <w:t>Greensand</w:t>
      </w:r>
      <w:r w:rsidR="00267718">
        <w:t>, however the Flaxman and Waarre formations had genera</w:t>
      </w:r>
      <w:r>
        <w:t xml:space="preserve">lly poor to moderate porosity. </w:t>
      </w:r>
      <w:r w:rsidR="00267718">
        <w:t>Minor gas shows were recorded in the</w:t>
      </w:r>
      <w:r w:rsidR="00871C33">
        <w:t xml:space="preserve"> Belfast</w:t>
      </w:r>
      <w:r w:rsidR="00267718">
        <w:t xml:space="preserve"> </w:t>
      </w:r>
      <w:r>
        <w:t>Mudstone</w:t>
      </w:r>
      <w:r w:rsidR="00267718">
        <w:t xml:space="preserve"> and deeper units, however log analysis and pressure data confirmed all reservoirs were water-bearing.</w:t>
      </w:r>
      <w:r>
        <w:t xml:space="preserve"> </w:t>
      </w:r>
      <w:r w:rsidR="00267718">
        <w:t xml:space="preserve">No oil shows were observed and the well was plugged and abandoned.  </w:t>
      </w:r>
    </w:p>
    <w:p w14:paraId="15E2E706" w14:textId="0ACEFAD4" w:rsidR="00E270C3" w:rsidRDefault="00E270C3" w:rsidP="00E270C3">
      <w:pPr>
        <w:pStyle w:val="bodyCopy"/>
      </w:pPr>
      <w:r>
        <w:t>Windermere wells -1, -2 and -3, were drilled to test the Windermere prospect</w:t>
      </w:r>
      <w:r w:rsidR="000045CC">
        <w:t xml:space="preserve"> initially recognised on 2D seismic data acquired in 1985, and located toward the northwest of 18-3(v). </w:t>
      </w:r>
      <w:r>
        <w:t>The structure is a broad anticline in the hanging-wall of a major east-west trending fault</w:t>
      </w:r>
      <w:r w:rsidR="00185723">
        <w:t xml:space="preserve">, </w:t>
      </w:r>
      <w:r>
        <w:t>down</w:t>
      </w:r>
      <w:r w:rsidR="000045CC">
        <w:t>throw</w:t>
      </w:r>
      <w:r w:rsidR="00185723">
        <w:t>n</w:t>
      </w:r>
      <w:r w:rsidR="000045CC">
        <w:t xml:space="preserve"> to the south. </w:t>
      </w:r>
      <w:r>
        <w:t>Strike-slip movement along this fau</w:t>
      </w:r>
      <w:r w:rsidR="000045CC">
        <w:t>lt during the Late Tertiary</w:t>
      </w:r>
      <w:r>
        <w:t xml:space="preserve"> resulted in minor inversio</w:t>
      </w:r>
      <w:r w:rsidR="00185723">
        <w:t>n of the younger stratigraphy.</w:t>
      </w:r>
    </w:p>
    <w:p w14:paraId="3CC584CE" w14:textId="77777777" w:rsidR="00E270C3" w:rsidRDefault="00E270C3" w:rsidP="00E270C3">
      <w:r w:rsidRPr="00E270C3">
        <w:t>Windermere-1</w:t>
      </w:r>
      <w:r>
        <w:t xml:space="preserve"> was drilled by Minora Resources in 1987 with the primary objective of evaluating the Pebble Point Formation. Secondary reservoir objectives were identified in the Eumeralla Formation and, more speculatively, an equivalent of the Waarre Formation. Although the Heathfield Member within the Eumeralla Formation was recognised as a possible objective, due to poor reservoir characteristics in nearby wells, the original drilling program terminated the well above this unit. During drilling of the Tertiary section, background gas was very low but the increasing strength and richness of the gas shows below the top of the Belfast Mudstone resulted in a decision to deepen the well to ev</w:t>
      </w:r>
      <w:r w:rsidR="00185723">
        <w:t xml:space="preserve">aluate the Heathfield Member. </w:t>
      </w:r>
      <w:r>
        <w:t>Dull yellow fluorescence with poor crush cut was observed at the top of a tuffaceous sand unit at the base of the Heathfield Member (1805</w:t>
      </w:r>
      <w:r w:rsidR="00185723">
        <w:t xml:space="preserve"> </w:t>
      </w:r>
      <w:r>
        <w:t>-</w:t>
      </w:r>
      <w:r w:rsidR="00185723">
        <w:t xml:space="preserve"> 1810m). </w:t>
      </w:r>
      <w:r>
        <w:t>Subsequent open-hole drill stem tests of this interval recovered 40.9</w:t>
      </w:r>
      <w:r>
        <w:rPr>
          <w:rFonts w:cstheme="minorHAnsi"/>
        </w:rPr>
        <w:t>°</w:t>
      </w:r>
      <w:r>
        <w:t xml:space="preserve"> API waxy oil, however cased-hole testing only recovered forma</w:t>
      </w:r>
      <w:r w:rsidR="00185723">
        <w:t xml:space="preserve">tion water with traces of oil. </w:t>
      </w:r>
      <w:r>
        <w:t>Whilst it is possible that the well depleted during the test, post-drill mapping suggested that the well was in a transition zone close to an oil-water contact</w:t>
      </w:r>
      <w:r w:rsidR="00871C33">
        <w:t xml:space="preserve"> (Minora Resources, 1988)</w:t>
      </w:r>
      <w:r>
        <w:t>.</w:t>
      </w:r>
    </w:p>
    <w:p w14:paraId="0084B273" w14:textId="665F279B" w:rsidR="00E270C3" w:rsidRDefault="00E270C3" w:rsidP="00E270C3">
      <w:r w:rsidRPr="00185723">
        <w:t>Windermere-2</w:t>
      </w:r>
      <w:r w:rsidR="00185723">
        <w:t xml:space="preserve"> (1989) </w:t>
      </w:r>
      <w:r>
        <w:t>was drilled at a location 1 km southeast of the first well to further evaluate the Heathfield Member</w:t>
      </w:r>
      <w:r w:rsidR="00185723">
        <w:t xml:space="preserve">. </w:t>
      </w:r>
      <w:r>
        <w:t xml:space="preserve">Secondary objectives were the deeper sandstones at the base of the Eumeralla Formation and unspecified Crayfish Group reservoirs (equivalents </w:t>
      </w:r>
      <w:r w:rsidR="00185723">
        <w:t xml:space="preserve">of the Pretty Hill Formation). </w:t>
      </w:r>
      <w:r>
        <w:t>Placement of the well benefitted from additional 2D seismic acquired in 1988</w:t>
      </w:r>
      <w:r w:rsidR="00185723">
        <w:t>,</w:t>
      </w:r>
      <w:r>
        <w:t xml:space="preserve"> which allowed more </w:t>
      </w:r>
      <w:r>
        <w:lastRenderedPageBreak/>
        <w:t>detailed mapping of the faults in the Lower Cretaceous section.</w:t>
      </w:r>
      <w:r w:rsidR="00185723">
        <w:t xml:space="preserve"> </w:t>
      </w:r>
      <w:r>
        <w:t xml:space="preserve">The Heathfield Member was devoid of hydrocarbon shows, however </w:t>
      </w:r>
      <w:r w:rsidR="0040610A">
        <w:t xml:space="preserve">there were </w:t>
      </w:r>
      <w:r>
        <w:t xml:space="preserve">minor gas shows in deeper sands in the Eumeralla Formation (subsequently named the Windermere Member) were sufficient encouragement to </w:t>
      </w:r>
      <w:r w:rsidR="00185723">
        <w:t xml:space="preserve">run </w:t>
      </w:r>
      <w:r>
        <w:t>an open-hole drill stem test</w:t>
      </w:r>
      <w:r w:rsidR="00185723">
        <w:t>,</w:t>
      </w:r>
      <w:r>
        <w:t xml:space="preserve"> which recovered traces of oil and gas-cut water</w:t>
      </w:r>
      <w:r w:rsidR="00185723">
        <w:t xml:space="preserve">. </w:t>
      </w:r>
      <w:r>
        <w:t>The Windermere Member was 300m low to prognosis as the mapped seismic reflection was found to be the top of the overlying Eumeralla coals (Killara Coals equivalent).</w:t>
      </w:r>
      <w:r w:rsidR="00185723">
        <w:t xml:space="preserve"> </w:t>
      </w:r>
      <w:r>
        <w:t>Analysis of the oils re</w:t>
      </w:r>
      <w:r w:rsidR="0028104E">
        <w:t>covered from the two wells show</w:t>
      </w:r>
      <w:r>
        <w:t xml:space="preserve"> that they are both derived from terrestrial plant matter but ha</w:t>
      </w:r>
      <w:r w:rsidR="0028104E">
        <w:t xml:space="preserve">ve different thermal maturity. </w:t>
      </w:r>
      <w:r>
        <w:t>Detailed biomarker geochemistry suggests two different sources within the Lower Cretaceous and it is possible that these are coals at different stratigraphic levels within the Eumeralla Formation</w:t>
      </w:r>
      <w:r w:rsidR="00871C33">
        <w:t xml:space="preserve"> (Minora Resources, 1989)</w:t>
      </w:r>
      <w:r>
        <w:t>.</w:t>
      </w:r>
    </w:p>
    <w:p w14:paraId="7DBE908F" w14:textId="0E7DA5C3" w:rsidR="00880142" w:rsidRPr="00880142" w:rsidRDefault="00E270C3" w:rsidP="0028104E">
      <w:r w:rsidRPr="0028104E">
        <w:t>Windermere-3,</w:t>
      </w:r>
      <w:r>
        <w:t xml:space="preserve"> located 114</w:t>
      </w:r>
      <w:r w:rsidR="0028104E">
        <w:t xml:space="preserve"> </w:t>
      </w:r>
      <w:r w:rsidR="00463658">
        <w:t>m</w:t>
      </w:r>
      <w:r>
        <w:t xml:space="preserve"> north of Windermere-1</w:t>
      </w:r>
      <w:r w:rsidR="0028104E">
        <w:t>,</w:t>
      </w:r>
      <w:r>
        <w:t xml:space="preserve"> was drilled in 2011 with a primary objective of evaluating the Heathfield Member in a small up</w:t>
      </w:r>
      <w:r w:rsidR="0028104E">
        <w:t xml:space="preserve">-thrown fault compartment. </w:t>
      </w:r>
      <w:r>
        <w:t xml:space="preserve">No significant shows were encountered during drilling other than indications of residual hydrocarbons in the </w:t>
      </w:r>
      <w:r w:rsidR="0028104E">
        <w:t>Heathfield Member. The absence of hydrocarbons wa</w:t>
      </w:r>
      <w:r>
        <w:t xml:space="preserve">s attributed to very </w:t>
      </w:r>
      <w:r w:rsidR="0028104E">
        <w:t xml:space="preserve">low </w:t>
      </w:r>
      <w:r>
        <w:t>permeability</w:t>
      </w:r>
      <w:r w:rsidR="0028104E">
        <w:t>,</w:t>
      </w:r>
      <w:r>
        <w:t xml:space="preserve"> preventing lateral migration into the Heathfield Mem</w:t>
      </w:r>
      <w:r w:rsidR="0028104E">
        <w:t xml:space="preserve">ber reservoir. </w:t>
      </w:r>
      <w:r w:rsidR="000045CC">
        <w:t xml:space="preserve">An integrated </w:t>
      </w:r>
      <w:r>
        <w:t xml:space="preserve">review of the results from the three </w:t>
      </w:r>
      <w:r w:rsidR="0028104E">
        <w:t>Windermere wells suggested</w:t>
      </w:r>
      <w:r>
        <w:t xml:space="preserve"> that the oil seen in W</w:t>
      </w:r>
      <w:r w:rsidR="0028104E">
        <w:t>i</w:t>
      </w:r>
      <w:r>
        <w:t>ndermere-1 was related to migration within the fault at the top of the unit in that well</w:t>
      </w:r>
      <w:r w:rsidR="00871C33">
        <w:t xml:space="preserve"> (Bass Strait Oil, 2012)</w:t>
      </w:r>
      <w:r>
        <w:t>.</w:t>
      </w:r>
    </w:p>
    <w:p w14:paraId="12BCB34B" w14:textId="77777777" w:rsidR="00855AB3" w:rsidRDefault="00855AB3" w:rsidP="00855AB3">
      <w:pPr>
        <w:pStyle w:val="Heading2"/>
      </w:pPr>
      <w:bookmarkStart w:id="26" w:name="_Toc513813347"/>
      <w:r>
        <w:t>18-4(v)</w:t>
      </w:r>
      <w:bookmarkEnd w:id="26"/>
    </w:p>
    <w:p w14:paraId="6C36EE21" w14:textId="43F75ED7" w:rsidR="00855AB3" w:rsidRDefault="00463D93" w:rsidP="00855AB3">
      <w:pPr>
        <w:pStyle w:val="bodyCopy"/>
        <w:rPr>
          <w:rFonts w:cs="Arial"/>
          <w:lang w:val="it-IT"/>
        </w:rPr>
      </w:pPr>
      <w:r>
        <w:t xml:space="preserve">Block 18-4(v) </w:t>
      </w:r>
      <w:r w:rsidR="0040610A">
        <w:t>contains parts of</w:t>
      </w:r>
      <w:r>
        <w:t xml:space="preserve"> 7 graticular blocks and covers </w:t>
      </w:r>
      <w:r w:rsidR="00EB2745">
        <w:t xml:space="preserve">an area of </w:t>
      </w:r>
      <w:r w:rsidR="00173510">
        <w:rPr>
          <w:lang w:val="it-IT"/>
        </w:rPr>
        <w:t xml:space="preserve">153 </w:t>
      </w:r>
      <w:r w:rsidR="009E051D" w:rsidRPr="005F679D">
        <w:rPr>
          <w:lang w:val="it-IT"/>
        </w:rPr>
        <w:t>km</w:t>
      </w:r>
      <w:r w:rsidR="00EB2745" w:rsidRPr="005F679D">
        <w:rPr>
          <w:rFonts w:cs="Arial"/>
          <w:lang w:val="it-IT"/>
        </w:rPr>
        <w:t>²</w:t>
      </w:r>
      <w:r w:rsidR="00611DE3">
        <w:rPr>
          <w:rFonts w:cs="Arial"/>
          <w:lang w:val="it-IT"/>
        </w:rPr>
        <w:t xml:space="preserve"> </w:t>
      </w:r>
      <w:r w:rsidR="00611DE3">
        <w:t>(Figure 6)</w:t>
      </w:r>
      <w:r w:rsidR="003557FD">
        <w:rPr>
          <w:rFonts w:cs="Arial"/>
          <w:lang w:val="it-IT"/>
        </w:rPr>
        <w:t xml:space="preserve">. </w:t>
      </w:r>
    </w:p>
    <w:p w14:paraId="125A5670" w14:textId="77777777" w:rsidR="001D1A67" w:rsidRDefault="001D1A67" w:rsidP="00855AB3">
      <w:pPr>
        <w:pStyle w:val="bodyCopy"/>
        <w:rPr>
          <w:rFonts w:cs="Arial"/>
          <w:lang w:val="it-IT"/>
        </w:rPr>
      </w:pPr>
      <w:r>
        <w:rPr>
          <w:rFonts w:cs="Arial"/>
          <w:lang w:val="it-IT"/>
        </w:rPr>
        <w:t xml:space="preserve">Although no petroleum wells have been drilled in 18-4(v) or in the adjacent onshore area, several deep groundwater bores </w:t>
      </w:r>
      <w:r w:rsidR="00CF43EA">
        <w:rPr>
          <w:rFonts w:cs="Arial"/>
          <w:lang w:val="it-IT"/>
        </w:rPr>
        <w:t xml:space="preserve">were drilled in the 1960s; some near Warrnambool (Wangoom-2 and -6) and Mepunga-9 and -10 at the eastern margin of the block. All of these boreholes intersect the Eumeralla </w:t>
      </w:r>
      <w:r w:rsidR="0028104E">
        <w:rPr>
          <w:rFonts w:cs="Arial"/>
          <w:lang w:val="it-IT"/>
        </w:rPr>
        <w:t>Formation, with the Waarre Formation absent.</w:t>
      </w:r>
    </w:p>
    <w:p w14:paraId="2EB2B046" w14:textId="77777777" w:rsidR="00CF43EA" w:rsidRDefault="0028104E" w:rsidP="00855AB3">
      <w:pPr>
        <w:pStyle w:val="bodyCopy"/>
        <w:rPr>
          <w:rFonts w:cs="Arial"/>
          <w:lang w:val="it-IT"/>
        </w:rPr>
      </w:pPr>
      <w:r>
        <w:rPr>
          <w:rFonts w:cs="Arial"/>
          <w:lang w:val="it-IT"/>
        </w:rPr>
        <w:t>The eastern extremity of block 18-4(v) is adjacent to the Halladale and Speculant gas fields in VIC/P42(v) at the margin of the Shipwreck Trough/Port Campbell Embayment/Tyrendarra Embayment.</w:t>
      </w:r>
    </w:p>
    <w:p w14:paraId="18214001" w14:textId="6D079F8D" w:rsidR="00E44BF6" w:rsidRDefault="00E44BF6" w:rsidP="00E44BF6">
      <w:r>
        <w:t>Halladale-1 (2005) was the first well to be drilled in Victorian State Waters in the Otway Basin.</w:t>
      </w:r>
      <w:r w:rsidR="00DB283A">
        <w:t xml:space="preserve"> </w:t>
      </w:r>
      <w:r>
        <w:t xml:space="preserve">The well was designed to test two separate Waarre </w:t>
      </w:r>
      <w:r w:rsidR="00DB283A">
        <w:t xml:space="preserve">Formation </w:t>
      </w:r>
      <w:r w:rsidR="00871C33">
        <w:t>U</w:t>
      </w:r>
      <w:r w:rsidR="00DB283A">
        <w:t xml:space="preserve">nit </w:t>
      </w:r>
      <w:r>
        <w:t xml:space="preserve">C structures with anomalous AVO mapped on </w:t>
      </w:r>
      <w:r w:rsidR="00DB283A">
        <w:t xml:space="preserve">the Antares 3D seismic survey. </w:t>
      </w:r>
      <w:r>
        <w:t>Halladale-1 comprises a vertical well drilled to 833m with three si</w:t>
      </w:r>
      <w:r w:rsidR="00DB283A">
        <w:t xml:space="preserve">detracks. </w:t>
      </w:r>
    </w:p>
    <w:p w14:paraId="4EA12048" w14:textId="59526368" w:rsidR="00E44BF6" w:rsidRDefault="00E44BF6" w:rsidP="00E44BF6">
      <w:r w:rsidRPr="00DB283A">
        <w:t>Halladale-1 DW1</w:t>
      </w:r>
      <w:r>
        <w:t xml:space="preserve"> evaluated an E-W trending fault-dependant closure with termed ‘Black Watch’ and was directionally drilled towards the SSW</w:t>
      </w:r>
      <w:r w:rsidR="00F53457">
        <w:t xml:space="preserve">. </w:t>
      </w:r>
      <w:r>
        <w:t xml:space="preserve">Good gas shows were recorded in two separate sandstone units within the Nullawarre </w:t>
      </w:r>
      <w:r w:rsidR="00F53457">
        <w:t xml:space="preserve">Greensand. </w:t>
      </w:r>
      <w:r>
        <w:t xml:space="preserve">After dropping back to background levels in the Belfast </w:t>
      </w:r>
      <w:r w:rsidR="00F53457">
        <w:t>Mudstone</w:t>
      </w:r>
      <w:r>
        <w:t>, gas readings began to gradually increase in the Flaxman Formation before sharply increasin</w:t>
      </w:r>
      <w:r w:rsidR="00F53457">
        <w:t xml:space="preserve">g on penetrating the Waarre C. </w:t>
      </w:r>
      <w:r>
        <w:t xml:space="preserve">Interpretation of the wireline logs indicated 18.4m of net pay in the Waarre </w:t>
      </w:r>
      <w:r w:rsidR="00F53457">
        <w:t xml:space="preserve">Formation </w:t>
      </w:r>
      <w:r w:rsidR="00871C33">
        <w:t>Unit</w:t>
      </w:r>
      <w:r w:rsidR="00F53457">
        <w:t xml:space="preserve"> </w:t>
      </w:r>
      <w:r>
        <w:t>C with a further 1.3</w:t>
      </w:r>
      <w:r w:rsidR="0040610A">
        <w:t xml:space="preserve"> </w:t>
      </w:r>
      <w:r>
        <w:t xml:space="preserve">m of net pay at the top of the Waarre </w:t>
      </w:r>
      <w:r w:rsidR="00F53457">
        <w:t xml:space="preserve">Formation </w:t>
      </w:r>
      <w:r w:rsidR="00871C33">
        <w:t xml:space="preserve">Unit </w:t>
      </w:r>
      <w:r>
        <w:t>A (thicknesses are no</w:t>
      </w:r>
      <w:r w:rsidR="00F53457">
        <w:t xml:space="preserve">t corrected to true vertical). </w:t>
      </w:r>
      <w:r>
        <w:t xml:space="preserve">Wireline pressure data indicated a common gas gradient in the two Waarre </w:t>
      </w:r>
      <w:r w:rsidR="00F53457">
        <w:t xml:space="preserve">Formation </w:t>
      </w:r>
      <w:r>
        <w:t xml:space="preserve">sand units, with a gas-water contact at 1770mss in the Waarre </w:t>
      </w:r>
      <w:r w:rsidR="00F058EA">
        <w:t xml:space="preserve">Formation </w:t>
      </w:r>
      <w:r w:rsidR="00871C33">
        <w:t xml:space="preserve">Unit </w:t>
      </w:r>
      <w:r>
        <w:t xml:space="preserve">A. A gas-water contact was not seen in the Waarre </w:t>
      </w:r>
      <w:r w:rsidR="00F058EA">
        <w:t xml:space="preserve">Formation </w:t>
      </w:r>
      <w:r w:rsidR="00871C33">
        <w:t>Unit</w:t>
      </w:r>
      <w:r w:rsidR="00F058EA">
        <w:t xml:space="preserve"> </w:t>
      </w:r>
      <w:r>
        <w:t>C, however aquifer pressures obtained from Halladale-1 DW3 sidetrack suggest that the gas-water conta</w:t>
      </w:r>
      <w:r w:rsidR="00F058EA">
        <w:t xml:space="preserve">ct in this unit is at 1776mss. </w:t>
      </w:r>
      <w:r>
        <w:t xml:space="preserve">Gas samples from the Waarre </w:t>
      </w:r>
      <w:r w:rsidR="00F058EA">
        <w:t xml:space="preserve">Formation </w:t>
      </w:r>
      <w:r w:rsidR="00871C33">
        <w:t>Unit</w:t>
      </w:r>
      <w:r w:rsidR="00F058EA">
        <w:t xml:space="preserve"> </w:t>
      </w:r>
      <w:r>
        <w:t>C were predominantly methane (87.8%) with a condensate-gas ratio of 12.6 bbls/MMscf</w:t>
      </w:r>
      <w:r w:rsidR="00F058EA">
        <w:t xml:space="preserve">. </w:t>
      </w:r>
      <w:r>
        <w:t xml:space="preserve">Pressure data also confirmed the presence of gas in the Nullawarre </w:t>
      </w:r>
      <w:r w:rsidR="00F058EA">
        <w:t>Greensand,</w:t>
      </w:r>
      <w:r>
        <w:t xml:space="preserve"> which </w:t>
      </w:r>
      <w:r w:rsidR="00F058EA">
        <w:t>wa</w:t>
      </w:r>
      <w:r>
        <w:t>s not in pressure communication with the deeper Waarre Formation accumulation.</w:t>
      </w:r>
    </w:p>
    <w:p w14:paraId="166053A8" w14:textId="2914345B" w:rsidR="00E44BF6" w:rsidRPr="00896FCF" w:rsidRDefault="00E44BF6" w:rsidP="00E44BF6">
      <w:r>
        <w:t xml:space="preserve">On completion of logging, the well was plugged-back and </w:t>
      </w:r>
      <w:r w:rsidRPr="00F058EA">
        <w:t>Halladale-1 DW2</w:t>
      </w:r>
      <w:r>
        <w:t xml:space="preserve"> kicked-off in a NNW direction to evaluate the Halladale structure, a WNW-ESE trending fault-dependant closure bounded to the SSW by a normal fault with down</w:t>
      </w:r>
      <w:r w:rsidR="00F058EA">
        <w:t>-</w:t>
      </w:r>
      <w:r>
        <w:t>throw to the south</w:t>
      </w:r>
      <w:r w:rsidR="00F058EA">
        <w:t xml:space="preserve">. </w:t>
      </w:r>
      <w:r>
        <w:t xml:space="preserve">No gas shows were encountered in the </w:t>
      </w:r>
      <w:r>
        <w:lastRenderedPageBreak/>
        <w:t xml:space="preserve">Nullawarre </w:t>
      </w:r>
      <w:r w:rsidR="00F058EA">
        <w:t>Greensand</w:t>
      </w:r>
      <w:r>
        <w:t xml:space="preserve">, however strong gas shows were again seen on entering the Waarre </w:t>
      </w:r>
      <w:r w:rsidR="00F058EA">
        <w:t xml:space="preserve">Formation </w:t>
      </w:r>
      <w:r w:rsidR="00871C33">
        <w:t>Unit</w:t>
      </w:r>
      <w:r w:rsidR="00F058EA">
        <w:t xml:space="preserve"> </w:t>
      </w:r>
      <w:r>
        <w:t xml:space="preserve">C. Hydrocarbons were not seen in </w:t>
      </w:r>
      <w:r w:rsidR="00871C33">
        <w:t xml:space="preserve">Unit </w:t>
      </w:r>
      <w:r w:rsidR="00F058EA">
        <w:t xml:space="preserve">A. </w:t>
      </w:r>
      <w:r>
        <w:t>Log analysis identified 18.6</w:t>
      </w:r>
      <w:r w:rsidR="0040610A">
        <w:t xml:space="preserve"> </w:t>
      </w:r>
      <w:r>
        <w:t xml:space="preserve">m of net pay in </w:t>
      </w:r>
      <w:r w:rsidR="00871C33">
        <w:t xml:space="preserve">Unit </w:t>
      </w:r>
      <w:r>
        <w:t>C</w:t>
      </w:r>
      <w:r w:rsidR="00F058EA">
        <w:t>,</w:t>
      </w:r>
      <w:r>
        <w:t xml:space="preserve"> which was confirmed with wireline pressure data but a gas-water contact could not be established</w:t>
      </w:r>
      <w:r w:rsidR="00F058EA">
        <w:t xml:space="preserve">. </w:t>
      </w:r>
      <w:r>
        <w:t xml:space="preserve">Gas samples recovered from the Waarre </w:t>
      </w:r>
      <w:r w:rsidR="00F058EA">
        <w:t xml:space="preserve">Formation </w:t>
      </w:r>
      <w:r w:rsidR="00871C33">
        <w:t>Unit</w:t>
      </w:r>
      <w:r w:rsidR="00F058EA">
        <w:t xml:space="preserve"> </w:t>
      </w:r>
      <w:r>
        <w:t xml:space="preserve">C were compositionally slightly drier than the Halladale-1 DW1 gas and a pressure difference of 10 psi indicates that the two accumulations are not in communication.  </w:t>
      </w:r>
    </w:p>
    <w:p w14:paraId="08762448" w14:textId="5937EC12" w:rsidR="00E44BF6" w:rsidRDefault="00E44BF6" w:rsidP="00E44BF6">
      <w:r w:rsidRPr="00F058EA">
        <w:t>Halladale-1 DW3</w:t>
      </w:r>
      <w:r>
        <w:t xml:space="preserve"> was drilled as an appraisal well to determine the gas-water contact in the Waarre </w:t>
      </w:r>
      <w:r w:rsidR="00F058EA">
        <w:t xml:space="preserve">Formation </w:t>
      </w:r>
      <w:r w:rsidR="00871C33">
        <w:t>Unit</w:t>
      </w:r>
      <w:r w:rsidR="00F058EA">
        <w:t xml:space="preserve"> </w:t>
      </w:r>
      <w:r>
        <w:t>C by obtaining pressure data in the water leg.</w:t>
      </w:r>
      <w:r w:rsidR="00F058EA">
        <w:t xml:space="preserve"> </w:t>
      </w:r>
      <w:r>
        <w:t xml:space="preserve">As expected, there were no significant gas shows in the well apart from a small kick at the top of </w:t>
      </w:r>
      <w:r w:rsidR="00871C33">
        <w:t xml:space="preserve">Unit </w:t>
      </w:r>
      <w:r w:rsidR="00F058EA">
        <w:t>C.</w:t>
      </w:r>
    </w:p>
    <w:p w14:paraId="375AA63D" w14:textId="516855DD" w:rsidR="00E44BF6" w:rsidRPr="00F058EA" w:rsidRDefault="00E44BF6" w:rsidP="00185723">
      <w:r>
        <w:t>Between September 2014 and June 2015, Origin Energy undertook a three-well drilling campaign from an onshore well pad located on the coast near Peterborough.</w:t>
      </w:r>
      <w:r w:rsidR="00F058EA">
        <w:t xml:space="preserve"> </w:t>
      </w:r>
      <w:r>
        <w:t xml:space="preserve">These extended-reach wells were drilled to evaluate the Speculant and Halladale prospects located offshore in Victorian State Waters.  The details of these wells are currently confidential, however the announcement of the </w:t>
      </w:r>
      <w:r w:rsidRPr="00F058EA">
        <w:t>Speculant-1</w:t>
      </w:r>
      <w:r>
        <w:t xml:space="preserve"> discovery noted that the well had tested a tilted fault block immediately north of the Halladale structure and encountered a gross gas column of approximately 145</w:t>
      </w:r>
      <w:r w:rsidR="0040610A">
        <w:t xml:space="preserve"> </w:t>
      </w:r>
      <w:r>
        <w:t xml:space="preserve">m in the Waarre </w:t>
      </w:r>
      <w:r w:rsidR="00F058EA">
        <w:t xml:space="preserve">Formation </w:t>
      </w:r>
      <w:r w:rsidR="00871C33">
        <w:t>Unit</w:t>
      </w:r>
      <w:r w:rsidR="00F058EA">
        <w:t xml:space="preserve"> </w:t>
      </w:r>
      <w:r>
        <w:t xml:space="preserve">C. An appraisal well, </w:t>
      </w:r>
      <w:r w:rsidRPr="00F058EA">
        <w:t>Speculant-2</w:t>
      </w:r>
      <w:r>
        <w:t>, was drilled in 2015 and was also side</w:t>
      </w:r>
      <w:r w:rsidR="005A5394">
        <w:t>-</w:t>
      </w:r>
      <w:r>
        <w:t>tracked (</w:t>
      </w:r>
      <w:r w:rsidRPr="00F058EA">
        <w:t>Speculant-2 ST1</w:t>
      </w:r>
      <w:r w:rsidR="007944CC">
        <w:t xml:space="preserve">). </w:t>
      </w:r>
      <w:r>
        <w:t xml:space="preserve">The program also included an extended-reach appraisal/development well, </w:t>
      </w:r>
      <w:r w:rsidRPr="00F058EA">
        <w:t>Halladale-2.</w:t>
      </w:r>
    </w:p>
    <w:p w14:paraId="2BA841F6" w14:textId="77777777" w:rsidR="00855AB3" w:rsidRDefault="00855AB3" w:rsidP="00855AB3">
      <w:pPr>
        <w:pStyle w:val="Heading2"/>
      </w:pPr>
      <w:bookmarkStart w:id="27" w:name="_Toc513813348"/>
      <w:r>
        <w:t>18-5(v)</w:t>
      </w:r>
      <w:bookmarkEnd w:id="27"/>
    </w:p>
    <w:p w14:paraId="70F73F00" w14:textId="0AE33E0B" w:rsidR="00855AB3" w:rsidRPr="00A54E9D" w:rsidRDefault="00855AB3" w:rsidP="00855AB3">
      <w:pPr>
        <w:pStyle w:val="bodyCopy"/>
      </w:pPr>
      <w:r>
        <w:t xml:space="preserve">Block 18-5(v) </w:t>
      </w:r>
      <w:r w:rsidR="0040610A">
        <w:t>contains parts of</w:t>
      </w:r>
      <w:r>
        <w:t xml:space="preserve"> 2 graticular blocks and covers an area of </w:t>
      </w:r>
      <w:r>
        <w:rPr>
          <w:lang w:val="it-IT"/>
        </w:rPr>
        <w:t>24</w:t>
      </w:r>
      <w:r w:rsidRPr="005F679D">
        <w:rPr>
          <w:lang w:val="it-IT"/>
        </w:rPr>
        <w:t xml:space="preserve"> km</w:t>
      </w:r>
      <w:r w:rsidRPr="005F679D">
        <w:rPr>
          <w:rFonts w:cs="Arial"/>
          <w:lang w:val="it-IT"/>
        </w:rPr>
        <w:t>²</w:t>
      </w:r>
      <w:r w:rsidR="00611DE3">
        <w:rPr>
          <w:rFonts w:cs="Arial"/>
          <w:lang w:val="it-IT"/>
        </w:rPr>
        <w:t xml:space="preserve"> (Figure 6)</w:t>
      </w:r>
      <w:r>
        <w:t xml:space="preserve">. The township of Port Campbell is located at the northwest corner of 18-5(v) and is approximately 193 </w:t>
      </w:r>
      <w:r w:rsidR="00463658">
        <w:t>km</w:t>
      </w:r>
      <w:r>
        <w:t xml:space="preserve"> from Melbourne.</w:t>
      </w:r>
    </w:p>
    <w:p w14:paraId="5838CB86" w14:textId="77777777" w:rsidR="00855AB3" w:rsidRDefault="00855AB3" w:rsidP="00855AB3">
      <w:pPr>
        <w:pStyle w:val="bodyCopy"/>
      </w:pPr>
      <w:r>
        <w:t xml:space="preserve">Block 18-5(v) is located between VIC/P42(v) to the west and the Twelve Apostles Marine National Park to the </w:t>
      </w:r>
      <w:r w:rsidR="00830111">
        <w:t>east-</w:t>
      </w:r>
      <w:r w:rsidR="00BA1278">
        <w:t xml:space="preserve">southeast. </w:t>
      </w:r>
      <w:r w:rsidR="00830111">
        <w:t>18-5(v)</w:t>
      </w:r>
      <w:r w:rsidR="00D37CA6">
        <w:t xml:space="preserve"> is at the eastern margin of the Shipwreck Trough.</w:t>
      </w:r>
    </w:p>
    <w:p w14:paraId="15E4BC82" w14:textId="094DDB50" w:rsidR="00273897" w:rsidRDefault="00EB2745" w:rsidP="0096347D">
      <w:pPr>
        <w:rPr>
          <w:rFonts w:eastAsiaTheme="minorHAnsi"/>
        </w:rPr>
      </w:pPr>
      <w:r>
        <w:rPr>
          <w:rFonts w:eastAsiaTheme="minorHAnsi"/>
        </w:rPr>
        <w:t>F</w:t>
      </w:r>
      <w:r w:rsidR="00FA693C">
        <w:rPr>
          <w:rFonts w:eastAsiaTheme="minorHAnsi"/>
        </w:rPr>
        <w:t xml:space="preserve">rom the mid-point of </w:t>
      </w:r>
      <w:r w:rsidR="00D37CA6">
        <w:rPr>
          <w:rFonts w:eastAsiaTheme="minorHAnsi"/>
        </w:rPr>
        <w:t xml:space="preserve">18-5(v), the Iona gas field is located 7 </w:t>
      </w:r>
      <w:r w:rsidR="00463658">
        <w:rPr>
          <w:rFonts w:eastAsiaTheme="minorHAnsi"/>
        </w:rPr>
        <w:t>km</w:t>
      </w:r>
      <w:r w:rsidR="00D37CA6">
        <w:rPr>
          <w:rFonts w:eastAsiaTheme="minorHAnsi"/>
        </w:rPr>
        <w:t xml:space="preserve"> to the north, and to the south, the Minerva gas field. Iona had an initial recoverable reserve of 19 BCF </w:t>
      </w:r>
      <w:r w:rsidR="008F2AEE">
        <w:rPr>
          <w:rFonts w:eastAsiaTheme="minorHAnsi"/>
        </w:rPr>
        <w:t>and the Minerva field, 558 In-place BCF</w:t>
      </w:r>
      <w:r w:rsidR="009E051D">
        <w:rPr>
          <w:rFonts w:eastAsiaTheme="minorHAnsi"/>
        </w:rPr>
        <w:t xml:space="preserve"> </w:t>
      </w:r>
      <w:r w:rsidR="008F2AEE">
        <w:rPr>
          <w:rFonts w:eastAsiaTheme="minorHAnsi"/>
        </w:rPr>
        <w:t>(Mehin &amp; Kamel, 2002). The depleted Iona field is now used for</w:t>
      </w:r>
      <w:r w:rsidR="00D37CA6">
        <w:rPr>
          <w:rFonts w:eastAsiaTheme="minorHAnsi"/>
        </w:rPr>
        <w:t xml:space="preserve"> gas storage</w:t>
      </w:r>
      <w:r w:rsidR="008F2AEE">
        <w:rPr>
          <w:rFonts w:eastAsiaTheme="minorHAnsi"/>
        </w:rPr>
        <w:t>, whilst</w:t>
      </w:r>
      <w:r w:rsidR="00D37CA6">
        <w:rPr>
          <w:rFonts w:eastAsiaTheme="minorHAnsi"/>
        </w:rPr>
        <w:t xml:space="preserve"> </w:t>
      </w:r>
      <w:r w:rsidR="00830111">
        <w:rPr>
          <w:rFonts w:eastAsiaTheme="minorHAnsi"/>
        </w:rPr>
        <w:t xml:space="preserve">production from </w:t>
      </w:r>
      <w:r w:rsidR="00D37CA6">
        <w:rPr>
          <w:rFonts w:eastAsiaTheme="minorHAnsi"/>
        </w:rPr>
        <w:t xml:space="preserve">Minerva </w:t>
      </w:r>
      <w:r w:rsidR="00830111">
        <w:rPr>
          <w:rFonts w:eastAsiaTheme="minorHAnsi"/>
        </w:rPr>
        <w:t>continues.</w:t>
      </w:r>
    </w:p>
    <w:p w14:paraId="03207F21" w14:textId="77777777" w:rsidR="00273897" w:rsidRDefault="00273897" w:rsidP="0096347D">
      <w:pPr>
        <w:rPr>
          <w:rFonts w:eastAsiaTheme="minorHAnsi"/>
        </w:rPr>
      </w:pPr>
      <w:r>
        <w:rPr>
          <w:rFonts w:eastAsiaTheme="minorHAnsi"/>
          <w:noProof/>
          <w:lang w:eastAsia="en-AU"/>
        </w:rPr>
        <w:drawing>
          <wp:inline distT="0" distB="0" distL="0" distR="0" wp14:anchorId="04A8F4E7" wp14:editId="60C7F77D">
            <wp:extent cx="3905250" cy="3058178"/>
            <wp:effectExtent l="0" t="0" r="0" b="8890"/>
            <wp:docPr id="13" name="Picture 13" descr="G:\ER\ERPP\GSV\Systems\Projects\2017_2018\gsv0108_Acreage_release_2018\output\maps\gsv0108_acreage_release_2018_GAZETTE_Colour_MAP3_02May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RPP\GSV\Systems\Projects\2017_2018\gsv0108_Acreage_release_2018\output\maps\gsv0108_acreage_release_2018_GAZETTE_Colour_MAP3_02May2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8556" cy="3060767"/>
                    </a:xfrm>
                    <a:prstGeom prst="rect">
                      <a:avLst/>
                    </a:prstGeom>
                    <a:noFill/>
                    <a:ln>
                      <a:noFill/>
                    </a:ln>
                  </pic:spPr>
                </pic:pic>
              </a:graphicData>
            </a:graphic>
          </wp:inline>
        </w:drawing>
      </w:r>
    </w:p>
    <w:p w14:paraId="10B9B56F" w14:textId="50AF854C" w:rsidR="00855AB3" w:rsidRDefault="00DE16E3" w:rsidP="00185723">
      <w:pPr>
        <w:pStyle w:val="Caption"/>
        <w:rPr>
          <w:rFonts w:eastAsiaTheme="minorHAnsi"/>
        </w:rPr>
      </w:pPr>
      <w:bookmarkStart w:id="28" w:name="_Toc513629360"/>
      <w:r>
        <w:t xml:space="preserve">Figure </w:t>
      </w:r>
      <w:r w:rsidR="00A004A8">
        <w:fldChar w:fldCharType="begin"/>
      </w:r>
      <w:r w:rsidR="00A004A8">
        <w:instrText xml:space="preserve"> SEQ Figure \* ARABIC </w:instrText>
      </w:r>
      <w:r w:rsidR="00A004A8">
        <w:fldChar w:fldCharType="separate"/>
      </w:r>
      <w:r w:rsidR="00DE2AC3">
        <w:rPr>
          <w:noProof/>
        </w:rPr>
        <w:t>6</w:t>
      </w:r>
      <w:r w:rsidR="00A004A8">
        <w:rPr>
          <w:noProof/>
        </w:rPr>
        <w:fldChar w:fldCharType="end"/>
      </w:r>
      <w:r>
        <w:t xml:space="preserve"> Location of area 18-5(v) and graticular blocks</w:t>
      </w:r>
      <w:bookmarkEnd w:id="28"/>
      <w:r w:rsidR="00855AB3">
        <w:rPr>
          <w:rFonts w:eastAsiaTheme="minorHAnsi"/>
        </w:rPr>
        <w:br w:type="page"/>
      </w:r>
    </w:p>
    <w:p w14:paraId="3F722FC1" w14:textId="77777777" w:rsidR="000F1D43" w:rsidRDefault="00D75914" w:rsidP="007E6B02">
      <w:pPr>
        <w:pStyle w:val="Heading1"/>
      </w:pPr>
      <w:bookmarkStart w:id="29" w:name="_Toc511491014"/>
      <w:bookmarkStart w:id="30" w:name="_Toc511491104"/>
      <w:bookmarkStart w:id="31" w:name="_Toc512851926"/>
      <w:bookmarkStart w:id="32" w:name="_Toc513813349"/>
      <w:bookmarkEnd w:id="29"/>
      <w:bookmarkEnd w:id="30"/>
      <w:bookmarkEnd w:id="31"/>
      <w:r>
        <w:lastRenderedPageBreak/>
        <w:t>Data</w:t>
      </w:r>
      <w:r w:rsidR="0025629E">
        <w:t xml:space="preserve"> and information</w:t>
      </w:r>
      <w:bookmarkEnd w:id="32"/>
    </w:p>
    <w:p w14:paraId="1A9ED416" w14:textId="4ACFE564" w:rsidR="0025629E" w:rsidRDefault="006256C5" w:rsidP="000F1D43">
      <w:pPr>
        <w:pStyle w:val="bodyCopy"/>
      </w:pPr>
      <w:r>
        <w:t>Access to o</w:t>
      </w:r>
      <w:r w:rsidR="000F1D43">
        <w:t>nline resources, direct client contact</w:t>
      </w:r>
      <w:r>
        <w:t xml:space="preserve"> with geoscience information officers</w:t>
      </w:r>
      <w:r w:rsidR="000F1D43">
        <w:t xml:space="preserve"> and physical resources such as </w:t>
      </w:r>
      <w:r>
        <w:t xml:space="preserve">the Werribee core library </w:t>
      </w:r>
      <w:r w:rsidR="000F1D43">
        <w:t xml:space="preserve">are available via </w:t>
      </w:r>
      <w:r w:rsidR="0040610A">
        <w:t>GSV</w:t>
      </w:r>
      <w:r w:rsidR="000F1D43">
        <w:t>.</w:t>
      </w:r>
      <w:r>
        <w:t xml:space="preserve"> Although some data and information for offshore Commonwealth Waters can be accessed via Victoria’s Earth Resources online portals as summarised below, most offshore resources are available via Geoscience Australia’s</w:t>
      </w:r>
      <w:r w:rsidR="0040610A">
        <w:t xml:space="preserve"> (GA’s</w:t>
      </w:r>
      <w:r>
        <w:t xml:space="preserve"> National Offshore Petroleum Information Management System (NOPIMS) at </w:t>
      </w:r>
      <w:hyperlink r:id="rId24" w:history="1">
        <w:r w:rsidRPr="0040610A">
          <w:rPr>
            <w:rStyle w:val="Hyperlink"/>
          </w:rPr>
          <w:t>http://www.ga.gov.au/nopims</w:t>
        </w:r>
      </w:hyperlink>
      <w:r>
        <w:t>.</w:t>
      </w:r>
    </w:p>
    <w:p w14:paraId="5A3B02B8" w14:textId="77777777" w:rsidR="00D75914" w:rsidRDefault="0025629E" w:rsidP="00A865EF">
      <w:pPr>
        <w:pStyle w:val="Heading2"/>
      </w:pPr>
      <w:bookmarkStart w:id="33" w:name="_Toc513813350"/>
      <w:r>
        <w:t>Data c</w:t>
      </w:r>
      <w:r w:rsidR="00D75914">
        <w:t>overage</w:t>
      </w:r>
      <w:r w:rsidR="003508BB">
        <w:t xml:space="preserve"> and access</w:t>
      </w:r>
      <w:bookmarkEnd w:id="33"/>
    </w:p>
    <w:p w14:paraId="24E42590" w14:textId="77777777" w:rsidR="00B225B6" w:rsidRDefault="00B225B6" w:rsidP="00FA20E0">
      <w:pPr>
        <w:pStyle w:val="bodyCopy"/>
      </w:pPr>
      <w:r>
        <w:t xml:space="preserve">No wells have been drilled within the boundaries of areas 18-1(v) to 18-5(v). Limited seismic data has been acquired, with the majority of lines </w:t>
      </w:r>
      <w:r w:rsidR="000F1D43">
        <w:t>crossing</w:t>
      </w:r>
      <w:r>
        <w:t xml:space="preserve"> into Victorian State coastal waters from offshore surveys in Commonwealth waters.</w:t>
      </w:r>
    </w:p>
    <w:p w14:paraId="5F81BB2F" w14:textId="77777777" w:rsidR="00FA20E0" w:rsidRDefault="00FA20E0" w:rsidP="00FA20E0">
      <w:pPr>
        <w:pStyle w:val="bodyCopy"/>
      </w:pPr>
      <w:r>
        <w:t xml:space="preserve">Well </w:t>
      </w:r>
      <w:r w:rsidR="000F1D43">
        <w:t xml:space="preserve">and borehole </w:t>
      </w:r>
      <w:r>
        <w:t xml:space="preserve">details </w:t>
      </w:r>
      <w:r w:rsidR="00B225B6">
        <w:t xml:space="preserve">from areas adjacent to the 2018 acreage release blocks </w:t>
      </w:r>
      <w:r>
        <w:t xml:space="preserve">are </w:t>
      </w:r>
      <w:r w:rsidR="00B225B6">
        <w:t>listed</w:t>
      </w:r>
      <w:r>
        <w:t xml:space="preserve"> in </w:t>
      </w:r>
      <w:hyperlink w:anchor="_Appendix_1_" w:history="1">
        <w:r w:rsidRPr="001F7554">
          <w:rPr>
            <w:rStyle w:val="Hyperlink"/>
            <w:u w:val="none"/>
          </w:rPr>
          <w:t>Appendix 1</w:t>
        </w:r>
      </w:hyperlink>
      <w:r>
        <w:t xml:space="preserve"> and details of the seismic surveys in </w:t>
      </w:r>
      <w:hyperlink w:anchor="_Appendix_2_" w:history="1">
        <w:r w:rsidRPr="001F7554">
          <w:rPr>
            <w:rStyle w:val="Hyperlink"/>
            <w:u w:val="none"/>
          </w:rPr>
          <w:t>Appendix 2</w:t>
        </w:r>
      </w:hyperlink>
      <w:r>
        <w:t>.</w:t>
      </w:r>
    </w:p>
    <w:p w14:paraId="0EF6EAEB" w14:textId="77777777" w:rsidR="0067577D" w:rsidRDefault="0067577D" w:rsidP="00B225B6">
      <w:pPr>
        <w:pStyle w:val="Heading3"/>
      </w:pPr>
      <w:r>
        <w:t>Well data</w:t>
      </w:r>
    </w:p>
    <w:p w14:paraId="319F01FA" w14:textId="24A00C6A" w:rsidR="00B225B6" w:rsidRDefault="000377DF" w:rsidP="00B225B6">
      <w:pPr>
        <w:pStyle w:val="bodyCopy"/>
      </w:pPr>
      <w:r>
        <w:t>Two online resources are available for well data access</w:t>
      </w:r>
      <w:r w:rsidR="00F42A7A">
        <w:t>:</w:t>
      </w:r>
      <w:r>
        <w:t xml:space="preserve"> GeoVic</w:t>
      </w:r>
      <w:r w:rsidR="0040610A">
        <w:t>, GSV’s</w:t>
      </w:r>
      <w:r>
        <w:t xml:space="preserve"> interactive mapping tool and external web</w:t>
      </w:r>
      <w:r w:rsidR="000F1D43">
        <w:t xml:space="preserve"> </w:t>
      </w:r>
      <w:r>
        <w:t>links.</w:t>
      </w:r>
    </w:p>
    <w:p w14:paraId="3C1BAE09" w14:textId="3CB759A2" w:rsidR="00F42A7A" w:rsidRDefault="00F42A7A" w:rsidP="00F42A7A">
      <w:pPr>
        <w:pStyle w:val="bodyCopy"/>
      </w:pPr>
      <w:r w:rsidRPr="00F42A7A">
        <w:t>Through GeoVic</w:t>
      </w:r>
      <w:r w:rsidR="00611DE3">
        <w:t xml:space="preserve"> </w:t>
      </w:r>
      <w:hyperlink r:id="rId25" w:history="1">
        <w:r w:rsidR="0040610A" w:rsidRPr="0040610A">
          <w:rPr>
            <w:rStyle w:val="Hyperlink"/>
          </w:rPr>
          <w:t>http://earthresources.vic.gov.au/earth-resources/maps-reports-and-data/geovic</w:t>
        </w:r>
      </w:hyperlink>
      <w:r w:rsidRPr="00F42A7A">
        <w:t>, borehole o</w:t>
      </w:r>
      <w:r>
        <w:t>r well names can be entered via the</w:t>
      </w:r>
      <w:r w:rsidRPr="00F42A7A">
        <w:t xml:space="preserve"> search </w:t>
      </w:r>
      <w:r>
        <w:t xml:space="preserve">function </w:t>
      </w:r>
      <w:r w:rsidRPr="00F42A7A">
        <w:t xml:space="preserve">to </w:t>
      </w:r>
      <w:r>
        <w:t>display their location</w:t>
      </w:r>
      <w:r w:rsidRPr="00F42A7A">
        <w:t xml:space="preserve"> on </w:t>
      </w:r>
      <w:r>
        <w:t xml:space="preserve">the </w:t>
      </w:r>
      <w:r w:rsidRPr="00F42A7A">
        <w:t>map of Victoria. Select</w:t>
      </w:r>
      <w:r>
        <w:t>ing</w:t>
      </w:r>
      <w:r w:rsidRPr="00F42A7A">
        <w:t xml:space="preserve"> the well/bore </w:t>
      </w:r>
      <w:r>
        <w:t>and using</w:t>
      </w:r>
      <w:r w:rsidRPr="00F42A7A">
        <w:t xml:space="preserve"> the information tool </w:t>
      </w:r>
      <w:r>
        <w:t>will provide</w:t>
      </w:r>
      <w:r w:rsidRPr="00F42A7A">
        <w:t xml:space="preserve"> access </w:t>
      </w:r>
      <w:r>
        <w:t xml:space="preserve">to </w:t>
      </w:r>
      <w:r w:rsidRPr="00F42A7A">
        <w:t>data</w:t>
      </w:r>
      <w:r>
        <w:t>, such as lithology descriptions, stratigraphic information, and core/cuttings availability.</w:t>
      </w:r>
    </w:p>
    <w:p w14:paraId="0CF05D6C" w14:textId="7FA1E3C8" w:rsidR="0067577D" w:rsidRPr="000F1D43" w:rsidRDefault="000F1D43">
      <w:pPr>
        <w:pStyle w:val="bodyCopy"/>
      </w:pPr>
      <w:r>
        <w:t>An e</w:t>
      </w:r>
      <w:r w:rsidR="00F42A7A" w:rsidRPr="00EB051E">
        <w:t xml:space="preserve">xternal web link to Otway Basin petroleum wells, provides users with access to </w:t>
      </w:r>
      <w:r w:rsidR="00EB051E" w:rsidRPr="00EB051E">
        <w:t xml:space="preserve">original files submitted to the Victorian Government by </w:t>
      </w:r>
      <w:r w:rsidR="00EB051E">
        <w:t xml:space="preserve">exploration </w:t>
      </w:r>
      <w:r w:rsidR="00EB051E" w:rsidRPr="00EB051E">
        <w:t>companies</w:t>
      </w:r>
      <w:r w:rsidR="00EB051E">
        <w:t xml:space="preserve">. </w:t>
      </w:r>
      <w:r w:rsidR="00EB051E" w:rsidRPr="00EB051E">
        <w:t xml:space="preserve">For each petroleum well listed on this page, summary well data including depths and formation tops and further links to original company submitted documents </w:t>
      </w:r>
      <w:r w:rsidR="00EB051E">
        <w:t xml:space="preserve">and data </w:t>
      </w:r>
      <w:r w:rsidR="00EB051E" w:rsidRPr="00EB051E">
        <w:t xml:space="preserve">may be viewed/accessed </w:t>
      </w:r>
      <w:r>
        <w:t xml:space="preserve">via </w:t>
      </w:r>
      <w:hyperlink r:id="rId26" w:history="1">
        <w:r w:rsidRPr="0040610A">
          <w:rPr>
            <w:rStyle w:val="Hyperlink"/>
            <w:rFonts w:eastAsiaTheme="minorHAnsi"/>
          </w:rPr>
          <w:t>http://geology.data.vic.gov.au/energy/index.html</w:t>
        </w:r>
      </w:hyperlink>
      <w:r w:rsidR="00EB051E" w:rsidRPr="000F1D43">
        <w:t>.</w:t>
      </w:r>
    </w:p>
    <w:p w14:paraId="7C3CBD04" w14:textId="77777777" w:rsidR="0067577D" w:rsidRDefault="0067577D" w:rsidP="00B225B6">
      <w:pPr>
        <w:pStyle w:val="Heading3"/>
      </w:pPr>
      <w:r>
        <w:t>Seismic surveys</w:t>
      </w:r>
    </w:p>
    <w:p w14:paraId="412C38EA" w14:textId="3C10518D" w:rsidR="0067577D" w:rsidRPr="000F1D43" w:rsidRDefault="000F1D43" w:rsidP="000F1D43">
      <w:pPr>
        <w:pStyle w:val="bodyCopy"/>
      </w:pPr>
      <w:r w:rsidRPr="000F1D43">
        <w:t xml:space="preserve">The external web link </w:t>
      </w:r>
      <w:hyperlink r:id="rId27" w:history="1">
        <w:r w:rsidR="0040610A" w:rsidRPr="0040610A">
          <w:rPr>
            <w:rStyle w:val="Hyperlink"/>
            <w:rFonts w:eastAsiaTheme="minorHAnsi"/>
          </w:rPr>
          <w:t>http://geology.data.vic.gov.au/energy/index.html</w:t>
        </w:r>
      </w:hyperlink>
      <w:r w:rsidR="0040610A">
        <w:rPr>
          <w:rFonts w:eastAsiaTheme="minorHAnsi"/>
        </w:rPr>
        <w:t xml:space="preserve"> </w:t>
      </w:r>
      <w:r w:rsidRPr="000F1D43">
        <w:rPr>
          <w:rFonts w:eastAsiaTheme="minorHAnsi"/>
        </w:rPr>
        <w:t xml:space="preserve">provides access to </w:t>
      </w:r>
      <w:r>
        <w:rPr>
          <w:rFonts w:eastAsiaTheme="minorHAnsi"/>
        </w:rPr>
        <w:t>seismic surveys</w:t>
      </w:r>
      <w:r w:rsidR="006256C5">
        <w:rPr>
          <w:rFonts w:eastAsiaTheme="minorHAnsi"/>
        </w:rPr>
        <w:t xml:space="preserve"> acquired in the Otway Basin. Some seismic survey reports and data </w:t>
      </w:r>
      <w:r w:rsidR="004727D2">
        <w:rPr>
          <w:rFonts w:eastAsiaTheme="minorHAnsi"/>
        </w:rPr>
        <w:t xml:space="preserve">can be downloaded directly from this site. For onshore data, explorers can contact GSV’s Petroleum Geoscience Information officers: </w:t>
      </w:r>
      <w:r w:rsidR="004727D2" w:rsidRPr="004727D2">
        <w:rPr>
          <w:rFonts w:eastAsiaTheme="minorHAnsi"/>
        </w:rPr>
        <w:t>terry.smith@ecodev.vic.gov.au</w:t>
      </w:r>
      <w:r w:rsidR="004727D2">
        <w:rPr>
          <w:rFonts w:eastAsiaTheme="minorHAnsi"/>
        </w:rPr>
        <w:t xml:space="preserve"> and </w:t>
      </w:r>
      <w:r w:rsidR="004727D2" w:rsidRPr="004727D2">
        <w:rPr>
          <w:rFonts w:eastAsiaTheme="minorHAnsi"/>
        </w:rPr>
        <w:t>kusum.gunatillake@ecodev.vic.gov.au</w:t>
      </w:r>
      <w:r w:rsidR="004727D2">
        <w:rPr>
          <w:rFonts w:eastAsiaTheme="minorHAnsi"/>
        </w:rPr>
        <w:t xml:space="preserve">. For offshore, explorers are directed to access the NOPIMS site. </w:t>
      </w:r>
    </w:p>
    <w:p w14:paraId="58904997" w14:textId="77777777" w:rsidR="0067577D" w:rsidRDefault="0067577D" w:rsidP="00B225B6">
      <w:pPr>
        <w:pStyle w:val="Heading3"/>
      </w:pPr>
      <w:r>
        <w:t>Geophysical surveys</w:t>
      </w:r>
    </w:p>
    <w:p w14:paraId="326404DE" w14:textId="77777777" w:rsidR="001C348F" w:rsidRDefault="001C348F" w:rsidP="001C348F">
      <w:r w:rsidRPr="007732D9">
        <w:t xml:space="preserve">Otway Basin </w:t>
      </w:r>
      <w:r>
        <w:t>acreage release areas are covered by high quality airborne magnetic data and very limited marine gravity data.</w:t>
      </w:r>
    </w:p>
    <w:p w14:paraId="421B786A" w14:textId="7FA662E6" w:rsidR="001C348F" w:rsidRDefault="001C348F" w:rsidP="001C348F">
      <w:r>
        <w:t>The airborne magnetic data was acquired in 1994 at 500 m line spacing for AGSO/GSV/SADME as the Offshore Otway Basin Survey. The location and extent of the survey is shown in GSV’s Digital Airborne Geophysical Survey Index, found as a layer in GeoVic. The index also contains brief survey metadata.</w:t>
      </w:r>
      <w:r w:rsidRPr="00CA6A7A">
        <w:t xml:space="preserve"> </w:t>
      </w:r>
      <w:r>
        <w:t xml:space="preserve">The survey data and grids are available from </w:t>
      </w:r>
      <w:r w:rsidR="0040610A">
        <w:t>GA’</w:t>
      </w:r>
      <w:r>
        <w:t xml:space="preserve">s Geophysical Archive Data Delivery System </w:t>
      </w:r>
      <w:hyperlink r:id="rId28" w:history="1">
        <w:r w:rsidRPr="00923EBB">
          <w:rPr>
            <w:rStyle w:val="Hyperlink"/>
          </w:rPr>
          <w:t>www.geoscience.gov.au/gadds</w:t>
        </w:r>
      </w:hyperlink>
      <w:r>
        <w:t>.</w:t>
      </w:r>
    </w:p>
    <w:p w14:paraId="32E74417" w14:textId="43628724" w:rsidR="001C348F" w:rsidRDefault="001C348F" w:rsidP="001C348F">
      <w:r>
        <w:lastRenderedPageBreak/>
        <w:t>Gravity data across the acreage release areas is almost non-existent. A few ship tracks pass through the areas and data was acquired by ships entering and leaving the Port of Portland. In deeper water, gravity data has been acquired along irregular, widely-spaced ship</w:t>
      </w:r>
      <w:r w:rsidR="0016612F">
        <w:t xml:space="preserve"> </w:t>
      </w:r>
      <w:r>
        <w:t xml:space="preserve">tracks and in association with 3D seismic surveys. Onshore, </w:t>
      </w:r>
      <w:r w:rsidR="0040610A">
        <w:t>GSV</w:t>
      </w:r>
      <w:r>
        <w:t xml:space="preserve"> and </w:t>
      </w:r>
      <w:r w:rsidR="0040610A">
        <w:t>GA</w:t>
      </w:r>
      <w:r>
        <w:t xml:space="preserve"> acquired ground gravity data along roads as part of a program to achieve semi-regional (1.5 km nominal station spacing) gravity coverage</w:t>
      </w:r>
      <w:r w:rsidRPr="000537D2">
        <w:t xml:space="preserve"> </w:t>
      </w:r>
      <w:r>
        <w:t xml:space="preserve">across Victoria. Detailed ground gravity data has been acquired along lines and grids by companies at station spacings ranging from 100 to 800 m. The onshore gravity survey data and grids are available from </w:t>
      </w:r>
      <w:r w:rsidR="0040610A">
        <w:t>GA’s</w:t>
      </w:r>
      <w:r>
        <w:t xml:space="preserve"> Geophysical Archive Data Delivery System </w:t>
      </w:r>
      <w:hyperlink r:id="rId29" w:history="1">
        <w:r w:rsidRPr="00923EBB">
          <w:rPr>
            <w:rStyle w:val="Hyperlink"/>
          </w:rPr>
          <w:t>www.geoscience.gov.au/gadds</w:t>
        </w:r>
      </w:hyperlink>
      <w:r>
        <w:t>.</w:t>
      </w:r>
    </w:p>
    <w:p w14:paraId="6D2BE811" w14:textId="35E756F5" w:rsidR="00CB0CC0" w:rsidRDefault="001C348F" w:rsidP="001C348F">
      <w:pPr>
        <w:pStyle w:val="bodyCopy"/>
      </w:pPr>
      <w:r>
        <w:t>A gravity grid published in 2009 that combines offshore Free</w:t>
      </w:r>
      <w:r w:rsidR="00D85D1A">
        <w:t xml:space="preserve"> </w:t>
      </w:r>
      <w:r>
        <w:t xml:space="preserve">air gravity derived from satellite altimetry and onshore Bouguer gravity from onshore observations is available from </w:t>
      </w:r>
      <w:r w:rsidR="0040610A">
        <w:t>GA</w:t>
      </w:r>
      <w:r>
        <w:t xml:space="preserve"> at </w:t>
      </w:r>
      <w:hyperlink r:id="rId30" w:history="1">
        <w:r w:rsidRPr="00923EBB">
          <w:rPr>
            <w:rStyle w:val="Hyperlink"/>
          </w:rPr>
          <w:t>https://data.gov.au/dataset/gravity-anomaly-grid-of-the-australian-region-2009/resource/29994acd-8e66-4be0-aff9-6b53e478c428</w:t>
        </w:r>
      </w:hyperlink>
      <w:r>
        <w:t>.</w:t>
      </w:r>
    </w:p>
    <w:p w14:paraId="4872B97B" w14:textId="77777777" w:rsidR="009F082E" w:rsidRDefault="009F082E" w:rsidP="001C348F">
      <w:pPr>
        <w:pStyle w:val="bodyCopy"/>
      </w:pPr>
      <w:r>
        <w:t xml:space="preserve">FitzGerald </w:t>
      </w:r>
      <w:r w:rsidRPr="00611DE3">
        <w:rPr>
          <w:i/>
        </w:rPr>
        <w:t xml:space="preserve">et al </w:t>
      </w:r>
      <w:r w:rsidRPr="009F082E">
        <w:t xml:space="preserve">(2009) produced grids of levelled marine and ground gravity data as part of a project to calculate isostatic and decompensative corrections for Victoria and surrounds. The report and data package is available from GSV’s online store at </w:t>
      </w:r>
      <w:hyperlink r:id="rId31" w:history="1">
        <w:r w:rsidRPr="009F082E">
          <w:rPr>
            <w:rStyle w:val="Hyperlink"/>
          </w:rPr>
          <w:t>http://earthresources.vic.gov.au/earth-resources/maps-reports-and-data</w:t>
        </w:r>
      </w:hyperlink>
      <w:r w:rsidRPr="009F082E">
        <w:t xml:space="preserve">. A gravity grid published in 2009 that combines offshore Freeair gravity derived from satellite altimetry and onshore Bouguer gravity from onshore observations is available from GA at </w:t>
      </w:r>
      <w:hyperlink r:id="rId32" w:history="1">
        <w:r w:rsidRPr="009F082E">
          <w:rPr>
            <w:rStyle w:val="Hyperlink"/>
          </w:rPr>
          <w:t>https://data.gov.au/dataset/gravity-anomaly-grid-of-the-australian-region-2009/resource/29994acd-8e66-4be0-aff9-6b53e478c428</w:t>
        </w:r>
      </w:hyperlink>
      <w:r w:rsidRPr="009F082E">
        <w:t xml:space="preserve">.  </w:t>
      </w:r>
    </w:p>
    <w:p w14:paraId="74426D56" w14:textId="77777777" w:rsidR="00D77393" w:rsidRDefault="007A5398" w:rsidP="00D77393">
      <w:pPr>
        <w:pStyle w:val="Heading2"/>
      </w:pPr>
      <w:bookmarkStart w:id="34" w:name="_Toc513813351"/>
      <w:r>
        <w:t>F</w:t>
      </w:r>
      <w:r w:rsidR="0067577D">
        <w:t>urther information</w:t>
      </w:r>
      <w:bookmarkEnd w:id="34"/>
    </w:p>
    <w:p w14:paraId="33696B49" w14:textId="3CFF7149" w:rsidR="0067577D" w:rsidRDefault="0067577D" w:rsidP="001F7554">
      <w:pPr>
        <w:pStyle w:val="bodyCopy"/>
      </w:pPr>
      <w:r w:rsidRPr="001912B6">
        <w:t xml:space="preserve">A range of pre-competitive geoscience data is available from </w:t>
      </w:r>
      <w:r w:rsidR="0040610A">
        <w:t>GSV</w:t>
      </w:r>
      <w:r w:rsidR="001912B6">
        <w:t xml:space="preserve">. Reports and datasets are available </w:t>
      </w:r>
      <w:r w:rsidR="00B11F19">
        <w:t xml:space="preserve">for download </w:t>
      </w:r>
      <w:r w:rsidR="001912B6">
        <w:t xml:space="preserve">from the Earth Resources </w:t>
      </w:r>
      <w:r w:rsidRPr="001912B6">
        <w:t xml:space="preserve">online </w:t>
      </w:r>
      <w:r w:rsidR="001912B6">
        <w:t xml:space="preserve">store </w:t>
      </w:r>
      <w:hyperlink r:id="rId33" w:history="1">
        <w:r w:rsidR="0016612F" w:rsidRPr="0016612F">
          <w:rPr>
            <w:rStyle w:val="Hyperlink"/>
          </w:rPr>
          <w:t>http://earthresources.efirst.com.au/</w:t>
        </w:r>
      </w:hyperlink>
      <w:r w:rsidR="0016612F">
        <w:t>.</w:t>
      </w:r>
    </w:p>
    <w:p w14:paraId="6E45B0D9" w14:textId="2EA9CB12" w:rsidR="001912B6" w:rsidRDefault="00DC1DC8" w:rsidP="00581EF4">
      <w:pPr>
        <w:pStyle w:val="bodyCopy"/>
      </w:pPr>
      <w:r>
        <w:t xml:space="preserve">During the 1990s and into the 2000s, </w:t>
      </w:r>
      <w:r w:rsidR="0016612F">
        <w:t>GSV</w:t>
      </w:r>
      <w:r>
        <w:t xml:space="preserve"> undertook regional geoscience </w:t>
      </w:r>
      <w:r w:rsidRPr="00DC1DC8">
        <w:t>programs and acquired new data as part of the</w:t>
      </w:r>
      <w:r w:rsidR="000E1324" w:rsidRPr="00DC1DC8">
        <w:t xml:space="preserve"> Victorian Initiative for Petroleum and Minerals </w:t>
      </w:r>
      <w:r w:rsidRPr="00DC1DC8">
        <w:t xml:space="preserve">(VIMP). </w:t>
      </w:r>
      <w:r>
        <w:t>As part of VIMP, p</w:t>
      </w:r>
      <w:r w:rsidR="000E1324" w:rsidRPr="00DC1DC8">
        <w:t>etroleum exploration initiatives involved detailed studies of the regional geology of the Gippsland and Otway basins to assess the remaining hydrocarbon potential of these provinces.</w:t>
      </w:r>
      <w:r>
        <w:t xml:space="preserve"> Numerous detailed technical studies were completed, covering the onshore and offshore Otway Basin. These reports can be accessed via the online store&gt;Reports&gt;</w:t>
      </w:r>
      <w:r w:rsidRPr="00DC1DC8">
        <w:t>Victorian Initiative for Minerals and Petroleum Reports</w:t>
      </w:r>
      <w:r>
        <w:t>.</w:t>
      </w:r>
    </w:p>
    <w:p w14:paraId="029E732A" w14:textId="77777777" w:rsidR="000E1324" w:rsidRPr="005F679D" w:rsidRDefault="00DC1DC8" w:rsidP="005F679D">
      <w:pPr>
        <w:pStyle w:val="bodyCopy"/>
        <w:rPr>
          <w:rStyle w:val="productdescription1"/>
          <w:rFonts w:ascii="Arial" w:hAnsi="Arial"/>
          <w:sz w:val="20"/>
          <w:szCs w:val="20"/>
        </w:rPr>
      </w:pPr>
      <w:r w:rsidRPr="005F679D">
        <w:t xml:space="preserve">As part of VIMP, the Petroleum Atlas of Victoria (Woollands &amp; Wong, 2001) was compiled. </w:t>
      </w:r>
      <w:r w:rsidR="000E1324" w:rsidRPr="005F679D">
        <w:rPr>
          <w:rStyle w:val="productdescription1"/>
          <w:rFonts w:ascii="Arial" w:hAnsi="Arial"/>
          <w:sz w:val="20"/>
          <w:szCs w:val="20"/>
        </w:rPr>
        <w:t>The atlas contains a compilation of regional maps and images that summarise the geological and geophysical framework of the hydrocarbon occurrences, and provide an overview of oil and gas exploration in the State.</w:t>
      </w:r>
      <w:r w:rsidRPr="005F679D">
        <w:rPr>
          <w:rStyle w:val="productdescription1"/>
          <w:rFonts w:ascii="Arial" w:hAnsi="Arial"/>
          <w:sz w:val="20"/>
          <w:szCs w:val="20"/>
        </w:rPr>
        <w:t xml:space="preserve"> The atlas was designed as an introductory guide to new explorers and a reference book for those with previous experience in these basins, as well as general interest in the petroleum geology of the State</w:t>
      </w:r>
      <w:r w:rsidR="00B11F19" w:rsidRPr="005F679D">
        <w:rPr>
          <w:rStyle w:val="productdescription1"/>
          <w:rFonts w:ascii="Arial" w:hAnsi="Arial"/>
          <w:sz w:val="20"/>
          <w:szCs w:val="20"/>
        </w:rPr>
        <w:t xml:space="preserve">. </w:t>
      </w:r>
      <w:r w:rsidRPr="005F679D">
        <w:rPr>
          <w:rStyle w:val="productdescription1"/>
          <w:rFonts w:ascii="Arial" w:hAnsi="Arial"/>
          <w:sz w:val="20"/>
          <w:szCs w:val="20"/>
        </w:rPr>
        <w:t>This report is also available through the online store&gt;Special Publications.</w:t>
      </w:r>
    </w:p>
    <w:p w14:paraId="13B4CF54" w14:textId="77777777" w:rsidR="000E1324" w:rsidRPr="005F679D" w:rsidRDefault="00B11F19" w:rsidP="005F679D">
      <w:pPr>
        <w:pStyle w:val="bodyCopy"/>
      </w:pPr>
      <w:r w:rsidRPr="005F679D">
        <w:t>Report compilations including Otway Basin Published Papers (2001) and Victorian Petroleum Publications are also available (online store&gt;Reports&gt;Report compilations), along with various data compilations (online store&gt;Digital Data&gt;Petroleum Data Packages).</w:t>
      </w:r>
    </w:p>
    <w:p w14:paraId="1A827E6C" w14:textId="77777777" w:rsidR="0025629E" w:rsidRDefault="0025629E" w:rsidP="005F679D">
      <w:pPr>
        <w:pStyle w:val="bodyCopy"/>
      </w:pPr>
      <w:r>
        <w:br w:type="page"/>
      </w:r>
    </w:p>
    <w:p w14:paraId="1B38A27E" w14:textId="77777777" w:rsidR="006926CC" w:rsidRDefault="006926CC" w:rsidP="007C55E7">
      <w:pPr>
        <w:pStyle w:val="bodyCopy"/>
        <w:rPr>
          <w:i/>
        </w:rPr>
        <w:sectPr w:rsidR="006926CC" w:rsidSect="00AE51DB">
          <w:type w:val="oddPage"/>
          <w:pgSz w:w="11906" w:h="16838" w:code="9"/>
          <w:pgMar w:top="1440" w:right="1440" w:bottom="1440" w:left="1440" w:header="709" w:footer="136" w:gutter="0"/>
          <w:pgNumType w:start="1"/>
          <w:cols w:space="708"/>
          <w:titlePg/>
          <w:docGrid w:linePitch="360"/>
        </w:sectPr>
      </w:pPr>
      <w:bookmarkStart w:id="35" w:name="_Toc511491021"/>
      <w:bookmarkStart w:id="36" w:name="_Toc511491108"/>
      <w:bookmarkStart w:id="37" w:name="_Toc512851930"/>
      <w:bookmarkStart w:id="38" w:name="_Toc512946074"/>
      <w:bookmarkStart w:id="39" w:name="_Toc512946529"/>
      <w:bookmarkStart w:id="40" w:name="_Toc511491022"/>
      <w:bookmarkStart w:id="41" w:name="_Toc511491109"/>
      <w:bookmarkStart w:id="42" w:name="_Toc512851931"/>
      <w:bookmarkStart w:id="43" w:name="_Toc512946075"/>
      <w:bookmarkStart w:id="44" w:name="_Toc512946530"/>
      <w:bookmarkEnd w:id="35"/>
      <w:bookmarkEnd w:id="36"/>
      <w:bookmarkEnd w:id="37"/>
      <w:bookmarkEnd w:id="38"/>
      <w:bookmarkEnd w:id="39"/>
      <w:bookmarkEnd w:id="40"/>
      <w:bookmarkEnd w:id="41"/>
      <w:bookmarkEnd w:id="42"/>
      <w:bookmarkEnd w:id="43"/>
      <w:bookmarkEnd w:id="44"/>
    </w:p>
    <w:p w14:paraId="66BE8A85" w14:textId="77777777" w:rsidR="004371F6" w:rsidRDefault="003508BB" w:rsidP="0010760D">
      <w:pPr>
        <w:pStyle w:val="Heading1"/>
      </w:pPr>
      <w:bookmarkStart w:id="45" w:name="_Toc513813352"/>
      <w:r>
        <w:lastRenderedPageBreak/>
        <w:t>Special notes</w:t>
      </w:r>
      <w:bookmarkEnd w:id="45"/>
    </w:p>
    <w:p w14:paraId="36D50CD9" w14:textId="77777777" w:rsidR="00FA134D" w:rsidRDefault="003508BB" w:rsidP="00FA134D">
      <w:pPr>
        <w:pStyle w:val="Heading2"/>
      </w:pPr>
      <w:bookmarkStart w:id="46" w:name="_Toc513813353"/>
      <w:r>
        <w:t>Legislation</w:t>
      </w:r>
      <w:bookmarkEnd w:id="46"/>
    </w:p>
    <w:p w14:paraId="265AB654" w14:textId="77777777" w:rsidR="00AE75DD" w:rsidRDefault="00AE75DD" w:rsidP="00AE75DD">
      <w:pPr>
        <w:pStyle w:val="bodyCopy"/>
      </w:pPr>
      <w:r>
        <w:t>If a petroleum exploration permit is granted, applicants should be aware that before conducting any exploration activities they must be familiar with (and refer to) the following legislation:</w:t>
      </w:r>
    </w:p>
    <w:p w14:paraId="011171A9" w14:textId="77777777" w:rsidR="00AE75DD" w:rsidRPr="00AE75DD" w:rsidRDefault="00AE75DD" w:rsidP="00AE75DD">
      <w:pPr>
        <w:rPr>
          <w:i/>
        </w:rPr>
      </w:pPr>
      <w:r w:rsidRPr="00AE75DD">
        <w:rPr>
          <w:i/>
        </w:rPr>
        <w:t>Aboriginal Heritage Act 2006 (Vic)</w:t>
      </w:r>
    </w:p>
    <w:p w14:paraId="15421C44" w14:textId="77777777" w:rsidR="00AE75DD" w:rsidRPr="00AE75DD" w:rsidRDefault="00AE75DD" w:rsidP="00AE75DD">
      <w:pPr>
        <w:rPr>
          <w:i/>
        </w:rPr>
      </w:pPr>
      <w:r w:rsidRPr="00AE75DD">
        <w:rPr>
          <w:i/>
        </w:rPr>
        <w:t>Conservation, Forests and Lands Act 1987 (Vic)</w:t>
      </w:r>
    </w:p>
    <w:p w14:paraId="24431534" w14:textId="77777777" w:rsidR="00AE75DD" w:rsidRPr="00AE75DD" w:rsidRDefault="00AE75DD" w:rsidP="00AE75DD">
      <w:pPr>
        <w:rPr>
          <w:i/>
        </w:rPr>
      </w:pPr>
      <w:r w:rsidRPr="00AE75DD">
        <w:rPr>
          <w:i/>
        </w:rPr>
        <w:t>Catchment and Land Protection Act 1994 (Vic)</w:t>
      </w:r>
    </w:p>
    <w:p w14:paraId="3C912938" w14:textId="77777777" w:rsidR="00AE75DD" w:rsidRPr="00AE75DD" w:rsidRDefault="00AE75DD" w:rsidP="00AE75DD">
      <w:pPr>
        <w:rPr>
          <w:i/>
        </w:rPr>
      </w:pPr>
      <w:r w:rsidRPr="00AE75DD">
        <w:rPr>
          <w:i/>
        </w:rPr>
        <w:t>Coastal Management Act 1995 (Vic)</w:t>
      </w:r>
    </w:p>
    <w:p w14:paraId="27E729D1" w14:textId="77777777" w:rsidR="00AE75DD" w:rsidRPr="00AE75DD" w:rsidRDefault="00AE75DD" w:rsidP="00AE75DD">
      <w:pPr>
        <w:rPr>
          <w:i/>
        </w:rPr>
      </w:pPr>
      <w:r w:rsidRPr="00AE75DD">
        <w:rPr>
          <w:i/>
        </w:rPr>
        <w:t>Country Fire Authority Act 1958 (Vic)</w:t>
      </w:r>
    </w:p>
    <w:p w14:paraId="6A3BF843" w14:textId="77777777" w:rsidR="00AE75DD" w:rsidRPr="00AE75DD" w:rsidRDefault="00AE75DD" w:rsidP="00AE75DD">
      <w:pPr>
        <w:rPr>
          <w:i/>
        </w:rPr>
      </w:pPr>
      <w:r w:rsidRPr="00AE75DD">
        <w:rPr>
          <w:i/>
        </w:rPr>
        <w:t>Crown Land (Reserves) Act 1978 (Vic)</w:t>
      </w:r>
    </w:p>
    <w:p w14:paraId="19B00B2B" w14:textId="77777777" w:rsidR="00AE75DD" w:rsidRPr="00AE75DD" w:rsidRDefault="00AE75DD" w:rsidP="00AE75DD">
      <w:pPr>
        <w:rPr>
          <w:i/>
        </w:rPr>
      </w:pPr>
      <w:r w:rsidRPr="00AE75DD">
        <w:rPr>
          <w:i/>
        </w:rPr>
        <w:t>Dangerous Goods Act 1985 (Vic)</w:t>
      </w:r>
    </w:p>
    <w:p w14:paraId="11A92885" w14:textId="77777777" w:rsidR="00AE75DD" w:rsidRPr="00AE75DD" w:rsidRDefault="00AE75DD" w:rsidP="00AE75DD">
      <w:pPr>
        <w:rPr>
          <w:i/>
        </w:rPr>
      </w:pPr>
      <w:r w:rsidRPr="00AE75DD">
        <w:rPr>
          <w:i/>
        </w:rPr>
        <w:t>Environment Effects Act 1978 (Vic)</w:t>
      </w:r>
    </w:p>
    <w:p w14:paraId="21843D20" w14:textId="77777777" w:rsidR="00AE75DD" w:rsidRPr="00AE75DD" w:rsidRDefault="00AE75DD" w:rsidP="00AE75DD">
      <w:pPr>
        <w:rPr>
          <w:i/>
        </w:rPr>
      </w:pPr>
      <w:r w:rsidRPr="00AE75DD">
        <w:rPr>
          <w:i/>
        </w:rPr>
        <w:t>Environment Protection Act 1970 (Vic)</w:t>
      </w:r>
    </w:p>
    <w:p w14:paraId="6929C10D" w14:textId="77777777" w:rsidR="00AE75DD" w:rsidRPr="00AE75DD" w:rsidRDefault="00AE75DD" w:rsidP="00AE75DD">
      <w:pPr>
        <w:rPr>
          <w:i/>
        </w:rPr>
      </w:pPr>
      <w:r w:rsidRPr="00AE75DD">
        <w:rPr>
          <w:i/>
        </w:rPr>
        <w:t>Environment Protection and Biodiversity Conservation Act 1999 (C</w:t>
      </w:r>
      <w:r w:rsidR="00C2346A">
        <w:rPr>
          <w:i/>
        </w:rPr>
        <w:t>m</w:t>
      </w:r>
      <w:r w:rsidRPr="00AE75DD">
        <w:rPr>
          <w:i/>
        </w:rPr>
        <w:t xml:space="preserve">lth) </w:t>
      </w:r>
    </w:p>
    <w:p w14:paraId="01DFF40E" w14:textId="77777777" w:rsidR="00AE75DD" w:rsidRPr="00AE75DD" w:rsidRDefault="00AE75DD" w:rsidP="00AE75DD">
      <w:pPr>
        <w:rPr>
          <w:i/>
        </w:rPr>
      </w:pPr>
      <w:r w:rsidRPr="00AE75DD">
        <w:rPr>
          <w:i/>
        </w:rPr>
        <w:t>Flora and Fauna Guarantee Act 1988 (Vic)</w:t>
      </w:r>
    </w:p>
    <w:p w14:paraId="07A278E2" w14:textId="77777777" w:rsidR="00AE75DD" w:rsidRPr="00AE75DD" w:rsidRDefault="00AE75DD" w:rsidP="00AE75DD">
      <w:pPr>
        <w:rPr>
          <w:i/>
        </w:rPr>
      </w:pPr>
      <w:r w:rsidRPr="00AE75DD">
        <w:rPr>
          <w:i/>
        </w:rPr>
        <w:t>Heritage Act 2017 (Vic)</w:t>
      </w:r>
    </w:p>
    <w:p w14:paraId="7F0427A1" w14:textId="77777777" w:rsidR="00AE75DD" w:rsidRPr="00AE75DD" w:rsidRDefault="00AE75DD" w:rsidP="00AE75DD">
      <w:pPr>
        <w:rPr>
          <w:i/>
        </w:rPr>
      </w:pPr>
      <w:r w:rsidRPr="00AE75DD">
        <w:rPr>
          <w:i/>
        </w:rPr>
        <w:t>Heritage Rivers Act 1992 (Vic)</w:t>
      </w:r>
    </w:p>
    <w:p w14:paraId="5D713ECB" w14:textId="77777777" w:rsidR="00AE75DD" w:rsidRPr="00AE75DD" w:rsidRDefault="00AE75DD" w:rsidP="00AE75DD">
      <w:pPr>
        <w:rPr>
          <w:i/>
        </w:rPr>
      </w:pPr>
      <w:r w:rsidRPr="00AE75DD">
        <w:rPr>
          <w:i/>
        </w:rPr>
        <w:t>Historic Shipwrecks Act 1976 (C</w:t>
      </w:r>
      <w:r w:rsidR="00C2346A">
        <w:rPr>
          <w:i/>
        </w:rPr>
        <w:t>m</w:t>
      </w:r>
      <w:r w:rsidRPr="00AE75DD">
        <w:rPr>
          <w:i/>
        </w:rPr>
        <w:t>lth)</w:t>
      </w:r>
    </w:p>
    <w:p w14:paraId="5C82D147" w14:textId="77777777" w:rsidR="00AE75DD" w:rsidRPr="00AE75DD" w:rsidRDefault="00AE75DD" w:rsidP="00AE75DD">
      <w:pPr>
        <w:rPr>
          <w:i/>
        </w:rPr>
      </w:pPr>
      <w:r w:rsidRPr="00AE75DD">
        <w:rPr>
          <w:i/>
        </w:rPr>
        <w:t>Marine Safety Act 2010 (Vic)</w:t>
      </w:r>
    </w:p>
    <w:p w14:paraId="21A38156" w14:textId="77777777" w:rsidR="00AE75DD" w:rsidRPr="00AE75DD" w:rsidRDefault="00AE75DD" w:rsidP="00AE75DD">
      <w:pPr>
        <w:rPr>
          <w:i/>
        </w:rPr>
      </w:pPr>
      <w:r w:rsidRPr="00AE75DD">
        <w:rPr>
          <w:i/>
        </w:rPr>
        <w:t>National Parks Act 1975 (Vic)</w:t>
      </w:r>
    </w:p>
    <w:p w14:paraId="18A59357" w14:textId="77777777" w:rsidR="00AE75DD" w:rsidRPr="00AE75DD" w:rsidRDefault="00AE75DD" w:rsidP="00AE75DD">
      <w:pPr>
        <w:rPr>
          <w:i/>
        </w:rPr>
      </w:pPr>
      <w:r w:rsidRPr="00AE75DD">
        <w:rPr>
          <w:i/>
        </w:rPr>
        <w:t>Native Title Act 1993 (C</w:t>
      </w:r>
      <w:r w:rsidR="00C2346A">
        <w:rPr>
          <w:i/>
        </w:rPr>
        <w:t>m</w:t>
      </w:r>
      <w:r w:rsidRPr="00AE75DD">
        <w:rPr>
          <w:i/>
        </w:rPr>
        <w:t>lth)</w:t>
      </w:r>
    </w:p>
    <w:p w14:paraId="231234F1" w14:textId="77777777" w:rsidR="00AE75DD" w:rsidRPr="00AE75DD" w:rsidRDefault="00AE75DD" w:rsidP="00AE75DD">
      <w:pPr>
        <w:rPr>
          <w:i/>
        </w:rPr>
      </w:pPr>
      <w:r w:rsidRPr="00AE75DD">
        <w:rPr>
          <w:i/>
        </w:rPr>
        <w:t>Occupational Health and Safety Act 2004 (Vic)</w:t>
      </w:r>
    </w:p>
    <w:p w14:paraId="0C85CE35" w14:textId="77777777" w:rsidR="00AE75DD" w:rsidRPr="00AE75DD" w:rsidRDefault="00AE75DD" w:rsidP="00AE75DD">
      <w:pPr>
        <w:rPr>
          <w:i/>
        </w:rPr>
      </w:pPr>
      <w:r w:rsidRPr="00AE75DD">
        <w:rPr>
          <w:i/>
        </w:rPr>
        <w:t>Offshore Petroleum and Greenhouse Gas Storage Act 2010 (Vic)</w:t>
      </w:r>
    </w:p>
    <w:p w14:paraId="044473C4" w14:textId="77777777" w:rsidR="00AE75DD" w:rsidRPr="00AE75DD" w:rsidRDefault="00AE75DD" w:rsidP="00AE75DD">
      <w:pPr>
        <w:rPr>
          <w:i/>
        </w:rPr>
      </w:pPr>
      <w:r w:rsidRPr="00AE75DD">
        <w:rPr>
          <w:i/>
        </w:rPr>
        <w:t xml:space="preserve">Petroleum Act 1998 (Vic) </w:t>
      </w:r>
    </w:p>
    <w:p w14:paraId="5119D5A2" w14:textId="77777777" w:rsidR="00AE75DD" w:rsidRPr="00AE75DD" w:rsidRDefault="00AE75DD" w:rsidP="00AE75DD">
      <w:pPr>
        <w:rPr>
          <w:i/>
        </w:rPr>
      </w:pPr>
      <w:r w:rsidRPr="00AE75DD">
        <w:rPr>
          <w:i/>
        </w:rPr>
        <w:t>Planning and Environment Act 1987 (Vic)</w:t>
      </w:r>
    </w:p>
    <w:p w14:paraId="672580DD" w14:textId="77777777" w:rsidR="00AE75DD" w:rsidRPr="00AE75DD" w:rsidRDefault="00AE75DD" w:rsidP="00AE75DD">
      <w:pPr>
        <w:rPr>
          <w:i/>
        </w:rPr>
      </w:pPr>
      <w:r w:rsidRPr="00AE75DD">
        <w:rPr>
          <w:i/>
        </w:rPr>
        <w:t>Pollution of Waters by Oil and Noxious Substances Act 1986 (Vic)</w:t>
      </w:r>
    </w:p>
    <w:p w14:paraId="24CD9666" w14:textId="77777777" w:rsidR="00AE75DD" w:rsidRPr="00AE75DD" w:rsidRDefault="00AE75DD" w:rsidP="00AE75DD">
      <w:pPr>
        <w:rPr>
          <w:i/>
        </w:rPr>
      </w:pPr>
      <w:r w:rsidRPr="00AE75DD">
        <w:rPr>
          <w:i/>
        </w:rPr>
        <w:t>Traditional Owner Settlement Act 2010 (Vic)</w:t>
      </w:r>
    </w:p>
    <w:p w14:paraId="7E0F810C" w14:textId="77777777" w:rsidR="00AE75DD" w:rsidRPr="00AE75DD" w:rsidRDefault="00AE75DD" w:rsidP="00AE75DD">
      <w:pPr>
        <w:rPr>
          <w:i/>
        </w:rPr>
      </w:pPr>
      <w:r w:rsidRPr="00AE75DD">
        <w:rPr>
          <w:i/>
        </w:rPr>
        <w:t>Water Act 1989 (Vic)</w:t>
      </w:r>
    </w:p>
    <w:p w14:paraId="33D699D4" w14:textId="77777777" w:rsidR="00A629DF" w:rsidRDefault="00AE75DD" w:rsidP="007F5EA9">
      <w:r w:rsidRPr="00AE75DD">
        <w:rPr>
          <w:i/>
        </w:rPr>
        <w:t>Wildlife Act 1975 (Vic)</w:t>
      </w:r>
    </w:p>
    <w:p w14:paraId="4AD82638" w14:textId="77777777" w:rsidR="004371F6" w:rsidRDefault="00FA134D" w:rsidP="003508BB">
      <w:pPr>
        <w:pStyle w:val="Heading2"/>
      </w:pPr>
      <w:bookmarkStart w:id="47" w:name="_Toc513813354"/>
      <w:r w:rsidRPr="008804D6">
        <w:t xml:space="preserve">Environmental and </w:t>
      </w:r>
      <w:r w:rsidR="00997ABB">
        <w:t>c</w:t>
      </w:r>
      <w:r w:rsidR="000D23B7">
        <w:t xml:space="preserve">oastal </w:t>
      </w:r>
      <w:r w:rsidR="00997ABB">
        <w:t xml:space="preserve">land </w:t>
      </w:r>
      <w:r w:rsidRPr="008804D6">
        <w:t>considerations</w:t>
      </w:r>
      <w:bookmarkEnd w:id="47"/>
    </w:p>
    <w:p w14:paraId="613F01C4" w14:textId="77777777" w:rsidR="008D16B5" w:rsidRDefault="008D16B5" w:rsidP="003D7590">
      <w:pPr>
        <w:pStyle w:val="bodyCopy"/>
      </w:pPr>
      <w:r>
        <w:t>T</w:t>
      </w:r>
      <w:r w:rsidRPr="008D16B5">
        <w:t xml:space="preserve">he acreage release areas abut a number of marine and terrestrial parks and reserves, listed in </w:t>
      </w:r>
      <w:hyperlink w:anchor="_Appendix_3_" w:history="1">
        <w:r w:rsidRPr="001F7554">
          <w:rPr>
            <w:rStyle w:val="Hyperlink"/>
            <w:u w:val="none"/>
          </w:rPr>
          <w:t xml:space="preserve">Appendix </w:t>
        </w:r>
        <w:r w:rsidR="009755A5">
          <w:rPr>
            <w:rStyle w:val="Hyperlink"/>
            <w:u w:val="none"/>
          </w:rPr>
          <w:t>4</w:t>
        </w:r>
      </w:hyperlink>
      <w:r w:rsidRPr="008D16B5">
        <w:t>.</w:t>
      </w:r>
      <w:r>
        <w:t xml:space="preserve"> </w:t>
      </w:r>
    </w:p>
    <w:p w14:paraId="4933AAB9" w14:textId="77777777" w:rsidR="008D16B5" w:rsidRDefault="008D16B5" w:rsidP="003D7590">
      <w:pPr>
        <w:pStyle w:val="bodyCopy"/>
      </w:pPr>
      <w:r w:rsidRPr="008D16B5">
        <w:lastRenderedPageBreak/>
        <w:t>The Department of Environment</w:t>
      </w:r>
      <w:r w:rsidR="00021AE4">
        <w:t>,</w:t>
      </w:r>
      <w:r w:rsidRPr="008D16B5">
        <w:t xml:space="preserve"> Land</w:t>
      </w:r>
      <w:r w:rsidR="00021AE4">
        <w:t>,</w:t>
      </w:r>
      <w:r w:rsidRPr="008D16B5">
        <w:t xml:space="preserve"> Water and Planning and Parks Victoria </w:t>
      </w:r>
      <w:r>
        <w:t>advise that a</w:t>
      </w:r>
      <w:r w:rsidR="000D23B7" w:rsidRPr="000D23B7">
        <w:t xml:space="preserve">ny </w:t>
      </w:r>
      <w:r w:rsidR="00ED0BA2">
        <w:t xml:space="preserve">petroleum operations in areas managed under the </w:t>
      </w:r>
      <w:r w:rsidR="00ED0BA2" w:rsidRPr="00933710">
        <w:rPr>
          <w:i/>
        </w:rPr>
        <w:t>National Parks Act 1975</w:t>
      </w:r>
      <w:r w:rsidR="0083468E">
        <w:t xml:space="preserve">, such as Marine National Parks and Marine Sanctuaries, </w:t>
      </w:r>
      <w:r w:rsidR="00ED0BA2">
        <w:t>will need to conform to section 40 of that Act.</w:t>
      </w:r>
      <w:r w:rsidR="0083468E">
        <w:t xml:space="preserve"> </w:t>
      </w:r>
      <w:r w:rsidR="00ED0BA2">
        <w:t xml:space="preserve">Any </w:t>
      </w:r>
      <w:r w:rsidR="000D23B7" w:rsidRPr="000D23B7">
        <w:t xml:space="preserve">directional drilling </w:t>
      </w:r>
      <w:r w:rsidR="0083468E">
        <w:t xml:space="preserve">from onshore </w:t>
      </w:r>
      <w:r w:rsidR="00997ABB">
        <w:t>under a national park requires consent under that Act</w:t>
      </w:r>
      <w:r w:rsidR="008F0636">
        <w:t xml:space="preserve">. </w:t>
      </w:r>
    </w:p>
    <w:p w14:paraId="5E2951F9" w14:textId="77777777" w:rsidR="008F0636" w:rsidRDefault="008F0636" w:rsidP="003D7590">
      <w:pPr>
        <w:pStyle w:val="bodyCopy"/>
      </w:pPr>
      <w:r>
        <w:t xml:space="preserve">Land that is a coastal reserve is restricted Crown land under the </w:t>
      </w:r>
      <w:r w:rsidRPr="008F0636">
        <w:rPr>
          <w:i/>
        </w:rPr>
        <w:t>Petroleum Act 1998</w:t>
      </w:r>
      <w:r>
        <w:t xml:space="preserve">, which requires consent for access. </w:t>
      </w:r>
    </w:p>
    <w:p w14:paraId="723AA455" w14:textId="77777777" w:rsidR="0038352D" w:rsidRDefault="008D16B5" w:rsidP="008D16B5">
      <w:pPr>
        <w:pStyle w:val="bodyCopy"/>
      </w:pPr>
      <w:r>
        <w:t xml:space="preserve">Flora and fauna are protected under a range of legislation, including the </w:t>
      </w:r>
      <w:r w:rsidRPr="002E1B35">
        <w:rPr>
          <w:i/>
        </w:rPr>
        <w:t>Flora and Fauna Guarantee Act 1988</w:t>
      </w:r>
      <w:r>
        <w:t xml:space="preserve"> and the </w:t>
      </w:r>
      <w:r w:rsidRPr="002E1B35">
        <w:rPr>
          <w:i/>
        </w:rPr>
        <w:t>Wildlife Act 1975</w:t>
      </w:r>
      <w:r>
        <w:rPr>
          <w:i/>
        </w:rPr>
        <w:t>.</w:t>
      </w:r>
      <w:r>
        <w:t xml:space="preserve"> </w:t>
      </w:r>
    </w:p>
    <w:p w14:paraId="4EBF39C7" w14:textId="77777777" w:rsidR="008D16B5" w:rsidRDefault="00485A3C" w:rsidP="008D16B5">
      <w:pPr>
        <w:pStyle w:val="bodyCopy"/>
      </w:pPr>
      <w:r>
        <w:t>Cetaceans over</w:t>
      </w:r>
      <w:r w:rsidR="00242FDB">
        <w:t>winter in water</w:t>
      </w:r>
      <w:r>
        <w:t xml:space="preserve"> w</w:t>
      </w:r>
      <w:r w:rsidR="00242FDB">
        <w:t>ithin the release areas</w:t>
      </w:r>
      <w:r w:rsidR="0038352D">
        <w:t>. T</w:t>
      </w:r>
      <w:r w:rsidR="00242FDB">
        <w:t>here are seal colonies at Cape Bridgewater and Lady Julia Percy Island, a gannet rookery on the tip of Point Danger and penguin colonies on Lady Julia Percy Island and Middle Island.</w:t>
      </w:r>
    </w:p>
    <w:p w14:paraId="19186C86" w14:textId="77777777" w:rsidR="008D16B5" w:rsidRDefault="008D16B5" w:rsidP="008D16B5">
      <w:pPr>
        <w:pStyle w:val="bodyCopy"/>
      </w:pPr>
      <w:r>
        <w:t xml:space="preserve">Any works will need to take into consideration the </w:t>
      </w:r>
      <w:r w:rsidRPr="00021AE4">
        <w:rPr>
          <w:i/>
        </w:rPr>
        <w:t>Victorian Coastal Strategy 2014</w:t>
      </w:r>
      <w:r>
        <w:t xml:space="preserve"> - the Victorian government’s policy commitment for coastal, estuarine and marine environments in Victoria.</w:t>
      </w:r>
    </w:p>
    <w:p w14:paraId="5908135D" w14:textId="77777777" w:rsidR="008D16B5" w:rsidRDefault="008D16B5" w:rsidP="008D16B5">
      <w:pPr>
        <w:pStyle w:val="bodyCopy"/>
      </w:pPr>
      <w:r>
        <w:t xml:space="preserve">Specific exploration activity, such as seismic </w:t>
      </w:r>
      <w:r w:rsidR="00485A3C">
        <w:t xml:space="preserve">surveying </w:t>
      </w:r>
      <w:r>
        <w:t xml:space="preserve">and drilling, require an acceptable environment management plan that may be reviewed by Environment Protection Authority Victoria, whose jurisdiction extends to </w:t>
      </w:r>
      <w:r w:rsidR="00C2346A">
        <w:t>State</w:t>
      </w:r>
      <w:r>
        <w:t xml:space="preserve"> waters.</w:t>
      </w:r>
    </w:p>
    <w:p w14:paraId="25DBC9F4" w14:textId="77777777" w:rsidR="008F0636" w:rsidRDefault="008F0636" w:rsidP="00ED0BA2">
      <w:pPr>
        <w:pStyle w:val="bodyCopy"/>
      </w:pPr>
      <w:r>
        <w:t>Any petroleum operation should be undertaken in such a way as to minimise deleterious environment</w:t>
      </w:r>
      <w:r w:rsidR="00485A3C">
        <w:t>al</w:t>
      </w:r>
      <w:r>
        <w:t xml:space="preserve"> and social impacts. </w:t>
      </w:r>
      <w:r w:rsidR="00360C9C">
        <w:t>The Department of Environment</w:t>
      </w:r>
      <w:r w:rsidR="00BD1DBC">
        <w:t>,</w:t>
      </w:r>
      <w:r w:rsidR="00360C9C">
        <w:t xml:space="preserve"> Land</w:t>
      </w:r>
      <w:r w:rsidR="00BD1DBC">
        <w:t>,</w:t>
      </w:r>
      <w:r w:rsidR="00360C9C">
        <w:t xml:space="preserve"> Water and Planning</w:t>
      </w:r>
      <w:r>
        <w:t xml:space="preserve"> and Parks Victoria request adequate and timely consultation to enable comprehensive consideration of any proposal.</w:t>
      </w:r>
    </w:p>
    <w:p w14:paraId="7BDF5015" w14:textId="77777777" w:rsidR="00FA134D" w:rsidRDefault="00FA134D" w:rsidP="003508BB">
      <w:pPr>
        <w:pStyle w:val="Heading2"/>
      </w:pPr>
      <w:bookmarkStart w:id="48" w:name="_Toc513813355"/>
      <w:r w:rsidRPr="008804D6">
        <w:t>Fisheries</w:t>
      </w:r>
      <w:bookmarkEnd w:id="48"/>
    </w:p>
    <w:p w14:paraId="4110298B" w14:textId="77777777" w:rsidR="002C6B23" w:rsidRDefault="000D23B7" w:rsidP="000D23B7">
      <w:pPr>
        <w:pStyle w:val="bodyCopy"/>
      </w:pPr>
      <w:r>
        <w:t xml:space="preserve">The coastal waters </w:t>
      </w:r>
      <w:r w:rsidR="00360C9C">
        <w:t xml:space="preserve">are </w:t>
      </w:r>
      <w:r>
        <w:t xml:space="preserve">subject to </w:t>
      </w:r>
      <w:r w:rsidR="005F5DA8">
        <w:t>active</w:t>
      </w:r>
      <w:r>
        <w:t xml:space="preserve"> fishing activity</w:t>
      </w:r>
      <w:r w:rsidR="005F5DA8">
        <w:t xml:space="preserve"> including abalone and rock lobster. Finfish, </w:t>
      </w:r>
      <w:r w:rsidR="00A72B32">
        <w:t xml:space="preserve">wrasse, octopus, shark, </w:t>
      </w:r>
      <w:r w:rsidR="005F5DA8">
        <w:t xml:space="preserve">pipi and scallop fisheries also occur in this area. </w:t>
      </w:r>
    </w:p>
    <w:p w14:paraId="24169356" w14:textId="77777777" w:rsidR="00360C9C" w:rsidRDefault="00E957BC" w:rsidP="00E957BC">
      <w:pPr>
        <w:pStyle w:val="bodyCopy"/>
      </w:pPr>
      <w:r>
        <w:t>While Commonwealth licensed fisheries generally do no</w:t>
      </w:r>
      <w:r w:rsidR="00485A3C">
        <w:t>t</w:t>
      </w:r>
      <w:r>
        <w:t xml:space="preserve"> operate in </w:t>
      </w:r>
      <w:r w:rsidR="0038352D">
        <w:t>Victorian</w:t>
      </w:r>
      <w:r>
        <w:t xml:space="preserve"> waters, there are still Commonwealth fisher</w:t>
      </w:r>
      <w:r w:rsidR="00242FDB">
        <w:t>s</w:t>
      </w:r>
      <w:r>
        <w:t xml:space="preserve"> that may be indirectly impact</w:t>
      </w:r>
      <w:r w:rsidR="00485A3C">
        <w:t>ed</w:t>
      </w:r>
      <w:r>
        <w:t xml:space="preserve"> by exploration activities. </w:t>
      </w:r>
    </w:p>
    <w:p w14:paraId="111F1BEB" w14:textId="77777777" w:rsidR="005F5DA8" w:rsidRDefault="00360C9C" w:rsidP="00E957BC">
      <w:pPr>
        <w:pStyle w:val="bodyCopy"/>
      </w:pPr>
      <w:r w:rsidRPr="00360C9C">
        <w:t>Fisher</w:t>
      </w:r>
      <w:r w:rsidR="00BD1DBC">
        <w:t>ie</w:t>
      </w:r>
      <w:r w:rsidRPr="00360C9C">
        <w:t>s are particularly concerned about the impacts of seismic, drilling muds and cuttings disposal, the cumulative impact of development in the region and the impact of infrastructure such as pipelines.</w:t>
      </w:r>
      <w:r>
        <w:t xml:space="preserve"> </w:t>
      </w:r>
      <w:r w:rsidR="00E957BC">
        <w:t xml:space="preserve">In </w:t>
      </w:r>
      <w:r w:rsidR="004750E8">
        <w:t>addition,</w:t>
      </w:r>
      <w:r w:rsidR="00E957BC">
        <w:t xml:space="preserve"> there is a high chance that potential exploration may impact on nursery areas for school and gummy shark in coastal waters.</w:t>
      </w:r>
      <w:r w:rsidR="005F5DA8" w:rsidRPr="005F5DA8">
        <w:t xml:space="preserve"> </w:t>
      </w:r>
    </w:p>
    <w:p w14:paraId="717EB965" w14:textId="77777777" w:rsidR="003D7590" w:rsidRDefault="003D7590" w:rsidP="00E957BC">
      <w:pPr>
        <w:pStyle w:val="bodyCopy"/>
      </w:pPr>
      <w:r w:rsidRPr="003D7590">
        <w:t xml:space="preserve">The </w:t>
      </w:r>
      <w:hyperlink r:id="rId34" w:history="1">
        <w:r w:rsidRPr="0038352D">
          <w:rPr>
            <w:rStyle w:val="Hyperlink"/>
          </w:rPr>
          <w:t>Victorian Fisheries Authority</w:t>
        </w:r>
      </w:hyperlink>
      <w:r w:rsidRPr="003D7590">
        <w:t xml:space="preserve">’s policy </w:t>
      </w:r>
      <w:r w:rsidRPr="00242FDB">
        <w:rPr>
          <w:i/>
        </w:rPr>
        <w:t>Undertaking seismic surveys in Victorian Managed Waters</w:t>
      </w:r>
      <w:r w:rsidRPr="003D7590">
        <w:t xml:space="preserve"> provides information on their role assisting Victorian fishers and companies wishing to explore in Victorian waters.</w:t>
      </w:r>
    </w:p>
    <w:p w14:paraId="259B4C48" w14:textId="77777777" w:rsidR="00BD1DBC" w:rsidRDefault="00BD1DBC" w:rsidP="00E957BC">
      <w:pPr>
        <w:pStyle w:val="bodyCopy"/>
      </w:pPr>
      <w:r>
        <w:t>Permit holders</w:t>
      </w:r>
      <w:r w:rsidR="005F5DA8" w:rsidRPr="005F5DA8">
        <w:t xml:space="preserve"> will be required to demonstrate effective consultation with fishers about the potential impacts of </w:t>
      </w:r>
      <w:r w:rsidR="00C16195">
        <w:t xml:space="preserve">a </w:t>
      </w:r>
      <w:r w:rsidR="005F5DA8" w:rsidRPr="005F5DA8">
        <w:t xml:space="preserve">proposed operation on fish stocks and fishing operations. </w:t>
      </w:r>
      <w:r w:rsidR="00C16195" w:rsidRPr="00C16195">
        <w:t xml:space="preserve">Seafood Industry Victoria represents commercial fishing licence holders and the body representing Victorian </w:t>
      </w:r>
      <w:r w:rsidR="00C16195">
        <w:t>recreational fishers is VRFish.</w:t>
      </w:r>
    </w:p>
    <w:p w14:paraId="51CA31E8" w14:textId="77777777" w:rsidR="00C16195" w:rsidRDefault="00C16195" w:rsidP="00E957BC">
      <w:pPr>
        <w:pStyle w:val="bodyCopy"/>
      </w:pPr>
      <w:r>
        <w:t>The South East Trawl Fishing Industry Association, the Southern Shark Industry Alliance and the Sustainable Shark Fishing Association should also be consulted.</w:t>
      </w:r>
    </w:p>
    <w:p w14:paraId="54E9839F" w14:textId="77777777" w:rsidR="00360C9C" w:rsidRDefault="005F5DA8" w:rsidP="00E957BC">
      <w:pPr>
        <w:pStyle w:val="bodyCopy"/>
      </w:pPr>
      <w:r w:rsidRPr="005F5DA8">
        <w:t xml:space="preserve">It would also be desirable for permit holders to consult with relevant scientists to identify potential overlap and impacts on shark nursery areas. </w:t>
      </w:r>
    </w:p>
    <w:p w14:paraId="1D6B4BA5" w14:textId="77777777" w:rsidR="00FA134D" w:rsidRDefault="001B7E13" w:rsidP="003508BB">
      <w:pPr>
        <w:pStyle w:val="Heading2"/>
      </w:pPr>
      <w:bookmarkStart w:id="49" w:name="_Toc513813356"/>
      <w:r>
        <w:t>Historic sites</w:t>
      </w:r>
      <w:bookmarkEnd w:id="49"/>
    </w:p>
    <w:p w14:paraId="3841CD76" w14:textId="77777777" w:rsidR="001B7E13" w:rsidRDefault="00BC5C4D" w:rsidP="00632263">
      <w:pPr>
        <w:pStyle w:val="bodyCopy"/>
      </w:pPr>
      <w:r>
        <w:t>Protected s</w:t>
      </w:r>
      <w:r w:rsidR="00632263">
        <w:t xml:space="preserve">hipwrecks within the release areas are listed in </w:t>
      </w:r>
      <w:hyperlink w:anchor="_Appendix_4__1" w:history="1">
        <w:r w:rsidR="00632263" w:rsidRPr="009755A5">
          <w:rPr>
            <w:rStyle w:val="Hyperlink"/>
          </w:rPr>
          <w:t xml:space="preserve">Appendix </w:t>
        </w:r>
        <w:r w:rsidR="009755A5" w:rsidRPr="009755A5">
          <w:rPr>
            <w:rStyle w:val="Hyperlink"/>
          </w:rPr>
          <w:t>5</w:t>
        </w:r>
        <w:r w:rsidR="00E10439" w:rsidRPr="009755A5">
          <w:rPr>
            <w:rStyle w:val="Hyperlink"/>
          </w:rPr>
          <w:t xml:space="preserve"> </w:t>
        </w:r>
        <w:r w:rsidR="001B7E13" w:rsidRPr="009755A5">
          <w:rPr>
            <w:rStyle w:val="Hyperlink"/>
          </w:rPr>
          <w:t>Historic sites</w:t>
        </w:r>
      </w:hyperlink>
      <w:r w:rsidR="00632263">
        <w:t xml:space="preserve">. </w:t>
      </w:r>
    </w:p>
    <w:p w14:paraId="4F73FD82" w14:textId="77777777" w:rsidR="00BD1DBC" w:rsidRDefault="00632263" w:rsidP="00632263">
      <w:pPr>
        <w:pStyle w:val="bodyCopy"/>
      </w:pPr>
      <w:r>
        <w:lastRenderedPageBreak/>
        <w:t xml:space="preserve">A permit from Heritage Victoria is required to disturb or interfere with a protected shipwreck. </w:t>
      </w:r>
    </w:p>
    <w:p w14:paraId="2FD155AB" w14:textId="77777777" w:rsidR="00632263" w:rsidRPr="00632263" w:rsidRDefault="00632263" w:rsidP="00632263">
      <w:pPr>
        <w:pStyle w:val="bodyCopy"/>
      </w:pPr>
      <w:r>
        <w:t xml:space="preserve">Any work that involves disturbance of the sea bed in </w:t>
      </w:r>
      <w:r w:rsidR="00BD1DBC">
        <w:t>the release areas</w:t>
      </w:r>
      <w:r>
        <w:t xml:space="preserve"> would need to be surveyed for shipwreck remains prior to work commencing</w:t>
      </w:r>
      <w:r w:rsidR="00BD1DBC">
        <w:t>,</w:t>
      </w:r>
      <w:r>
        <w:t xml:space="preserve"> so shipwrecks whose locations are not currently known can be protected. </w:t>
      </w:r>
    </w:p>
    <w:p w14:paraId="0CD05B1D" w14:textId="77777777" w:rsidR="00FA134D" w:rsidRDefault="00FA134D" w:rsidP="003508BB">
      <w:pPr>
        <w:pStyle w:val="Heading2"/>
      </w:pPr>
      <w:bookmarkStart w:id="50" w:name="_Toc513813357"/>
      <w:r w:rsidRPr="008804D6">
        <w:t xml:space="preserve">Native </w:t>
      </w:r>
      <w:r w:rsidR="00DC7EC3">
        <w:t>T</w:t>
      </w:r>
      <w:r w:rsidRPr="008804D6">
        <w:t>itle and Aboriginal Heritage</w:t>
      </w:r>
      <w:bookmarkEnd w:id="50"/>
    </w:p>
    <w:p w14:paraId="304420C8" w14:textId="77777777" w:rsidR="004E471E" w:rsidRPr="004E471E" w:rsidRDefault="004E471E" w:rsidP="004E471E">
      <w:r w:rsidRPr="004E471E">
        <w:t xml:space="preserve">Applicants should consider the consequences </w:t>
      </w:r>
      <w:r w:rsidR="00D85D1A">
        <w:t xml:space="preserve">that </w:t>
      </w:r>
      <w:r w:rsidRPr="004E471E">
        <w:t xml:space="preserve">the </w:t>
      </w:r>
      <w:r w:rsidRPr="004E471E">
        <w:rPr>
          <w:i/>
        </w:rPr>
        <w:t>Native Title Act 1993</w:t>
      </w:r>
      <w:r w:rsidRPr="004E471E">
        <w:t xml:space="preserve"> (NTA) and the </w:t>
      </w:r>
      <w:r w:rsidRPr="004E471E">
        <w:rPr>
          <w:i/>
        </w:rPr>
        <w:t xml:space="preserve">Traditional Owner Settlement Act 2010 </w:t>
      </w:r>
      <w:r w:rsidRPr="008A20F4">
        <w:t>(Settlement Act)</w:t>
      </w:r>
      <w:r w:rsidRPr="004E471E">
        <w:t xml:space="preserve"> may have on their exploration rights and any future production rights. </w:t>
      </w:r>
    </w:p>
    <w:p w14:paraId="40AA69CE" w14:textId="77777777" w:rsidR="008A20F4" w:rsidRPr="002E1B35" w:rsidRDefault="004E471E" w:rsidP="004E471E">
      <w:r w:rsidRPr="004E471E">
        <w:t xml:space="preserve">Information on Native Title can be found at </w:t>
      </w:r>
      <w:hyperlink r:id="rId35" w:history="1">
        <w:r w:rsidR="002E1B35" w:rsidRPr="00D43C26">
          <w:rPr>
            <w:rStyle w:val="Hyperlink"/>
          </w:rPr>
          <w:t>http://earthresources.vic.gov.au/earth-resources-regulation/licensing-and-approvals/minerals/get-a-licence/native-title-act</w:t>
        </w:r>
      </w:hyperlink>
      <w:r w:rsidR="008A20F4" w:rsidRPr="002E1B35">
        <w:t>.</w:t>
      </w:r>
    </w:p>
    <w:p w14:paraId="64A9D2CF" w14:textId="77777777" w:rsidR="004E471E" w:rsidRPr="004E471E" w:rsidRDefault="004E471E" w:rsidP="004E471E">
      <w:r w:rsidRPr="004E471E">
        <w:t xml:space="preserve">Details about the native title determinations are available at the </w:t>
      </w:r>
      <w:r w:rsidRPr="003D7590">
        <w:t>National Native Title Tribunal</w:t>
      </w:r>
      <w:r w:rsidRPr="004E471E">
        <w:t xml:space="preserve"> web site. Details about agreements recognising certain Traditional Owner rights under the Settlement Act are available at the </w:t>
      </w:r>
      <w:r w:rsidRPr="003D7590">
        <w:t>Department of Justice</w:t>
      </w:r>
      <w:r w:rsidR="002E1B35">
        <w:t>.</w:t>
      </w:r>
    </w:p>
    <w:p w14:paraId="62093A45" w14:textId="31B5BA0A" w:rsidR="003D7590" w:rsidRDefault="004E471E" w:rsidP="004E471E">
      <w:r w:rsidRPr="004E471E">
        <w:t xml:space="preserve">The offshore release areas </w:t>
      </w:r>
      <w:r w:rsidR="002E1B35">
        <w:t>18-1(v)</w:t>
      </w:r>
      <w:r w:rsidRPr="004E471E">
        <w:t xml:space="preserve"> and </w:t>
      </w:r>
      <w:r w:rsidR="002E1B35">
        <w:t>18-</w:t>
      </w:r>
      <w:r w:rsidRPr="004E471E">
        <w:t>2</w:t>
      </w:r>
      <w:r w:rsidR="002E1B35">
        <w:t>(v)</w:t>
      </w:r>
      <w:r w:rsidRPr="004E471E">
        <w:t xml:space="preserve"> contain areas for which native title has been determined for the Gunditjmara peoples. The relevant area is a corridor 100 </w:t>
      </w:r>
      <w:r w:rsidR="00463658">
        <w:t>m</w:t>
      </w:r>
      <w:r w:rsidRPr="004E471E">
        <w:t xml:space="preserve"> seaward of the mean low water mark. </w:t>
      </w:r>
    </w:p>
    <w:p w14:paraId="170D5890" w14:textId="23AEEF25" w:rsidR="003D7590" w:rsidRDefault="004E471E" w:rsidP="004E471E">
      <w:r w:rsidRPr="004E471E">
        <w:t xml:space="preserve">The western portion of offshore release area </w:t>
      </w:r>
      <w:r w:rsidR="002E1B35">
        <w:t>18-</w:t>
      </w:r>
      <w:r w:rsidRPr="004E471E">
        <w:t>3</w:t>
      </w:r>
      <w:r w:rsidR="002E1B35">
        <w:t>(v)</w:t>
      </w:r>
      <w:r w:rsidRPr="004E471E">
        <w:t xml:space="preserve"> contains areas for which native title has been determined to be jointly held by the Gunditjmara and Eastern Maar peoples. The relevant area is a corridor 100 </w:t>
      </w:r>
      <w:r w:rsidR="00463658">
        <w:t>m</w:t>
      </w:r>
      <w:r w:rsidRPr="004E471E">
        <w:t xml:space="preserve"> seaward of the mean low water mark, including along the coast line of the Lady Julia Percy Island. </w:t>
      </w:r>
    </w:p>
    <w:p w14:paraId="760B4A93" w14:textId="09192C4C" w:rsidR="004E471E" w:rsidRPr="004E471E" w:rsidRDefault="004E471E" w:rsidP="004E471E">
      <w:r w:rsidRPr="004E471E">
        <w:t xml:space="preserve">The eastern portion of offshore release area </w:t>
      </w:r>
      <w:r w:rsidR="002E1B35">
        <w:t>18-</w:t>
      </w:r>
      <w:r w:rsidRPr="004E471E">
        <w:t>3</w:t>
      </w:r>
      <w:r w:rsidR="002E1B35">
        <w:t>(v)</w:t>
      </w:r>
      <w:r w:rsidRPr="004E471E">
        <w:t xml:space="preserve"> and offshore release areas </w:t>
      </w:r>
      <w:r w:rsidR="002E1B35">
        <w:t>18-</w:t>
      </w:r>
      <w:r w:rsidRPr="004E471E">
        <w:t>4</w:t>
      </w:r>
      <w:r w:rsidR="002E1B35">
        <w:t>(v)</w:t>
      </w:r>
      <w:r w:rsidRPr="004E471E">
        <w:t xml:space="preserve"> and </w:t>
      </w:r>
      <w:r w:rsidR="002E1B35">
        <w:t>18-</w:t>
      </w:r>
      <w:r w:rsidRPr="004E471E">
        <w:t>5</w:t>
      </w:r>
      <w:r w:rsidR="002E1B35">
        <w:t>(v)</w:t>
      </w:r>
      <w:r w:rsidRPr="004E471E">
        <w:t xml:space="preserve"> contain areas over which the Eastern Maar have a registered native title claim, and are also subject to negotiations with the State of Victoria under the Settlement Act. The relevant area is a corridor 100 </w:t>
      </w:r>
      <w:r w:rsidR="00463658">
        <w:t>m</w:t>
      </w:r>
      <w:r w:rsidRPr="004E471E">
        <w:t xml:space="preserve"> seaward of the mean low water mark. </w:t>
      </w:r>
    </w:p>
    <w:p w14:paraId="2A38E76F" w14:textId="77777777" w:rsidR="00242FDB" w:rsidRDefault="004E471E" w:rsidP="004E471E">
      <w:r w:rsidRPr="004E471E">
        <w:t>Native title processes apply to operations in the above area</w:t>
      </w:r>
      <w:r w:rsidR="003D7590">
        <w:t>s</w:t>
      </w:r>
      <w:r w:rsidRPr="004E471E">
        <w:t xml:space="preserve">. The Native Title Services Body representing the Gunditjmara and Eastern Maar Peoples is </w:t>
      </w:r>
      <w:r w:rsidRPr="00242FDB">
        <w:t>First Nations Legal and Research</w:t>
      </w:r>
      <w:r w:rsidRPr="004E471E">
        <w:t xml:space="preserve">. </w:t>
      </w:r>
    </w:p>
    <w:p w14:paraId="641354E1" w14:textId="77777777" w:rsidR="00242FDB" w:rsidRDefault="00242FDB" w:rsidP="004E471E">
      <w:r>
        <w:t xml:space="preserve">Before an exploration permit is granted, </w:t>
      </w:r>
      <w:r w:rsidR="004E471E" w:rsidRPr="004E471E">
        <w:t xml:space="preserve">a </w:t>
      </w:r>
      <w:r w:rsidR="002E1B35">
        <w:t>‘</w:t>
      </w:r>
      <w:r w:rsidR="004E471E" w:rsidRPr="004E471E">
        <w:t>future act assessment</w:t>
      </w:r>
      <w:r w:rsidR="002E1B35">
        <w:t>’</w:t>
      </w:r>
      <w:r w:rsidR="004E471E" w:rsidRPr="004E471E">
        <w:t xml:space="preserve"> </w:t>
      </w:r>
      <w:r>
        <w:t xml:space="preserve">will be undertaken </w:t>
      </w:r>
      <w:r w:rsidR="004E471E" w:rsidRPr="004E471E">
        <w:t>in accordance with the NTA</w:t>
      </w:r>
      <w:r>
        <w:t xml:space="preserve">.  This will </w:t>
      </w:r>
      <w:r w:rsidR="004E471E" w:rsidRPr="004E471E">
        <w:t>determine what native title requirements need to be addressed prior to the grant of the permit</w:t>
      </w:r>
      <w:r>
        <w:t>.</w:t>
      </w:r>
      <w:r w:rsidR="004E471E" w:rsidRPr="004E471E">
        <w:t xml:space="preserve"> </w:t>
      </w:r>
    </w:p>
    <w:p w14:paraId="54AC277C" w14:textId="77777777" w:rsidR="004E471E" w:rsidRPr="004E471E" w:rsidRDefault="004E471E" w:rsidP="004E471E">
      <w:r w:rsidRPr="004E471E">
        <w:t xml:space="preserve">Victoria’s Aboriginal cultural heritage is protected under the </w:t>
      </w:r>
      <w:r w:rsidRPr="002E1B35">
        <w:rPr>
          <w:i/>
        </w:rPr>
        <w:t>Aboriginal Heritage Act 2006</w:t>
      </w:r>
      <w:r w:rsidRPr="004E471E">
        <w:t xml:space="preserve">. Information about the operation of the Act can be found at </w:t>
      </w:r>
      <w:hyperlink r:id="rId36" w:history="1">
        <w:r w:rsidR="002E1B35" w:rsidRPr="002E1B35">
          <w:rPr>
            <w:rStyle w:val="Hyperlink"/>
          </w:rPr>
          <w:t>Aboriginal Victoria</w:t>
        </w:r>
      </w:hyperlink>
      <w:r w:rsidR="002E1B35">
        <w:t>.</w:t>
      </w:r>
    </w:p>
    <w:p w14:paraId="6B73A187" w14:textId="77777777" w:rsidR="004E471E" w:rsidRPr="004E471E" w:rsidRDefault="004E471E" w:rsidP="004E471E">
      <w:r w:rsidRPr="004E471E">
        <w:t xml:space="preserve">The release areas may contain regions of Cultural Heritage Sensitivity. The location of these regions are shown on </w:t>
      </w:r>
      <w:r w:rsidR="002E1B35">
        <w:t>Aboriginal Victoria’s</w:t>
      </w:r>
      <w:r w:rsidRPr="004E471E">
        <w:t xml:space="preserve"> online mapping tool called GeoVic available on the web site (</w:t>
      </w:r>
      <w:hyperlink r:id="rId37" w:history="1">
        <w:r w:rsidRPr="002E1B35">
          <w:rPr>
            <w:rStyle w:val="Hyperlink"/>
          </w:rPr>
          <w:t>https://applications.vic.gov.au/apps/achris/public/public-registry/home</w:t>
        </w:r>
      </w:hyperlink>
      <w:r w:rsidRPr="004E471E">
        <w:t xml:space="preserve">). </w:t>
      </w:r>
    </w:p>
    <w:p w14:paraId="4E089DF2" w14:textId="77777777" w:rsidR="004E471E" w:rsidRPr="004E471E" w:rsidRDefault="004E471E" w:rsidP="004E471E">
      <w:r w:rsidRPr="004E471E">
        <w:t xml:space="preserve">When planning exploration work, including any onshore activities on the coastline adjacent to the offshore release areas, it is recommended that a cultural heritage advisor </w:t>
      </w:r>
      <w:r w:rsidR="00360C9C">
        <w:t xml:space="preserve">is engaged </w:t>
      </w:r>
      <w:r w:rsidRPr="004E471E">
        <w:t xml:space="preserve">to prepare a desktop study of known Aboriginal cultural heritage and areas likely to contain Aboriginal cultural heritage. A Cultural Heritage Management Plan may be required prior to requesting consent to commence an exploration work plan. </w:t>
      </w:r>
    </w:p>
    <w:p w14:paraId="3BA027F4" w14:textId="77777777" w:rsidR="003D7590" w:rsidRDefault="004E471E" w:rsidP="004E471E">
      <w:r w:rsidRPr="004E471E">
        <w:t xml:space="preserve">The Gunditj Mirring Traditional Owners Aboriginal Corporation RNTBC is the Registered Aboriginal Party (RAP) under the </w:t>
      </w:r>
      <w:r w:rsidRPr="002E1B35">
        <w:rPr>
          <w:i/>
        </w:rPr>
        <w:t>Aboriginal Heritage Act 2006</w:t>
      </w:r>
      <w:r w:rsidRPr="004E471E">
        <w:t xml:space="preserve"> with respect to offshore release areas </w:t>
      </w:r>
      <w:r w:rsidR="002E1B35">
        <w:t>18-1(v)</w:t>
      </w:r>
      <w:r w:rsidRPr="004E471E">
        <w:t xml:space="preserve"> and </w:t>
      </w:r>
      <w:r w:rsidR="002E1B35">
        <w:t>18-</w:t>
      </w:r>
      <w:r w:rsidRPr="004E471E">
        <w:t>2</w:t>
      </w:r>
      <w:r w:rsidR="002E1B35">
        <w:t>(v)</w:t>
      </w:r>
      <w:r w:rsidRPr="004E471E">
        <w:t xml:space="preserve">. </w:t>
      </w:r>
    </w:p>
    <w:p w14:paraId="0A2989B8" w14:textId="77777777" w:rsidR="003D7590" w:rsidRDefault="004E471E" w:rsidP="004E471E">
      <w:r w:rsidRPr="004E471E">
        <w:lastRenderedPageBreak/>
        <w:t xml:space="preserve">The Gunditj Mirring Traditional Owners Aboriginal Corporation RNTBC and the Eastern Maar Aboriginal Corporation RNTBC are jointly the RAP for the western portion of offshore release area </w:t>
      </w:r>
      <w:r w:rsidR="002E1B35">
        <w:t>18-</w:t>
      </w:r>
      <w:r w:rsidRPr="004E471E">
        <w:t>3</w:t>
      </w:r>
      <w:r w:rsidR="002E1B35">
        <w:t>(v)</w:t>
      </w:r>
      <w:r w:rsidRPr="004E471E">
        <w:t xml:space="preserve">. </w:t>
      </w:r>
    </w:p>
    <w:p w14:paraId="769515A8" w14:textId="77777777" w:rsidR="004E471E" w:rsidRDefault="002E1B35" w:rsidP="004E471E">
      <w:r>
        <w:t>Aboriginal Victoria is</w:t>
      </w:r>
      <w:r w:rsidR="004E471E" w:rsidRPr="004E471E">
        <w:t xml:space="preserve"> responsible for cultural heritage management in the eastern portion of offshore release area </w:t>
      </w:r>
      <w:r>
        <w:t>18-</w:t>
      </w:r>
      <w:r w:rsidR="004E471E" w:rsidRPr="004E471E">
        <w:t>3</w:t>
      </w:r>
      <w:r>
        <w:t>(v)</w:t>
      </w:r>
      <w:r w:rsidR="004E471E" w:rsidRPr="004E471E">
        <w:t xml:space="preserve"> and offshore release areas </w:t>
      </w:r>
      <w:r>
        <w:t>18-</w:t>
      </w:r>
      <w:r w:rsidR="004E471E" w:rsidRPr="004E471E">
        <w:t>4</w:t>
      </w:r>
      <w:r>
        <w:t>(v)</w:t>
      </w:r>
      <w:r w:rsidR="004E471E" w:rsidRPr="004E471E">
        <w:t xml:space="preserve"> and </w:t>
      </w:r>
      <w:r>
        <w:t>18-</w:t>
      </w:r>
      <w:r w:rsidR="004E471E" w:rsidRPr="004E471E">
        <w:t>5</w:t>
      </w:r>
      <w:r>
        <w:t>(v)</w:t>
      </w:r>
      <w:r w:rsidR="004E471E" w:rsidRPr="004E471E">
        <w:t xml:space="preserve">. </w:t>
      </w:r>
    </w:p>
    <w:p w14:paraId="506CC89D" w14:textId="77777777" w:rsidR="00155F2C" w:rsidRDefault="00155F2C" w:rsidP="003508BB">
      <w:pPr>
        <w:pStyle w:val="Heading2"/>
      </w:pPr>
      <w:bookmarkStart w:id="51" w:name="_Toc513813358"/>
      <w:r>
        <w:t>Marine safety</w:t>
      </w:r>
      <w:bookmarkEnd w:id="51"/>
    </w:p>
    <w:p w14:paraId="78590F2A" w14:textId="77777777" w:rsidR="007A37DC" w:rsidRDefault="00A004A8" w:rsidP="007A37DC">
      <w:hyperlink r:id="rId38" w:history="1">
        <w:r w:rsidR="003D7590" w:rsidRPr="009755A5">
          <w:rPr>
            <w:rStyle w:val="Hyperlink"/>
          </w:rPr>
          <w:t>Maritime Safety Victoria</w:t>
        </w:r>
      </w:hyperlink>
      <w:r w:rsidR="003D7590" w:rsidRPr="003D7590">
        <w:t xml:space="preserve"> </w:t>
      </w:r>
      <w:r w:rsidR="003D7590">
        <w:t>regulates v</w:t>
      </w:r>
      <w:r w:rsidR="007A37DC" w:rsidRPr="007A37DC">
        <w:t xml:space="preserve">essel operations within </w:t>
      </w:r>
      <w:r w:rsidR="00C2346A">
        <w:t>S</w:t>
      </w:r>
      <w:r w:rsidR="007A37DC" w:rsidRPr="007A37DC">
        <w:t>tate waters</w:t>
      </w:r>
      <w:r w:rsidR="003D7590">
        <w:t xml:space="preserve">. If </w:t>
      </w:r>
      <w:r w:rsidR="0073324E">
        <w:t xml:space="preserve">a </w:t>
      </w:r>
      <w:r w:rsidR="003D7590">
        <w:t>vessel</w:t>
      </w:r>
      <w:r w:rsidR="0073324E">
        <w:t>’s</w:t>
      </w:r>
      <w:r w:rsidR="003D7590">
        <w:t xml:space="preserve"> operations are out </w:t>
      </w:r>
      <w:r w:rsidR="007A37DC" w:rsidRPr="007A37DC">
        <w:t xml:space="preserve">of the ordinary and may pose a risk to mariners </w:t>
      </w:r>
      <w:r w:rsidR="007A37DC">
        <w:t>(</w:t>
      </w:r>
      <w:r w:rsidR="007A37DC" w:rsidRPr="007A37DC">
        <w:t>as well as organisations who are undertaking activities and works such as drilling, surveys</w:t>
      </w:r>
      <w:r w:rsidR="007A37DC">
        <w:t xml:space="preserve"> and</w:t>
      </w:r>
      <w:r w:rsidR="007A37DC" w:rsidRPr="007A37DC">
        <w:t xml:space="preserve"> diving operations</w:t>
      </w:r>
      <w:r w:rsidR="007A37DC">
        <w:t>)</w:t>
      </w:r>
      <w:r w:rsidR="00021AE4">
        <w:t>,</w:t>
      </w:r>
      <w:r w:rsidR="007A37DC">
        <w:t xml:space="preserve"> </w:t>
      </w:r>
      <w:r w:rsidR="003D7590" w:rsidRPr="003D7590">
        <w:t xml:space="preserve">Maritime Safety Victoria </w:t>
      </w:r>
      <w:r w:rsidR="003D7590">
        <w:t>will</w:t>
      </w:r>
      <w:r w:rsidR="007A37DC">
        <w:t xml:space="preserve"> </w:t>
      </w:r>
      <w:r w:rsidR="003D7590">
        <w:t xml:space="preserve">issue </w:t>
      </w:r>
      <w:r w:rsidR="007A37DC">
        <w:t xml:space="preserve">a Notices to Mariners, which </w:t>
      </w:r>
      <w:r w:rsidR="00021AE4">
        <w:t xml:space="preserve">provides </w:t>
      </w:r>
      <w:r w:rsidR="007A37DC" w:rsidRPr="007A37DC">
        <w:t>advice on general navigation and safety issues.</w:t>
      </w:r>
    </w:p>
    <w:p w14:paraId="0BA7C030" w14:textId="77777777" w:rsidR="00242FDB" w:rsidRDefault="00155F2C" w:rsidP="00242FDB">
      <w:r w:rsidRPr="00155F2C">
        <w:t xml:space="preserve">Maritime Safety Victoria </w:t>
      </w:r>
      <w:r>
        <w:t xml:space="preserve">may also issue a Notice to </w:t>
      </w:r>
      <w:r w:rsidR="007A37DC" w:rsidRPr="007A37DC">
        <w:t>prohibit the navigation and other movement of vessels in the vicinity where works are being carried out or regulate the position and the manner in which any vessel may anchor</w:t>
      </w:r>
      <w:r w:rsidR="0073324E">
        <w:t>,</w:t>
      </w:r>
      <w:r w:rsidR="007A37DC" w:rsidRPr="007A37DC">
        <w:t xml:space="preserve"> or be secured</w:t>
      </w:r>
      <w:r w:rsidR="0073324E">
        <w:t xml:space="preserve">, in the vicinity where </w:t>
      </w:r>
      <w:r w:rsidR="007A37DC" w:rsidRPr="007A37DC">
        <w:t xml:space="preserve">works are being carried out. </w:t>
      </w:r>
    </w:p>
    <w:p w14:paraId="3D84A3B7" w14:textId="77777777" w:rsidR="007A5398" w:rsidRDefault="007A5398">
      <w:pPr>
        <w:spacing w:before="0" w:after="200"/>
      </w:pPr>
      <w:r>
        <w:br w:type="page"/>
      </w:r>
    </w:p>
    <w:p w14:paraId="248978C0" w14:textId="77777777" w:rsidR="00D75914" w:rsidRDefault="00D75914" w:rsidP="001B7C39">
      <w:pPr>
        <w:pStyle w:val="Heading1"/>
      </w:pPr>
      <w:bookmarkStart w:id="52" w:name="_Toc511491036"/>
      <w:bookmarkStart w:id="53" w:name="_Toc511491118"/>
      <w:bookmarkStart w:id="54" w:name="_Toc512851940"/>
      <w:bookmarkStart w:id="55" w:name="_Toc511491038"/>
      <w:bookmarkStart w:id="56" w:name="_Toc511491120"/>
      <w:bookmarkStart w:id="57" w:name="_Toc512851942"/>
      <w:bookmarkStart w:id="58" w:name="_Toc511491039"/>
      <w:bookmarkStart w:id="59" w:name="_Toc511491121"/>
      <w:bookmarkStart w:id="60" w:name="_Toc512851943"/>
      <w:bookmarkStart w:id="61" w:name="_Toc511491049"/>
      <w:bookmarkStart w:id="62" w:name="_Toc511491131"/>
      <w:bookmarkStart w:id="63" w:name="_Toc512851953"/>
      <w:bookmarkStart w:id="64" w:name="_Toc511491053"/>
      <w:bookmarkStart w:id="65" w:name="_Toc511491135"/>
      <w:bookmarkStart w:id="66" w:name="_Toc512851957"/>
      <w:bookmarkStart w:id="67" w:name="_Toc511491054"/>
      <w:bookmarkStart w:id="68" w:name="_Toc511491136"/>
      <w:bookmarkStart w:id="69" w:name="_Toc512851958"/>
      <w:bookmarkStart w:id="70" w:name="_Toc51381335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lastRenderedPageBreak/>
        <w:t>References</w:t>
      </w:r>
      <w:bookmarkEnd w:id="70"/>
    </w:p>
    <w:p w14:paraId="48EA2C59" w14:textId="77777777" w:rsidR="00F33036" w:rsidRPr="00B74567" w:rsidRDefault="00F33036" w:rsidP="00F33036">
      <w:pPr>
        <w:pStyle w:val="bodyCopy"/>
      </w:pPr>
      <w:bookmarkStart w:id="71" w:name="bookmark0"/>
      <w:bookmarkEnd w:id="71"/>
      <w:r w:rsidRPr="00B74567">
        <w:t xml:space="preserve">BAIN, J. S., 1961. Well completion report Flaxmans No.1 Southwest Victoria. Frome-Broken Hill Company Pty Ltd. Report No. 7200-G-85. Unpublished Report. 86p. </w:t>
      </w:r>
    </w:p>
    <w:p w14:paraId="5AB440ED" w14:textId="37BD5520" w:rsidR="000D1984" w:rsidRDefault="000D1984" w:rsidP="000758D3">
      <w:pPr>
        <w:pStyle w:val="bodyCopy"/>
      </w:pPr>
      <w:r>
        <w:t>BASS STRAIT OIL COMPANY LTD</w:t>
      </w:r>
      <w:r w:rsidRPr="00B74567">
        <w:t xml:space="preserve">., </w:t>
      </w:r>
      <w:r>
        <w:t>201</w:t>
      </w:r>
      <w:r w:rsidR="00271C26">
        <w:t>2</w:t>
      </w:r>
      <w:r w:rsidRPr="00B74567">
        <w:t xml:space="preserve">. </w:t>
      </w:r>
      <w:r>
        <w:t xml:space="preserve">Windermere-3 </w:t>
      </w:r>
      <w:r w:rsidRPr="00B74567">
        <w:t xml:space="preserve">Well completion report. </w:t>
      </w:r>
      <w:r w:rsidR="006A21DF">
        <w:t>Bass Strait Oil Company Ltd</w:t>
      </w:r>
      <w:r w:rsidRPr="00B74567">
        <w:t xml:space="preserve">. Unpublished Report. </w:t>
      </w:r>
      <w:r>
        <w:t>20</w:t>
      </w:r>
      <w:r w:rsidR="006A21DF">
        <w:t>1</w:t>
      </w:r>
      <w:r w:rsidRPr="00B74567">
        <w:t>p</w:t>
      </w:r>
      <w:r w:rsidR="00271C26">
        <w:t>.</w:t>
      </w:r>
    </w:p>
    <w:p w14:paraId="0FCF2A37" w14:textId="1251B007" w:rsidR="00271C26" w:rsidRDefault="00271C26" w:rsidP="000758D3">
      <w:pPr>
        <w:pStyle w:val="bodyCopy"/>
      </w:pPr>
      <w:r>
        <w:t>BEACH PETROLEUM LTD</w:t>
      </w:r>
      <w:r w:rsidRPr="00B74567">
        <w:t xml:space="preserve">., </w:t>
      </w:r>
      <w:r>
        <w:t>2009</w:t>
      </w:r>
      <w:r w:rsidRPr="00B74567">
        <w:t xml:space="preserve">. </w:t>
      </w:r>
      <w:r>
        <w:t xml:space="preserve">Fermat-1 </w:t>
      </w:r>
      <w:r w:rsidRPr="00B74567">
        <w:t>Well completion report</w:t>
      </w:r>
      <w:r>
        <w:t xml:space="preserve">, </w:t>
      </w:r>
      <w:r w:rsidR="009F3661">
        <w:t>Interpretive data</w:t>
      </w:r>
      <w:r w:rsidRPr="00B74567">
        <w:t xml:space="preserve">. </w:t>
      </w:r>
      <w:r w:rsidR="009F3661">
        <w:t>Beach Petroleum</w:t>
      </w:r>
      <w:r>
        <w:t xml:space="preserve"> Ltd</w:t>
      </w:r>
      <w:r w:rsidRPr="00B74567">
        <w:t xml:space="preserve">. Unpublished Report. </w:t>
      </w:r>
      <w:r>
        <w:t>152</w:t>
      </w:r>
      <w:r w:rsidRPr="00B74567">
        <w:t>p</w:t>
      </w:r>
      <w:r>
        <w:t>.</w:t>
      </w:r>
    </w:p>
    <w:p w14:paraId="502BA1D5" w14:textId="77777777" w:rsidR="00817436" w:rsidRPr="00B74567" w:rsidRDefault="00817436" w:rsidP="000758D3">
      <w:pPr>
        <w:pStyle w:val="bodyCopy"/>
      </w:pPr>
      <w:r w:rsidRPr="00B74567">
        <w:t>BOCK, P. E. &amp; GLENIE, R. C., 1965. Late Cretaceous and Tertiary depositional cycles in southwestern Victoria. Proceedings of the Royal Society of Victoria, 79, pp. 153-163.</w:t>
      </w:r>
    </w:p>
    <w:p w14:paraId="34EC4B23" w14:textId="77777777" w:rsidR="00817436" w:rsidRPr="00B74567" w:rsidRDefault="00817436" w:rsidP="000758D3">
      <w:pPr>
        <w:pStyle w:val="bodyCopy"/>
      </w:pPr>
      <w:r w:rsidRPr="00B74567">
        <w:t xml:space="preserve">BOREHAM, C. J., HOPE, J. M., JACKSON, P., DAVENPORT, R., EARL, K. L., EDWARDS, D. S., LOGAN, G. A. &amp; KRASSAY, A. A., 2004. Gas–oil–source correlations in the Otway Basin, southern Australia </w:t>
      </w:r>
      <w:r w:rsidRPr="00611DE3">
        <w:rPr>
          <w:i/>
        </w:rPr>
        <w:t>In</w:t>
      </w:r>
      <w:r w:rsidRPr="00B74567">
        <w:t xml:space="preserve"> P. J. Boult, D. R. Johns &amp; S. C. Lang (eds) Eastern Australasian Basins Symposium II: </w:t>
      </w:r>
      <w:r w:rsidRPr="00611DE3">
        <w:rPr>
          <w:i/>
        </w:rPr>
        <w:t>Petroleum Exploration Society of Australia Special Publication</w:t>
      </w:r>
      <w:r w:rsidRPr="00B74567">
        <w:t>, pp. 603–627.</w:t>
      </w:r>
    </w:p>
    <w:p w14:paraId="680B40A0" w14:textId="77777777" w:rsidR="00817436" w:rsidRPr="00B74567" w:rsidRDefault="00817436" w:rsidP="000758D3">
      <w:pPr>
        <w:pStyle w:val="bodyCopy"/>
      </w:pPr>
      <w:r w:rsidRPr="00B74567">
        <w:t xml:space="preserve">BOYD, G.A. &amp; GALLAGHER, S.J., 2001. The sedimentology and palaeoenvironments of the Late Cretaceous Sherbrook Group in the Otway Basin.  </w:t>
      </w:r>
      <w:r w:rsidRPr="00611DE3">
        <w:rPr>
          <w:i/>
        </w:rPr>
        <w:t>In</w:t>
      </w:r>
      <w:r w:rsidRPr="00B74567">
        <w:t xml:space="preserve"> K.C. Hill &amp; T. Bernecker (eds) Eastern Australasian Basins Symposium – </w:t>
      </w:r>
      <w:r w:rsidRPr="00611DE3">
        <w:rPr>
          <w:i/>
        </w:rPr>
        <w:t>A Refocussed Energy Perspective for the Future, Petroleum Exploration Society of Australia, Special Publication</w:t>
      </w:r>
      <w:r w:rsidRPr="00B74567">
        <w:t>, pp. 475-483.</w:t>
      </w:r>
    </w:p>
    <w:p w14:paraId="12BB1BD6" w14:textId="77777777" w:rsidR="00817436" w:rsidRPr="00B74567" w:rsidRDefault="00817436" w:rsidP="000758D3">
      <w:pPr>
        <w:pStyle w:val="bodyCopy"/>
      </w:pPr>
      <w:r w:rsidRPr="00B74567">
        <w:t xml:space="preserve">BRADSHAW, M.T., 1993, Australian Petroleum Systems. </w:t>
      </w:r>
      <w:r w:rsidRPr="00611DE3">
        <w:rPr>
          <w:i/>
        </w:rPr>
        <w:t>Petroleum Exploration Society of Australia Journal</w:t>
      </w:r>
      <w:r w:rsidRPr="00B74567">
        <w:t xml:space="preserve">, </w:t>
      </w:r>
      <w:r w:rsidRPr="00611DE3">
        <w:rPr>
          <w:b/>
        </w:rPr>
        <w:t>21</w:t>
      </w:r>
      <w:r w:rsidRPr="00B74567">
        <w:t>, pp. 43-53.</w:t>
      </w:r>
    </w:p>
    <w:p w14:paraId="2F278ED3" w14:textId="77777777" w:rsidR="00817436" w:rsidRPr="00B74567" w:rsidRDefault="00817436" w:rsidP="000758D3">
      <w:pPr>
        <w:pStyle w:val="bodyCopy"/>
      </w:pPr>
      <w:r w:rsidRPr="00B74567">
        <w:t>BROWN, G.A., 1965. New Geological Concepts in the Casterton Area, Otway Ba</w:t>
      </w:r>
      <w:r w:rsidR="004A0DF4">
        <w:t xml:space="preserve">sin, Victoria. </w:t>
      </w:r>
      <w:r w:rsidR="004A0DF4" w:rsidRPr="00611DE3">
        <w:rPr>
          <w:i/>
        </w:rPr>
        <w:t>APEA Journal</w:t>
      </w:r>
      <w:r w:rsidR="004A0DF4">
        <w:t xml:space="preserve"> </w:t>
      </w:r>
      <w:r w:rsidR="004A0DF4" w:rsidRPr="00611DE3">
        <w:rPr>
          <w:b/>
        </w:rPr>
        <w:t>5</w:t>
      </w:r>
      <w:r w:rsidR="004A0DF4">
        <w:t xml:space="preserve">, </w:t>
      </w:r>
      <w:r w:rsidRPr="00B74567">
        <w:t>pp. 27-35.</w:t>
      </w:r>
    </w:p>
    <w:p w14:paraId="1B9F0354" w14:textId="77777777" w:rsidR="00817436" w:rsidRPr="00BF1633" w:rsidRDefault="00817436" w:rsidP="00817436">
      <w:pPr>
        <w:pStyle w:val="bodyCopy"/>
      </w:pPr>
      <w:r w:rsidRPr="00B74567">
        <w:t xml:space="preserve">BROWN, B.J., MÜLLER, R.D., GAINA, C., STRUCKMEYER, H.I.M., STAGG, H.M.J. &amp; SYMONDS, P.A., 2003. Formation and evolution of Australian passive margins: implications for locating the boundary between continental and oceanic crust. </w:t>
      </w:r>
      <w:r w:rsidRPr="00611DE3">
        <w:rPr>
          <w:i/>
        </w:rPr>
        <w:t xml:space="preserve">Geological Society of Australia Special Publication </w:t>
      </w:r>
      <w:r w:rsidRPr="00611DE3">
        <w:rPr>
          <w:b/>
        </w:rPr>
        <w:t>22</w:t>
      </w:r>
      <w:r w:rsidRPr="00B74567">
        <w:t xml:space="preserve"> and </w:t>
      </w:r>
      <w:r w:rsidRPr="00611DE3">
        <w:rPr>
          <w:i/>
        </w:rPr>
        <w:t>Geological Society of America Special Paper</w:t>
      </w:r>
      <w:r w:rsidRPr="00B74567">
        <w:t xml:space="preserve"> </w:t>
      </w:r>
      <w:r w:rsidRPr="00611DE3">
        <w:rPr>
          <w:b/>
        </w:rPr>
        <w:t>372</w:t>
      </w:r>
      <w:r w:rsidRPr="00BF1633">
        <w:t>, pp. 223</w:t>
      </w:r>
      <w:r w:rsidRPr="00BF1633">
        <w:rPr>
          <w:rFonts w:ascii="Cambria Math" w:hAnsi="Cambria Math" w:cs="Cambria Math"/>
        </w:rPr>
        <w:t>‐</w:t>
      </w:r>
      <w:r w:rsidRPr="00BF1633">
        <w:t>243.</w:t>
      </w:r>
    </w:p>
    <w:p w14:paraId="3E4F7CB7" w14:textId="77777777" w:rsidR="00817436" w:rsidRPr="00B74567" w:rsidRDefault="00817436" w:rsidP="000758D3">
      <w:pPr>
        <w:pStyle w:val="bodyCopy"/>
      </w:pPr>
      <w:r w:rsidRPr="00B74567">
        <w:t>BUCKINGHAM, I. D., 1992. Well Completion Report Killara-1 PEP 101 Otway Basin Victoria, Volume 1: text. Anglo Australian Oil Company N.L.. Unpublished Report, 62p.</w:t>
      </w:r>
    </w:p>
    <w:p w14:paraId="0A705219" w14:textId="77777777" w:rsidR="00817436" w:rsidRDefault="00817436" w:rsidP="000758D3">
      <w:pPr>
        <w:pStyle w:val="bodyCopy"/>
      </w:pPr>
      <w:r>
        <w:t xml:space="preserve">BUFFIN, A., J. 1989. </w:t>
      </w:r>
      <w:r w:rsidRPr="00A0246D">
        <w:t>Waarre Sandstone</w:t>
      </w:r>
      <w:r>
        <w:t xml:space="preserve"> Development within t</w:t>
      </w:r>
      <w:r w:rsidRPr="00A0246D">
        <w:t>he Port Campbell Embayment</w:t>
      </w:r>
      <w:r>
        <w:t xml:space="preserve">. </w:t>
      </w:r>
      <w:r w:rsidRPr="00F72250">
        <w:rPr>
          <w:i/>
        </w:rPr>
        <w:t>The APEA Journal</w:t>
      </w:r>
      <w:r w:rsidR="00F33036">
        <w:t>,</w:t>
      </w:r>
      <w:r>
        <w:t xml:space="preserve"> pp. 299-311.</w:t>
      </w:r>
    </w:p>
    <w:p w14:paraId="120A45DA" w14:textId="77777777" w:rsidR="00817436" w:rsidRPr="00BF1633" w:rsidRDefault="00817436" w:rsidP="000758D3">
      <w:pPr>
        <w:pStyle w:val="bodyCopy"/>
      </w:pPr>
      <w:r w:rsidRPr="00BF1633">
        <w:t xml:space="preserve">CUPPER, M. L., WHITE, S. &amp; NEILSON, J. L., 2003. Quaternary: ice ages – environments of change. </w:t>
      </w:r>
      <w:r w:rsidRPr="00BF1633">
        <w:rPr>
          <w:i/>
          <w:iCs/>
        </w:rPr>
        <w:t xml:space="preserve">In </w:t>
      </w:r>
      <w:r w:rsidRPr="00BF1633">
        <w:t xml:space="preserve">W.D. Birch (ed) </w:t>
      </w:r>
      <w:r w:rsidRPr="00BF1633">
        <w:rPr>
          <w:iCs/>
        </w:rPr>
        <w:t>Geology of Victoria</w:t>
      </w:r>
      <w:r w:rsidRPr="00BF1633">
        <w:t xml:space="preserve">, </w:t>
      </w:r>
      <w:r w:rsidRPr="00BF1633">
        <w:rPr>
          <w:i/>
        </w:rPr>
        <w:t>Geological Society of Australia, Special Publication</w:t>
      </w:r>
      <w:r w:rsidRPr="00BF1633">
        <w:t xml:space="preserve"> </w:t>
      </w:r>
      <w:r w:rsidRPr="00BF1633">
        <w:rPr>
          <w:b/>
          <w:bCs/>
        </w:rPr>
        <w:t>23</w:t>
      </w:r>
      <w:r w:rsidRPr="00BF1633">
        <w:t>, pp. 337-359.</w:t>
      </w:r>
    </w:p>
    <w:p w14:paraId="2F267B96" w14:textId="48CC7D37" w:rsidR="00817436" w:rsidRPr="00BF1633" w:rsidRDefault="00817436" w:rsidP="000758D3">
      <w:pPr>
        <w:pStyle w:val="bodyCopy"/>
      </w:pPr>
      <w:r w:rsidRPr="00BF1633">
        <w:t xml:space="preserve">DICKINSON, J.A., WALLACE, M.W., HOLDGATE, G.R., DANIELS, J., GALLAGHER, S.J. &amp; THOMAS, L., 2001. Neogene tectonics in SE Australia: implications for petroleum systems, </w:t>
      </w:r>
      <w:r w:rsidRPr="00611DE3">
        <w:rPr>
          <w:i/>
        </w:rPr>
        <w:t>The APEA Journal</w:t>
      </w:r>
      <w:r w:rsidRPr="00BF1633">
        <w:t xml:space="preserve">, </w:t>
      </w:r>
      <w:r w:rsidRPr="00611DE3">
        <w:rPr>
          <w:b/>
        </w:rPr>
        <w:t>41</w:t>
      </w:r>
      <w:r w:rsidRPr="00BF1633">
        <w:t>, pp. 37-52.</w:t>
      </w:r>
    </w:p>
    <w:p w14:paraId="725FF697" w14:textId="77777777" w:rsidR="00817436" w:rsidRPr="00BF1633" w:rsidRDefault="00817436" w:rsidP="000758D3">
      <w:pPr>
        <w:pStyle w:val="bodyCopy"/>
      </w:pPr>
      <w:r w:rsidRPr="00BF1633">
        <w:t xml:space="preserve">DUDDY, I.R., 2003. Mesozoic, a time of change in tectonic regime. </w:t>
      </w:r>
      <w:r w:rsidRPr="00BF1633">
        <w:rPr>
          <w:i/>
          <w:iCs/>
        </w:rPr>
        <w:t xml:space="preserve">In </w:t>
      </w:r>
      <w:r w:rsidRPr="00BF1633">
        <w:t xml:space="preserve">W.D. Birch (ed) </w:t>
      </w:r>
      <w:r w:rsidRPr="00BF1633">
        <w:rPr>
          <w:iCs/>
        </w:rPr>
        <w:t>Geology of Victoria</w:t>
      </w:r>
      <w:r w:rsidRPr="00BF1633">
        <w:t xml:space="preserve">, </w:t>
      </w:r>
      <w:r w:rsidRPr="00BF1633">
        <w:rPr>
          <w:i/>
        </w:rPr>
        <w:t>Geological Society of Australia, Special Publication</w:t>
      </w:r>
      <w:r w:rsidRPr="00BF1633">
        <w:t xml:space="preserve"> </w:t>
      </w:r>
      <w:r w:rsidRPr="00BF1633">
        <w:rPr>
          <w:b/>
          <w:bCs/>
        </w:rPr>
        <w:t>23</w:t>
      </w:r>
      <w:r w:rsidRPr="00BF1633">
        <w:t>, pp. 239</w:t>
      </w:r>
      <w:r w:rsidRPr="00BF1633">
        <w:rPr>
          <w:rFonts w:ascii="Cambria Math" w:hAnsi="Cambria Math" w:cs="Cambria Math"/>
        </w:rPr>
        <w:t>‐</w:t>
      </w:r>
      <w:r w:rsidRPr="00BF1633">
        <w:t>286.</w:t>
      </w:r>
    </w:p>
    <w:p w14:paraId="6683FB89" w14:textId="77777777" w:rsidR="00817436" w:rsidRDefault="00817436" w:rsidP="000758D3">
      <w:pPr>
        <w:pStyle w:val="bodyCopy"/>
      </w:pPr>
      <w:r w:rsidRPr="00BF1633">
        <w:t xml:space="preserve">EDWARDS, D.S., STRUCKMEYER, H.I.M., BRADSHAW, M.T. &amp; SKINNER, J.E., 1999. Geochemical Characteristics of Australia’s Southern Margin Petroleum Systems. </w:t>
      </w:r>
      <w:r w:rsidRPr="00BF1633">
        <w:rPr>
          <w:i/>
        </w:rPr>
        <w:t>Australian Petroleum Production and Exploration Association Journal</w:t>
      </w:r>
      <w:r w:rsidRPr="00BF1633">
        <w:t xml:space="preserve">, </w:t>
      </w:r>
      <w:r w:rsidRPr="00BF1633">
        <w:rPr>
          <w:b/>
        </w:rPr>
        <w:t>39(1)</w:t>
      </w:r>
      <w:r w:rsidRPr="00BF1633">
        <w:t>, pp. 297-321.</w:t>
      </w:r>
    </w:p>
    <w:p w14:paraId="70559A32" w14:textId="77777777" w:rsidR="000D1984" w:rsidRDefault="00D85D1A" w:rsidP="000758D3">
      <w:pPr>
        <w:pStyle w:val="bodyCopy"/>
      </w:pPr>
      <w:r>
        <w:t>ESSENTIAL PETROLEUM RESOURCES LTD</w:t>
      </w:r>
      <w:r w:rsidRPr="00B74567">
        <w:t xml:space="preserve">., </w:t>
      </w:r>
      <w:r>
        <w:t>2003</w:t>
      </w:r>
      <w:r w:rsidRPr="00B74567">
        <w:t xml:space="preserve">. Well completion report </w:t>
      </w:r>
      <w:r>
        <w:t>Port Fairy</w:t>
      </w:r>
      <w:r w:rsidRPr="00B74567">
        <w:t xml:space="preserve">1. </w:t>
      </w:r>
      <w:r>
        <w:t>Essential Petroleum Resources</w:t>
      </w:r>
      <w:r w:rsidRPr="00B74567">
        <w:t xml:space="preserve"> Ltd. Unpublished Report. </w:t>
      </w:r>
      <w:r>
        <w:t>23</w:t>
      </w:r>
      <w:r w:rsidRPr="00B74567">
        <w:t xml:space="preserve">6p. </w:t>
      </w:r>
    </w:p>
    <w:p w14:paraId="1F0971CB" w14:textId="77777777" w:rsidR="00D85D1A" w:rsidRDefault="000D1984" w:rsidP="000758D3">
      <w:pPr>
        <w:pStyle w:val="bodyCopy"/>
      </w:pPr>
      <w:r>
        <w:lastRenderedPageBreak/>
        <w:t>ESSENTIAL PETROLEUM RESOURCES LTD</w:t>
      </w:r>
      <w:r w:rsidRPr="00B74567">
        <w:t xml:space="preserve">., </w:t>
      </w:r>
      <w:r>
        <w:t>2006</w:t>
      </w:r>
      <w:r w:rsidRPr="00B74567">
        <w:t xml:space="preserve">. </w:t>
      </w:r>
      <w:r>
        <w:t>PEP 152</w:t>
      </w:r>
      <w:r w:rsidRPr="00B74567">
        <w:t xml:space="preserve"> </w:t>
      </w:r>
      <w:r>
        <w:t>Port Fairy</w:t>
      </w:r>
      <w:r w:rsidRPr="00B74567">
        <w:t>1</w:t>
      </w:r>
      <w:r>
        <w:t xml:space="preserve"> Abandonment Report</w:t>
      </w:r>
      <w:r w:rsidRPr="00B74567">
        <w:t xml:space="preserve">. </w:t>
      </w:r>
      <w:r>
        <w:t>Essential Petroleum Resources</w:t>
      </w:r>
      <w:r w:rsidRPr="00B74567">
        <w:t xml:space="preserve"> Ltd. Unpublished Report. 6p. </w:t>
      </w:r>
    </w:p>
    <w:p w14:paraId="485F3583" w14:textId="77777777" w:rsidR="000D1984" w:rsidRPr="00BF1633" w:rsidRDefault="000D1984" w:rsidP="000758D3">
      <w:pPr>
        <w:pStyle w:val="bodyCopy"/>
      </w:pPr>
      <w:r>
        <w:t>ESSENTIAL PETROLEUM RESOURCES LTD</w:t>
      </w:r>
      <w:r w:rsidRPr="00B74567">
        <w:t xml:space="preserve">., </w:t>
      </w:r>
      <w:r>
        <w:t>2004</w:t>
      </w:r>
      <w:r w:rsidRPr="00B74567">
        <w:t xml:space="preserve">. Well completion report </w:t>
      </w:r>
      <w:r>
        <w:t>Kilarney EPRL-1</w:t>
      </w:r>
      <w:r w:rsidRPr="00B74567">
        <w:t xml:space="preserve">. </w:t>
      </w:r>
      <w:r>
        <w:t>Essential Petroleum Resources</w:t>
      </w:r>
      <w:r w:rsidRPr="00B74567">
        <w:t xml:space="preserve"> Ltd. Unpublished Report. </w:t>
      </w:r>
      <w:r>
        <w:t>11</w:t>
      </w:r>
      <w:r w:rsidRPr="00B74567">
        <w:t xml:space="preserve">6p. </w:t>
      </w:r>
    </w:p>
    <w:p w14:paraId="0794C859" w14:textId="77777777" w:rsidR="009F082E" w:rsidRPr="00BF1633" w:rsidRDefault="009F082E" w:rsidP="009F082E">
      <w:pPr>
        <w:pStyle w:val="bodyCopy"/>
      </w:pPr>
      <w:r>
        <w:rPr>
          <w:rFonts w:eastAsiaTheme="minorHAnsi"/>
        </w:rPr>
        <w:t xml:space="preserve">FITZGERALD, D., PATERSON, R. &amp; SKLADZIEN, P.B., 2009. Isostatic and decompensative corrections for Victorian gravity data. </w:t>
      </w:r>
      <w:r w:rsidRPr="00611DE3">
        <w:rPr>
          <w:rFonts w:eastAsiaTheme="minorHAnsi"/>
          <w:i/>
        </w:rPr>
        <w:t>GeoScience Victoria 3D Victoria Report</w:t>
      </w:r>
      <w:r>
        <w:rPr>
          <w:rFonts w:eastAsiaTheme="minorHAnsi"/>
        </w:rPr>
        <w:t xml:space="preserve"> </w:t>
      </w:r>
      <w:r w:rsidRPr="00611DE3">
        <w:rPr>
          <w:rFonts w:eastAsiaTheme="minorHAnsi"/>
          <w:b/>
        </w:rPr>
        <w:t>3</w:t>
      </w:r>
      <w:r>
        <w:rPr>
          <w:rFonts w:eastAsiaTheme="minorHAnsi"/>
        </w:rPr>
        <w:t>. Department of Primary Industries.</w:t>
      </w:r>
    </w:p>
    <w:p w14:paraId="71D6A511" w14:textId="77777777" w:rsidR="00817436" w:rsidRPr="00BF1633" w:rsidRDefault="00817436" w:rsidP="000758D3">
      <w:pPr>
        <w:pStyle w:val="bodyCopy"/>
      </w:pPr>
      <w:r w:rsidRPr="00BF1633">
        <w:t xml:space="preserve">GLOE &amp; HOLDGATE, G., 1991. Chapter 1 - Geology and Resources. </w:t>
      </w:r>
      <w:r w:rsidRPr="00BF1633">
        <w:rPr>
          <w:i/>
        </w:rPr>
        <w:t>In</w:t>
      </w:r>
      <w:r w:rsidRPr="00BF1633">
        <w:t xml:space="preserve"> R.A. Durie (ed.) </w:t>
      </w:r>
      <w:r w:rsidRPr="00BF1633">
        <w:rPr>
          <w:i/>
        </w:rPr>
        <w:t>The Science of Victorian Brown Coal: Structure, Properties and Consequences for Utilisation</w:t>
      </w:r>
      <w:r w:rsidRPr="00BF1633">
        <w:t>, Butterworth-Heinemann, Oxford, UK.</w:t>
      </w:r>
    </w:p>
    <w:p w14:paraId="528779DB" w14:textId="77777777" w:rsidR="00E44BF6" w:rsidRPr="00611DE3" w:rsidRDefault="00E44BF6" w:rsidP="00817436">
      <w:pPr>
        <w:pStyle w:val="bodyCopy"/>
        <w:rPr>
          <w:i/>
        </w:rPr>
      </w:pPr>
      <w:r>
        <w:t xml:space="preserve">GRADSTEIN, F. M., OGG, J. G. &amp; SMITH, A. G., 2005. A Geologic Time Scale 2004. </w:t>
      </w:r>
      <w:r w:rsidRPr="00611DE3">
        <w:rPr>
          <w:i/>
        </w:rPr>
        <w:t>University Press, Cambridge.</w:t>
      </w:r>
    </w:p>
    <w:p w14:paraId="325AA9FD" w14:textId="77777777" w:rsidR="00817436" w:rsidRPr="00BF1633" w:rsidRDefault="00817436" w:rsidP="00817436">
      <w:pPr>
        <w:pStyle w:val="bodyCopy"/>
      </w:pPr>
      <w:r w:rsidRPr="00BF1633">
        <w:t>GUZEL, M., 2015. Review of Formation Tops of the onshore Otway Basin, Victoria, Australia. Unpublished report.</w:t>
      </w:r>
    </w:p>
    <w:p w14:paraId="5B382A2C" w14:textId="77777777" w:rsidR="00817436" w:rsidRPr="00BF1633" w:rsidRDefault="00817436" w:rsidP="00817436">
      <w:pPr>
        <w:pStyle w:val="bodyCopy"/>
      </w:pPr>
      <w:r w:rsidRPr="00BF1633">
        <w:t>HOLFORD, S. P., TUITT, A. K., HILLIS, R. R., GREEN, P. F., STOKER, M. S., DUDDY, I. R., SANDIFORD, M. &amp; TASSONE, D.R., 2014. Cenozoic deformation in the Otway Basin, southern Australian margin: implications for the origin and nature of post</w:t>
      </w:r>
      <w:r w:rsidRPr="00BF1633">
        <w:rPr>
          <w:rFonts w:ascii="Cambria Math" w:hAnsi="Cambria Math" w:cs="Cambria Math"/>
        </w:rPr>
        <w:t>‐</w:t>
      </w:r>
      <w:r w:rsidRPr="00BF1633">
        <w:t xml:space="preserve">breakup compression at rifted margins. </w:t>
      </w:r>
      <w:r w:rsidRPr="00BF1633">
        <w:rPr>
          <w:i/>
          <w:iCs/>
        </w:rPr>
        <w:t xml:space="preserve">Basin Research </w:t>
      </w:r>
      <w:r w:rsidRPr="00BF1633">
        <w:rPr>
          <w:b/>
          <w:bCs/>
        </w:rPr>
        <w:t>26</w:t>
      </w:r>
      <w:r w:rsidRPr="00BF1633">
        <w:t>, pp. 10</w:t>
      </w:r>
      <w:r w:rsidRPr="00BF1633">
        <w:rPr>
          <w:rFonts w:ascii="Cambria Math" w:hAnsi="Cambria Math" w:cs="Cambria Math"/>
        </w:rPr>
        <w:t>‐</w:t>
      </w:r>
      <w:r w:rsidRPr="00BF1633">
        <w:t>37.</w:t>
      </w:r>
    </w:p>
    <w:p w14:paraId="14B6BCF8" w14:textId="77777777" w:rsidR="00817436" w:rsidRPr="00BF1633" w:rsidRDefault="00817436" w:rsidP="00817436">
      <w:pPr>
        <w:pStyle w:val="bodyCopy"/>
      </w:pPr>
      <w:r w:rsidRPr="00BF1633">
        <w:t xml:space="preserve">HOLDGATE, G. R. &amp; GALLAGHER, S. J., 2003. Tertiary, a period of transition to marine basin environments. </w:t>
      </w:r>
      <w:r w:rsidRPr="00BF1633">
        <w:rPr>
          <w:i/>
          <w:iCs/>
        </w:rPr>
        <w:t xml:space="preserve">In </w:t>
      </w:r>
      <w:r w:rsidRPr="00BF1633">
        <w:t xml:space="preserve">W.D. Birch (ed.) </w:t>
      </w:r>
      <w:r w:rsidRPr="00BF1633">
        <w:rPr>
          <w:i/>
          <w:iCs/>
        </w:rPr>
        <w:t xml:space="preserve">Geology of Victoria, </w:t>
      </w:r>
      <w:r w:rsidRPr="00BF1633">
        <w:t xml:space="preserve">Geological Society of Australia, Special Publication </w:t>
      </w:r>
      <w:r w:rsidRPr="00BF1633">
        <w:rPr>
          <w:b/>
          <w:bCs/>
        </w:rPr>
        <w:t>23</w:t>
      </w:r>
      <w:r w:rsidRPr="00BF1633">
        <w:t>, pp. 289</w:t>
      </w:r>
      <w:r w:rsidRPr="00BF1633">
        <w:rPr>
          <w:rFonts w:ascii="Cambria Math" w:hAnsi="Cambria Math" w:cs="Cambria Math"/>
        </w:rPr>
        <w:t>‐</w:t>
      </w:r>
      <w:r w:rsidRPr="00BF1633">
        <w:t>335.</w:t>
      </w:r>
    </w:p>
    <w:p w14:paraId="417C278C" w14:textId="77777777" w:rsidR="00817436" w:rsidRPr="00BF1633" w:rsidRDefault="00817436" w:rsidP="000758D3">
      <w:pPr>
        <w:pStyle w:val="bodyCopy"/>
      </w:pPr>
      <w:r w:rsidRPr="00BF1633">
        <w:t xml:space="preserve">KEATING, K., 1993. The lithostratigraphy, palynology and sequence stratigraphy of the Pebble Point Formation. </w:t>
      </w:r>
      <w:r w:rsidRPr="00BF1633">
        <w:rPr>
          <w:i/>
        </w:rPr>
        <w:t>Unpublished BSc (Hons) thesis</w:t>
      </w:r>
      <w:r w:rsidRPr="00BF1633">
        <w:t>. La Trobe University, Bundoora, Victoria.</w:t>
      </w:r>
    </w:p>
    <w:p w14:paraId="5305FB34" w14:textId="77777777" w:rsidR="00817436" w:rsidRPr="00BF1633" w:rsidRDefault="00817436" w:rsidP="000758D3">
      <w:pPr>
        <w:pStyle w:val="bodyCopy"/>
      </w:pPr>
      <w:r w:rsidRPr="00BF1633">
        <w:t xml:space="preserve">KOPSEN, E. &amp; SCHOLEFIELD, T., 1990. Prospectivity of the Otway Supergroup in the central and western Otway Basin. </w:t>
      </w:r>
      <w:r w:rsidRPr="00BF1633">
        <w:rPr>
          <w:i/>
        </w:rPr>
        <w:t>The APEA Journal</w:t>
      </w:r>
      <w:r w:rsidRPr="00BF1633">
        <w:t xml:space="preserve">, </w:t>
      </w:r>
      <w:r w:rsidRPr="00BF1633">
        <w:rPr>
          <w:b/>
        </w:rPr>
        <w:t>30</w:t>
      </w:r>
      <w:r w:rsidRPr="00BF1633">
        <w:t>, pp. 263-278.</w:t>
      </w:r>
    </w:p>
    <w:p w14:paraId="2782CF76" w14:textId="77777777" w:rsidR="00817436" w:rsidRPr="00BF1633" w:rsidRDefault="00817436" w:rsidP="00817436">
      <w:pPr>
        <w:pStyle w:val="bodyCopy"/>
      </w:pPr>
      <w:r w:rsidRPr="00BF1633">
        <w:t xml:space="preserve">KRASSAY, A.A., CATHRO, D.L. &amp; RYAN, D.J., 2004. A regional tectonostratigraphic framework for the Otway Basin. </w:t>
      </w:r>
      <w:r w:rsidRPr="00BF1633">
        <w:rPr>
          <w:i/>
          <w:iCs/>
        </w:rPr>
        <w:t xml:space="preserve">In </w:t>
      </w:r>
      <w:r w:rsidRPr="00BF1633">
        <w:t xml:space="preserve">P.J. Boult, D.R. Johns &amp; S.C. Lang (eds) </w:t>
      </w:r>
      <w:r w:rsidRPr="00BF1633">
        <w:rPr>
          <w:i/>
          <w:iCs/>
        </w:rPr>
        <w:t>Eastern Australasian Basins Symposium II</w:t>
      </w:r>
      <w:r w:rsidRPr="00BF1633">
        <w:t>, Petroleum Exploration Society of Australia, Special Publication, pp. 97</w:t>
      </w:r>
      <w:r w:rsidRPr="00BF1633">
        <w:rPr>
          <w:rFonts w:ascii="Cambria Math" w:hAnsi="Cambria Math" w:cs="Cambria Math"/>
        </w:rPr>
        <w:t>‐</w:t>
      </w:r>
      <w:r w:rsidRPr="00BF1633">
        <w:t>116.</w:t>
      </w:r>
    </w:p>
    <w:p w14:paraId="605DA5FA" w14:textId="77777777" w:rsidR="00817436" w:rsidRPr="00BF1633" w:rsidRDefault="00817436" w:rsidP="00817436">
      <w:pPr>
        <w:pStyle w:val="bodyCopy"/>
      </w:pPr>
      <w:r w:rsidRPr="00BF1633">
        <w:rPr>
          <w:smallCaps/>
        </w:rPr>
        <w:t>LOVIBOND</w:t>
      </w:r>
      <w:r w:rsidRPr="00BF1633">
        <w:t xml:space="preserve">, R., </w:t>
      </w:r>
      <w:r w:rsidRPr="00BF1633">
        <w:rPr>
          <w:smallCaps/>
        </w:rPr>
        <w:t>SUTTILL</w:t>
      </w:r>
      <w:r w:rsidRPr="00BF1633">
        <w:t xml:space="preserve">, R.J., </w:t>
      </w:r>
      <w:r w:rsidRPr="00BF1633">
        <w:rPr>
          <w:smallCaps/>
        </w:rPr>
        <w:t>SKINNER</w:t>
      </w:r>
      <w:r w:rsidRPr="00BF1633">
        <w:t xml:space="preserve">, J.E. &amp; </w:t>
      </w:r>
      <w:r w:rsidRPr="00BF1633">
        <w:rPr>
          <w:smallCaps/>
        </w:rPr>
        <w:t>ABURAS</w:t>
      </w:r>
      <w:r w:rsidRPr="00BF1633">
        <w:t xml:space="preserve">, A.N., 1995. The Hydrocarbon Potential of the Penola Trough, Otway Basin. </w:t>
      </w:r>
      <w:r w:rsidRPr="00BF1633">
        <w:rPr>
          <w:i/>
          <w:iCs/>
        </w:rPr>
        <w:t>APEA Journal</w:t>
      </w:r>
      <w:r w:rsidRPr="00BF1633">
        <w:t xml:space="preserve"> </w:t>
      </w:r>
      <w:r w:rsidRPr="00BF1633">
        <w:rPr>
          <w:b/>
          <w:bCs/>
        </w:rPr>
        <w:t>35</w:t>
      </w:r>
      <w:r w:rsidRPr="00BF1633">
        <w:t>, pp. 358-371.</w:t>
      </w:r>
    </w:p>
    <w:p w14:paraId="03B545EF" w14:textId="77777777" w:rsidR="00817436" w:rsidRDefault="00817436" w:rsidP="00830111">
      <w:pPr>
        <w:pStyle w:val="bodyCopy"/>
      </w:pPr>
      <w:r w:rsidRPr="00BF1633">
        <w:t>MEHIN, K. &amp; KAMEL, M., 2002 Gas resources of the Otway Basin in Victoria. Department of Natural Resources and the Environment. 54p.</w:t>
      </w:r>
    </w:p>
    <w:p w14:paraId="5C489AB2" w14:textId="77777777" w:rsidR="000D1984" w:rsidRDefault="000D1984" w:rsidP="00830111">
      <w:pPr>
        <w:pStyle w:val="bodyCopy"/>
      </w:pPr>
      <w:bookmarkStart w:id="72" w:name="_Hlk513645200"/>
      <w:r>
        <w:t>MINORA RESOURCES NL</w:t>
      </w:r>
      <w:r w:rsidRPr="00B74567">
        <w:t xml:space="preserve">., </w:t>
      </w:r>
      <w:r>
        <w:t>1988</w:t>
      </w:r>
      <w:r w:rsidRPr="00B74567">
        <w:t xml:space="preserve">. </w:t>
      </w:r>
      <w:r>
        <w:t xml:space="preserve">Windermere-1 </w:t>
      </w:r>
      <w:r w:rsidRPr="00B74567">
        <w:t xml:space="preserve">Well completion report. </w:t>
      </w:r>
      <w:r>
        <w:t>Minora Resources</w:t>
      </w:r>
      <w:r w:rsidRPr="00B74567">
        <w:t xml:space="preserve"> </w:t>
      </w:r>
      <w:r>
        <w:t>NL</w:t>
      </w:r>
      <w:r w:rsidRPr="00B74567">
        <w:t xml:space="preserve">. Unpublished Report. </w:t>
      </w:r>
      <w:r>
        <w:t>200</w:t>
      </w:r>
      <w:r w:rsidRPr="00B74567">
        <w:t>p</w:t>
      </w:r>
      <w:bookmarkEnd w:id="72"/>
      <w:r w:rsidRPr="00B74567">
        <w:t xml:space="preserve">. </w:t>
      </w:r>
    </w:p>
    <w:p w14:paraId="68637355" w14:textId="574443DC" w:rsidR="000D1984" w:rsidRPr="00BF1633" w:rsidRDefault="000D1984" w:rsidP="00830111">
      <w:pPr>
        <w:pStyle w:val="bodyCopy"/>
      </w:pPr>
      <w:r>
        <w:t>MINORA RESOURCES NL</w:t>
      </w:r>
      <w:r w:rsidRPr="00B74567">
        <w:t xml:space="preserve">., </w:t>
      </w:r>
      <w:r>
        <w:t>1989</w:t>
      </w:r>
      <w:r w:rsidRPr="00B74567">
        <w:t xml:space="preserve">. </w:t>
      </w:r>
      <w:r>
        <w:t xml:space="preserve">Windermere-2 </w:t>
      </w:r>
      <w:r w:rsidRPr="00B74567">
        <w:t xml:space="preserve">Well completion report. </w:t>
      </w:r>
      <w:r>
        <w:t>Minora Resources</w:t>
      </w:r>
      <w:r w:rsidRPr="00B74567">
        <w:t xml:space="preserve"> </w:t>
      </w:r>
      <w:r>
        <w:t>NL</w:t>
      </w:r>
      <w:r w:rsidRPr="00B74567">
        <w:t xml:space="preserve">. Unpublished Report. </w:t>
      </w:r>
      <w:r>
        <w:t>43</w:t>
      </w:r>
      <w:r w:rsidRPr="00B74567">
        <w:t>p</w:t>
      </w:r>
      <w:r w:rsidR="00271C26">
        <w:t>.</w:t>
      </w:r>
    </w:p>
    <w:p w14:paraId="4A4C6775" w14:textId="77777777" w:rsidR="00817436" w:rsidRPr="00BF1633" w:rsidRDefault="00817436" w:rsidP="00817436">
      <w:pPr>
        <w:pStyle w:val="bodyCopy"/>
      </w:pPr>
      <w:r w:rsidRPr="00BF1633">
        <w:rPr>
          <w:smallCaps/>
        </w:rPr>
        <w:t>MITCHELL</w:t>
      </w:r>
      <w:r w:rsidRPr="00BF1633">
        <w:t xml:space="preserve">, M.M., </w:t>
      </w:r>
      <w:r w:rsidRPr="00BF1633">
        <w:rPr>
          <w:smallCaps/>
        </w:rPr>
        <w:t>DUDDY</w:t>
      </w:r>
      <w:r w:rsidRPr="00BF1633">
        <w:t xml:space="preserve">, I.R. &amp; </w:t>
      </w:r>
      <w:r w:rsidRPr="00BF1633">
        <w:rPr>
          <w:smallCaps/>
        </w:rPr>
        <w:t>O’SULLIVAN</w:t>
      </w:r>
      <w:r w:rsidRPr="00BF1633">
        <w:t xml:space="preserve">, P.B., 1997. Reappraisal of the age and origin of the Casterton Formation, western Otway Basin, Victoria. </w:t>
      </w:r>
      <w:r w:rsidRPr="00BF1633">
        <w:rPr>
          <w:i/>
          <w:iCs/>
        </w:rPr>
        <w:t>Australian Journal of Earth Sciences</w:t>
      </w:r>
      <w:r w:rsidRPr="00BF1633">
        <w:t xml:space="preserve"> </w:t>
      </w:r>
      <w:r w:rsidRPr="00BF1633">
        <w:rPr>
          <w:b/>
          <w:bCs/>
        </w:rPr>
        <w:t>44</w:t>
      </w:r>
      <w:r w:rsidRPr="00BF1633">
        <w:t>, pp. 819-830.</w:t>
      </w:r>
    </w:p>
    <w:p w14:paraId="7029DCB3" w14:textId="77777777" w:rsidR="00817436" w:rsidRPr="00BF1633" w:rsidRDefault="00817436" w:rsidP="00817436">
      <w:pPr>
        <w:pStyle w:val="bodyCopy"/>
      </w:pPr>
      <w:r w:rsidRPr="00BF1633">
        <w:t xml:space="preserve">MORGAN, R., 1997. Early Cretaceous/Latest Jurassic palynology review of the Victorian Otway Basin. </w:t>
      </w:r>
      <w:r w:rsidRPr="00BF1633">
        <w:rPr>
          <w:i/>
        </w:rPr>
        <w:t>Morgan Palaeo Associates Report</w:t>
      </w:r>
      <w:r w:rsidRPr="00BF1633">
        <w:t xml:space="preserve"> </w:t>
      </w:r>
      <w:r w:rsidRPr="00BF1633">
        <w:rPr>
          <w:b/>
        </w:rPr>
        <w:t>1997/14</w:t>
      </w:r>
      <w:r w:rsidRPr="00BF1633">
        <w:t>.</w:t>
      </w:r>
    </w:p>
    <w:p w14:paraId="1104C022" w14:textId="77777777" w:rsidR="004A0DF4" w:rsidRPr="004A0DF4" w:rsidRDefault="004A0DF4" w:rsidP="004A0DF4">
      <w:pPr>
        <w:pStyle w:val="bodyCopy"/>
        <w:rPr>
          <w:rFonts w:eastAsiaTheme="minorHAnsi"/>
        </w:rPr>
      </w:pPr>
      <w:r w:rsidRPr="004A0DF4">
        <w:rPr>
          <w:rFonts w:eastAsiaTheme="minorHAnsi"/>
        </w:rPr>
        <w:t xml:space="preserve">MORTON, J.G.G., 1990. Revisions to stratigraphic nomenclature of the Otway Basin, South Australia. </w:t>
      </w:r>
      <w:r w:rsidRPr="004A0DF4">
        <w:rPr>
          <w:rFonts w:eastAsiaTheme="minorHAnsi"/>
          <w:i/>
        </w:rPr>
        <w:t>Quarterly Notes of the Geological Survey of South Australia</w:t>
      </w:r>
      <w:r w:rsidRPr="004A0DF4">
        <w:rPr>
          <w:rFonts w:eastAsiaTheme="minorHAnsi"/>
        </w:rPr>
        <w:t xml:space="preserve"> </w:t>
      </w:r>
      <w:r w:rsidRPr="004A0DF4">
        <w:rPr>
          <w:rFonts w:eastAsiaTheme="minorHAnsi"/>
          <w:b/>
        </w:rPr>
        <w:t>116(19)</w:t>
      </w:r>
      <w:r w:rsidRPr="004A0DF4">
        <w:rPr>
          <w:rFonts w:eastAsiaTheme="minorHAnsi"/>
        </w:rPr>
        <w:t>.</w:t>
      </w:r>
    </w:p>
    <w:p w14:paraId="7E4B8AA0" w14:textId="77777777" w:rsidR="00817436" w:rsidRPr="00BF1633" w:rsidRDefault="00817436" w:rsidP="00817436">
      <w:pPr>
        <w:pStyle w:val="bodyCopy"/>
      </w:pPr>
      <w:r w:rsidRPr="00BF1633">
        <w:rPr>
          <w:smallCaps/>
        </w:rPr>
        <w:lastRenderedPageBreak/>
        <w:t>MORTON</w:t>
      </w:r>
      <w:r w:rsidRPr="00BF1633">
        <w:t xml:space="preserve">, J.G.G., </w:t>
      </w:r>
      <w:r w:rsidRPr="00BF1633">
        <w:rPr>
          <w:smallCaps/>
        </w:rPr>
        <w:t>HILL</w:t>
      </w:r>
      <w:r w:rsidRPr="00BF1633">
        <w:t xml:space="preserve">, A.J., </w:t>
      </w:r>
      <w:r w:rsidRPr="00BF1633">
        <w:rPr>
          <w:smallCaps/>
        </w:rPr>
        <w:t>PARKER</w:t>
      </w:r>
      <w:r w:rsidRPr="00BF1633">
        <w:t xml:space="preserve">, G. &amp; </w:t>
      </w:r>
      <w:r w:rsidRPr="00BF1633">
        <w:rPr>
          <w:smallCaps/>
        </w:rPr>
        <w:t>TABASSI</w:t>
      </w:r>
      <w:r w:rsidRPr="00BF1633">
        <w:t xml:space="preserve">, A. 1994. Towards a unified stratigraphy of the Otway Basin. </w:t>
      </w:r>
      <w:r w:rsidRPr="00BF1633">
        <w:rPr>
          <w:i/>
          <w:iCs/>
        </w:rPr>
        <w:t>In: National Geoscience Mapping Accord Symposium April 1994, Melbourne</w:t>
      </w:r>
      <w:r w:rsidRPr="00BF1633">
        <w:t xml:space="preserve">, Australian Geological Survey Organisation Record </w:t>
      </w:r>
      <w:r w:rsidRPr="00BF1633">
        <w:rPr>
          <w:b/>
          <w:bCs/>
        </w:rPr>
        <w:t>1994/14</w:t>
      </w:r>
      <w:r w:rsidRPr="00BF1633">
        <w:t>, pp. 7-12.</w:t>
      </w:r>
    </w:p>
    <w:p w14:paraId="331217C2" w14:textId="77777777" w:rsidR="00817436" w:rsidRDefault="00817436" w:rsidP="00817436">
      <w:pPr>
        <w:pStyle w:val="bodyCopy"/>
      </w:pPr>
      <w:r w:rsidRPr="00BF1633">
        <w:t xml:space="preserve">NORVICK, M.S. &amp; SMITH, M.A., 2001. Mapping the plate tectonic reconstruction of southern and southeastern Australia and implications for petroleum systems. </w:t>
      </w:r>
      <w:r w:rsidRPr="00BF1633">
        <w:rPr>
          <w:i/>
          <w:iCs/>
        </w:rPr>
        <w:t xml:space="preserve">The APPEA Journal </w:t>
      </w:r>
      <w:r w:rsidRPr="00BF1633">
        <w:rPr>
          <w:b/>
          <w:bCs/>
        </w:rPr>
        <w:t>41</w:t>
      </w:r>
      <w:r w:rsidRPr="00BF1633">
        <w:t>, pp. 15</w:t>
      </w:r>
      <w:r w:rsidRPr="00BF1633">
        <w:rPr>
          <w:rFonts w:ascii="Cambria Math" w:hAnsi="Cambria Math" w:cs="Cambria Math"/>
        </w:rPr>
        <w:t>‐</w:t>
      </w:r>
      <w:r w:rsidRPr="00BF1633">
        <w:t>35.</w:t>
      </w:r>
    </w:p>
    <w:p w14:paraId="26A4404C" w14:textId="392B21A6" w:rsidR="00E25900" w:rsidRPr="00E25900" w:rsidRDefault="00E25900" w:rsidP="00E25900">
      <w:pPr>
        <w:rPr>
          <w:lang w:val="en-GB" w:eastAsia="en-GB"/>
        </w:rPr>
      </w:pPr>
      <w:r w:rsidRPr="001E0497">
        <w:rPr>
          <w:lang w:val="en-GB" w:eastAsia="en-GB"/>
        </w:rPr>
        <w:t>O’BRIEN,</w:t>
      </w:r>
      <w:r>
        <w:rPr>
          <w:lang w:val="en-GB" w:eastAsia="en-GB"/>
        </w:rPr>
        <w:t xml:space="preserve"> </w:t>
      </w:r>
      <w:r w:rsidRPr="001E0497">
        <w:rPr>
          <w:lang w:val="en-GB" w:eastAsia="en-GB"/>
        </w:rPr>
        <w:t>G.W.</w:t>
      </w:r>
      <w:r>
        <w:rPr>
          <w:lang w:val="en-GB" w:eastAsia="en-GB"/>
        </w:rPr>
        <w:t xml:space="preserve"> </w:t>
      </w:r>
      <w:r w:rsidRPr="001E0497">
        <w:rPr>
          <w:lang w:val="en-GB" w:eastAsia="en-GB"/>
        </w:rPr>
        <w:t>&amp;</w:t>
      </w:r>
      <w:r>
        <w:rPr>
          <w:lang w:val="en-GB" w:eastAsia="en-GB"/>
        </w:rPr>
        <w:t xml:space="preserve"> </w:t>
      </w:r>
      <w:r w:rsidRPr="001E0497">
        <w:rPr>
          <w:lang w:val="en-GB" w:eastAsia="en-GB"/>
        </w:rPr>
        <w:t>THOMAS,</w:t>
      </w:r>
      <w:r>
        <w:rPr>
          <w:lang w:val="en-GB" w:eastAsia="en-GB"/>
        </w:rPr>
        <w:t xml:space="preserve"> </w:t>
      </w:r>
      <w:r w:rsidRPr="001E0497">
        <w:rPr>
          <w:lang w:val="en-GB" w:eastAsia="en-GB"/>
        </w:rPr>
        <w:t>J.H.</w:t>
      </w:r>
      <w:r>
        <w:rPr>
          <w:lang w:val="en-GB" w:eastAsia="en-GB"/>
        </w:rPr>
        <w:t xml:space="preserve"> </w:t>
      </w:r>
      <w:r w:rsidRPr="001E0497">
        <w:rPr>
          <w:lang w:val="en-GB" w:eastAsia="en-GB"/>
        </w:rPr>
        <w:t>(2007)</w:t>
      </w:r>
      <w:r w:rsidRPr="001E0497">
        <w:rPr>
          <w:i/>
          <w:iCs/>
          <w:lang w:val="en-GB" w:eastAsia="en-GB"/>
        </w:rPr>
        <w:t>.</w:t>
      </w:r>
      <w:r>
        <w:rPr>
          <w:i/>
          <w:iCs/>
          <w:lang w:val="en-GB" w:eastAsia="en-GB"/>
        </w:rPr>
        <w:t xml:space="preserve"> </w:t>
      </w:r>
      <w:r w:rsidRPr="001E0497">
        <w:rPr>
          <w:i/>
          <w:iCs/>
          <w:lang w:val="en-GB" w:eastAsia="en-GB"/>
        </w:rPr>
        <w:t>A</w:t>
      </w:r>
      <w:r>
        <w:rPr>
          <w:i/>
          <w:iCs/>
          <w:lang w:val="en-GB" w:eastAsia="en-GB"/>
        </w:rPr>
        <w:t xml:space="preserve"> </w:t>
      </w:r>
      <w:r w:rsidRPr="001E0497">
        <w:rPr>
          <w:i/>
          <w:iCs/>
          <w:lang w:val="en-GB" w:eastAsia="en-GB"/>
        </w:rPr>
        <w:t>technical</w:t>
      </w:r>
      <w:r>
        <w:rPr>
          <w:i/>
          <w:iCs/>
          <w:lang w:val="en-GB" w:eastAsia="en-GB"/>
        </w:rPr>
        <w:t xml:space="preserve"> </w:t>
      </w:r>
      <w:r w:rsidRPr="001E0497">
        <w:rPr>
          <w:i/>
          <w:iCs/>
          <w:lang w:val="en-GB" w:eastAsia="en-GB"/>
        </w:rPr>
        <w:t>assessment</w:t>
      </w:r>
      <w:r>
        <w:rPr>
          <w:i/>
          <w:iCs/>
          <w:lang w:val="en-GB" w:eastAsia="en-GB"/>
        </w:rPr>
        <w:t xml:space="preserve"> </w:t>
      </w:r>
      <w:r w:rsidRPr="001E0497">
        <w:rPr>
          <w:i/>
          <w:iCs/>
          <w:lang w:val="en-GB" w:eastAsia="en-GB"/>
        </w:rPr>
        <w:t>of</w:t>
      </w:r>
      <w:r>
        <w:rPr>
          <w:i/>
          <w:iCs/>
          <w:lang w:val="en-GB" w:eastAsia="en-GB"/>
        </w:rPr>
        <w:t xml:space="preserve"> </w:t>
      </w:r>
      <w:r w:rsidRPr="001E0497">
        <w:rPr>
          <w:i/>
          <w:iCs/>
          <w:lang w:val="en-GB" w:eastAsia="en-GB"/>
        </w:rPr>
        <w:t>the</w:t>
      </w:r>
      <w:r>
        <w:rPr>
          <w:i/>
          <w:iCs/>
          <w:lang w:val="en-GB" w:eastAsia="en-GB"/>
        </w:rPr>
        <w:t xml:space="preserve"> </w:t>
      </w:r>
      <w:r w:rsidRPr="001E0497">
        <w:rPr>
          <w:i/>
          <w:iCs/>
          <w:lang w:val="en-GB" w:eastAsia="en-GB"/>
        </w:rPr>
        <w:t>yet-to-find</w:t>
      </w:r>
      <w:r>
        <w:rPr>
          <w:i/>
          <w:iCs/>
          <w:lang w:val="en-GB" w:eastAsia="en-GB"/>
        </w:rPr>
        <w:t xml:space="preserve"> </w:t>
      </w:r>
      <w:r w:rsidRPr="001E0497">
        <w:rPr>
          <w:i/>
          <w:iCs/>
          <w:lang w:val="en-GB" w:eastAsia="en-GB"/>
        </w:rPr>
        <w:t>hydrocarbon</w:t>
      </w:r>
      <w:r>
        <w:rPr>
          <w:i/>
          <w:iCs/>
          <w:lang w:val="en-GB" w:eastAsia="en-GB"/>
        </w:rPr>
        <w:t xml:space="preserve"> </w:t>
      </w:r>
      <w:r w:rsidRPr="001E0497">
        <w:rPr>
          <w:i/>
          <w:iCs/>
          <w:lang w:val="en-GB" w:eastAsia="en-GB"/>
        </w:rPr>
        <w:t>resource</w:t>
      </w:r>
      <w:r>
        <w:rPr>
          <w:i/>
          <w:iCs/>
          <w:lang w:val="en-GB" w:eastAsia="en-GB"/>
        </w:rPr>
        <w:t xml:space="preserve"> </w:t>
      </w:r>
      <w:r w:rsidRPr="001E0497">
        <w:rPr>
          <w:i/>
          <w:iCs/>
          <w:lang w:val="en-GB" w:eastAsia="en-GB"/>
        </w:rPr>
        <w:t>inventory,</w:t>
      </w:r>
      <w:r>
        <w:rPr>
          <w:i/>
          <w:iCs/>
          <w:lang w:val="en-GB" w:eastAsia="en-GB"/>
        </w:rPr>
        <w:t xml:space="preserve"> </w:t>
      </w:r>
      <w:r w:rsidRPr="001E0497">
        <w:rPr>
          <w:i/>
          <w:iCs/>
          <w:lang w:val="en-GB" w:eastAsia="en-GB"/>
        </w:rPr>
        <w:t>offshore</w:t>
      </w:r>
      <w:r>
        <w:rPr>
          <w:i/>
          <w:iCs/>
          <w:lang w:val="en-GB" w:eastAsia="en-GB"/>
        </w:rPr>
        <w:t xml:space="preserve"> </w:t>
      </w:r>
      <w:r w:rsidRPr="001E0497">
        <w:rPr>
          <w:i/>
          <w:iCs/>
          <w:lang w:val="en-GB" w:eastAsia="en-GB"/>
        </w:rPr>
        <w:t>and</w:t>
      </w:r>
      <w:r>
        <w:rPr>
          <w:i/>
          <w:iCs/>
          <w:lang w:val="en-GB" w:eastAsia="en-GB"/>
        </w:rPr>
        <w:t xml:space="preserve"> </w:t>
      </w:r>
      <w:r w:rsidRPr="001E0497">
        <w:rPr>
          <w:i/>
          <w:iCs/>
          <w:lang w:val="en-GB" w:eastAsia="en-GB"/>
        </w:rPr>
        <w:t>onshore</w:t>
      </w:r>
      <w:r>
        <w:rPr>
          <w:i/>
          <w:iCs/>
          <w:lang w:val="en-GB" w:eastAsia="en-GB"/>
        </w:rPr>
        <w:t xml:space="preserve"> </w:t>
      </w:r>
      <w:r w:rsidRPr="001E0497">
        <w:rPr>
          <w:i/>
          <w:iCs/>
          <w:lang w:val="en-GB" w:eastAsia="en-GB"/>
        </w:rPr>
        <w:t>Otway</w:t>
      </w:r>
      <w:r>
        <w:rPr>
          <w:i/>
          <w:iCs/>
          <w:lang w:val="en-GB" w:eastAsia="en-GB"/>
        </w:rPr>
        <w:t xml:space="preserve"> </w:t>
      </w:r>
      <w:r w:rsidRPr="001E0497">
        <w:rPr>
          <w:i/>
          <w:iCs/>
          <w:lang w:val="en-GB" w:eastAsia="en-GB"/>
        </w:rPr>
        <w:t>Basin,</w:t>
      </w:r>
      <w:r>
        <w:rPr>
          <w:i/>
          <w:iCs/>
          <w:lang w:val="en-GB" w:eastAsia="en-GB"/>
        </w:rPr>
        <w:t xml:space="preserve"> </w:t>
      </w:r>
      <w:r w:rsidRPr="001E0497">
        <w:rPr>
          <w:i/>
          <w:iCs/>
          <w:lang w:val="en-GB" w:eastAsia="en-GB"/>
        </w:rPr>
        <w:t>Victoria,</w:t>
      </w:r>
      <w:r>
        <w:rPr>
          <w:i/>
          <w:iCs/>
          <w:lang w:val="en-GB" w:eastAsia="en-GB"/>
        </w:rPr>
        <w:t xml:space="preserve"> </w:t>
      </w:r>
      <w:r w:rsidRPr="001E0497">
        <w:rPr>
          <w:i/>
          <w:iCs/>
          <w:lang w:val="en-GB" w:eastAsia="en-GB"/>
        </w:rPr>
        <w:t>Australia.</w:t>
      </w:r>
      <w:r>
        <w:rPr>
          <w:lang w:val="en-GB" w:eastAsia="en-GB"/>
        </w:rPr>
        <w:t xml:space="preserve"> </w:t>
      </w:r>
      <w:r w:rsidRPr="001E0497">
        <w:rPr>
          <w:lang w:val="en-GB" w:eastAsia="en-GB"/>
        </w:rPr>
        <w:t>Victorian</w:t>
      </w:r>
      <w:r>
        <w:rPr>
          <w:lang w:val="en-GB" w:eastAsia="en-GB"/>
        </w:rPr>
        <w:t xml:space="preserve"> </w:t>
      </w:r>
      <w:r w:rsidRPr="001E0497">
        <w:rPr>
          <w:lang w:val="en-GB" w:eastAsia="en-GB"/>
        </w:rPr>
        <w:t>Initiative</w:t>
      </w:r>
      <w:r>
        <w:rPr>
          <w:lang w:val="en-GB" w:eastAsia="en-GB"/>
        </w:rPr>
        <w:t xml:space="preserve"> </w:t>
      </w:r>
      <w:r w:rsidRPr="001E0497">
        <w:rPr>
          <w:lang w:val="en-GB" w:eastAsia="en-GB"/>
        </w:rPr>
        <w:t>for</w:t>
      </w:r>
      <w:r>
        <w:rPr>
          <w:lang w:val="en-GB" w:eastAsia="en-GB"/>
        </w:rPr>
        <w:t xml:space="preserve"> </w:t>
      </w:r>
      <w:r w:rsidRPr="001E0497">
        <w:rPr>
          <w:lang w:val="en-GB" w:eastAsia="en-GB"/>
        </w:rPr>
        <w:t>Minerals</w:t>
      </w:r>
      <w:r>
        <w:rPr>
          <w:lang w:val="en-GB" w:eastAsia="en-GB"/>
        </w:rPr>
        <w:t xml:space="preserve"> </w:t>
      </w:r>
      <w:r w:rsidRPr="001E0497">
        <w:rPr>
          <w:lang w:val="en-GB" w:eastAsia="en-GB"/>
        </w:rPr>
        <w:t>and</w:t>
      </w:r>
      <w:r>
        <w:rPr>
          <w:lang w:val="en-GB" w:eastAsia="en-GB"/>
        </w:rPr>
        <w:t xml:space="preserve"> </w:t>
      </w:r>
      <w:r w:rsidRPr="001E0497">
        <w:rPr>
          <w:lang w:val="en-GB" w:eastAsia="en-GB"/>
        </w:rPr>
        <w:t>Petroleum</w:t>
      </w:r>
      <w:r>
        <w:rPr>
          <w:lang w:val="en-GB" w:eastAsia="en-GB"/>
        </w:rPr>
        <w:t xml:space="preserve"> </w:t>
      </w:r>
      <w:r w:rsidRPr="001E0497">
        <w:rPr>
          <w:lang w:val="en-GB" w:eastAsia="en-GB"/>
        </w:rPr>
        <w:t>Report</w:t>
      </w:r>
      <w:r>
        <w:rPr>
          <w:lang w:val="en-GB" w:eastAsia="en-GB"/>
        </w:rPr>
        <w:t xml:space="preserve"> </w:t>
      </w:r>
      <w:r w:rsidRPr="001E0497">
        <w:rPr>
          <w:lang w:val="en-GB" w:eastAsia="en-GB"/>
        </w:rPr>
        <w:t>90,</w:t>
      </w:r>
      <w:r>
        <w:rPr>
          <w:lang w:val="en-GB" w:eastAsia="en-GB"/>
        </w:rPr>
        <w:t xml:space="preserve"> </w:t>
      </w:r>
      <w:r w:rsidRPr="001E0497">
        <w:rPr>
          <w:lang w:val="en-GB" w:eastAsia="en-GB"/>
        </w:rPr>
        <w:t>Department</w:t>
      </w:r>
      <w:r>
        <w:rPr>
          <w:lang w:val="en-GB" w:eastAsia="en-GB"/>
        </w:rPr>
        <w:t xml:space="preserve"> </w:t>
      </w:r>
      <w:r w:rsidRPr="001E0497">
        <w:rPr>
          <w:lang w:val="en-GB" w:eastAsia="en-GB"/>
        </w:rPr>
        <w:t>of</w:t>
      </w:r>
      <w:r>
        <w:rPr>
          <w:lang w:val="en-GB" w:eastAsia="en-GB"/>
        </w:rPr>
        <w:t xml:space="preserve"> </w:t>
      </w:r>
      <w:r w:rsidRPr="001E0497">
        <w:rPr>
          <w:lang w:val="en-GB" w:eastAsia="en-GB"/>
        </w:rPr>
        <w:t>Primary</w:t>
      </w:r>
      <w:r>
        <w:rPr>
          <w:lang w:val="en-GB" w:eastAsia="en-GB"/>
        </w:rPr>
        <w:t xml:space="preserve"> </w:t>
      </w:r>
      <w:r w:rsidRPr="001E0497">
        <w:rPr>
          <w:lang w:val="en-GB" w:eastAsia="en-GB"/>
        </w:rPr>
        <w:t>Industries.</w:t>
      </w:r>
      <w:r>
        <w:rPr>
          <w:lang w:val="en-GB" w:eastAsia="en-GB"/>
        </w:rPr>
        <w:t xml:space="preserve"> </w:t>
      </w:r>
    </w:p>
    <w:p w14:paraId="58263C3A" w14:textId="77777777" w:rsidR="00817436" w:rsidRPr="00BF1633" w:rsidRDefault="00817436" w:rsidP="00817436">
      <w:pPr>
        <w:pStyle w:val="bodyCopy"/>
      </w:pPr>
      <w:r w:rsidRPr="00BF1633">
        <w:t xml:space="preserve">PARKER, G. J., 1995. Early Cretaceous stratigraphy along the northern margin of the Otway Basin, Victoria. </w:t>
      </w:r>
      <w:r w:rsidRPr="00BF1633">
        <w:rPr>
          <w:i/>
        </w:rPr>
        <w:t xml:space="preserve">Victorian Initiative for Minerals and Petroleum Report </w:t>
      </w:r>
      <w:r w:rsidRPr="00611DE3">
        <w:rPr>
          <w:b/>
        </w:rPr>
        <w:t>23</w:t>
      </w:r>
      <w:r w:rsidRPr="00BF1633">
        <w:t>. Department of Agriculture, Energy and Minerals.</w:t>
      </w:r>
    </w:p>
    <w:p w14:paraId="4DE1533D" w14:textId="77777777" w:rsidR="00817436" w:rsidRPr="00BF1633" w:rsidRDefault="00817436" w:rsidP="004A0DF4">
      <w:pPr>
        <w:pStyle w:val="bodyCopy"/>
      </w:pPr>
      <w:r w:rsidRPr="00BF1633">
        <w:t xml:space="preserve">PARTRIDGE, A. D., 2001. Revised Stratigraphy for the Sherbrook Group. </w:t>
      </w:r>
      <w:r w:rsidRPr="00BF1633">
        <w:rPr>
          <w:i/>
        </w:rPr>
        <w:t>In</w:t>
      </w:r>
      <w:r w:rsidRPr="00BF1633">
        <w:t xml:space="preserve"> K.C. Hill &amp; T. Bernecker (eds) </w:t>
      </w:r>
      <w:r w:rsidRPr="00BF1633">
        <w:rPr>
          <w:i/>
        </w:rPr>
        <w:t>Eastern Australasian Basins Symposium – A Refocussed Energy Perspective for the Future</w:t>
      </w:r>
      <w:r w:rsidRPr="00BF1633">
        <w:t>, Petroleum Exploration Society of Australia, Special Publication, pp. 455-464.</w:t>
      </w:r>
    </w:p>
    <w:p w14:paraId="584320A7" w14:textId="77777777" w:rsidR="00817436" w:rsidRPr="00BF1633" w:rsidRDefault="00817436" w:rsidP="0084575A">
      <w:pPr>
        <w:pStyle w:val="bodyCopy"/>
      </w:pPr>
      <w:r w:rsidRPr="00BF1633">
        <w:t>PARTRIDGE, A.D., 2006a. Jurassic – Early Cretaceous spore</w:t>
      </w:r>
      <w:r w:rsidRPr="00BF1633">
        <w:rPr>
          <w:rFonts w:ascii="Cambria Math" w:hAnsi="Cambria Math" w:cs="Cambria Math"/>
        </w:rPr>
        <w:t>‐</w:t>
      </w:r>
      <w:r w:rsidRPr="00BF1633">
        <w:t xml:space="preserve">pollen and dinocyst zonations for Australia. </w:t>
      </w:r>
      <w:r w:rsidRPr="00BF1633">
        <w:rPr>
          <w:i/>
          <w:iCs/>
        </w:rPr>
        <w:t xml:space="preserve">In: </w:t>
      </w:r>
      <w:r w:rsidRPr="00BF1633">
        <w:t xml:space="preserve">E. Monteil (coord) </w:t>
      </w:r>
      <w:r w:rsidRPr="00BF1633">
        <w:rPr>
          <w:i/>
          <w:iCs/>
        </w:rPr>
        <w:t>Australian Mesozoic and Cenozoic Palynology Zonations – updated to the 2004 Geologic Time Scale</w:t>
      </w:r>
      <w:r w:rsidRPr="00BF1633">
        <w:t xml:space="preserve">, Geoscience Australia Record </w:t>
      </w:r>
      <w:r w:rsidRPr="00BF1633">
        <w:rPr>
          <w:b/>
          <w:bCs/>
        </w:rPr>
        <w:t>2006/23</w:t>
      </w:r>
      <w:r w:rsidRPr="00BF1633">
        <w:t>.</w:t>
      </w:r>
    </w:p>
    <w:p w14:paraId="22488A2D" w14:textId="77777777" w:rsidR="00817436" w:rsidRPr="00BF1633" w:rsidRDefault="00817436" w:rsidP="0084575A">
      <w:pPr>
        <w:pStyle w:val="bodyCopy"/>
      </w:pPr>
      <w:r w:rsidRPr="00BF1633">
        <w:t xml:space="preserve">PARTRIDGE, A.D., 2006b. Late Cretaceous </w:t>
      </w:r>
      <w:r w:rsidRPr="00BF1633">
        <w:rPr>
          <w:rFonts w:ascii="Cambria Math" w:hAnsi="Cambria Math" w:cs="Cambria Math"/>
        </w:rPr>
        <w:t>‐</w:t>
      </w:r>
      <w:r w:rsidRPr="00BF1633">
        <w:t xml:space="preserve"> Cenozoic palynology zonations Gippsland Basin. </w:t>
      </w:r>
      <w:r w:rsidRPr="00BF1633">
        <w:rPr>
          <w:i/>
          <w:iCs/>
        </w:rPr>
        <w:t xml:space="preserve">In: </w:t>
      </w:r>
      <w:r w:rsidRPr="00BF1633">
        <w:t xml:space="preserve">E. Monteil (coord) </w:t>
      </w:r>
      <w:r w:rsidRPr="00BF1633">
        <w:rPr>
          <w:i/>
          <w:iCs/>
        </w:rPr>
        <w:t>Australian Mesozoic and Cenozoic Palynology Zonations – updated to the 2004 Geologic Time Scale</w:t>
      </w:r>
      <w:r w:rsidRPr="00BF1633">
        <w:t xml:space="preserve">, Geoscience Australia Record </w:t>
      </w:r>
      <w:r w:rsidRPr="00BF1633">
        <w:rPr>
          <w:b/>
          <w:bCs/>
        </w:rPr>
        <w:t>2006/23</w:t>
      </w:r>
      <w:r w:rsidRPr="00BF1633">
        <w:t>.</w:t>
      </w:r>
    </w:p>
    <w:p w14:paraId="53E99C37" w14:textId="77777777" w:rsidR="00817436" w:rsidRDefault="00817436" w:rsidP="0084575A">
      <w:pPr>
        <w:pStyle w:val="bodyCopy"/>
      </w:pPr>
      <w:r w:rsidRPr="0084575A">
        <w:t>PRICE, P.L., 1998. Palynostratigraphic Review of PEP 119, Otway Basin, Victoria for SANTOS Ltd. APG Consultants Report 640/06, SANTOS File 1997/46.</w:t>
      </w:r>
    </w:p>
    <w:p w14:paraId="441AC8D7" w14:textId="47BDDB5B" w:rsidR="006A21DF" w:rsidRPr="0084575A" w:rsidRDefault="006A21DF" w:rsidP="0084575A">
      <w:pPr>
        <w:pStyle w:val="bodyCopy"/>
      </w:pPr>
      <w:r>
        <w:t>SHELL DEVELOPMENT (AUSTRALIA) PTY. LTD</w:t>
      </w:r>
      <w:r w:rsidRPr="00B74567">
        <w:t xml:space="preserve">., </w:t>
      </w:r>
      <w:r>
        <w:t>1968</w:t>
      </w:r>
      <w:r w:rsidRPr="00B74567">
        <w:t xml:space="preserve">. </w:t>
      </w:r>
      <w:r>
        <w:t xml:space="preserve">Voluta-1, Offshore Victoria, </w:t>
      </w:r>
      <w:r w:rsidRPr="00B74567">
        <w:t xml:space="preserve">Well completion report. </w:t>
      </w:r>
      <w:r>
        <w:t>Shell Development (Australia) Pty. Ltd</w:t>
      </w:r>
      <w:r w:rsidRPr="00B74567">
        <w:t xml:space="preserve">. Unpublished Report. </w:t>
      </w:r>
      <w:r>
        <w:t>89</w:t>
      </w:r>
      <w:r w:rsidRPr="00B74567">
        <w:t>p</w:t>
      </w:r>
      <w:r w:rsidR="00271C26">
        <w:t>.</w:t>
      </w:r>
    </w:p>
    <w:p w14:paraId="5297B84C" w14:textId="77777777" w:rsidR="00817436" w:rsidRDefault="00817436" w:rsidP="00817436">
      <w:pPr>
        <w:pStyle w:val="bodyCopy"/>
      </w:pPr>
      <w:r w:rsidRPr="00BF1633">
        <w:t xml:space="preserve">STACEY, A., MITCHELL, C., STRUCKMEYER, H. &amp; TOTTERDELL, J., 2013. Geology and hydrocarbon prospectivity of the deepwater Otway and Sorell basins, offshore southeastern Australia. </w:t>
      </w:r>
      <w:r w:rsidRPr="00BF1633">
        <w:rPr>
          <w:i/>
          <w:iCs/>
        </w:rPr>
        <w:t xml:space="preserve">Geoscience Australia Record </w:t>
      </w:r>
      <w:r w:rsidRPr="00BF1633">
        <w:rPr>
          <w:b/>
          <w:bCs/>
        </w:rPr>
        <w:t>2013/02</w:t>
      </w:r>
      <w:r w:rsidRPr="00BF1633">
        <w:t>, 55 p.</w:t>
      </w:r>
    </w:p>
    <w:p w14:paraId="21860D6F" w14:textId="77777777" w:rsidR="00D85D1A" w:rsidRPr="00BF1633" w:rsidRDefault="00D85D1A" w:rsidP="00817436">
      <w:pPr>
        <w:pStyle w:val="bodyCopy"/>
      </w:pPr>
      <w:r>
        <w:t>SUBRAMANIA</w:t>
      </w:r>
      <w:r w:rsidRPr="00B74567">
        <w:t xml:space="preserve">N, </w:t>
      </w:r>
      <w:r>
        <w:t>R.</w:t>
      </w:r>
      <w:r w:rsidRPr="00B74567">
        <w:t xml:space="preserve">, </w:t>
      </w:r>
      <w:r>
        <w:t>2005</w:t>
      </w:r>
      <w:r w:rsidRPr="00B74567">
        <w:t xml:space="preserve">. </w:t>
      </w:r>
      <w:r>
        <w:t>Callister-1 Interpreted Data Report</w:t>
      </w:r>
      <w:r w:rsidRPr="00B74567">
        <w:t xml:space="preserve">. </w:t>
      </w:r>
      <w:r>
        <w:t>Santos Ltd</w:t>
      </w:r>
      <w:r w:rsidRPr="00B74567">
        <w:t xml:space="preserve">. Unpublished Report. </w:t>
      </w:r>
      <w:r>
        <w:t>43</w:t>
      </w:r>
      <w:r w:rsidRPr="00B74567">
        <w:t xml:space="preserve">p. </w:t>
      </w:r>
    </w:p>
    <w:p w14:paraId="2EBE1C4A" w14:textId="1F00B332" w:rsidR="00817436" w:rsidRDefault="00817436" w:rsidP="000758D3">
      <w:pPr>
        <w:pStyle w:val="bodyCopy"/>
      </w:pPr>
      <w:r w:rsidRPr="00BF1633">
        <w:t xml:space="preserve">SUMMONS, R. E., BRADSHAW, M., CROWLEY, J., EDWARDS, D. E., GEORGE, S. C. &amp; ZUMBERGE, J. E., 1998. Vagrant oils: geochemical signposts to unrecognised petroleum systems. </w:t>
      </w:r>
      <w:r w:rsidRPr="00BF1633">
        <w:rPr>
          <w:i/>
        </w:rPr>
        <w:t>In</w:t>
      </w:r>
      <w:r w:rsidRPr="00BF1633">
        <w:t xml:space="preserve"> P. G. Purcell &amp; R. R. Purcell (eds) </w:t>
      </w:r>
      <w:r w:rsidRPr="00BF1633">
        <w:rPr>
          <w:i/>
        </w:rPr>
        <w:t xml:space="preserve">The Sedimentary Basins of Western Australia </w:t>
      </w:r>
      <w:r w:rsidRPr="00611DE3">
        <w:rPr>
          <w:b/>
        </w:rPr>
        <w:t>2</w:t>
      </w:r>
      <w:r w:rsidRPr="00BF1633">
        <w:t>, Petroleum Exploration Society of Australia Symposium, Perth, pp. 447-472.</w:t>
      </w:r>
    </w:p>
    <w:p w14:paraId="78E75AF4" w14:textId="02281A42" w:rsidR="00271C26" w:rsidRPr="00BF1633" w:rsidRDefault="00271C26" w:rsidP="000758D3">
      <w:pPr>
        <w:pStyle w:val="bodyCopy"/>
      </w:pPr>
      <w:r>
        <w:t>TEMPLETON, G. &amp; PEATTIE, D.K., 1986. Geological and engineering completion report, BP well Normanby-1. BP Petroleum Development. Unpublished Report. 70p.</w:t>
      </w:r>
    </w:p>
    <w:p w14:paraId="4E5008DE" w14:textId="77777777" w:rsidR="00817436" w:rsidRPr="00BF1633" w:rsidRDefault="00817436" w:rsidP="000758D3">
      <w:pPr>
        <w:pStyle w:val="bodyCopy"/>
      </w:pPr>
      <w:r w:rsidRPr="00BF1633">
        <w:t>WAKELIN</w:t>
      </w:r>
      <w:r w:rsidRPr="00BF1633">
        <w:rPr>
          <w:rFonts w:ascii="Cambria Math" w:hAnsi="Cambria Math" w:cs="Cambria Math"/>
        </w:rPr>
        <w:t>‐</w:t>
      </w:r>
      <w:r w:rsidRPr="00BF1633">
        <w:t xml:space="preserve">KING, G. &amp; MENPES, S., 2007. Appendix 2. Summary of Coal Data from Petroleum Wells. </w:t>
      </w:r>
      <w:r w:rsidRPr="00BF1633">
        <w:rPr>
          <w:i/>
        </w:rPr>
        <w:t>In</w:t>
      </w:r>
      <w:r w:rsidRPr="00BF1633">
        <w:t xml:space="preserve"> T.J. Evans, B.W. Cuffley &amp; R. Blake. Exploration Licences EL 4604, EL 4952, Coal Seam Gas Project, onshore Otway Basin, south west Victoria, Final Annual Technical and Relinquishment Report. Purus Energy Ltd. </w:t>
      </w:r>
      <w:r w:rsidRPr="00611DE3">
        <w:t>Unpublished report</w:t>
      </w:r>
      <w:r w:rsidRPr="00BF1633">
        <w:t>.</w:t>
      </w:r>
    </w:p>
    <w:p w14:paraId="6F70F926" w14:textId="77777777" w:rsidR="007A5398" w:rsidRDefault="00817436" w:rsidP="00B11F19">
      <w:pPr>
        <w:pStyle w:val="bodyCopy"/>
      </w:pPr>
      <w:r w:rsidRPr="00BF1633">
        <w:t xml:space="preserve">WOOLLANDS, M. A. &amp; WONG, D., 2001. </w:t>
      </w:r>
      <w:r w:rsidRPr="00BF1633">
        <w:rPr>
          <w:i/>
        </w:rPr>
        <w:t>Petroleum Atlas of Victoria, Australia</w:t>
      </w:r>
      <w:r w:rsidRPr="00BF1633">
        <w:t>. Department of Natural R</w:t>
      </w:r>
      <w:r w:rsidR="00DB283A">
        <w:t>esources and Environment. 208p.</w:t>
      </w:r>
    </w:p>
    <w:p w14:paraId="46B6AB15" w14:textId="77777777" w:rsidR="00E25900" w:rsidRDefault="00E25900" w:rsidP="00B11F19">
      <w:pPr>
        <w:pStyle w:val="bodyCopy"/>
      </w:pPr>
    </w:p>
    <w:p w14:paraId="68CE0CEF" w14:textId="135446AE" w:rsidR="00E25900" w:rsidRDefault="00E25900" w:rsidP="00B11F19">
      <w:pPr>
        <w:pStyle w:val="bodyCopy"/>
      </w:pPr>
      <w:r>
        <w:br w:type="page"/>
      </w:r>
    </w:p>
    <w:p w14:paraId="5C13121A" w14:textId="77777777" w:rsidR="006926CC" w:rsidRPr="00F53457" w:rsidRDefault="00D75914" w:rsidP="00F53457">
      <w:pPr>
        <w:pStyle w:val="bodyCopy"/>
        <w:spacing w:before="360"/>
        <w:rPr>
          <w:color w:val="064EA8"/>
          <w:sz w:val="28"/>
          <w:szCs w:val="28"/>
        </w:rPr>
      </w:pPr>
      <w:r w:rsidRPr="00F53457">
        <w:rPr>
          <w:color w:val="064EA8"/>
          <w:sz w:val="28"/>
          <w:szCs w:val="28"/>
        </w:rPr>
        <w:lastRenderedPageBreak/>
        <w:t>List of other reports relevant to the acreage release</w:t>
      </w:r>
    </w:p>
    <w:p w14:paraId="3A6B3FF3" w14:textId="77777777" w:rsidR="00DB283A" w:rsidRPr="00F53457" w:rsidRDefault="00A66063" w:rsidP="00F53457">
      <w:pPr>
        <w:pStyle w:val="bodyCopy"/>
        <w:rPr>
          <w:b/>
        </w:rPr>
      </w:pPr>
      <w:r w:rsidRPr="00F53457">
        <w:rPr>
          <w:rFonts w:eastAsiaTheme="minorHAnsi"/>
          <w:b/>
        </w:rPr>
        <w:t xml:space="preserve">18-1(v) </w:t>
      </w:r>
    </w:p>
    <w:p w14:paraId="3F812611" w14:textId="77777777" w:rsidR="00DB283A" w:rsidRPr="00F53457" w:rsidRDefault="00DB283A" w:rsidP="00F53457">
      <w:pPr>
        <w:pStyle w:val="bodyCopy"/>
      </w:pPr>
      <w:r w:rsidRPr="00F53457">
        <w:t xml:space="preserve">BERNECKER, T., DRISCOLL, J., POWELL, A. and THOMAS, J.H., 2004. Hydrocarbon prospectivity of the 2004 Acreage Release Areas, Victoria, Australia. </w:t>
      </w:r>
      <w:r w:rsidRPr="00611DE3">
        <w:rPr>
          <w:i/>
        </w:rPr>
        <w:t>Victorian Initiative for Minerals and Petroleum Report</w:t>
      </w:r>
      <w:r w:rsidRPr="00F53457">
        <w:t xml:space="preserve"> </w:t>
      </w:r>
      <w:r w:rsidRPr="00611DE3">
        <w:rPr>
          <w:b/>
        </w:rPr>
        <w:t>83</w:t>
      </w:r>
      <w:r w:rsidRPr="00F53457">
        <w:t>. Department of Primary Industries.</w:t>
      </w:r>
    </w:p>
    <w:p w14:paraId="589E3D61" w14:textId="77777777" w:rsidR="00A66063" w:rsidRPr="00F53457" w:rsidRDefault="00A66063" w:rsidP="00F53457">
      <w:pPr>
        <w:pStyle w:val="bodyCopy"/>
      </w:pPr>
      <w:r w:rsidRPr="00F53457">
        <w:t xml:space="preserve">LAVIN, C.J. 1998. Geology and prospectivity of the western Victorian Voluta Trough—Otway Basin for the 1998 Acreage Release. </w:t>
      </w:r>
      <w:r w:rsidRPr="00611DE3">
        <w:rPr>
          <w:i/>
        </w:rPr>
        <w:t>Victorian Initiative for Minerals and Petroleum Report</w:t>
      </w:r>
      <w:r w:rsidRPr="00F53457">
        <w:t xml:space="preserve"> </w:t>
      </w:r>
      <w:r w:rsidRPr="00611DE3">
        <w:rPr>
          <w:b/>
        </w:rPr>
        <w:t>57</w:t>
      </w:r>
      <w:r w:rsidRPr="00F53457">
        <w:t>. Department of Natural Resources and Environment.</w:t>
      </w:r>
    </w:p>
    <w:p w14:paraId="49A59EF5" w14:textId="77777777" w:rsidR="00DB283A" w:rsidRPr="00F53457" w:rsidRDefault="00DB283A" w:rsidP="00F53457">
      <w:pPr>
        <w:pStyle w:val="bodyCopy"/>
        <w:rPr>
          <w:b/>
        </w:rPr>
      </w:pPr>
      <w:r w:rsidRPr="00F53457">
        <w:rPr>
          <w:b/>
        </w:rPr>
        <w:t>18-2(</w:t>
      </w:r>
      <w:r w:rsidR="00A66063" w:rsidRPr="00F53457">
        <w:rPr>
          <w:rFonts w:eastAsiaTheme="minorHAnsi"/>
          <w:b/>
        </w:rPr>
        <w:t>v)</w:t>
      </w:r>
    </w:p>
    <w:p w14:paraId="71D00C58" w14:textId="77777777" w:rsidR="00A66063" w:rsidRPr="00F53457" w:rsidRDefault="00A66063" w:rsidP="00F53457">
      <w:pPr>
        <w:pStyle w:val="bodyCopy"/>
        <w:rPr>
          <w:rFonts w:eastAsiaTheme="minorHAnsi"/>
        </w:rPr>
      </w:pPr>
      <w:r w:rsidRPr="00F53457">
        <w:t xml:space="preserve">CONSTANTINE, A.E., GEARY, G.C. &amp; REID, I.S.A, 2001. Hydrocarbon prospectivity of areas V01-1, V01-2 and V01-3, offshore Otway Basin, Victoria, Australia: 2001 Acreage Release. </w:t>
      </w:r>
      <w:r w:rsidRPr="00611DE3">
        <w:rPr>
          <w:i/>
        </w:rPr>
        <w:t>Victorian Initiative for Minerals and Petroleum Report</w:t>
      </w:r>
      <w:r w:rsidRPr="00F53457">
        <w:t xml:space="preserve"> </w:t>
      </w:r>
      <w:r w:rsidRPr="00611DE3">
        <w:rPr>
          <w:b/>
        </w:rPr>
        <w:t>68</w:t>
      </w:r>
      <w:r w:rsidRPr="00F53457">
        <w:t>. Department of Natural Resources and Environment.</w:t>
      </w:r>
    </w:p>
    <w:p w14:paraId="55768906" w14:textId="77777777" w:rsidR="00DB283A" w:rsidRPr="00F53457" w:rsidRDefault="00DB283A" w:rsidP="00F53457">
      <w:pPr>
        <w:pStyle w:val="bodyCopy"/>
      </w:pPr>
      <w:r w:rsidRPr="00F53457">
        <w:t xml:space="preserve">GEARY, G.C. &amp; REID, I.S.A., 1998. Hydrocarbon prospectivity of the offshore eastern Otway Basin, Victoria, for the 1998 Acreage Release. </w:t>
      </w:r>
      <w:r w:rsidRPr="00611DE3">
        <w:rPr>
          <w:i/>
        </w:rPr>
        <w:t>Victorian Initiative for Minerals and Petroleum Report</w:t>
      </w:r>
      <w:r w:rsidRPr="00F53457">
        <w:t xml:space="preserve"> </w:t>
      </w:r>
      <w:r w:rsidRPr="00611DE3">
        <w:rPr>
          <w:b/>
        </w:rPr>
        <w:t>55</w:t>
      </w:r>
      <w:r w:rsidRPr="00F53457">
        <w:t>. Department of Natural Resources and Environment.</w:t>
      </w:r>
    </w:p>
    <w:p w14:paraId="3F738B2A" w14:textId="77777777" w:rsidR="00DB283A" w:rsidRPr="00F53457" w:rsidRDefault="00DB283A" w:rsidP="00F53457">
      <w:pPr>
        <w:pStyle w:val="bodyCopy"/>
      </w:pPr>
      <w:r w:rsidRPr="00F53457">
        <w:t xml:space="preserve">LAVIN, C.J. 1998. Geology and prospectivity of the western Victorian Voluta Trough—Otway Basin for the 1998 Acreage Release. </w:t>
      </w:r>
      <w:r w:rsidRPr="00611DE3">
        <w:rPr>
          <w:i/>
        </w:rPr>
        <w:t>Victorian Initiative for Minerals and Petroleum Report</w:t>
      </w:r>
      <w:r w:rsidRPr="00F53457">
        <w:t xml:space="preserve"> </w:t>
      </w:r>
      <w:r w:rsidRPr="00611DE3">
        <w:rPr>
          <w:b/>
        </w:rPr>
        <w:t>57</w:t>
      </w:r>
      <w:r w:rsidRPr="00F53457">
        <w:t>. Department of Natural Resources and Environment.</w:t>
      </w:r>
    </w:p>
    <w:p w14:paraId="4EAE97E2" w14:textId="77777777" w:rsidR="00DB283A" w:rsidRPr="00F53457" w:rsidRDefault="00DB283A" w:rsidP="00F53457">
      <w:pPr>
        <w:pStyle w:val="bodyCopy"/>
        <w:rPr>
          <w:b/>
        </w:rPr>
      </w:pPr>
      <w:r w:rsidRPr="00F53457">
        <w:rPr>
          <w:b/>
        </w:rPr>
        <w:t>18-3(</w:t>
      </w:r>
      <w:r w:rsidR="00A66063" w:rsidRPr="00F53457">
        <w:rPr>
          <w:rFonts w:eastAsiaTheme="minorHAnsi"/>
          <w:b/>
        </w:rPr>
        <w:t>v)</w:t>
      </w:r>
    </w:p>
    <w:p w14:paraId="1B0599D6" w14:textId="77777777" w:rsidR="00DB283A" w:rsidRPr="00F53457" w:rsidRDefault="00DB283A" w:rsidP="00F53457">
      <w:pPr>
        <w:pStyle w:val="bodyCopy"/>
      </w:pPr>
      <w:r w:rsidRPr="00F53457">
        <w:t xml:space="preserve">GEARY, G.C. &amp; REID, I.S.A., 1998. Hydrocarbon prospectivity of the offshore eastern Otway Basin, Victoria, for the 1998 Acreage Release. </w:t>
      </w:r>
      <w:r w:rsidRPr="00611DE3">
        <w:rPr>
          <w:i/>
        </w:rPr>
        <w:t>Victorian Initiative for Minerals and Petroleum Report</w:t>
      </w:r>
      <w:r w:rsidRPr="00F53457">
        <w:t xml:space="preserve"> </w:t>
      </w:r>
      <w:r w:rsidRPr="00611DE3">
        <w:rPr>
          <w:b/>
        </w:rPr>
        <w:t>55</w:t>
      </w:r>
      <w:r w:rsidRPr="00F53457">
        <w:t>. Department of Natural Resources and Environment.</w:t>
      </w:r>
    </w:p>
    <w:p w14:paraId="40EB6D53" w14:textId="77777777" w:rsidR="00DB283A" w:rsidRPr="00F53457" w:rsidRDefault="00DB283A" w:rsidP="00F53457">
      <w:pPr>
        <w:pStyle w:val="bodyCopy"/>
      </w:pPr>
      <w:r w:rsidRPr="00F53457">
        <w:t xml:space="preserve">O'BRIEN, G. W., BERNECKER, T., THOMAS, J. H., DRISCOLL, J.P, &amp; RIKUS, L., 2006. An Assessment of the Hydrocarbon Prospectivity of Areas VIC/O-06(1), VIC/O-06(2), VIC/O-06(3) and V06-1, Eastern Onshore and Offshore Otway Basin, Victoria, Australia. </w:t>
      </w:r>
      <w:r w:rsidRPr="00611DE3">
        <w:rPr>
          <w:i/>
        </w:rPr>
        <w:t>Victorian Initiative for Minerals and Petroleum Report</w:t>
      </w:r>
      <w:r w:rsidRPr="00F53457">
        <w:t xml:space="preserve"> </w:t>
      </w:r>
      <w:r w:rsidRPr="00611DE3">
        <w:rPr>
          <w:b/>
        </w:rPr>
        <w:t>87</w:t>
      </w:r>
      <w:r w:rsidRPr="00F53457">
        <w:t>, Department of Primary Industries.</w:t>
      </w:r>
    </w:p>
    <w:p w14:paraId="22CDE70A" w14:textId="77777777" w:rsidR="00DB283A" w:rsidRPr="00F53457" w:rsidRDefault="00DB283A" w:rsidP="00F53457">
      <w:pPr>
        <w:pStyle w:val="bodyCopy"/>
        <w:rPr>
          <w:b/>
        </w:rPr>
      </w:pPr>
      <w:r w:rsidRPr="00F53457">
        <w:rPr>
          <w:b/>
        </w:rPr>
        <w:t>18-4(</w:t>
      </w:r>
      <w:r w:rsidR="00A66063" w:rsidRPr="00F53457">
        <w:rPr>
          <w:rFonts w:eastAsiaTheme="minorHAnsi"/>
          <w:b/>
        </w:rPr>
        <w:t>v)</w:t>
      </w:r>
    </w:p>
    <w:p w14:paraId="502534F6" w14:textId="77777777" w:rsidR="00DB283A" w:rsidRPr="00F53457" w:rsidRDefault="00DB283A" w:rsidP="00F53457">
      <w:pPr>
        <w:pStyle w:val="bodyCopy"/>
      </w:pPr>
      <w:r w:rsidRPr="00F53457">
        <w:t xml:space="preserve">GEARY, G.C. &amp; REID, I.S.A., 1998. Hydrocarbon prospectivity of the offshore eastern Otway Basin, Victoria, for the 1998 Acreage Release. </w:t>
      </w:r>
      <w:r w:rsidRPr="00611DE3">
        <w:rPr>
          <w:i/>
        </w:rPr>
        <w:t>Victorian Initiative for Minerals and Petroleum Report</w:t>
      </w:r>
      <w:r w:rsidRPr="00F53457">
        <w:t xml:space="preserve"> </w:t>
      </w:r>
      <w:r w:rsidRPr="00611DE3">
        <w:rPr>
          <w:b/>
        </w:rPr>
        <w:t>55</w:t>
      </w:r>
      <w:r w:rsidRPr="00F53457">
        <w:t>. Department of Natural Resources and Environment.</w:t>
      </w:r>
    </w:p>
    <w:p w14:paraId="3E6DA266" w14:textId="77777777" w:rsidR="00F53457" w:rsidRPr="00F53457" w:rsidRDefault="00F53457" w:rsidP="00F53457">
      <w:pPr>
        <w:pStyle w:val="bodyCopy"/>
      </w:pPr>
      <w:r w:rsidRPr="00F53457">
        <w:rPr>
          <w:rFonts w:eastAsiaTheme="minorHAnsi"/>
        </w:rPr>
        <w:t xml:space="preserve">Geoscience Australia, 2017. </w:t>
      </w:r>
      <w:r w:rsidRPr="00F53457">
        <w:t xml:space="preserve">Otway Basin – Offshore Petroleum Exploration Acreage Release: Australia 2017. Petroleum-acreage.gov.au . Geoscience Australia. </w:t>
      </w:r>
      <w:hyperlink r:id="rId39" w:history="1">
        <w:r w:rsidRPr="00F53457">
          <w:t>http://www.petroleum-acreage.gov.au/2017/geology/otway-basin/inner-otway-basin</w:t>
        </w:r>
      </w:hyperlink>
      <w:r w:rsidRPr="00F53457">
        <w:t xml:space="preserve"> Access Date: 08-May-2018</w:t>
      </w:r>
    </w:p>
    <w:p w14:paraId="0EFC0584" w14:textId="77777777" w:rsidR="00DB283A" w:rsidRPr="00F53457" w:rsidRDefault="00DB283A" w:rsidP="00F53457">
      <w:pPr>
        <w:pStyle w:val="bodyCopy"/>
      </w:pPr>
      <w:r w:rsidRPr="00F53457">
        <w:t xml:space="preserve">O'BRIEN, G. W., BERNECKER, T., THOMAS, J. H., DRISCOLL, J.P, &amp; RIKUS, L., 2006. An Assessment of the Hydrocarbon Prospectivity of Areas VIC/O-06(1), VIC/O-06(2), VIC/O-06(3) and V06-1, Eastern Onshore and Offshore Otway Basin, Victoria, Australia. </w:t>
      </w:r>
      <w:r w:rsidRPr="00611DE3">
        <w:rPr>
          <w:i/>
        </w:rPr>
        <w:t>Victorian Initiative for Minerals and Petroleum Report</w:t>
      </w:r>
      <w:r w:rsidRPr="00F53457">
        <w:t xml:space="preserve"> </w:t>
      </w:r>
      <w:r w:rsidRPr="00611DE3">
        <w:rPr>
          <w:b/>
        </w:rPr>
        <w:t>87</w:t>
      </w:r>
      <w:r w:rsidRPr="00F53457">
        <w:t>, Department of Primary Industries.</w:t>
      </w:r>
    </w:p>
    <w:p w14:paraId="756C3FFD" w14:textId="77777777" w:rsidR="00DB283A" w:rsidRPr="00F53457" w:rsidRDefault="00F53457" w:rsidP="00F53457">
      <w:pPr>
        <w:pStyle w:val="bodyCopy"/>
        <w:rPr>
          <w:b/>
        </w:rPr>
      </w:pPr>
      <w:r>
        <w:rPr>
          <w:rFonts w:eastAsiaTheme="minorHAnsi"/>
          <w:b/>
        </w:rPr>
        <w:t>18-5(v</w:t>
      </w:r>
      <w:r w:rsidRPr="00F53457">
        <w:rPr>
          <w:rFonts w:eastAsiaTheme="minorHAnsi"/>
          <w:b/>
        </w:rPr>
        <w:t>)</w:t>
      </w:r>
    </w:p>
    <w:p w14:paraId="54DFBF1A" w14:textId="77777777" w:rsidR="00F53457" w:rsidRPr="00F53457" w:rsidRDefault="00F53457" w:rsidP="00F53457">
      <w:pPr>
        <w:pStyle w:val="bodyCopy"/>
        <w:rPr>
          <w:rFonts w:eastAsiaTheme="minorHAnsi"/>
        </w:rPr>
      </w:pPr>
      <w:r w:rsidRPr="00F53457">
        <w:t>CAMPI, M.J. &amp; O'BRIEN, G.W., 2010. 2010 Petroleum Acreage Release: Otway Basin. Department of Primary Industries.</w:t>
      </w:r>
    </w:p>
    <w:p w14:paraId="26B31B65" w14:textId="77777777" w:rsidR="00DB283A" w:rsidRPr="00F53457" w:rsidRDefault="00DB283A" w:rsidP="00F53457">
      <w:pPr>
        <w:pStyle w:val="bodyCopy"/>
        <w:rPr>
          <w:rFonts w:eastAsiaTheme="minorHAnsi"/>
        </w:rPr>
      </w:pPr>
      <w:r w:rsidRPr="00F53457">
        <w:t xml:space="preserve">GEARY, G.C. &amp; REID, I.S.A., 1998. Hydrocarbon prospectivity of the offshore eastern Otway Basin, Victoria, for the 1998 Acreage Release. </w:t>
      </w:r>
      <w:r w:rsidRPr="00611DE3">
        <w:rPr>
          <w:i/>
        </w:rPr>
        <w:t>Victorian Initiative for Minerals and Petroleum Report</w:t>
      </w:r>
      <w:r w:rsidRPr="00F53457">
        <w:t xml:space="preserve"> </w:t>
      </w:r>
      <w:r w:rsidRPr="00611DE3">
        <w:rPr>
          <w:b/>
        </w:rPr>
        <w:t>55</w:t>
      </w:r>
      <w:r w:rsidRPr="00F53457">
        <w:t>. Department of Natural Resources and Environment.</w:t>
      </w:r>
    </w:p>
    <w:p w14:paraId="402EA817" w14:textId="77777777" w:rsidR="00F53457" w:rsidRPr="00F53457" w:rsidRDefault="00F53457" w:rsidP="00F53457">
      <w:pPr>
        <w:pStyle w:val="bodyCopy"/>
      </w:pPr>
      <w:r w:rsidRPr="00F53457">
        <w:rPr>
          <w:rFonts w:eastAsiaTheme="minorHAnsi"/>
        </w:rPr>
        <w:lastRenderedPageBreak/>
        <w:t xml:space="preserve">Geoscience Australia, 2017. </w:t>
      </w:r>
      <w:r w:rsidRPr="00F53457">
        <w:t xml:space="preserve">Otway Basin – Offshore Petroleum Exploration Acreage Release: Australia 2017. Petroleum-acreage.gov.au . Geoscience Australia. </w:t>
      </w:r>
      <w:hyperlink r:id="rId40" w:history="1">
        <w:r w:rsidRPr="00F53457">
          <w:t>http://www.petroleum-acreage.gov.au/2017/geology/otway-basin/inner-otway-basin</w:t>
        </w:r>
      </w:hyperlink>
      <w:r w:rsidRPr="00F53457">
        <w:t xml:space="preserve"> Access Date: 08-May-2018</w:t>
      </w:r>
    </w:p>
    <w:p w14:paraId="58F34F3F" w14:textId="77777777" w:rsidR="00DB283A" w:rsidRPr="00F53457" w:rsidRDefault="00DB283A" w:rsidP="00F53457">
      <w:pPr>
        <w:pStyle w:val="bodyCopy"/>
      </w:pPr>
      <w:r w:rsidRPr="00F53457">
        <w:t xml:space="preserve">O'BRIEN, G. W., BERNECKER, T., THOMAS, J. H., DRISCOLL, J.P, &amp; RIKUS, L., 2006. An Assessment of the Hydrocarbon Prospectivity of Areas VIC/O-06(1), VIC/O-06(2), VIC/O-06(3) and V06-1, Eastern Onshore and Offshore Otway Basin, Victoria, Australia. </w:t>
      </w:r>
      <w:r w:rsidRPr="00611DE3">
        <w:rPr>
          <w:i/>
        </w:rPr>
        <w:t xml:space="preserve">Victorian Initiative for Minerals and Petroleum Report </w:t>
      </w:r>
      <w:r w:rsidRPr="00611DE3">
        <w:rPr>
          <w:b/>
        </w:rPr>
        <w:t>87</w:t>
      </w:r>
      <w:r w:rsidRPr="00F53457">
        <w:t>, Department of Primary Industries.</w:t>
      </w:r>
    </w:p>
    <w:p w14:paraId="09341C60" w14:textId="77777777" w:rsidR="00DB283A" w:rsidRDefault="00DB283A" w:rsidP="00DB283A">
      <w:pPr>
        <w:pStyle w:val="bodyCopy"/>
      </w:pPr>
    </w:p>
    <w:p w14:paraId="2F314559" w14:textId="77777777" w:rsidR="00DB283A" w:rsidRPr="00DB283A" w:rsidRDefault="00DB283A" w:rsidP="00DB283A">
      <w:pPr>
        <w:pStyle w:val="bodyCopy"/>
        <w:sectPr w:rsidR="00DB283A" w:rsidRPr="00DB283A" w:rsidSect="00AE51DB">
          <w:headerReference w:type="first" r:id="rId41"/>
          <w:pgSz w:w="11906" w:h="16838" w:code="9"/>
          <w:pgMar w:top="1440" w:right="1440" w:bottom="1440" w:left="1440" w:header="709" w:footer="136" w:gutter="0"/>
          <w:cols w:space="708"/>
          <w:docGrid w:linePitch="360"/>
        </w:sectPr>
      </w:pPr>
    </w:p>
    <w:p w14:paraId="103E4333" w14:textId="77777777" w:rsidR="00D75914" w:rsidRDefault="00D75914" w:rsidP="005E1486">
      <w:pPr>
        <w:pStyle w:val="Heading1"/>
        <w:numPr>
          <w:ilvl w:val="0"/>
          <w:numId w:val="0"/>
        </w:numPr>
        <w:ind w:left="431" w:hanging="431"/>
      </w:pPr>
      <w:bookmarkStart w:id="73" w:name="_Appendix_1_"/>
      <w:bookmarkStart w:id="74" w:name="_Toc513813360"/>
      <w:bookmarkEnd w:id="73"/>
      <w:r>
        <w:lastRenderedPageBreak/>
        <w:t>Appendix 1</w:t>
      </w:r>
      <w:r w:rsidR="00EC29A7">
        <w:t xml:space="preserve"> </w:t>
      </w:r>
      <w:r w:rsidR="00D77393">
        <w:t>Graticular block listing</w:t>
      </w:r>
      <w:bookmarkEnd w:id="74"/>
    </w:p>
    <w:p w14:paraId="3FA4A32A" w14:textId="77777777" w:rsidR="00274B5A" w:rsidRPr="005F679D" w:rsidRDefault="00D77393" w:rsidP="00D77393">
      <w:pPr>
        <w:rPr>
          <w:b/>
        </w:rPr>
      </w:pPr>
      <w:r w:rsidRPr="005F679D">
        <w:rPr>
          <w:b/>
        </w:rPr>
        <w:t>Release Area 18-1(v)</w:t>
      </w:r>
    </w:p>
    <w:p w14:paraId="2A145F78" w14:textId="18101EB5" w:rsidR="00D77393" w:rsidRPr="005F679D" w:rsidRDefault="00D77393" w:rsidP="00D77393">
      <w:r w:rsidRPr="005F679D">
        <w:rPr>
          <w:lang w:val="it-IT"/>
        </w:rPr>
        <w:t xml:space="preserve">12 part blocks approximately </w:t>
      </w:r>
      <w:r w:rsidR="006F2B1C" w:rsidRPr="005F679D">
        <w:rPr>
          <w:lang w:val="it-IT"/>
        </w:rPr>
        <w:t>25</w:t>
      </w:r>
      <w:r w:rsidR="006F2B1C">
        <w:rPr>
          <w:lang w:val="it-IT"/>
        </w:rPr>
        <w:t>9</w:t>
      </w:r>
      <w:r w:rsidR="006F2B1C" w:rsidRPr="005F679D">
        <w:rPr>
          <w:lang w:val="it-IT"/>
        </w:rPr>
        <w:t xml:space="preserve"> </w:t>
      </w:r>
      <w:r w:rsidRPr="005F679D">
        <w:rPr>
          <w:lang w:val="it-IT"/>
        </w:rPr>
        <w:t>km</w:t>
      </w:r>
      <w:r w:rsidRPr="005F679D">
        <w:rPr>
          <w:rFonts w:cs="Arial"/>
          <w:lang w:val="it-IT"/>
        </w:rPr>
        <w:t>²</w:t>
      </w:r>
    </w:p>
    <w:p w14:paraId="6A9F56EF" w14:textId="77777777" w:rsidR="00D77393" w:rsidRPr="005F679D" w:rsidRDefault="00D77393" w:rsidP="00D77393">
      <w:r w:rsidRPr="005F679D">
        <w:t>Map sheet SJ54 (Hamilton)</w:t>
      </w:r>
    </w:p>
    <w:tbl>
      <w:tblPr>
        <w:tblStyle w:val="BlockListing"/>
        <w:tblW w:w="9639" w:type="dxa"/>
        <w:tblLook w:val="04A0" w:firstRow="1" w:lastRow="0" w:firstColumn="1" w:lastColumn="0" w:noHBand="0" w:noVBand="1"/>
      </w:tblPr>
      <w:tblGrid>
        <w:gridCol w:w="1209"/>
        <w:gridCol w:w="1208"/>
        <w:gridCol w:w="1208"/>
        <w:gridCol w:w="1208"/>
        <w:gridCol w:w="1208"/>
        <w:gridCol w:w="1208"/>
        <w:gridCol w:w="1195"/>
        <w:gridCol w:w="1195"/>
      </w:tblGrid>
      <w:tr w:rsidR="00D77393" w:rsidRPr="00DB283A" w14:paraId="62A881CC" w14:textId="77777777" w:rsidTr="0079417C">
        <w:trPr>
          <w:trHeight w:val="300"/>
        </w:trPr>
        <w:tc>
          <w:tcPr>
            <w:tcW w:w="1209" w:type="dxa"/>
            <w:noWrap/>
          </w:tcPr>
          <w:p w14:paraId="7DD6EE94" w14:textId="77777777" w:rsidR="00D77393" w:rsidRPr="00DB283A" w:rsidRDefault="00D77393" w:rsidP="0079417C">
            <w:pPr>
              <w:rPr>
                <w:sz w:val="16"/>
                <w:szCs w:val="16"/>
              </w:rPr>
            </w:pPr>
            <w:r w:rsidRPr="00DB283A">
              <w:rPr>
                <w:sz w:val="16"/>
                <w:szCs w:val="16"/>
              </w:rPr>
              <w:t>1764 Part</w:t>
            </w:r>
          </w:p>
        </w:tc>
        <w:tc>
          <w:tcPr>
            <w:tcW w:w="1208" w:type="dxa"/>
            <w:noWrap/>
          </w:tcPr>
          <w:p w14:paraId="398BA937" w14:textId="77777777" w:rsidR="00D77393" w:rsidRPr="00DB283A" w:rsidRDefault="00D77393" w:rsidP="0079417C">
            <w:pPr>
              <w:rPr>
                <w:sz w:val="16"/>
                <w:szCs w:val="16"/>
              </w:rPr>
            </w:pPr>
            <w:r w:rsidRPr="00DB283A">
              <w:rPr>
                <w:sz w:val="16"/>
                <w:szCs w:val="16"/>
              </w:rPr>
              <w:t>1765 Part</w:t>
            </w:r>
          </w:p>
        </w:tc>
        <w:tc>
          <w:tcPr>
            <w:tcW w:w="1208" w:type="dxa"/>
            <w:noWrap/>
          </w:tcPr>
          <w:p w14:paraId="3DE769CA" w14:textId="77777777" w:rsidR="00D77393" w:rsidRPr="00DB283A" w:rsidRDefault="00D77393" w:rsidP="0079417C">
            <w:pPr>
              <w:rPr>
                <w:sz w:val="16"/>
                <w:szCs w:val="16"/>
              </w:rPr>
            </w:pPr>
            <w:r w:rsidRPr="00DB283A">
              <w:rPr>
                <w:sz w:val="16"/>
                <w:szCs w:val="16"/>
              </w:rPr>
              <w:t>1836 Part</w:t>
            </w:r>
          </w:p>
        </w:tc>
        <w:tc>
          <w:tcPr>
            <w:tcW w:w="1208" w:type="dxa"/>
            <w:tcBorders>
              <w:bottom w:val="single" w:sz="4" w:space="0" w:color="auto"/>
            </w:tcBorders>
            <w:noWrap/>
          </w:tcPr>
          <w:p w14:paraId="71D236CF" w14:textId="77777777" w:rsidR="00D77393" w:rsidRPr="00DB283A" w:rsidRDefault="00D77393" w:rsidP="0079417C">
            <w:pPr>
              <w:rPr>
                <w:sz w:val="16"/>
                <w:szCs w:val="16"/>
              </w:rPr>
            </w:pPr>
            <w:r w:rsidRPr="00DB283A">
              <w:rPr>
                <w:sz w:val="16"/>
                <w:szCs w:val="16"/>
              </w:rPr>
              <w:t>1837 Part</w:t>
            </w:r>
          </w:p>
        </w:tc>
        <w:tc>
          <w:tcPr>
            <w:tcW w:w="1208" w:type="dxa"/>
            <w:tcBorders>
              <w:bottom w:val="single" w:sz="4" w:space="0" w:color="auto"/>
            </w:tcBorders>
            <w:noWrap/>
          </w:tcPr>
          <w:p w14:paraId="288D8788" w14:textId="77777777" w:rsidR="00D77393" w:rsidRPr="00DB283A" w:rsidRDefault="00D77393" w:rsidP="0079417C">
            <w:pPr>
              <w:rPr>
                <w:sz w:val="16"/>
                <w:szCs w:val="16"/>
              </w:rPr>
            </w:pPr>
            <w:r w:rsidRPr="00DB283A">
              <w:rPr>
                <w:sz w:val="16"/>
                <w:szCs w:val="16"/>
              </w:rPr>
              <w:t>1838 Part</w:t>
            </w:r>
          </w:p>
        </w:tc>
        <w:tc>
          <w:tcPr>
            <w:tcW w:w="1208" w:type="dxa"/>
            <w:tcBorders>
              <w:bottom w:val="single" w:sz="4" w:space="0" w:color="auto"/>
            </w:tcBorders>
            <w:noWrap/>
          </w:tcPr>
          <w:p w14:paraId="58952846" w14:textId="77777777" w:rsidR="00D77393" w:rsidRPr="00DB283A" w:rsidRDefault="00D77393" w:rsidP="0079417C">
            <w:pPr>
              <w:rPr>
                <w:sz w:val="16"/>
                <w:szCs w:val="16"/>
              </w:rPr>
            </w:pPr>
            <w:r w:rsidRPr="00DB283A">
              <w:rPr>
                <w:sz w:val="16"/>
                <w:szCs w:val="16"/>
              </w:rPr>
              <w:t>1839 Part</w:t>
            </w:r>
          </w:p>
        </w:tc>
        <w:tc>
          <w:tcPr>
            <w:tcW w:w="1195" w:type="dxa"/>
            <w:tcBorders>
              <w:bottom w:val="single" w:sz="4" w:space="0" w:color="auto"/>
            </w:tcBorders>
          </w:tcPr>
          <w:p w14:paraId="6D36E449" w14:textId="77777777" w:rsidR="00D77393" w:rsidRPr="00DB283A" w:rsidRDefault="00D77393" w:rsidP="0079417C">
            <w:pPr>
              <w:rPr>
                <w:sz w:val="16"/>
                <w:szCs w:val="16"/>
              </w:rPr>
            </w:pPr>
            <w:r w:rsidRPr="00DB283A">
              <w:rPr>
                <w:sz w:val="16"/>
                <w:szCs w:val="16"/>
              </w:rPr>
              <w:t>1910 Part</w:t>
            </w:r>
          </w:p>
        </w:tc>
        <w:tc>
          <w:tcPr>
            <w:tcW w:w="1195" w:type="dxa"/>
            <w:tcBorders>
              <w:bottom w:val="single" w:sz="4" w:space="0" w:color="auto"/>
            </w:tcBorders>
          </w:tcPr>
          <w:p w14:paraId="6DE0C312" w14:textId="77777777" w:rsidR="00D77393" w:rsidRPr="00DB283A" w:rsidRDefault="00D77393" w:rsidP="0079417C">
            <w:pPr>
              <w:rPr>
                <w:sz w:val="16"/>
                <w:szCs w:val="16"/>
              </w:rPr>
            </w:pPr>
            <w:r w:rsidRPr="00DB283A">
              <w:rPr>
                <w:sz w:val="16"/>
                <w:szCs w:val="16"/>
              </w:rPr>
              <w:t>1911 Part</w:t>
            </w:r>
          </w:p>
        </w:tc>
      </w:tr>
      <w:tr w:rsidR="00D77393" w:rsidRPr="00DB283A" w14:paraId="40785098" w14:textId="77777777" w:rsidTr="0079417C">
        <w:trPr>
          <w:trHeight w:val="300"/>
        </w:trPr>
        <w:tc>
          <w:tcPr>
            <w:tcW w:w="1209" w:type="dxa"/>
            <w:noWrap/>
          </w:tcPr>
          <w:p w14:paraId="75885D7A" w14:textId="77777777" w:rsidR="00D77393" w:rsidRPr="00DB283A" w:rsidRDefault="00D77393" w:rsidP="0079417C">
            <w:pPr>
              <w:rPr>
                <w:sz w:val="16"/>
                <w:szCs w:val="16"/>
              </w:rPr>
            </w:pPr>
            <w:r w:rsidRPr="00DB283A">
              <w:rPr>
                <w:sz w:val="16"/>
                <w:szCs w:val="16"/>
              </w:rPr>
              <w:t>1912 Part</w:t>
            </w:r>
          </w:p>
        </w:tc>
        <w:tc>
          <w:tcPr>
            <w:tcW w:w="1208" w:type="dxa"/>
            <w:noWrap/>
          </w:tcPr>
          <w:p w14:paraId="0B770084" w14:textId="77777777" w:rsidR="00D77393" w:rsidRPr="00DB283A" w:rsidRDefault="00D77393" w:rsidP="0079417C">
            <w:pPr>
              <w:rPr>
                <w:sz w:val="16"/>
                <w:szCs w:val="16"/>
              </w:rPr>
            </w:pPr>
            <w:r w:rsidRPr="00DB283A">
              <w:rPr>
                <w:sz w:val="16"/>
                <w:szCs w:val="16"/>
              </w:rPr>
              <w:t>1983 Part</w:t>
            </w:r>
          </w:p>
        </w:tc>
        <w:tc>
          <w:tcPr>
            <w:tcW w:w="1208" w:type="dxa"/>
            <w:noWrap/>
          </w:tcPr>
          <w:p w14:paraId="6F5B90B5" w14:textId="77777777" w:rsidR="00D77393" w:rsidRPr="00DB283A" w:rsidRDefault="00D77393" w:rsidP="0079417C">
            <w:pPr>
              <w:rPr>
                <w:sz w:val="16"/>
                <w:szCs w:val="16"/>
              </w:rPr>
            </w:pPr>
            <w:r w:rsidRPr="00DB283A">
              <w:rPr>
                <w:sz w:val="16"/>
                <w:szCs w:val="16"/>
              </w:rPr>
              <w:t>1984 Part</w:t>
            </w:r>
          </w:p>
        </w:tc>
        <w:tc>
          <w:tcPr>
            <w:tcW w:w="1208" w:type="dxa"/>
            <w:tcBorders>
              <w:right w:val="single" w:sz="4" w:space="0" w:color="auto"/>
            </w:tcBorders>
            <w:noWrap/>
          </w:tcPr>
          <w:p w14:paraId="26CB57E8" w14:textId="77777777" w:rsidR="00D77393" w:rsidRPr="00DB283A" w:rsidRDefault="00D77393" w:rsidP="0079417C">
            <w:pPr>
              <w:rPr>
                <w:sz w:val="16"/>
                <w:szCs w:val="16"/>
              </w:rPr>
            </w:pPr>
            <w:r w:rsidRPr="00DB283A">
              <w:rPr>
                <w:sz w:val="16"/>
                <w:szCs w:val="16"/>
              </w:rPr>
              <w:t>1985 Part</w:t>
            </w:r>
          </w:p>
        </w:tc>
        <w:tc>
          <w:tcPr>
            <w:tcW w:w="1208" w:type="dxa"/>
            <w:tcBorders>
              <w:top w:val="single" w:sz="4" w:space="0" w:color="auto"/>
              <w:left w:val="single" w:sz="4" w:space="0" w:color="auto"/>
              <w:bottom w:val="nil"/>
              <w:right w:val="nil"/>
            </w:tcBorders>
            <w:noWrap/>
          </w:tcPr>
          <w:p w14:paraId="61F82556" w14:textId="77777777" w:rsidR="00D77393" w:rsidRPr="00DB283A" w:rsidRDefault="00D77393" w:rsidP="0079417C">
            <w:pPr>
              <w:rPr>
                <w:sz w:val="16"/>
                <w:szCs w:val="16"/>
              </w:rPr>
            </w:pPr>
          </w:p>
        </w:tc>
        <w:tc>
          <w:tcPr>
            <w:tcW w:w="1208" w:type="dxa"/>
            <w:tcBorders>
              <w:top w:val="single" w:sz="4" w:space="0" w:color="auto"/>
              <w:left w:val="nil"/>
              <w:bottom w:val="nil"/>
              <w:right w:val="nil"/>
            </w:tcBorders>
            <w:noWrap/>
          </w:tcPr>
          <w:p w14:paraId="07BD4E14" w14:textId="77777777" w:rsidR="00D77393" w:rsidRPr="00DB283A" w:rsidRDefault="00D77393" w:rsidP="0079417C">
            <w:pPr>
              <w:rPr>
                <w:sz w:val="16"/>
                <w:szCs w:val="16"/>
              </w:rPr>
            </w:pPr>
          </w:p>
        </w:tc>
        <w:tc>
          <w:tcPr>
            <w:tcW w:w="1195" w:type="dxa"/>
            <w:tcBorders>
              <w:top w:val="single" w:sz="4" w:space="0" w:color="auto"/>
              <w:left w:val="nil"/>
              <w:bottom w:val="nil"/>
              <w:right w:val="nil"/>
            </w:tcBorders>
          </w:tcPr>
          <w:p w14:paraId="04691615" w14:textId="77777777" w:rsidR="00D77393" w:rsidRPr="00DB283A" w:rsidRDefault="00D77393" w:rsidP="0079417C">
            <w:pPr>
              <w:rPr>
                <w:sz w:val="16"/>
                <w:szCs w:val="16"/>
              </w:rPr>
            </w:pPr>
          </w:p>
        </w:tc>
        <w:tc>
          <w:tcPr>
            <w:tcW w:w="1195" w:type="dxa"/>
            <w:tcBorders>
              <w:top w:val="single" w:sz="4" w:space="0" w:color="auto"/>
              <w:left w:val="nil"/>
              <w:bottom w:val="nil"/>
              <w:right w:val="nil"/>
            </w:tcBorders>
          </w:tcPr>
          <w:p w14:paraId="4E80DBAD" w14:textId="77777777" w:rsidR="00D77393" w:rsidRPr="00DB283A" w:rsidRDefault="00D77393" w:rsidP="0079417C">
            <w:pPr>
              <w:rPr>
                <w:sz w:val="16"/>
                <w:szCs w:val="16"/>
              </w:rPr>
            </w:pPr>
          </w:p>
        </w:tc>
      </w:tr>
    </w:tbl>
    <w:p w14:paraId="62B89B67" w14:textId="77777777" w:rsidR="00274B5A" w:rsidRPr="005F679D" w:rsidRDefault="00D77393" w:rsidP="00274B5A">
      <w:pPr>
        <w:spacing w:before="360"/>
        <w:rPr>
          <w:b/>
        </w:rPr>
      </w:pPr>
      <w:r w:rsidRPr="005F679D">
        <w:rPr>
          <w:b/>
        </w:rPr>
        <w:t xml:space="preserve">Release Area </w:t>
      </w:r>
      <w:r w:rsidR="00274B5A" w:rsidRPr="005F679D">
        <w:rPr>
          <w:b/>
        </w:rPr>
        <w:t>18-2(v)</w:t>
      </w:r>
    </w:p>
    <w:p w14:paraId="5F2EA37F" w14:textId="77777777" w:rsidR="00D77393" w:rsidRPr="005F679D" w:rsidRDefault="00D77393" w:rsidP="00D77393">
      <w:pPr>
        <w:rPr>
          <w:rFonts w:ascii="Arial Bold" w:hAnsi="Arial Bold"/>
          <w:b/>
          <w:iCs/>
          <w:kern w:val="32"/>
          <w:sz w:val="30"/>
          <w:szCs w:val="36"/>
        </w:rPr>
      </w:pPr>
      <w:r w:rsidRPr="005F679D">
        <w:rPr>
          <w:lang w:val="it-IT"/>
        </w:rPr>
        <w:t>15 part blocks approximately 43</w:t>
      </w:r>
      <w:r w:rsidR="003044FE">
        <w:rPr>
          <w:lang w:val="it-IT"/>
        </w:rPr>
        <w:t>9</w:t>
      </w:r>
      <w:r w:rsidRPr="005F679D">
        <w:rPr>
          <w:lang w:val="it-IT"/>
        </w:rPr>
        <w:t xml:space="preserve"> km</w:t>
      </w:r>
      <w:r w:rsidRPr="005F679D">
        <w:rPr>
          <w:rFonts w:cs="Arial"/>
          <w:lang w:val="it-IT"/>
        </w:rPr>
        <w:t>²</w:t>
      </w:r>
    </w:p>
    <w:p w14:paraId="1B431A41" w14:textId="77777777" w:rsidR="00D77393" w:rsidRPr="005F679D" w:rsidRDefault="00D77393" w:rsidP="00D77393">
      <w:pPr>
        <w:rPr>
          <w:rFonts w:cs="Arial"/>
          <w:kern w:val="32"/>
        </w:rPr>
      </w:pPr>
      <w:r w:rsidRPr="005F679D">
        <w:rPr>
          <w:rFonts w:cs="Arial"/>
          <w:kern w:val="32"/>
        </w:rPr>
        <w:t>Map sheet SJ54 (Hamilton)</w:t>
      </w:r>
    </w:p>
    <w:tbl>
      <w:tblPr>
        <w:tblStyle w:val="BlockListing"/>
        <w:tblW w:w="9639" w:type="dxa"/>
        <w:tblLook w:val="04A0" w:firstRow="1" w:lastRow="0" w:firstColumn="1" w:lastColumn="0" w:noHBand="0" w:noVBand="1"/>
      </w:tblPr>
      <w:tblGrid>
        <w:gridCol w:w="1209"/>
        <w:gridCol w:w="1208"/>
        <w:gridCol w:w="1208"/>
        <w:gridCol w:w="1208"/>
        <w:gridCol w:w="1208"/>
        <w:gridCol w:w="1208"/>
        <w:gridCol w:w="1195"/>
        <w:gridCol w:w="1195"/>
      </w:tblGrid>
      <w:tr w:rsidR="00D77393" w:rsidRPr="00DB283A" w14:paraId="26C1339A" w14:textId="77777777" w:rsidTr="0079417C">
        <w:trPr>
          <w:trHeight w:val="300"/>
        </w:trPr>
        <w:tc>
          <w:tcPr>
            <w:tcW w:w="1209" w:type="dxa"/>
            <w:noWrap/>
          </w:tcPr>
          <w:p w14:paraId="7852DE4A" w14:textId="77777777" w:rsidR="00D77393" w:rsidRPr="00DB283A" w:rsidRDefault="00D77393" w:rsidP="0079417C">
            <w:pPr>
              <w:rPr>
                <w:sz w:val="16"/>
                <w:szCs w:val="16"/>
              </w:rPr>
            </w:pPr>
            <w:r w:rsidRPr="00DB283A">
              <w:rPr>
                <w:sz w:val="16"/>
                <w:szCs w:val="16"/>
              </w:rPr>
              <w:t>1988 Part</w:t>
            </w:r>
          </w:p>
        </w:tc>
        <w:tc>
          <w:tcPr>
            <w:tcW w:w="1208" w:type="dxa"/>
            <w:noWrap/>
          </w:tcPr>
          <w:p w14:paraId="1E26C34E" w14:textId="77777777" w:rsidR="00D77393" w:rsidRPr="00DB283A" w:rsidRDefault="00D77393" w:rsidP="0079417C">
            <w:pPr>
              <w:rPr>
                <w:sz w:val="16"/>
                <w:szCs w:val="16"/>
              </w:rPr>
            </w:pPr>
            <w:r w:rsidRPr="00DB283A">
              <w:rPr>
                <w:sz w:val="16"/>
                <w:szCs w:val="16"/>
              </w:rPr>
              <w:t>1989 Part</w:t>
            </w:r>
          </w:p>
        </w:tc>
        <w:tc>
          <w:tcPr>
            <w:tcW w:w="1208" w:type="dxa"/>
            <w:noWrap/>
          </w:tcPr>
          <w:p w14:paraId="501F5C14" w14:textId="77777777" w:rsidR="00D77393" w:rsidRPr="00DB283A" w:rsidRDefault="00D77393" w:rsidP="0079417C">
            <w:pPr>
              <w:rPr>
                <w:sz w:val="16"/>
                <w:szCs w:val="16"/>
              </w:rPr>
            </w:pPr>
            <w:r w:rsidRPr="00DB283A">
              <w:rPr>
                <w:sz w:val="16"/>
                <w:szCs w:val="16"/>
              </w:rPr>
              <w:t>1990 Part</w:t>
            </w:r>
          </w:p>
        </w:tc>
        <w:tc>
          <w:tcPr>
            <w:tcW w:w="1208" w:type="dxa"/>
            <w:noWrap/>
          </w:tcPr>
          <w:p w14:paraId="5E1C55D0" w14:textId="77777777" w:rsidR="00D77393" w:rsidRPr="00DB283A" w:rsidRDefault="00D77393" w:rsidP="0079417C">
            <w:pPr>
              <w:rPr>
                <w:sz w:val="16"/>
                <w:szCs w:val="16"/>
              </w:rPr>
            </w:pPr>
            <w:r w:rsidRPr="00DB283A">
              <w:rPr>
                <w:sz w:val="16"/>
                <w:szCs w:val="16"/>
              </w:rPr>
              <w:t>2056 Part</w:t>
            </w:r>
          </w:p>
        </w:tc>
        <w:tc>
          <w:tcPr>
            <w:tcW w:w="1208" w:type="dxa"/>
            <w:noWrap/>
          </w:tcPr>
          <w:p w14:paraId="0014F1A5" w14:textId="77777777" w:rsidR="00D77393" w:rsidRPr="00DB283A" w:rsidRDefault="00D77393" w:rsidP="0079417C">
            <w:pPr>
              <w:rPr>
                <w:sz w:val="16"/>
                <w:szCs w:val="16"/>
              </w:rPr>
            </w:pPr>
            <w:r w:rsidRPr="00DB283A">
              <w:rPr>
                <w:sz w:val="16"/>
                <w:szCs w:val="16"/>
              </w:rPr>
              <w:t>2057 Part</w:t>
            </w:r>
          </w:p>
        </w:tc>
        <w:tc>
          <w:tcPr>
            <w:tcW w:w="1208" w:type="dxa"/>
            <w:noWrap/>
          </w:tcPr>
          <w:p w14:paraId="3E86FBB1" w14:textId="77777777" w:rsidR="00D77393" w:rsidRPr="00DB283A" w:rsidRDefault="00D77393" w:rsidP="0079417C">
            <w:pPr>
              <w:rPr>
                <w:sz w:val="16"/>
                <w:szCs w:val="16"/>
              </w:rPr>
            </w:pPr>
            <w:r w:rsidRPr="00DB283A">
              <w:rPr>
                <w:sz w:val="16"/>
                <w:szCs w:val="16"/>
              </w:rPr>
              <w:t>2058 Part</w:t>
            </w:r>
          </w:p>
        </w:tc>
        <w:tc>
          <w:tcPr>
            <w:tcW w:w="1195" w:type="dxa"/>
            <w:tcBorders>
              <w:bottom w:val="single" w:sz="4" w:space="0" w:color="auto"/>
            </w:tcBorders>
          </w:tcPr>
          <w:p w14:paraId="5B728A58" w14:textId="77777777" w:rsidR="00D77393" w:rsidRPr="00DB283A" w:rsidRDefault="00D77393" w:rsidP="0079417C">
            <w:pPr>
              <w:rPr>
                <w:sz w:val="16"/>
                <w:szCs w:val="16"/>
              </w:rPr>
            </w:pPr>
            <w:r w:rsidRPr="00DB283A">
              <w:rPr>
                <w:sz w:val="16"/>
                <w:szCs w:val="16"/>
              </w:rPr>
              <w:t>2059 Part</w:t>
            </w:r>
          </w:p>
        </w:tc>
        <w:tc>
          <w:tcPr>
            <w:tcW w:w="1195" w:type="dxa"/>
            <w:tcBorders>
              <w:bottom w:val="single" w:sz="4" w:space="0" w:color="auto"/>
            </w:tcBorders>
          </w:tcPr>
          <w:p w14:paraId="54323FAA" w14:textId="77777777" w:rsidR="00D77393" w:rsidRPr="00DB283A" w:rsidRDefault="00D77393" w:rsidP="0079417C">
            <w:pPr>
              <w:rPr>
                <w:sz w:val="16"/>
                <w:szCs w:val="16"/>
              </w:rPr>
            </w:pPr>
            <w:r w:rsidRPr="00DB283A">
              <w:rPr>
                <w:sz w:val="16"/>
                <w:szCs w:val="16"/>
              </w:rPr>
              <w:t>2060 Part</w:t>
            </w:r>
          </w:p>
        </w:tc>
      </w:tr>
      <w:tr w:rsidR="00D77393" w:rsidRPr="00DB283A" w14:paraId="1B7A4284" w14:textId="77777777" w:rsidTr="0079417C">
        <w:trPr>
          <w:trHeight w:val="300"/>
        </w:trPr>
        <w:tc>
          <w:tcPr>
            <w:tcW w:w="1209" w:type="dxa"/>
            <w:noWrap/>
          </w:tcPr>
          <w:p w14:paraId="5CE5626D" w14:textId="77777777" w:rsidR="00D77393" w:rsidRPr="00DB283A" w:rsidRDefault="00D77393" w:rsidP="0079417C">
            <w:pPr>
              <w:rPr>
                <w:sz w:val="16"/>
                <w:szCs w:val="16"/>
              </w:rPr>
            </w:pPr>
            <w:r w:rsidRPr="00DB283A">
              <w:rPr>
                <w:sz w:val="16"/>
                <w:szCs w:val="16"/>
              </w:rPr>
              <w:t>2061 Part</w:t>
            </w:r>
          </w:p>
        </w:tc>
        <w:tc>
          <w:tcPr>
            <w:tcW w:w="1208" w:type="dxa"/>
            <w:noWrap/>
          </w:tcPr>
          <w:p w14:paraId="66FDD460" w14:textId="77777777" w:rsidR="00D77393" w:rsidRPr="00DB283A" w:rsidRDefault="00D77393" w:rsidP="0079417C">
            <w:pPr>
              <w:rPr>
                <w:sz w:val="16"/>
                <w:szCs w:val="16"/>
              </w:rPr>
            </w:pPr>
            <w:r w:rsidRPr="00DB283A">
              <w:rPr>
                <w:sz w:val="16"/>
                <w:szCs w:val="16"/>
              </w:rPr>
              <w:t>2128 Part</w:t>
            </w:r>
          </w:p>
        </w:tc>
        <w:tc>
          <w:tcPr>
            <w:tcW w:w="1208" w:type="dxa"/>
            <w:noWrap/>
          </w:tcPr>
          <w:p w14:paraId="32C94C7B" w14:textId="77777777" w:rsidR="00D77393" w:rsidRPr="00DB283A" w:rsidRDefault="00D77393" w:rsidP="0079417C">
            <w:pPr>
              <w:rPr>
                <w:sz w:val="16"/>
                <w:szCs w:val="16"/>
              </w:rPr>
            </w:pPr>
            <w:r w:rsidRPr="00DB283A">
              <w:rPr>
                <w:sz w:val="16"/>
                <w:szCs w:val="16"/>
              </w:rPr>
              <w:t>2129 Part</w:t>
            </w:r>
          </w:p>
        </w:tc>
        <w:tc>
          <w:tcPr>
            <w:tcW w:w="1208" w:type="dxa"/>
            <w:noWrap/>
          </w:tcPr>
          <w:p w14:paraId="6F87C9D8" w14:textId="77777777" w:rsidR="00D77393" w:rsidRPr="00DB283A" w:rsidRDefault="00D77393" w:rsidP="0079417C">
            <w:pPr>
              <w:rPr>
                <w:sz w:val="16"/>
                <w:szCs w:val="16"/>
              </w:rPr>
            </w:pPr>
            <w:r w:rsidRPr="00DB283A">
              <w:rPr>
                <w:sz w:val="16"/>
                <w:szCs w:val="16"/>
              </w:rPr>
              <w:t>2130 Part</w:t>
            </w:r>
          </w:p>
        </w:tc>
        <w:tc>
          <w:tcPr>
            <w:tcW w:w="1208" w:type="dxa"/>
            <w:noWrap/>
          </w:tcPr>
          <w:p w14:paraId="47576864" w14:textId="77777777" w:rsidR="00D77393" w:rsidRPr="00DB283A" w:rsidRDefault="00D77393" w:rsidP="0079417C">
            <w:pPr>
              <w:rPr>
                <w:sz w:val="16"/>
                <w:szCs w:val="16"/>
              </w:rPr>
            </w:pPr>
            <w:r w:rsidRPr="00DB283A">
              <w:rPr>
                <w:sz w:val="16"/>
                <w:szCs w:val="16"/>
              </w:rPr>
              <w:t>2131 Part</w:t>
            </w:r>
          </w:p>
        </w:tc>
        <w:tc>
          <w:tcPr>
            <w:tcW w:w="1208" w:type="dxa"/>
            <w:noWrap/>
          </w:tcPr>
          <w:p w14:paraId="7F4CA728" w14:textId="77777777" w:rsidR="00D77393" w:rsidRPr="00DB283A" w:rsidRDefault="00D77393" w:rsidP="0079417C">
            <w:pPr>
              <w:rPr>
                <w:sz w:val="16"/>
                <w:szCs w:val="16"/>
              </w:rPr>
            </w:pPr>
            <w:r w:rsidRPr="00DB283A">
              <w:rPr>
                <w:sz w:val="16"/>
                <w:szCs w:val="16"/>
              </w:rPr>
              <w:t>2132 Part</w:t>
            </w:r>
          </w:p>
        </w:tc>
        <w:tc>
          <w:tcPr>
            <w:tcW w:w="1195" w:type="dxa"/>
            <w:tcBorders>
              <w:right w:val="single" w:sz="4" w:space="0" w:color="auto"/>
            </w:tcBorders>
          </w:tcPr>
          <w:p w14:paraId="3AB599C6" w14:textId="77777777" w:rsidR="00D77393" w:rsidRPr="00DB283A" w:rsidRDefault="00D77393" w:rsidP="0079417C">
            <w:pPr>
              <w:rPr>
                <w:sz w:val="16"/>
                <w:szCs w:val="16"/>
              </w:rPr>
            </w:pPr>
            <w:r w:rsidRPr="00DB283A">
              <w:rPr>
                <w:sz w:val="16"/>
                <w:szCs w:val="16"/>
              </w:rPr>
              <w:t>2133 Part</w:t>
            </w:r>
          </w:p>
        </w:tc>
        <w:tc>
          <w:tcPr>
            <w:tcW w:w="1195" w:type="dxa"/>
            <w:tcBorders>
              <w:top w:val="single" w:sz="4" w:space="0" w:color="auto"/>
              <w:left w:val="single" w:sz="4" w:space="0" w:color="auto"/>
              <w:bottom w:val="nil"/>
              <w:right w:val="nil"/>
            </w:tcBorders>
          </w:tcPr>
          <w:p w14:paraId="63D91EAA" w14:textId="77777777" w:rsidR="00D77393" w:rsidRPr="00DB283A" w:rsidRDefault="00D77393" w:rsidP="0079417C">
            <w:pPr>
              <w:rPr>
                <w:sz w:val="16"/>
                <w:szCs w:val="16"/>
              </w:rPr>
            </w:pPr>
          </w:p>
        </w:tc>
      </w:tr>
    </w:tbl>
    <w:p w14:paraId="3C5684DD" w14:textId="77777777" w:rsidR="00274B5A" w:rsidRPr="005F679D" w:rsidRDefault="00D77393" w:rsidP="00274B5A">
      <w:pPr>
        <w:spacing w:before="360"/>
        <w:rPr>
          <w:b/>
        </w:rPr>
      </w:pPr>
      <w:r w:rsidRPr="005F679D">
        <w:rPr>
          <w:b/>
        </w:rPr>
        <w:t>Release Area 18-3(v)</w:t>
      </w:r>
    </w:p>
    <w:p w14:paraId="5E33F3FD" w14:textId="6EEF0425" w:rsidR="00D77393" w:rsidRPr="005F679D" w:rsidRDefault="00D77393" w:rsidP="00D77393">
      <w:r w:rsidRPr="005F679D">
        <w:rPr>
          <w:lang w:val="it-IT"/>
        </w:rPr>
        <w:t xml:space="preserve">15 part blocks approximately </w:t>
      </w:r>
      <w:r w:rsidR="006F2B1C" w:rsidRPr="005F679D">
        <w:rPr>
          <w:lang w:val="it-IT"/>
        </w:rPr>
        <w:t>44</w:t>
      </w:r>
      <w:r w:rsidR="006F2B1C">
        <w:rPr>
          <w:lang w:val="it-IT"/>
        </w:rPr>
        <w:t>3</w:t>
      </w:r>
      <w:r w:rsidR="006F2B1C" w:rsidRPr="005F679D">
        <w:rPr>
          <w:lang w:val="it-IT"/>
        </w:rPr>
        <w:t xml:space="preserve"> </w:t>
      </w:r>
      <w:r w:rsidRPr="005F679D">
        <w:rPr>
          <w:lang w:val="it-IT"/>
        </w:rPr>
        <w:t>km</w:t>
      </w:r>
      <w:r w:rsidRPr="005F679D">
        <w:rPr>
          <w:rFonts w:cs="Arial"/>
          <w:lang w:val="it-IT"/>
        </w:rPr>
        <w:t>²</w:t>
      </w:r>
    </w:p>
    <w:p w14:paraId="0A242BB9" w14:textId="77777777" w:rsidR="00D77393" w:rsidRPr="005F679D" w:rsidRDefault="00D77393" w:rsidP="00D77393">
      <w:r w:rsidRPr="005F679D">
        <w:t>Map sheet SJ54 (Hamilton)</w:t>
      </w:r>
    </w:p>
    <w:tbl>
      <w:tblPr>
        <w:tblStyle w:val="BlockListing"/>
        <w:tblW w:w="9639" w:type="dxa"/>
        <w:tblLook w:val="04A0" w:firstRow="1" w:lastRow="0" w:firstColumn="1" w:lastColumn="0" w:noHBand="0" w:noVBand="1"/>
      </w:tblPr>
      <w:tblGrid>
        <w:gridCol w:w="1209"/>
        <w:gridCol w:w="1208"/>
        <w:gridCol w:w="1208"/>
        <w:gridCol w:w="1208"/>
        <w:gridCol w:w="1208"/>
        <w:gridCol w:w="1208"/>
        <w:gridCol w:w="1195"/>
        <w:gridCol w:w="1195"/>
      </w:tblGrid>
      <w:tr w:rsidR="00D77393" w:rsidRPr="00DB283A" w14:paraId="702105AE" w14:textId="77777777" w:rsidTr="0079417C">
        <w:trPr>
          <w:trHeight w:val="300"/>
        </w:trPr>
        <w:tc>
          <w:tcPr>
            <w:tcW w:w="1209" w:type="dxa"/>
            <w:noWrap/>
          </w:tcPr>
          <w:p w14:paraId="28AE0085" w14:textId="77777777" w:rsidR="00D77393" w:rsidRPr="00DB283A" w:rsidRDefault="00D77393" w:rsidP="0079417C">
            <w:pPr>
              <w:rPr>
                <w:sz w:val="16"/>
                <w:szCs w:val="16"/>
              </w:rPr>
            </w:pPr>
            <w:r w:rsidRPr="00DB283A">
              <w:rPr>
                <w:sz w:val="16"/>
                <w:szCs w:val="16"/>
              </w:rPr>
              <w:t>1991 Part</w:t>
            </w:r>
          </w:p>
        </w:tc>
        <w:tc>
          <w:tcPr>
            <w:tcW w:w="1208" w:type="dxa"/>
            <w:noWrap/>
          </w:tcPr>
          <w:p w14:paraId="3656BD84" w14:textId="77777777" w:rsidR="00D77393" w:rsidRPr="00DB283A" w:rsidRDefault="00D77393" w:rsidP="0079417C">
            <w:pPr>
              <w:rPr>
                <w:sz w:val="16"/>
                <w:szCs w:val="16"/>
              </w:rPr>
            </w:pPr>
            <w:r w:rsidRPr="00DB283A">
              <w:rPr>
                <w:sz w:val="16"/>
                <w:szCs w:val="16"/>
              </w:rPr>
              <w:t>1992 Part</w:t>
            </w:r>
          </w:p>
        </w:tc>
        <w:tc>
          <w:tcPr>
            <w:tcW w:w="1208" w:type="dxa"/>
            <w:noWrap/>
          </w:tcPr>
          <w:p w14:paraId="38B14A91" w14:textId="77777777" w:rsidR="00D77393" w:rsidRPr="00DB283A" w:rsidRDefault="00D77393" w:rsidP="0079417C">
            <w:pPr>
              <w:rPr>
                <w:sz w:val="16"/>
                <w:szCs w:val="16"/>
              </w:rPr>
            </w:pPr>
            <w:r w:rsidRPr="00DB283A">
              <w:rPr>
                <w:sz w:val="16"/>
                <w:szCs w:val="16"/>
              </w:rPr>
              <w:t>1993 Part</w:t>
            </w:r>
          </w:p>
        </w:tc>
        <w:tc>
          <w:tcPr>
            <w:tcW w:w="1208" w:type="dxa"/>
            <w:noWrap/>
          </w:tcPr>
          <w:p w14:paraId="04867FCF" w14:textId="77777777" w:rsidR="00D77393" w:rsidRPr="00DB283A" w:rsidRDefault="00D77393" w:rsidP="0079417C">
            <w:pPr>
              <w:rPr>
                <w:sz w:val="16"/>
                <w:szCs w:val="16"/>
              </w:rPr>
            </w:pPr>
            <w:r w:rsidRPr="00DB283A">
              <w:rPr>
                <w:sz w:val="16"/>
                <w:szCs w:val="16"/>
              </w:rPr>
              <w:t>2064 Part</w:t>
            </w:r>
          </w:p>
        </w:tc>
        <w:tc>
          <w:tcPr>
            <w:tcW w:w="1208" w:type="dxa"/>
            <w:noWrap/>
          </w:tcPr>
          <w:p w14:paraId="36E1E797" w14:textId="77777777" w:rsidR="00D77393" w:rsidRPr="00DB283A" w:rsidRDefault="00D77393" w:rsidP="0079417C">
            <w:pPr>
              <w:rPr>
                <w:sz w:val="16"/>
                <w:szCs w:val="16"/>
              </w:rPr>
            </w:pPr>
            <w:r w:rsidRPr="00DB283A">
              <w:rPr>
                <w:sz w:val="16"/>
                <w:szCs w:val="16"/>
              </w:rPr>
              <w:t>2065 Part</w:t>
            </w:r>
          </w:p>
        </w:tc>
        <w:tc>
          <w:tcPr>
            <w:tcW w:w="1208" w:type="dxa"/>
            <w:noWrap/>
          </w:tcPr>
          <w:p w14:paraId="137E58F6" w14:textId="77777777" w:rsidR="00D77393" w:rsidRPr="00DB283A" w:rsidRDefault="00D77393" w:rsidP="0079417C">
            <w:pPr>
              <w:rPr>
                <w:sz w:val="16"/>
                <w:szCs w:val="16"/>
              </w:rPr>
            </w:pPr>
            <w:r w:rsidRPr="00DB283A">
              <w:rPr>
                <w:sz w:val="16"/>
                <w:szCs w:val="16"/>
              </w:rPr>
              <w:t>2066 Part</w:t>
            </w:r>
          </w:p>
        </w:tc>
        <w:tc>
          <w:tcPr>
            <w:tcW w:w="1195" w:type="dxa"/>
            <w:tcBorders>
              <w:bottom w:val="single" w:sz="4" w:space="0" w:color="auto"/>
            </w:tcBorders>
          </w:tcPr>
          <w:p w14:paraId="71278552" w14:textId="77777777" w:rsidR="00D77393" w:rsidRPr="00DB283A" w:rsidRDefault="00D77393" w:rsidP="0079417C">
            <w:pPr>
              <w:rPr>
                <w:sz w:val="16"/>
                <w:szCs w:val="16"/>
              </w:rPr>
            </w:pPr>
            <w:r w:rsidRPr="00DB283A">
              <w:rPr>
                <w:sz w:val="16"/>
                <w:szCs w:val="16"/>
              </w:rPr>
              <w:t>2067 Part</w:t>
            </w:r>
          </w:p>
        </w:tc>
        <w:tc>
          <w:tcPr>
            <w:tcW w:w="1195" w:type="dxa"/>
            <w:tcBorders>
              <w:bottom w:val="single" w:sz="4" w:space="0" w:color="auto"/>
            </w:tcBorders>
          </w:tcPr>
          <w:p w14:paraId="14327E39" w14:textId="77777777" w:rsidR="00D77393" w:rsidRPr="00DB283A" w:rsidRDefault="00D77393" w:rsidP="0079417C">
            <w:pPr>
              <w:rPr>
                <w:sz w:val="16"/>
                <w:szCs w:val="16"/>
              </w:rPr>
            </w:pPr>
            <w:r w:rsidRPr="00DB283A">
              <w:rPr>
                <w:sz w:val="16"/>
                <w:szCs w:val="16"/>
              </w:rPr>
              <w:t>2068 Part</w:t>
            </w:r>
          </w:p>
        </w:tc>
      </w:tr>
      <w:tr w:rsidR="00D77393" w:rsidRPr="00DB283A" w14:paraId="34499AFB" w14:textId="77777777" w:rsidTr="0079417C">
        <w:trPr>
          <w:trHeight w:val="300"/>
        </w:trPr>
        <w:tc>
          <w:tcPr>
            <w:tcW w:w="1209" w:type="dxa"/>
            <w:noWrap/>
          </w:tcPr>
          <w:p w14:paraId="3DE3CE29" w14:textId="77777777" w:rsidR="00D77393" w:rsidRPr="00DB283A" w:rsidRDefault="00D77393" w:rsidP="0079417C">
            <w:pPr>
              <w:rPr>
                <w:sz w:val="16"/>
                <w:szCs w:val="16"/>
              </w:rPr>
            </w:pPr>
            <w:r w:rsidRPr="00DB283A">
              <w:rPr>
                <w:sz w:val="16"/>
                <w:szCs w:val="16"/>
              </w:rPr>
              <w:t>2069 Part</w:t>
            </w:r>
          </w:p>
        </w:tc>
        <w:tc>
          <w:tcPr>
            <w:tcW w:w="1208" w:type="dxa"/>
            <w:noWrap/>
          </w:tcPr>
          <w:p w14:paraId="6768CEBD" w14:textId="77777777" w:rsidR="00D77393" w:rsidRPr="00DB283A" w:rsidRDefault="00D77393" w:rsidP="0079417C">
            <w:pPr>
              <w:rPr>
                <w:sz w:val="16"/>
                <w:szCs w:val="16"/>
              </w:rPr>
            </w:pPr>
            <w:r w:rsidRPr="00DB283A">
              <w:rPr>
                <w:sz w:val="16"/>
                <w:szCs w:val="16"/>
              </w:rPr>
              <w:t>2136 Part</w:t>
            </w:r>
          </w:p>
        </w:tc>
        <w:tc>
          <w:tcPr>
            <w:tcW w:w="1208" w:type="dxa"/>
            <w:noWrap/>
          </w:tcPr>
          <w:p w14:paraId="3AD00C51" w14:textId="77777777" w:rsidR="00D77393" w:rsidRPr="00DB283A" w:rsidRDefault="00D77393" w:rsidP="0079417C">
            <w:pPr>
              <w:rPr>
                <w:sz w:val="16"/>
                <w:szCs w:val="16"/>
              </w:rPr>
            </w:pPr>
            <w:r w:rsidRPr="00DB283A">
              <w:rPr>
                <w:sz w:val="16"/>
                <w:szCs w:val="16"/>
              </w:rPr>
              <w:t>2137 Part</w:t>
            </w:r>
          </w:p>
        </w:tc>
        <w:tc>
          <w:tcPr>
            <w:tcW w:w="1208" w:type="dxa"/>
            <w:noWrap/>
          </w:tcPr>
          <w:p w14:paraId="5A75493B" w14:textId="77777777" w:rsidR="00D77393" w:rsidRPr="00DB283A" w:rsidRDefault="00D77393" w:rsidP="0079417C">
            <w:pPr>
              <w:rPr>
                <w:sz w:val="16"/>
                <w:szCs w:val="16"/>
              </w:rPr>
            </w:pPr>
            <w:r w:rsidRPr="00DB283A">
              <w:rPr>
                <w:sz w:val="16"/>
                <w:szCs w:val="16"/>
              </w:rPr>
              <w:t>2138 Part</w:t>
            </w:r>
          </w:p>
        </w:tc>
        <w:tc>
          <w:tcPr>
            <w:tcW w:w="1208" w:type="dxa"/>
            <w:noWrap/>
          </w:tcPr>
          <w:p w14:paraId="6087330D" w14:textId="77777777" w:rsidR="00D77393" w:rsidRPr="00DB283A" w:rsidRDefault="00D77393" w:rsidP="0079417C">
            <w:pPr>
              <w:rPr>
                <w:sz w:val="16"/>
                <w:szCs w:val="16"/>
              </w:rPr>
            </w:pPr>
            <w:r w:rsidRPr="00DB283A">
              <w:rPr>
                <w:sz w:val="16"/>
                <w:szCs w:val="16"/>
              </w:rPr>
              <w:t>2139 Part</w:t>
            </w:r>
          </w:p>
        </w:tc>
        <w:tc>
          <w:tcPr>
            <w:tcW w:w="1208" w:type="dxa"/>
            <w:noWrap/>
          </w:tcPr>
          <w:p w14:paraId="3DBE52AA" w14:textId="77777777" w:rsidR="00D77393" w:rsidRPr="00DB283A" w:rsidRDefault="00D77393" w:rsidP="0079417C">
            <w:pPr>
              <w:rPr>
                <w:sz w:val="16"/>
                <w:szCs w:val="16"/>
              </w:rPr>
            </w:pPr>
            <w:r w:rsidRPr="00DB283A">
              <w:rPr>
                <w:sz w:val="16"/>
                <w:szCs w:val="16"/>
              </w:rPr>
              <w:t>2140 Part</w:t>
            </w:r>
          </w:p>
        </w:tc>
        <w:tc>
          <w:tcPr>
            <w:tcW w:w="1195" w:type="dxa"/>
            <w:tcBorders>
              <w:right w:val="single" w:sz="4" w:space="0" w:color="auto"/>
            </w:tcBorders>
          </w:tcPr>
          <w:p w14:paraId="49760E89" w14:textId="77777777" w:rsidR="00D77393" w:rsidRPr="00DB283A" w:rsidRDefault="00D77393" w:rsidP="0079417C">
            <w:pPr>
              <w:rPr>
                <w:sz w:val="16"/>
                <w:szCs w:val="16"/>
              </w:rPr>
            </w:pPr>
            <w:r w:rsidRPr="00DB283A">
              <w:rPr>
                <w:sz w:val="16"/>
                <w:szCs w:val="16"/>
              </w:rPr>
              <w:t>2141 Part</w:t>
            </w:r>
          </w:p>
        </w:tc>
        <w:tc>
          <w:tcPr>
            <w:tcW w:w="1195" w:type="dxa"/>
            <w:tcBorders>
              <w:top w:val="single" w:sz="4" w:space="0" w:color="auto"/>
              <w:left w:val="single" w:sz="4" w:space="0" w:color="auto"/>
              <w:bottom w:val="nil"/>
              <w:right w:val="nil"/>
            </w:tcBorders>
          </w:tcPr>
          <w:p w14:paraId="5118823F" w14:textId="77777777" w:rsidR="00D77393" w:rsidRPr="00DB283A" w:rsidRDefault="00D77393" w:rsidP="0079417C">
            <w:pPr>
              <w:rPr>
                <w:sz w:val="16"/>
                <w:szCs w:val="16"/>
              </w:rPr>
            </w:pPr>
          </w:p>
        </w:tc>
      </w:tr>
    </w:tbl>
    <w:p w14:paraId="06CB5ED6" w14:textId="77777777" w:rsidR="00274B5A" w:rsidRPr="005F679D" w:rsidRDefault="00D77393" w:rsidP="00274B5A">
      <w:pPr>
        <w:spacing w:before="360"/>
        <w:rPr>
          <w:b/>
        </w:rPr>
      </w:pPr>
      <w:r w:rsidRPr="005F679D">
        <w:rPr>
          <w:b/>
        </w:rPr>
        <w:t>Release Area 18-4(v)</w:t>
      </w:r>
    </w:p>
    <w:p w14:paraId="4301EE71" w14:textId="77777777" w:rsidR="00D77393" w:rsidRPr="005F679D" w:rsidRDefault="00D77393" w:rsidP="00D77393">
      <w:r w:rsidRPr="005F679D">
        <w:rPr>
          <w:lang w:val="it-IT"/>
        </w:rPr>
        <w:t>7 part blocks approximately 15</w:t>
      </w:r>
      <w:r w:rsidR="003044FE">
        <w:rPr>
          <w:lang w:val="it-IT"/>
        </w:rPr>
        <w:t>3</w:t>
      </w:r>
      <w:r w:rsidRPr="005F679D">
        <w:rPr>
          <w:lang w:val="it-IT"/>
        </w:rPr>
        <w:t xml:space="preserve"> km</w:t>
      </w:r>
      <w:r w:rsidRPr="005F679D">
        <w:rPr>
          <w:rFonts w:cs="Arial"/>
          <w:lang w:val="it-IT"/>
        </w:rPr>
        <w:t>²</w:t>
      </w:r>
    </w:p>
    <w:p w14:paraId="3C252F75" w14:textId="77777777" w:rsidR="00D77393" w:rsidRPr="005F679D" w:rsidRDefault="00D77393" w:rsidP="00D77393">
      <w:r w:rsidRPr="005F679D">
        <w:t>Map sheet SJ54 (Hamilton)</w:t>
      </w:r>
    </w:p>
    <w:tbl>
      <w:tblPr>
        <w:tblStyle w:val="BlockListing"/>
        <w:tblW w:w="9639" w:type="dxa"/>
        <w:tblLook w:val="04A0" w:firstRow="1" w:lastRow="0" w:firstColumn="1" w:lastColumn="0" w:noHBand="0" w:noVBand="1"/>
      </w:tblPr>
      <w:tblGrid>
        <w:gridCol w:w="1209"/>
        <w:gridCol w:w="1208"/>
        <w:gridCol w:w="1208"/>
        <w:gridCol w:w="1208"/>
        <w:gridCol w:w="1208"/>
        <w:gridCol w:w="1208"/>
        <w:gridCol w:w="1195"/>
        <w:gridCol w:w="1195"/>
      </w:tblGrid>
      <w:tr w:rsidR="00D77393" w:rsidRPr="00DB283A" w14:paraId="79E94EF5" w14:textId="77777777" w:rsidTr="0079417C">
        <w:trPr>
          <w:trHeight w:val="300"/>
        </w:trPr>
        <w:tc>
          <w:tcPr>
            <w:tcW w:w="1209" w:type="dxa"/>
            <w:noWrap/>
          </w:tcPr>
          <w:p w14:paraId="799A5D23" w14:textId="77777777" w:rsidR="00D77393" w:rsidRPr="00DB283A" w:rsidRDefault="00D77393" w:rsidP="0079417C">
            <w:pPr>
              <w:rPr>
                <w:sz w:val="16"/>
                <w:szCs w:val="16"/>
              </w:rPr>
            </w:pPr>
            <w:r w:rsidRPr="00DB283A">
              <w:rPr>
                <w:sz w:val="16"/>
                <w:szCs w:val="16"/>
              </w:rPr>
              <w:t>2070 Part</w:t>
            </w:r>
          </w:p>
        </w:tc>
        <w:tc>
          <w:tcPr>
            <w:tcW w:w="1208" w:type="dxa"/>
            <w:noWrap/>
          </w:tcPr>
          <w:p w14:paraId="31F40C6A" w14:textId="77777777" w:rsidR="00D77393" w:rsidRPr="00DB283A" w:rsidRDefault="00D77393" w:rsidP="0079417C">
            <w:pPr>
              <w:rPr>
                <w:sz w:val="16"/>
                <w:szCs w:val="16"/>
              </w:rPr>
            </w:pPr>
            <w:r w:rsidRPr="00DB283A">
              <w:rPr>
                <w:sz w:val="16"/>
                <w:szCs w:val="16"/>
              </w:rPr>
              <w:t>2071 Part</w:t>
            </w:r>
          </w:p>
        </w:tc>
        <w:tc>
          <w:tcPr>
            <w:tcW w:w="1208" w:type="dxa"/>
            <w:noWrap/>
          </w:tcPr>
          <w:p w14:paraId="7A8D0C5B" w14:textId="77777777" w:rsidR="00D77393" w:rsidRPr="00DB283A" w:rsidRDefault="00D77393" w:rsidP="0079417C">
            <w:pPr>
              <w:rPr>
                <w:sz w:val="16"/>
                <w:szCs w:val="16"/>
              </w:rPr>
            </w:pPr>
            <w:r w:rsidRPr="00DB283A">
              <w:rPr>
                <w:sz w:val="16"/>
                <w:szCs w:val="16"/>
              </w:rPr>
              <w:t>2142 Part</w:t>
            </w:r>
          </w:p>
        </w:tc>
        <w:tc>
          <w:tcPr>
            <w:tcW w:w="1208" w:type="dxa"/>
            <w:noWrap/>
          </w:tcPr>
          <w:p w14:paraId="101FF4B3" w14:textId="77777777" w:rsidR="00D77393" w:rsidRPr="00DB283A" w:rsidRDefault="00D77393" w:rsidP="0079417C">
            <w:pPr>
              <w:rPr>
                <w:sz w:val="16"/>
                <w:szCs w:val="16"/>
              </w:rPr>
            </w:pPr>
            <w:r w:rsidRPr="00DB283A">
              <w:rPr>
                <w:sz w:val="16"/>
                <w:szCs w:val="16"/>
              </w:rPr>
              <w:t>2143 Part</w:t>
            </w:r>
          </w:p>
        </w:tc>
        <w:tc>
          <w:tcPr>
            <w:tcW w:w="1208" w:type="dxa"/>
            <w:noWrap/>
          </w:tcPr>
          <w:p w14:paraId="34FB3166" w14:textId="77777777" w:rsidR="00D77393" w:rsidRPr="00DB283A" w:rsidRDefault="00D77393" w:rsidP="0079417C">
            <w:pPr>
              <w:rPr>
                <w:sz w:val="16"/>
                <w:szCs w:val="16"/>
              </w:rPr>
            </w:pPr>
            <w:r w:rsidRPr="00DB283A">
              <w:rPr>
                <w:sz w:val="16"/>
                <w:szCs w:val="16"/>
              </w:rPr>
              <w:t>2144 Part</w:t>
            </w:r>
          </w:p>
        </w:tc>
        <w:tc>
          <w:tcPr>
            <w:tcW w:w="1208" w:type="dxa"/>
            <w:noWrap/>
          </w:tcPr>
          <w:p w14:paraId="23A2DCA4" w14:textId="77777777" w:rsidR="00D77393" w:rsidRPr="00DB283A" w:rsidRDefault="00D77393" w:rsidP="0079417C">
            <w:pPr>
              <w:rPr>
                <w:sz w:val="16"/>
                <w:szCs w:val="16"/>
              </w:rPr>
            </w:pPr>
            <w:r w:rsidRPr="00DB283A">
              <w:rPr>
                <w:sz w:val="16"/>
                <w:szCs w:val="16"/>
              </w:rPr>
              <w:t>2215 Part</w:t>
            </w:r>
          </w:p>
        </w:tc>
        <w:tc>
          <w:tcPr>
            <w:tcW w:w="1195" w:type="dxa"/>
            <w:tcBorders>
              <w:right w:val="single" w:sz="4" w:space="0" w:color="auto"/>
            </w:tcBorders>
          </w:tcPr>
          <w:p w14:paraId="39F7371A" w14:textId="77777777" w:rsidR="00D77393" w:rsidRPr="00DB283A" w:rsidRDefault="00D77393" w:rsidP="0079417C">
            <w:pPr>
              <w:rPr>
                <w:sz w:val="16"/>
                <w:szCs w:val="16"/>
              </w:rPr>
            </w:pPr>
            <w:r w:rsidRPr="00DB283A">
              <w:rPr>
                <w:sz w:val="16"/>
                <w:szCs w:val="16"/>
              </w:rPr>
              <w:t>2216 Part</w:t>
            </w:r>
          </w:p>
        </w:tc>
        <w:tc>
          <w:tcPr>
            <w:tcW w:w="1195" w:type="dxa"/>
            <w:tcBorders>
              <w:top w:val="nil"/>
              <w:left w:val="single" w:sz="4" w:space="0" w:color="auto"/>
              <w:bottom w:val="nil"/>
              <w:right w:val="nil"/>
            </w:tcBorders>
          </w:tcPr>
          <w:p w14:paraId="5C09AAC6" w14:textId="77777777" w:rsidR="00D77393" w:rsidRPr="00DB283A" w:rsidRDefault="00D77393" w:rsidP="0079417C">
            <w:pPr>
              <w:rPr>
                <w:sz w:val="16"/>
                <w:szCs w:val="16"/>
              </w:rPr>
            </w:pPr>
          </w:p>
        </w:tc>
      </w:tr>
    </w:tbl>
    <w:p w14:paraId="068715D4" w14:textId="77777777" w:rsidR="00274B5A" w:rsidRPr="005F679D" w:rsidRDefault="00D77393" w:rsidP="00274B5A">
      <w:pPr>
        <w:spacing w:before="360"/>
        <w:rPr>
          <w:lang w:val="it-IT"/>
        </w:rPr>
      </w:pPr>
      <w:r w:rsidRPr="005F679D">
        <w:rPr>
          <w:b/>
        </w:rPr>
        <w:t>Release Area 18-5(v)</w:t>
      </w:r>
    </w:p>
    <w:p w14:paraId="075D0D35" w14:textId="77777777" w:rsidR="00D77393" w:rsidRPr="005F679D" w:rsidRDefault="00D77393" w:rsidP="00D77393">
      <w:r w:rsidRPr="005F679D">
        <w:rPr>
          <w:lang w:val="it-IT"/>
        </w:rPr>
        <w:t>2 part blocks approximately 24 km</w:t>
      </w:r>
      <w:r w:rsidRPr="005F679D">
        <w:rPr>
          <w:rFonts w:cs="Arial"/>
          <w:lang w:val="it-IT"/>
        </w:rPr>
        <w:t>²</w:t>
      </w:r>
    </w:p>
    <w:p w14:paraId="17D05DA8" w14:textId="77777777" w:rsidR="00D77393" w:rsidRPr="005F679D" w:rsidRDefault="00D77393" w:rsidP="00D77393">
      <w:r w:rsidRPr="005F679D">
        <w:t>Map sheet SJ54 (Hamilton)</w:t>
      </w:r>
    </w:p>
    <w:tbl>
      <w:tblPr>
        <w:tblStyle w:val="BlockListing"/>
        <w:tblW w:w="9639" w:type="dxa"/>
        <w:tblLook w:val="04A0" w:firstRow="1" w:lastRow="0" w:firstColumn="1" w:lastColumn="0" w:noHBand="0" w:noVBand="1"/>
      </w:tblPr>
      <w:tblGrid>
        <w:gridCol w:w="1209"/>
        <w:gridCol w:w="1208"/>
        <w:gridCol w:w="1208"/>
        <w:gridCol w:w="1208"/>
        <w:gridCol w:w="1208"/>
        <w:gridCol w:w="1208"/>
        <w:gridCol w:w="1195"/>
        <w:gridCol w:w="1195"/>
      </w:tblGrid>
      <w:tr w:rsidR="00D77393" w:rsidRPr="00DB283A" w14:paraId="5C3CA4B6" w14:textId="77777777" w:rsidTr="0079417C">
        <w:trPr>
          <w:trHeight w:val="300"/>
        </w:trPr>
        <w:tc>
          <w:tcPr>
            <w:tcW w:w="1209" w:type="dxa"/>
            <w:noWrap/>
          </w:tcPr>
          <w:p w14:paraId="2FA5C0BC" w14:textId="77777777" w:rsidR="00D77393" w:rsidRPr="00DB283A" w:rsidRDefault="00D77393" w:rsidP="0079417C">
            <w:pPr>
              <w:rPr>
                <w:sz w:val="16"/>
                <w:szCs w:val="16"/>
              </w:rPr>
            </w:pPr>
            <w:r w:rsidRPr="00DB283A">
              <w:rPr>
                <w:sz w:val="16"/>
                <w:szCs w:val="16"/>
              </w:rPr>
              <w:t>2293 Part</w:t>
            </w:r>
          </w:p>
        </w:tc>
        <w:tc>
          <w:tcPr>
            <w:tcW w:w="1208" w:type="dxa"/>
            <w:tcBorders>
              <w:right w:val="single" w:sz="4" w:space="0" w:color="auto"/>
            </w:tcBorders>
            <w:noWrap/>
          </w:tcPr>
          <w:p w14:paraId="04DFC9D0" w14:textId="77777777" w:rsidR="00D77393" w:rsidRPr="00DB283A" w:rsidRDefault="00D77393" w:rsidP="0079417C">
            <w:pPr>
              <w:rPr>
                <w:sz w:val="16"/>
                <w:szCs w:val="16"/>
              </w:rPr>
            </w:pPr>
            <w:r w:rsidRPr="00DB283A">
              <w:rPr>
                <w:sz w:val="16"/>
                <w:szCs w:val="16"/>
              </w:rPr>
              <w:t>2365 Part</w:t>
            </w:r>
          </w:p>
        </w:tc>
        <w:tc>
          <w:tcPr>
            <w:tcW w:w="1208" w:type="dxa"/>
            <w:tcBorders>
              <w:top w:val="nil"/>
              <w:left w:val="single" w:sz="4" w:space="0" w:color="auto"/>
              <w:bottom w:val="nil"/>
              <w:right w:val="nil"/>
            </w:tcBorders>
            <w:noWrap/>
          </w:tcPr>
          <w:p w14:paraId="184DD80D" w14:textId="77777777" w:rsidR="00D77393" w:rsidRPr="00DB283A" w:rsidRDefault="00D77393" w:rsidP="0079417C">
            <w:pPr>
              <w:rPr>
                <w:sz w:val="16"/>
                <w:szCs w:val="16"/>
              </w:rPr>
            </w:pPr>
          </w:p>
        </w:tc>
        <w:tc>
          <w:tcPr>
            <w:tcW w:w="1208" w:type="dxa"/>
            <w:tcBorders>
              <w:top w:val="nil"/>
              <w:left w:val="nil"/>
              <w:bottom w:val="nil"/>
              <w:right w:val="nil"/>
            </w:tcBorders>
            <w:noWrap/>
          </w:tcPr>
          <w:p w14:paraId="7D6639FE" w14:textId="77777777" w:rsidR="00D77393" w:rsidRPr="00DB283A" w:rsidRDefault="00D77393" w:rsidP="0079417C">
            <w:pPr>
              <w:rPr>
                <w:sz w:val="16"/>
                <w:szCs w:val="16"/>
              </w:rPr>
            </w:pPr>
          </w:p>
        </w:tc>
        <w:tc>
          <w:tcPr>
            <w:tcW w:w="1208" w:type="dxa"/>
            <w:tcBorders>
              <w:top w:val="nil"/>
              <w:left w:val="nil"/>
              <w:bottom w:val="nil"/>
              <w:right w:val="nil"/>
            </w:tcBorders>
            <w:noWrap/>
          </w:tcPr>
          <w:p w14:paraId="55CBCC38" w14:textId="77777777" w:rsidR="00D77393" w:rsidRPr="00DB283A" w:rsidRDefault="00D77393" w:rsidP="0079417C">
            <w:pPr>
              <w:rPr>
                <w:sz w:val="16"/>
                <w:szCs w:val="16"/>
              </w:rPr>
            </w:pPr>
          </w:p>
        </w:tc>
        <w:tc>
          <w:tcPr>
            <w:tcW w:w="1208" w:type="dxa"/>
            <w:tcBorders>
              <w:top w:val="nil"/>
              <w:left w:val="nil"/>
              <w:bottom w:val="nil"/>
              <w:right w:val="nil"/>
            </w:tcBorders>
            <w:noWrap/>
          </w:tcPr>
          <w:p w14:paraId="06665F6E" w14:textId="77777777" w:rsidR="00D77393" w:rsidRPr="00DB283A" w:rsidRDefault="00D77393" w:rsidP="0079417C">
            <w:pPr>
              <w:rPr>
                <w:sz w:val="16"/>
                <w:szCs w:val="16"/>
              </w:rPr>
            </w:pPr>
          </w:p>
        </w:tc>
        <w:tc>
          <w:tcPr>
            <w:tcW w:w="1195" w:type="dxa"/>
            <w:tcBorders>
              <w:top w:val="nil"/>
              <w:left w:val="nil"/>
              <w:bottom w:val="nil"/>
              <w:right w:val="nil"/>
            </w:tcBorders>
          </w:tcPr>
          <w:p w14:paraId="2067C5B2" w14:textId="77777777" w:rsidR="00D77393" w:rsidRPr="00DB283A" w:rsidRDefault="00D77393" w:rsidP="0079417C">
            <w:pPr>
              <w:rPr>
                <w:sz w:val="16"/>
                <w:szCs w:val="16"/>
              </w:rPr>
            </w:pPr>
          </w:p>
        </w:tc>
        <w:tc>
          <w:tcPr>
            <w:tcW w:w="1195" w:type="dxa"/>
            <w:tcBorders>
              <w:top w:val="nil"/>
              <w:left w:val="nil"/>
              <w:bottom w:val="nil"/>
              <w:right w:val="nil"/>
            </w:tcBorders>
          </w:tcPr>
          <w:p w14:paraId="4818031F" w14:textId="77777777" w:rsidR="00D77393" w:rsidRPr="00DB283A" w:rsidRDefault="00D77393" w:rsidP="0079417C">
            <w:pPr>
              <w:rPr>
                <w:sz w:val="16"/>
                <w:szCs w:val="16"/>
              </w:rPr>
            </w:pPr>
          </w:p>
        </w:tc>
      </w:tr>
    </w:tbl>
    <w:p w14:paraId="15FB026E" w14:textId="77777777" w:rsidR="008E317F" w:rsidRDefault="008E317F" w:rsidP="00274B5A">
      <w:pPr>
        <w:pStyle w:val="Heading1"/>
        <w:numPr>
          <w:ilvl w:val="0"/>
          <w:numId w:val="0"/>
        </w:numPr>
        <w:sectPr w:rsidR="008E317F" w:rsidSect="008E317F">
          <w:headerReference w:type="first" r:id="rId42"/>
          <w:type w:val="oddPage"/>
          <w:pgSz w:w="11901" w:h="16840" w:code="9"/>
          <w:pgMar w:top="907" w:right="1008" w:bottom="1138" w:left="1152" w:header="288" w:footer="283" w:gutter="0"/>
          <w:cols w:space="708"/>
          <w:docGrid w:linePitch="360"/>
        </w:sectPr>
      </w:pPr>
    </w:p>
    <w:p w14:paraId="1D87BBE7" w14:textId="4A43615D" w:rsidR="003D6539" w:rsidRDefault="00E14D94" w:rsidP="00274B5A">
      <w:pPr>
        <w:pStyle w:val="Heading1"/>
        <w:numPr>
          <w:ilvl w:val="0"/>
          <w:numId w:val="0"/>
        </w:numPr>
      </w:pPr>
      <w:bookmarkStart w:id="75" w:name="_Toc513813361"/>
      <w:r>
        <w:lastRenderedPageBreak/>
        <w:t>Appendix 2 Wells and b</w:t>
      </w:r>
      <w:r w:rsidR="00B535F1">
        <w:t>ore</w:t>
      </w:r>
      <w:r w:rsidR="007F7C4C">
        <w:t>holes</w:t>
      </w:r>
      <w:r>
        <w:t xml:space="preserve"> </w:t>
      </w:r>
      <w:r w:rsidR="006A31BB">
        <w:t>near</w:t>
      </w:r>
      <w:r>
        <w:t xml:space="preserve"> 18-1(v) to 18-5(v)</w:t>
      </w:r>
      <w:bookmarkEnd w:id="75"/>
    </w:p>
    <w:p w14:paraId="7B4041F7" w14:textId="77777777" w:rsidR="00B535F1" w:rsidRPr="00C53769" w:rsidRDefault="00C53769" w:rsidP="003D6539">
      <w:pPr>
        <w:rPr>
          <w:b/>
        </w:rPr>
      </w:pPr>
      <w:r>
        <w:rPr>
          <w:b/>
        </w:rPr>
        <w:t>Release Area 18-</w:t>
      </w:r>
      <w:r w:rsidR="00F75CC4" w:rsidRPr="00C53769">
        <w:rPr>
          <w:b/>
        </w:rPr>
        <w:t>1(v)</w:t>
      </w:r>
    </w:p>
    <w:tbl>
      <w:tblPr>
        <w:tblW w:w="9087" w:type="dxa"/>
        <w:tblInd w:w="93" w:type="dxa"/>
        <w:tblLook w:val="04A0" w:firstRow="1" w:lastRow="0" w:firstColumn="1" w:lastColumn="0" w:noHBand="0" w:noVBand="1"/>
      </w:tblPr>
      <w:tblGrid>
        <w:gridCol w:w="1575"/>
        <w:gridCol w:w="708"/>
        <w:gridCol w:w="1276"/>
        <w:gridCol w:w="851"/>
        <w:gridCol w:w="1275"/>
        <w:gridCol w:w="2127"/>
        <w:gridCol w:w="1275"/>
      </w:tblGrid>
      <w:tr w:rsidR="00E14D94" w:rsidRPr="004A0DF4" w14:paraId="08FF58D6" w14:textId="77777777" w:rsidTr="007F7C4C">
        <w:trPr>
          <w:trHeight w:val="510"/>
        </w:trPr>
        <w:tc>
          <w:tcPr>
            <w:tcW w:w="1575" w:type="dxa"/>
            <w:tcBorders>
              <w:top w:val="nil"/>
              <w:left w:val="nil"/>
              <w:bottom w:val="nil"/>
              <w:right w:val="nil"/>
            </w:tcBorders>
            <w:shd w:val="clear" w:color="000000" w:fill="064EA8"/>
            <w:tcMar>
              <w:top w:w="28" w:type="dxa"/>
              <w:bottom w:w="28" w:type="dxa"/>
            </w:tcMar>
            <w:vAlign w:val="center"/>
            <w:hideMark/>
          </w:tcPr>
          <w:p w14:paraId="6B2F91A5" w14:textId="77777777" w:rsidR="00E14D94" w:rsidRPr="004A0DF4" w:rsidRDefault="00E14D94" w:rsidP="00E14D94">
            <w:pPr>
              <w:spacing w:before="0" w:after="0" w:line="240" w:lineRule="auto"/>
              <w:rPr>
                <w:rFonts w:cs="Arial"/>
                <w:b/>
                <w:color w:val="FFFFFF"/>
                <w:sz w:val="16"/>
                <w:szCs w:val="16"/>
                <w:lang w:eastAsia="en-AU"/>
              </w:rPr>
            </w:pPr>
            <w:r w:rsidRPr="004A0DF4">
              <w:rPr>
                <w:rFonts w:cs="Arial"/>
                <w:b/>
                <w:color w:val="FFFFFF"/>
                <w:sz w:val="16"/>
                <w:szCs w:val="16"/>
                <w:lang w:eastAsia="en-AU"/>
              </w:rPr>
              <w:t>Well</w:t>
            </w:r>
            <w:r w:rsidR="004A0DF4">
              <w:rPr>
                <w:rFonts w:cs="Arial"/>
                <w:b/>
                <w:color w:val="FFFFFF"/>
                <w:sz w:val="16"/>
                <w:szCs w:val="16"/>
                <w:lang w:eastAsia="en-AU"/>
              </w:rPr>
              <w:t>/B</w:t>
            </w:r>
            <w:r w:rsidR="006A31BB" w:rsidRPr="004A0DF4">
              <w:rPr>
                <w:rFonts w:cs="Arial"/>
                <w:b/>
                <w:color w:val="FFFFFF"/>
                <w:sz w:val="16"/>
                <w:szCs w:val="16"/>
                <w:lang w:eastAsia="en-AU"/>
              </w:rPr>
              <w:t>orehole n</w:t>
            </w:r>
            <w:r w:rsidRPr="004A0DF4">
              <w:rPr>
                <w:rFonts w:cs="Arial"/>
                <w:b/>
                <w:color w:val="FFFFFF"/>
                <w:sz w:val="16"/>
                <w:szCs w:val="16"/>
                <w:lang w:eastAsia="en-AU"/>
              </w:rPr>
              <w:t>ame</w:t>
            </w:r>
          </w:p>
        </w:tc>
        <w:tc>
          <w:tcPr>
            <w:tcW w:w="708" w:type="dxa"/>
            <w:tcBorders>
              <w:top w:val="nil"/>
              <w:left w:val="nil"/>
              <w:bottom w:val="nil"/>
              <w:right w:val="nil"/>
            </w:tcBorders>
            <w:shd w:val="clear" w:color="000000" w:fill="064EA8"/>
            <w:tcMar>
              <w:top w:w="28" w:type="dxa"/>
              <w:bottom w:w="28" w:type="dxa"/>
            </w:tcMar>
            <w:vAlign w:val="center"/>
            <w:hideMark/>
          </w:tcPr>
          <w:p w14:paraId="1AF35CF5" w14:textId="77777777" w:rsidR="00E14D94" w:rsidRPr="004A0DF4" w:rsidRDefault="00E14D94" w:rsidP="00E14D94">
            <w:pPr>
              <w:spacing w:before="0" w:after="0" w:line="240" w:lineRule="auto"/>
              <w:rPr>
                <w:rFonts w:cs="Arial"/>
                <w:b/>
                <w:color w:val="FFFFFF"/>
                <w:sz w:val="16"/>
                <w:szCs w:val="16"/>
                <w:lang w:eastAsia="en-AU"/>
              </w:rPr>
            </w:pPr>
            <w:r w:rsidRPr="004A0DF4">
              <w:rPr>
                <w:rFonts w:cs="Arial"/>
                <w:b/>
                <w:color w:val="FFFFFF"/>
                <w:sz w:val="16"/>
                <w:szCs w:val="16"/>
                <w:lang w:eastAsia="en-AU"/>
              </w:rPr>
              <w:t>Year</w:t>
            </w:r>
          </w:p>
        </w:tc>
        <w:tc>
          <w:tcPr>
            <w:tcW w:w="1276" w:type="dxa"/>
            <w:tcBorders>
              <w:top w:val="nil"/>
              <w:left w:val="nil"/>
              <w:bottom w:val="nil"/>
              <w:right w:val="nil"/>
            </w:tcBorders>
            <w:shd w:val="clear" w:color="000000" w:fill="064EA8"/>
            <w:tcMar>
              <w:top w:w="28" w:type="dxa"/>
              <w:bottom w:w="28" w:type="dxa"/>
            </w:tcMar>
            <w:vAlign w:val="center"/>
            <w:hideMark/>
          </w:tcPr>
          <w:p w14:paraId="0541D9C8" w14:textId="77777777" w:rsidR="00E14D94" w:rsidRPr="004A0DF4" w:rsidRDefault="00E14D94" w:rsidP="00E14D94">
            <w:pPr>
              <w:spacing w:before="0" w:after="0" w:line="240" w:lineRule="auto"/>
              <w:rPr>
                <w:rFonts w:cs="Arial"/>
                <w:b/>
                <w:color w:val="FFFFFF"/>
                <w:sz w:val="16"/>
                <w:szCs w:val="16"/>
                <w:lang w:eastAsia="en-AU"/>
              </w:rPr>
            </w:pPr>
            <w:r w:rsidRPr="004A0DF4">
              <w:rPr>
                <w:rFonts w:cs="Arial"/>
                <w:b/>
                <w:color w:val="FFFFFF"/>
                <w:sz w:val="16"/>
                <w:szCs w:val="16"/>
                <w:lang w:eastAsia="en-AU"/>
              </w:rPr>
              <w:t>Purpose</w:t>
            </w:r>
          </w:p>
        </w:tc>
        <w:tc>
          <w:tcPr>
            <w:tcW w:w="851" w:type="dxa"/>
            <w:tcBorders>
              <w:top w:val="nil"/>
              <w:left w:val="nil"/>
              <w:bottom w:val="nil"/>
              <w:right w:val="nil"/>
            </w:tcBorders>
            <w:shd w:val="clear" w:color="000000" w:fill="064EA8"/>
            <w:tcMar>
              <w:top w:w="28" w:type="dxa"/>
              <w:bottom w:w="28" w:type="dxa"/>
            </w:tcMar>
            <w:vAlign w:val="center"/>
            <w:hideMark/>
          </w:tcPr>
          <w:p w14:paraId="4A4C78AA" w14:textId="77777777" w:rsidR="00E14D94" w:rsidRPr="004A0DF4" w:rsidRDefault="00E14D94" w:rsidP="00E14D94">
            <w:pPr>
              <w:spacing w:before="0" w:after="0" w:line="240" w:lineRule="auto"/>
              <w:rPr>
                <w:rFonts w:cs="Arial"/>
                <w:b/>
                <w:color w:val="FFFFFF"/>
                <w:sz w:val="16"/>
                <w:szCs w:val="16"/>
                <w:lang w:eastAsia="en-AU"/>
              </w:rPr>
            </w:pPr>
            <w:r w:rsidRPr="004A0DF4">
              <w:rPr>
                <w:rFonts w:cs="Arial"/>
                <w:b/>
                <w:color w:val="FFFFFF"/>
                <w:sz w:val="16"/>
                <w:szCs w:val="16"/>
                <w:lang w:eastAsia="en-AU"/>
              </w:rPr>
              <w:t>Total Depth (m)</w:t>
            </w:r>
          </w:p>
        </w:tc>
        <w:tc>
          <w:tcPr>
            <w:tcW w:w="1275" w:type="dxa"/>
            <w:tcBorders>
              <w:top w:val="nil"/>
              <w:left w:val="nil"/>
              <w:bottom w:val="nil"/>
              <w:right w:val="nil"/>
            </w:tcBorders>
            <w:shd w:val="clear" w:color="000000" w:fill="064EA8"/>
            <w:tcMar>
              <w:top w:w="28" w:type="dxa"/>
              <w:bottom w:w="28" w:type="dxa"/>
            </w:tcMar>
            <w:vAlign w:val="center"/>
            <w:hideMark/>
          </w:tcPr>
          <w:p w14:paraId="72BDF5A2" w14:textId="77777777" w:rsidR="00E14D94" w:rsidRPr="004A0DF4" w:rsidRDefault="00E14D94" w:rsidP="00E14D94">
            <w:pPr>
              <w:spacing w:before="0" w:after="0" w:line="240" w:lineRule="auto"/>
              <w:rPr>
                <w:rFonts w:cs="Arial"/>
                <w:b/>
                <w:color w:val="FFFFFF"/>
                <w:sz w:val="16"/>
                <w:szCs w:val="16"/>
                <w:lang w:eastAsia="en-AU"/>
              </w:rPr>
            </w:pPr>
            <w:r w:rsidRPr="004A0DF4">
              <w:rPr>
                <w:rFonts w:cs="Arial"/>
                <w:b/>
                <w:color w:val="FFFFFF"/>
                <w:sz w:val="16"/>
                <w:szCs w:val="16"/>
                <w:lang w:eastAsia="en-AU"/>
              </w:rPr>
              <w:t>Formation at TD</w:t>
            </w:r>
          </w:p>
        </w:tc>
        <w:tc>
          <w:tcPr>
            <w:tcW w:w="2127" w:type="dxa"/>
            <w:tcBorders>
              <w:top w:val="nil"/>
              <w:left w:val="nil"/>
              <w:bottom w:val="nil"/>
              <w:right w:val="nil"/>
            </w:tcBorders>
            <w:shd w:val="clear" w:color="000000" w:fill="064EA8"/>
            <w:tcMar>
              <w:top w:w="28" w:type="dxa"/>
              <w:bottom w:w="28" w:type="dxa"/>
            </w:tcMar>
            <w:vAlign w:val="center"/>
            <w:hideMark/>
          </w:tcPr>
          <w:p w14:paraId="7C854CEC" w14:textId="77777777" w:rsidR="00E14D94" w:rsidRPr="004A0DF4" w:rsidRDefault="00E14D94" w:rsidP="00E14D94">
            <w:pPr>
              <w:spacing w:before="0" w:after="0" w:line="240" w:lineRule="auto"/>
              <w:rPr>
                <w:rFonts w:cs="Arial"/>
                <w:b/>
                <w:color w:val="FFFFFF"/>
                <w:sz w:val="16"/>
                <w:szCs w:val="16"/>
                <w:lang w:eastAsia="en-AU"/>
              </w:rPr>
            </w:pPr>
            <w:r w:rsidRPr="004A0DF4">
              <w:rPr>
                <w:rFonts w:cs="Arial"/>
                <w:b/>
                <w:color w:val="FFFFFF"/>
                <w:sz w:val="16"/>
                <w:szCs w:val="16"/>
                <w:lang w:eastAsia="en-AU"/>
              </w:rPr>
              <w:t>Company</w:t>
            </w:r>
          </w:p>
        </w:tc>
        <w:tc>
          <w:tcPr>
            <w:tcW w:w="1275" w:type="dxa"/>
            <w:tcBorders>
              <w:top w:val="nil"/>
              <w:left w:val="nil"/>
              <w:bottom w:val="nil"/>
              <w:right w:val="nil"/>
            </w:tcBorders>
            <w:shd w:val="clear" w:color="000000" w:fill="064EA8"/>
            <w:tcMar>
              <w:top w:w="28" w:type="dxa"/>
              <w:bottom w:w="28" w:type="dxa"/>
            </w:tcMar>
            <w:vAlign w:val="center"/>
            <w:hideMark/>
          </w:tcPr>
          <w:p w14:paraId="20E4EA5B" w14:textId="77777777" w:rsidR="00E14D94" w:rsidRPr="004A0DF4" w:rsidRDefault="00695CC7" w:rsidP="00E14D94">
            <w:pPr>
              <w:spacing w:before="0" w:after="0" w:line="240" w:lineRule="auto"/>
              <w:rPr>
                <w:rFonts w:cs="Arial"/>
                <w:b/>
                <w:color w:val="FFFFFF"/>
                <w:sz w:val="16"/>
                <w:szCs w:val="16"/>
                <w:lang w:eastAsia="en-AU"/>
              </w:rPr>
            </w:pPr>
            <w:r w:rsidRPr="004A0DF4">
              <w:rPr>
                <w:rFonts w:cs="Arial"/>
                <w:b/>
                <w:color w:val="FFFFFF"/>
                <w:sz w:val="16"/>
                <w:szCs w:val="16"/>
                <w:lang w:eastAsia="en-AU"/>
              </w:rPr>
              <w:t>Show observed</w:t>
            </w:r>
          </w:p>
        </w:tc>
      </w:tr>
      <w:tr w:rsidR="00E14D94" w:rsidRPr="001F7554" w14:paraId="3AFC5BDF" w14:textId="77777777" w:rsidTr="007F7C4C">
        <w:trPr>
          <w:trHeight w:val="255"/>
        </w:trPr>
        <w:tc>
          <w:tcPr>
            <w:tcW w:w="1575" w:type="dxa"/>
            <w:tcBorders>
              <w:top w:val="nil"/>
              <w:left w:val="nil"/>
              <w:bottom w:val="single" w:sz="4" w:space="0" w:color="064EA8"/>
              <w:right w:val="nil"/>
            </w:tcBorders>
            <w:shd w:val="clear" w:color="auto" w:fill="auto"/>
            <w:noWrap/>
            <w:tcMar>
              <w:top w:w="28" w:type="dxa"/>
              <w:bottom w:w="28" w:type="dxa"/>
            </w:tcMar>
            <w:vAlign w:val="center"/>
            <w:hideMark/>
          </w:tcPr>
          <w:p w14:paraId="46FFD0ED"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G</w:t>
            </w:r>
            <w:r w:rsidR="00695CC7" w:rsidRPr="001F7554">
              <w:rPr>
                <w:rFonts w:cs="Arial"/>
                <w:sz w:val="16"/>
                <w:szCs w:val="16"/>
                <w:lang w:eastAsia="en-AU"/>
              </w:rPr>
              <w:t>lenelg</w:t>
            </w:r>
            <w:r w:rsidR="00357F25">
              <w:rPr>
                <w:rFonts w:cs="Arial"/>
                <w:sz w:val="16"/>
                <w:szCs w:val="16"/>
                <w:lang w:eastAsia="en-AU"/>
              </w:rPr>
              <w:t>-</w:t>
            </w:r>
            <w:r w:rsidRPr="001F7554">
              <w:rPr>
                <w:rFonts w:cs="Arial"/>
                <w:sz w:val="16"/>
                <w:szCs w:val="16"/>
                <w:lang w:eastAsia="en-AU"/>
              </w:rPr>
              <w:t>1</w:t>
            </w:r>
          </w:p>
        </w:tc>
        <w:tc>
          <w:tcPr>
            <w:tcW w:w="708" w:type="dxa"/>
            <w:tcBorders>
              <w:top w:val="nil"/>
              <w:left w:val="nil"/>
              <w:bottom w:val="single" w:sz="4" w:space="0" w:color="064EA8"/>
              <w:right w:val="nil"/>
            </w:tcBorders>
            <w:shd w:val="clear" w:color="auto" w:fill="auto"/>
            <w:noWrap/>
            <w:tcMar>
              <w:top w:w="28" w:type="dxa"/>
              <w:bottom w:w="28" w:type="dxa"/>
            </w:tcMar>
            <w:vAlign w:val="center"/>
            <w:hideMark/>
          </w:tcPr>
          <w:p w14:paraId="5EFEDD00"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1945</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72713F16"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7D8E1305"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2226</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4E7C9389"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Paaratte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1C34DE31"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Commonwealth Government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333CB519"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Dry hole</w:t>
            </w:r>
          </w:p>
        </w:tc>
      </w:tr>
      <w:tr w:rsidR="00E14D94" w:rsidRPr="001F7554" w14:paraId="0B800B80" w14:textId="77777777" w:rsidTr="007F7C4C">
        <w:trPr>
          <w:trHeight w:val="255"/>
        </w:trPr>
        <w:tc>
          <w:tcPr>
            <w:tcW w:w="1575" w:type="dxa"/>
            <w:tcBorders>
              <w:top w:val="nil"/>
              <w:left w:val="nil"/>
              <w:bottom w:val="single" w:sz="4" w:space="0" w:color="064EA8"/>
              <w:right w:val="nil"/>
            </w:tcBorders>
            <w:shd w:val="clear" w:color="auto" w:fill="auto"/>
            <w:noWrap/>
            <w:tcMar>
              <w:top w:w="28" w:type="dxa"/>
              <w:bottom w:w="28" w:type="dxa"/>
            </w:tcMar>
            <w:vAlign w:val="center"/>
            <w:hideMark/>
          </w:tcPr>
          <w:p w14:paraId="7E5D410A"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W</w:t>
            </w:r>
            <w:r w:rsidR="00695CC7" w:rsidRPr="001F7554">
              <w:rPr>
                <w:rFonts w:cs="Arial"/>
                <w:sz w:val="16"/>
                <w:szCs w:val="16"/>
                <w:lang w:eastAsia="en-AU"/>
              </w:rPr>
              <w:t>arrain</w:t>
            </w:r>
            <w:r w:rsidR="00357F25">
              <w:rPr>
                <w:rFonts w:cs="Arial"/>
                <w:sz w:val="16"/>
                <w:szCs w:val="16"/>
                <w:lang w:eastAsia="en-AU"/>
              </w:rPr>
              <w:t>-</w:t>
            </w:r>
            <w:r w:rsidRPr="001F7554">
              <w:rPr>
                <w:rFonts w:cs="Arial"/>
                <w:sz w:val="16"/>
                <w:szCs w:val="16"/>
                <w:lang w:eastAsia="en-AU"/>
              </w:rPr>
              <w:t>7</w:t>
            </w:r>
          </w:p>
        </w:tc>
        <w:tc>
          <w:tcPr>
            <w:tcW w:w="708" w:type="dxa"/>
            <w:tcBorders>
              <w:top w:val="nil"/>
              <w:left w:val="nil"/>
              <w:bottom w:val="single" w:sz="4" w:space="0" w:color="064EA8"/>
              <w:right w:val="nil"/>
            </w:tcBorders>
            <w:shd w:val="clear" w:color="auto" w:fill="auto"/>
            <w:noWrap/>
            <w:tcMar>
              <w:top w:w="28" w:type="dxa"/>
              <w:bottom w:w="28" w:type="dxa"/>
            </w:tcMar>
            <w:vAlign w:val="center"/>
            <w:hideMark/>
          </w:tcPr>
          <w:p w14:paraId="5A952454"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1975</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269F828F"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Groundwater</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50606BD5"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1787</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E15B9F3"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Paaratte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428B6483"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Department of Manufacturing and Industry Development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789BC922"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 </w:t>
            </w:r>
            <w:r w:rsidR="00463D93">
              <w:rPr>
                <w:rFonts w:cs="Arial"/>
                <w:sz w:val="16"/>
                <w:szCs w:val="16"/>
                <w:lang w:eastAsia="en-AU"/>
              </w:rPr>
              <w:t>NA</w:t>
            </w:r>
          </w:p>
        </w:tc>
      </w:tr>
      <w:tr w:rsidR="00E14D94" w:rsidRPr="001F7554" w14:paraId="6B8356DE" w14:textId="77777777" w:rsidTr="007F7C4C">
        <w:trPr>
          <w:trHeight w:val="255"/>
        </w:trPr>
        <w:tc>
          <w:tcPr>
            <w:tcW w:w="1575" w:type="dxa"/>
            <w:tcBorders>
              <w:top w:val="nil"/>
              <w:left w:val="nil"/>
              <w:bottom w:val="single" w:sz="4" w:space="0" w:color="064EA8"/>
              <w:right w:val="nil"/>
            </w:tcBorders>
            <w:shd w:val="clear" w:color="auto" w:fill="auto"/>
            <w:noWrap/>
            <w:tcMar>
              <w:top w:w="28" w:type="dxa"/>
              <w:bottom w:w="28" w:type="dxa"/>
            </w:tcMar>
            <w:vAlign w:val="center"/>
            <w:hideMark/>
          </w:tcPr>
          <w:p w14:paraId="4A45E193"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K</w:t>
            </w:r>
            <w:r w:rsidR="00695CC7" w:rsidRPr="001F7554">
              <w:rPr>
                <w:rFonts w:cs="Arial"/>
                <w:sz w:val="16"/>
                <w:szCs w:val="16"/>
                <w:lang w:eastAsia="en-AU"/>
              </w:rPr>
              <w:t>entbruck</w:t>
            </w:r>
            <w:r w:rsidR="00357F25">
              <w:rPr>
                <w:rFonts w:cs="Arial"/>
                <w:sz w:val="16"/>
                <w:szCs w:val="16"/>
                <w:lang w:eastAsia="en-AU"/>
              </w:rPr>
              <w:t>-</w:t>
            </w:r>
            <w:r w:rsidRPr="001F7554">
              <w:rPr>
                <w:rFonts w:cs="Arial"/>
                <w:sz w:val="16"/>
                <w:szCs w:val="16"/>
                <w:lang w:eastAsia="en-AU"/>
              </w:rPr>
              <w:t>3</w:t>
            </w:r>
          </w:p>
        </w:tc>
        <w:tc>
          <w:tcPr>
            <w:tcW w:w="708" w:type="dxa"/>
            <w:tcBorders>
              <w:top w:val="nil"/>
              <w:left w:val="nil"/>
              <w:bottom w:val="single" w:sz="4" w:space="0" w:color="064EA8"/>
              <w:right w:val="nil"/>
            </w:tcBorders>
            <w:shd w:val="clear" w:color="auto" w:fill="auto"/>
            <w:noWrap/>
            <w:tcMar>
              <w:top w:w="28" w:type="dxa"/>
              <w:bottom w:w="28" w:type="dxa"/>
            </w:tcMar>
            <w:vAlign w:val="center"/>
            <w:hideMark/>
          </w:tcPr>
          <w:p w14:paraId="75EBA774"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1977</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6C841249"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Groundwater</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21BE722F"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1733</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22F2BB3" w14:textId="77777777" w:rsidR="00E14D94" w:rsidRPr="001F7554" w:rsidRDefault="00463D93" w:rsidP="00E14D94">
            <w:pPr>
              <w:spacing w:before="0" w:after="0" w:line="240" w:lineRule="auto"/>
              <w:rPr>
                <w:rFonts w:cs="Arial"/>
                <w:sz w:val="16"/>
                <w:szCs w:val="16"/>
                <w:lang w:eastAsia="en-AU"/>
              </w:rPr>
            </w:pPr>
            <w:r>
              <w:rPr>
                <w:rFonts w:cs="Arial"/>
                <w:sz w:val="16"/>
                <w:szCs w:val="16"/>
                <w:lang w:eastAsia="en-AU"/>
              </w:rPr>
              <w:t>Pember Mudstone</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06AC3577"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Department of Manufacturing and Industry Development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78BDBFE"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 </w:t>
            </w:r>
            <w:r w:rsidR="00463D93">
              <w:rPr>
                <w:rFonts w:cs="Arial"/>
                <w:sz w:val="16"/>
                <w:szCs w:val="16"/>
                <w:lang w:eastAsia="en-AU"/>
              </w:rPr>
              <w:t>NA</w:t>
            </w:r>
          </w:p>
        </w:tc>
      </w:tr>
      <w:tr w:rsidR="00E14D94" w:rsidRPr="001F7554" w14:paraId="188A3E6A" w14:textId="77777777" w:rsidTr="007F7C4C">
        <w:trPr>
          <w:trHeight w:val="255"/>
        </w:trPr>
        <w:tc>
          <w:tcPr>
            <w:tcW w:w="1575" w:type="dxa"/>
            <w:tcBorders>
              <w:top w:val="nil"/>
              <w:left w:val="nil"/>
              <w:bottom w:val="single" w:sz="4" w:space="0" w:color="064EA8"/>
              <w:right w:val="nil"/>
            </w:tcBorders>
            <w:shd w:val="clear" w:color="auto" w:fill="auto"/>
            <w:noWrap/>
            <w:tcMar>
              <w:top w:w="28" w:type="dxa"/>
              <w:bottom w:w="28" w:type="dxa"/>
            </w:tcMar>
            <w:vAlign w:val="center"/>
            <w:hideMark/>
          </w:tcPr>
          <w:p w14:paraId="28A87A50"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M</w:t>
            </w:r>
            <w:r w:rsidR="00695CC7" w:rsidRPr="001F7554">
              <w:rPr>
                <w:rFonts w:cs="Arial"/>
                <w:sz w:val="16"/>
                <w:szCs w:val="16"/>
                <w:lang w:eastAsia="en-AU"/>
              </w:rPr>
              <w:t>ouzie</w:t>
            </w:r>
            <w:r w:rsidR="00357F25">
              <w:rPr>
                <w:rFonts w:cs="Arial"/>
                <w:sz w:val="16"/>
                <w:szCs w:val="16"/>
                <w:lang w:eastAsia="en-AU"/>
              </w:rPr>
              <w:t>-</w:t>
            </w:r>
            <w:r w:rsidRPr="001F7554">
              <w:rPr>
                <w:rFonts w:cs="Arial"/>
                <w:sz w:val="16"/>
                <w:szCs w:val="16"/>
                <w:lang w:eastAsia="en-AU"/>
              </w:rPr>
              <w:t>1</w:t>
            </w:r>
          </w:p>
        </w:tc>
        <w:tc>
          <w:tcPr>
            <w:tcW w:w="708" w:type="dxa"/>
            <w:tcBorders>
              <w:top w:val="nil"/>
              <w:left w:val="nil"/>
              <w:bottom w:val="single" w:sz="4" w:space="0" w:color="064EA8"/>
              <w:right w:val="nil"/>
            </w:tcBorders>
            <w:shd w:val="clear" w:color="auto" w:fill="auto"/>
            <w:noWrap/>
            <w:tcMar>
              <w:top w:w="28" w:type="dxa"/>
              <w:bottom w:w="28" w:type="dxa"/>
            </w:tcMar>
            <w:vAlign w:val="center"/>
            <w:hideMark/>
          </w:tcPr>
          <w:p w14:paraId="626905AF"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1979</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720BF45F"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Groundwater</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4FAACCA2"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1948</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667940E2" w14:textId="77777777" w:rsidR="00E14D94" w:rsidRPr="001F7554" w:rsidRDefault="00463D93" w:rsidP="00E14D94">
            <w:pPr>
              <w:spacing w:before="0" w:after="0" w:line="240" w:lineRule="auto"/>
              <w:rPr>
                <w:rFonts w:cs="Arial"/>
                <w:sz w:val="16"/>
                <w:szCs w:val="16"/>
                <w:lang w:eastAsia="en-AU"/>
              </w:rPr>
            </w:pPr>
            <w:r>
              <w:rPr>
                <w:rFonts w:cs="Arial"/>
                <w:sz w:val="16"/>
                <w:szCs w:val="16"/>
                <w:lang w:eastAsia="en-AU"/>
              </w:rPr>
              <w:t>Pember Mudstone</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54BB1CBB"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Department of Manufacturing and Industry Development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94A0ABA"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 </w:t>
            </w:r>
            <w:r w:rsidR="00463D93">
              <w:rPr>
                <w:rFonts w:cs="Arial"/>
                <w:sz w:val="16"/>
                <w:szCs w:val="16"/>
                <w:lang w:eastAsia="en-AU"/>
              </w:rPr>
              <w:t>NA</w:t>
            </w:r>
          </w:p>
        </w:tc>
      </w:tr>
      <w:tr w:rsidR="00E14D94" w:rsidRPr="001F7554" w14:paraId="444075B3" w14:textId="77777777" w:rsidTr="007F7C4C">
        <w:trPr>
          <w:trHeight w:val="255"/>
        </w:trPr>
        <w:tc>
          <w:tcPr>
            <w:tcW w:w="1575" w:type="dxa"/>
            <w:tcBorders>
              <w:top w:val="nil"/>
              <w:left w:val="nil"/>
              <w:bottom w:val="single" w:sz="4" w:space="0" w:color="064EA8"/>
              <w:right w:val="nil"/>
            </w:tcBorders>
            <w:shd w:val="clear" w:color="auto" w:fill="auto"/>
            <w:noWrap/>
            <w:tcMar>
              <w:top w:w="28" w:type="dxa"/>
              <w:bottom w:w="28" w:type="dxa"/>
            </w:tcMar>
            <w:vAlign w:val="center"/>
            <w:hideMark/>
          </w:tcPr>
          <w:p w14:paraId="0A892EDE"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D</w:t>
            </w:r>
            <w:r w:rsidR="00695CC7" w:rsidRPr="001F7554">
              <w:rPr>
                <w:rFonts w:cs="Arial"/>
                <w:sz w:val="16"/>
                <w:szCs w:val="16"/>
                <w:lang w:eastAsia="en-AU"/>
              </w:rPr>
              <w:t>iscovery</w:t>
            </w:r>
            <w:r w:rsidR="00695CC7">
              <w:rPr>
                <w:rFonts w:cs="Arial"/>
                <w:sz w:val="16"/>
                <w:szCs w:val="16"/>
                <w:lang w:eastAsia="en-AU"/>
              </w:rPr>
              <w:t xml:space="preserve"> Bay</w:t>
            </w:r>
            <w:r w:rsidR="00357F25">
              <w:rPr>
                <w:rFonts w:cs="Arial"/>
                <w:sz w:val="16"/>
                <w:szCs w:val="16"/>
                <w:lang w:eastAsia="en-AU"/>
              </w:rPr>
              <w:t>-</w:t>
            </w:r>
            <w:r w:rsidRPr="001F7554">
              <w:rPr>
                <w:rFonts w:cs="Arial"/>
                <w:sz w:val="16"/>
                <w:szCs w:val="16"/>
                <w:lang w:eastAsia="en-AU"/>
              </w:rPr>
              <w:t>1</w:t>
            </w:r>
          </w:p>
        </w:tc>
        <w:tc>
          <w:tcPr>
            <w:tcW w:w="708" w:type="dxa"/>
            <w:tcBorders>
              <w:top w:val="nil"/>
              <w:left w:val="nil"/>
              <w:bottom w:val="single" w:sz="4" w:space="0" w:color="064EA8"/>
              <w:right w:val="nil"/>
            </w:tcBorders>
            <w:shd w:val="clear" w:color="auto" w:fill="auto"/>
            <w:noWrap/>
            <w:tcMar>
              <w:top w:w="28" w:type="dxa"/>
              <w:bottom w:w="28" w:type="dxa"/>
            </w:tcMar>
            <w:vAlign w:val="center"/>
            <w:hideMark/>
          </w:tcPr>
          <w:p w14:paraId="4BD7C3A1"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1982</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2F78CE2F"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488A9A9E"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2776</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085A8C6C" w14:textId="77777777" w:rsidR="00E14D94" w:rsidRPr="001F7554" w:rsidRDefault="00463D93" w:rsidP="00E14D94">
            <w:pPr>
              <w:spacing w:before="0" w:after="0" w:line="240" w:lineRule="auto"/>
              <w:rPr>
                <w:rFonts w:cs="Arial"/>
                <w:sz w:val="16"/>
                <w:szCs w:val="16"/>
                <w:lang w:eastAsia="en-AU"/>
              </w:rPr>
            </w:pPr>
            <w:r>
              <w:rPr>
                <w:rFonts w:cs="Arial"/>
                <w:sz w:val="16"/>
                <w:szCs w:val="16"/>
                <w:lang w:eastAsia="en-AU"/>
              </w:rPr>
              <w:t>Paaratte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14C9C9BA"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Phillips Australia Oil Company</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C4CAAC8"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Dry hole</w:t>
            </w:r>
          </w:p>
        </w:tc>
      </w:tr>
      <w:tr w:rsidR="00E14D94" w:rsidRPr="001F7554" w14:paraId="4CC1E733" w14:textId="77777777" w:rsidTr="007F7C4C">
        <w:trPr>
          <w:trHeight w:val="255"/>
        </w:trPr>
        <w:tc>
          <w:tcPr>
            <w:tcW w:w="1575" w:type="dxa"/>
            <w:tcBorders>
              <w:top w:val="nil"/>
              <w:left w:val="nil"/>
              <w:bottom w:val="single" w:sz="4" w:space="0" w:color="064EA8"/>
              <w:right w:val="nil"/>
            </w:tcBorders>
            <w:shd w:val="clear" w:color="auto" w:fill="auto"/>
            <w:noWrap/>
            <w:tcMar>
              <w:top w:w="28" w:type="dxa"/>
              <w:bottom w:w="28" w:type="dxa"/>
            </w:tcMar>
            <w:vAlign w:val="center"/>
            <w:hideMark/>
          </w:tcPr>
          <w:p w14:paraId="77F032F5"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N</w:t>
            </w:r>
            <w:r w:rsidR="00695CC7" w:rsidRPr="001F7554">
              <w:rPr>
                <w:rFonts w:cs="Arial"/>
                <w:sz w:val="16"/>
                <w:szCs w:val="16"/>
                <w:lang w:eastAsia="en-AU"/>
              </w:rPr>
              <w:t>ormanby</w:t>
            </w:r>
            <w:r w:rsidR="00357F25">
              <w:rPr>
                <w:rFonts w:cs="Arial"/>
                <w:sz w:val="16"/>
                <w:szCs w:val="16"/>
                <w:lang w:eastAsia="en-AU"/>
              </w:rPr>
              <w:t>-</w:t>
            </w:r>
            <w:r w:rsidRPr="001F7554">
              <w:rPr>
                <w:rFonts w:cs="Arial"/>
                <w:sz w:val="16"/>
                <w:szCs w:val="16"/>
                <w:lang w:eastAsia="en-AU"/>
              </w:rPr>
              <w:t>1</w:t>
            </w:r>
          </w:p>
        </w:tc>
        <w:tc>
          <w:tcPr>
            <w:tcW w:w="708" w:type="dxa"/>
            <w:tcBorders>
              <w:top w:val="nil"/>
              <w:left w:val="nil"/>
              <w:bottom w:val="single" w:sz="4" w:space="0" w:color="064EA8"/>
              <w:right w:val="nil"/>
            </w:tcBorders>
            <w:shd w:val="clear" w:color="auto" w:fill="auto"/>
            <w:noWrap/>
            <w:tcMar>
              <w:top w:w="28" w:type="dxa"/>
              <w:bottom w:w="28" w:type="dxa"/>
            </w:tcMar>
            <w:vAlign w:val="center"/>
            <w:hideMark/>
          </w:tcPr>
          <w:p w14:paraId="54DFE686"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1986</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2C9B96E5"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67F89E77"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3308</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47E41BD0"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Waarre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150BD993"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BP Petroleum Development Ltd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02A69C2C"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Weak gas show</w:t>
            </w:r>
          </w:p>
        </w:tc>
      </w:tr>
      <w:tr w:rsidR="00E14D94" w:rsidRPr="001F7554" w14:paraId="21FC9B14" w14:textId="77777777" w:rsidTr="007F7C4C">
        <w:trPr>
          <w:trHeight w:val="255"/>
        </w:trPr>
        <w:tc>
          <w:tcPr>
            <w:tcW w:w="1575" w:type="dxa"/>
            <w:tcBorders>
              <w:top w:val="nil"/>
              <w:left w:val="nil"/>
              <w:bottom w:val="single" w:sz="4" w:space="0" w:color="064EA8"/>
              <w:right w:val="nil"/>
            </w:tcBorders>
            <w:shd w:val="clear" w:color="auto" w:fill="auto"/>
            <w:noWrap/>
            <w:tcMar>
              <w:top w:w="28" w:type="dxa"/>
              <w:bottom w:w="28" w:type="dxa"/>
            </w:tcMar>
            <w:vAlign w:val="center"/>
            <w:hideMark/>
          </w:tcPr>
          <w:p w14:paraId="45CF779B"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F</w:t>
            </w:r>
            <w:r w:rsidR="00695CC7" w:rsidRPr="001F7554">
              <w:rPr>
                <w:rFonts w:cs="Arial"/>
                <w:sz w:val="16"/>
                <w:szCs w:val="16"/>
                <w:lang w:eastAsia="en-AU"/>
              </w:rPr>
              <w:t>ermat</w:t>
            </w:r>
            <w:r w:rsidR="00357F25">
              <w:rPr>
                <w:rFonts w:cs="Arial"/>
                <w:sz w:val="16"/>
                <w:szCs w:val="16"/>
                <w:lang w:eastAsia="en-AU"/>
              </w:rPr>
              <w:t>-</w:t>
            </w:r>
            <w:r w:rsidRPr="001F7554">
              <w:rPr>
                <w:rFonts w:cs="Arial"/>
                <w:sz w:val="16"/>
                <w:szCs w:val="16"/>
                <w:lang w:eastAsia="en-AU"/>
              </w:rPr>
              <w:t>1</w:t>
            </w:r>
          </w:p>
        </w:tc>
        <w:tc>
          <w:tcPr>
            <w:tcW w:w="708" w:type="dxa"/>
            <w:tcBorders>
              <w:top w:val="nil"/>
              <w:left w:val="nil"/>
              <w:bottom w:val="single" w:sz="4" w:space="0" w:color="064EA8"/>
              <w:right w:val="nil"/>
            </w:tcBorders>
            <w:shd w:val="clear" w:color="auto" w:fill="auto"/>
            <w:noWrap/>
            <w:tcMar>
              <w:top w:w="28" w:type="dxa"/>
              <w:bottom w:w="28" w:type="dxa"/>
            </w:tcMar>
            <w:vAlign w:val="center"/>
            <w:hideMark/>
          </w:tcPr>
          <w:p w14:paraId="432C4B40"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2009</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154FBD34"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2F1A3D66"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3586</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CB22CCD"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Waarre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7A6D7788"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Beach Petroleum Limited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548F8C0C" w14:textId="77777777" w:rsidR="00E14D94" w:rsidRPr="001F7554" w:rsidRDefault="00E14D94" w:rsidP="00E14D94">
            <w:pPr>
              <w:spacing w:before="0" w:after="0" w:line="240" w:lineRule="auto"/>
              <w:rPr>
                <w:rFonts w:cs="Arial"/>
                <w:sz w:val="16"/>
                <w:szCs w:val="16"/>
                <w:lang w:eastAsia="en-AU"/>
              </w:rPr>
            </w:pPr>
            <w:r w:rsidRPr="001F7554">
              <w:rPr>
                <w:rFonts w:cs="Arial"/>
                <w:sz w:val="16"/>
                <w:szCs w:val="16"/>
                <w:lang w:eastAsia="en-AU"/>
              </w:rPr>
              <w:t>Oil/Gas Shows</w:t>
            </w:r>
          </w:p>
        </w:tc>
      </w:tr>
    </w:tbl>
    <w:p w14:paraId="72D60543" w14:textId="77777777" w:rsidR="00C53769" w:rsidRDefault="00C53769" w:rsidP="00E14D94">
      <w:pPr>
        <w:spacing w:before="360"/>
        <w:rPr>
          <w:b/>
        </w:rPr>
      </w:pPr>
      <w:r w:rsidRPr="00C53769">
        <w:rPr>
          <w:b/>
        </w:rPr>
        <w:t>Release Area 18-</w:t>
      </w:r>
      <w:r>
        <w:rPr>
          <w:b/>
        </w:rPr>
        <w:t>2</w:t>
      </w:r>
      <w:r w:rsidRPr="00C53769">
        <w:rPr>
          <w:b/>
        </w:rPr>
        <w:t>(v)</w:t>
      </w:r>
    </w:p>
    <w:tbl>
      <w:tblPr>
        <w:tblW w:w="9087" w:type="dxa"/>
        <w:tblInd w:w="93" w:type="dxa"/>
        <w:tblLayout w:type="fixed"/>
        <w:tblLook w:val="04A0" w:firstRow="1" w:lastRow="0" w:firstColumn="1" w:lastColumn="0" w:noHBand="0" w:noVBand="1"/>
      </w:tblPr>
      <w:tblGrid>
        <w:gridCol w:w="1433"/>
        <w:gridCol w:w="850"/>
        <w:gridCol w:w="1276"/>
        <w:gridCol w:w="851"/>
        <w:gridCol w:w="1275"/>
        <w:gridCol w:w="2127"/>
        <w:gridCol w:w="1275"/>
      </w:tblGrid>
      <w:tr w:rsidR="006A31BB" w:rsidRPr="004A0DF4" w14:paraId="494B1D92" w14:textId="77777777" w:rsidTr="007F7C4C">
        <w:trPr>
          <w:trHeight w:val="510"/>
        </w:trPr>
        <w:tc>
          <w:tcPr>
            <w:tcW w:w="1433" w:type="dxa"/>
            <w:tcBorders>
              <w:top w:val="nil"/>
              <w:left w:val="nil"/>
              <w:bottom w:val="nil"/>
              <w:right w:val="nil"/>
            </w:tcBorders>
            <w:shd w:val="clear" w:color="000000" w:fill="064EA8"/>
            <w:tcMar>
              <w:top w:w="28" w:type="dxa"/>
              <w:bottom w:w="28" w:type="dxa"/>
            </w:tcMar>
            <w:vAlign w:val="center"/>
            <w:hideMark/>
          </w:tcPr>
          <w:p w14:paraId="1794C19F"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Well</w:t>
            </w:r>
            <w:r w:rsidR="004A0DF4">
              <w:rPr>
                <w:rFonts w:cs="Arial"/>
                <w:b/>
                <w:color w:val="FFFFFF"/>
                <w:sz w:val="16"/>
                <w:szCs w:val="16"/>
                <w:lang w:eastAsia="en-AU"/>
              </w:rPr>
              <w:t>/B</w:t>
            </w:r>
            <w:r w:rsidRPr="004A0DF4">
              <w:rPr>
                <w:rFonts w:cs="Arial"/>
                <w:b/>
                <w:color w:val="FFFFFF"/>
                <w:sz w:val="16"/>
                <w:szCs w:val="16"/>
                <w:lang w:eastAsia="en-AU"/>
              </w:rPr>
              <w:t>orehole name</w:t>
            </w:r>
          </w:p>
        </w:tc>
        <w:tc>
          <w:tcPr>
            <w:tcW w:w="850" w:type="dxa"/>
            <w:tcBorders>
              <w:top w:val="nil"/>
              <w:left w:val="nil"/>
              <w:bottom w:val="nil"/>
              <w:right w:val="nil"/>
            </w:tcBorders>
            <w:shd w:val="clear" w:color="000000" w:fill="064EA8"/>
            <w:tcMar>
              <w:top w:w="28" w:type="dxa"/>
              <w:bottom w:w="28" w:type="dxa"/>
            </w:tcMar>
            <w:vAlign w:val="center"/>
            <w:hideMark/>
          </w:tcPr>
          <w:p w14:paraId="40D4A1FD"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Year</w:t>
            </w:r>
          </w:p>
        </w:tc>
        <w:tc>
          <w:tcPr>
            <w:tcW w:w="1276" w:type="dxa"/>
            <w:tcBorders>
              <w:top w:val="nil"/>
              <w:left w:val="nil"/>
              <w:bottom w:val="nil"/>
              <w:right w:val="nil"/>
            </w:tcBorders>
            <w:shd w:val="clear" w:color="000000" w:fill="064EA8"/>
            <w:tcMar>
              <w:top w:w="28" w:type="dxa"/>
              <w:bottom w:w="28" w:type="dxa"/>
            </w:tcMar>
            <w:vAlign w:val="center"/>
            <w:hideMark/>
          </w:tcPr>
          <w:p w14:paraId="38574DB6"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Purpose</w:t>
            </w:r>
          </w:p>
        </w:tc>
        <w:tc>
          <w:tcPr>
            <w:tcW w:w="851" w:type="dxa"/>
            <w:tcBorders>
              <w:top w:val="nil"/>
              <w:left w:val="nil"/>
              <w:bottom w:val="nil"/>
              <w:right w:val="nil"/>
            </w:tcBorders>
            <w:shd w:val="clear" w:color="000000" w:fill="064EA8"/>
            <w:tcMar>
              <w:top w:w="28" w:type="dxa"/>
              <w:bottom w:w="28" w:type="dxa"/>
            </w:tcMar>
            <w:vAlign w:val="center"/>
            <w:hideMark/>
          </w:tcPr>
          <w:p w14:paraId="084D210D"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Total Depth (m)</w:t>
            </w:r>
          </w:p>
        </w:tc>
        <w:tc>
          <w:tcPr>
            <w:tcW w:w="1275" w:type="dxa"/>
            <w:tcBorders>
              <w:top w:val="nil"/>
              <w:left w:val="nil"/>
              <w:bottom w:val="nil"/>
              <w:right w:val="nil"/>
            </w:tcBorders>
            <w:shd w:val="clear" w:color="000000" w:fill="064EA8"/>
            <w:tcMar>
              <w:top w:w="28" w:type="dxa"/>
              <w:bottom w:w="28" w:type="dxa"/>
            </w:tcMar>
            <w:vAlign w:val="center"/>
            <w:hideMark/>
          </w:tcPr>
          <w:p w14:paraId="11F9B2B6"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Formation at TD</w:t>
            </w:r>
          </w:p>
        </w:tc>
        <w:tc>
          <w:tcPr>
            <w:tcW w:w="2127" w:type="dxa"/>
            <w:tcBorders>
              <w:top w:val="nil"/>
              <w:left w:val="nil"/>
              <w:bottom w:val="nil"/>
              <w:right w:val="nil"/>
            </w:tcBorders>
            <w:shd w:val="clear" w:color="000000" w:fill="064EA8"/>
            <w:tcMar>
              <w:top w:w="28" w:type="dxa"/>
              <w:bottom w:w="28" w:type="dxa"/>
            </w:tcMar>
            <w:vAlign w:val="center"/>
            <w:hideMark/>
          </w:tcPr>
          <w:p w14:paraId="3349B26E"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Company</w:t>
            </w:r>
          </w:p>
        </w:tc>
        <w:tc>
          <w:tcPr>
            <w:tcW w:w="1275" w:type="dxa"/>
            <w:tcBorders>
              <w:top w:val="nil"/>
              <w:left w:val="nil"/>
              <w:bottom w:val="nil"/>
              <w:right w:val="nil"/>
            </w:tcBorders>
            <w:shd w:val="clear" w:color="000000" w:fill="064EA8"/>
            <w:tcMar>
              <w:top w:w="28" w:type="dxa"/>
              <w:bottom w:w="28" w:type="dxa"/>
            </w:tcMar>
            <w:vAlign w:val="center"/>
            <w:hideMark/>
          </w:tcPr>
          <w:p w14:paraId="2D4EF649" w14:textId="77777777" w:rsidR="006A31BB" w:rsidRPr="004A0DF4" w:rsidRDefault="00695CC7"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Shows observed</w:t>
            </w:r>
          </w:p>
        </w:tc>
      </w:tr>
      <w:tr w:rsidR="003557FD" w:rsidRPr="001F7554" w14:paraId="681A6357" w14:textId="77777777" w:rsidTr="003557FD">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tcPr>
          <w:p w14:paraId="61BA35B7" w14:textId="77777777" w:rsidR="003557FD" w:rsidRPr="003557FD" w:rsidRDefault="003557FD" w:rsidP="003557FD">
            <w:pPr>
              <w:spacing w:after="0" w:line="240" w:lineRule="auto"/>
              <w:rPr>
                <w:rFonts w:cs="Arial"/>
                <w:sz w:val="16"/>
                <w:szCs w:val="16"/>
                <w:lang w:eastAsia="en-AU"/>
              </w:rPr>
            </w:pPr>
            <w:r w:rsidRPr="003557FD">
              <w:rPr>
                <w:rFonts w:cs="Arial"/>
                <w:sz w:val="16"/>
                <w:szCs w:val="16"/>
                <w:lang w:eastAsia="en-AU"/>
              </w:rPr>
              <w:t>Mirams</w:t>
            </w:r>
            <w:r>
              <w:rPr>
                <w:rFonts w:cs="Arial"/>
                <w:sz w:val="16"/>
                <w:szCs w:val="16"/>
                <w:lang w:eastAsia="en-AU"/>
              </w:rPr>
              <w:t>-</w:t>
            </w:r>
            <w:r w:rsidRPr="003557FD">
              <w:rPr>
                <w:rFonts w:cs="Arial"/>
                <w:sz w:val="16"/>
                <w:szCs w:val="16"/>
                <w:lang w:eastAsia="en-AU"/>
              </w:rPr>
              <w:t>1</w:t>
            </w:r>
          </w:p>
        </w:tc>
        <w:tc>
          <w:tcPr>
            <w:tcW w:w="850" w:type="dxa"/>
            <w:tcBorders>
              <w:top w:val="nil"/>
              <w:left w:val="nil"/>
              <w:bottom w:val="single" w:sz="4" w:space="0" w:color="064EA8"/>
              <w:right w:val="nil"/>
            </w:tcBorders>
            <w:shd w:val="clear" w:color="auto" w:fill="auto"/>
            <w:noWrap/>
            <w:tcMar>
              <w:top w:w="28" w:type="dxa"/>
              <w:bottom w:w="28" w:type="dxa"/>
            </w:tcMar>
            <w:vAlign w:val="center"/>
          </w:tcPr>
          <w:p w14:paraId="3FAB98DA" w14:textId="77777777" w:rsidR="003557FD" w:rsidRPr="003557FD" w:rsidRDefault="003557FD" w:rsidP="003557FD">
            <w:pPr>
              <w:spacing w:after="0" w:line="240" w:lineRule="auto"/>
              <w:rPr>
                <w:rFonts w:cs="Arial"/>
                <w:sz w:val="16"/>
                <w:szCs w:val="16"/>
                <w:lang w:eastAsia="en-AU"/>
              </w:rPr>
            </w:pPr>
            <w:r w:rsidRPr="003557FD">
              <w:rPr>
                <w:rFonts w:cs="Arial"/>
                <w:sz w:val="16"/>
                <w:szCs w:val="16"/>
                <w:lang w:eastAsia="en-AU"/>
              </w:rPr>
              <w:t>1942</w:t>
            </w:r>
          </w:p>
        </w:tc>
        <w:tc>
          <w:tcPr>
            <w:tcW w:w="1276" w:type="dxa"/>
            <w:tcBorders>
              <w:top w:val="nil"/>
              <w:left w:val="nil"/>
              <w:bottom w:val="single" w:sz="4" w:space="0" w:color="064EA8"/>
              <w:right w:val="nil"/>
            </w:tcBorders>
            <w:shd w:val="clear" w:color="auto" w:fill="auto"/>
            <w:noWrap/>
            <w:tcMar>
              <w:top w:w="28" w:type="dxa"/>
              <w:bottom w:w="28" w:type="dxa"/>
            </w:tcMar>
            <w:vAlign w:val="center"/>
          </w:tcPr>
          <w:p w14:paraId="3513C833" w14:textId="77777777" w:rsidR="003557FD" w:rsidRPr="003557FD" w:rsidRDefault="003557FD" w:rsidP="003557FD">
            <w:pPr>
              <w:spacing w:after="0" w:line="240" w:lineRule="auto"/>
              <w:rPr>
                <w:rFonts w:cs="Arial"/>
                <w:sz w:val="16"/>
                <w:szCs w:val="16"/>
                <w:lang w:eastAsia="en-AU"/>
              </w:rPr>
            </w:pPr>
            <w:r w:rsidRPr="003557FD">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tcPr>
          <w:p w14:paraId="52F420AC" w14:textId="77777777" w:rsidR="003557FD" w:rsidRPr="003557FD" w:rsidRDefault="003557FD" w:rsidP="003557FD">
            <w:pPr>
              <w:spacing w:after="0" w:line="240" w:lineRule="auto"/>
              <w:rPr>
                <w:rFonts w:cs="Arial"/>
                <w:sz w:val="16"/>
                <w:szCs w:val="16"/>
                <w:lang w:eastAsia="en-AU"/>
              </w:rPr>
            </w:pPr>
            <w:r w:rsidRPr="003557FD">
              <w:rPr>
                <w:rFonts w:cs="Arial"/>
                <w:sz w:val="16"/>
                <w:szCs w:val="16"/>
                <w:lang w:eastAsia="en-AU"/>
              </w:rPr>
              <w:t>383</w:t>
            </w:r>
          </w:p>
        </w:tc>
        <w:tc>
          <w:tcPr>
            <w:tcW w:w="1275" w:type="dxa"/>
            <w:tcBorders>
              <w:top w:val="nil"/>
              <w:left w:val="nil"/>
              <w:bottom w:val="single" w:sz="4" w:space="0" w:color="064EA8"/>
              <w:right w:val="nil"/>
            </w:tcBorders>
            <w:shd w:val="clear" w:color="auto" w:fill="auto"/>
            <w:noWrap/>
            <w:tcMar>
              <w:top w:w="28" w:type="dxa"/>
              <w:bottom w:w="28" w:type="dxa"/>
            </w:tcMar>
            <w:vAlign w:val="center"/>
          </w:tcPr>
          <w:p w14:paraId="7A963FA5" w14:textId="77777777" w:rsidR="003557FD" w:rsidRPr="003557FD" w:rsidRDefault="003557FD" w:rsidP="003557FD">
            <w:pPr>
              <w:spacing w:after="0" w:line="240" w:lineRule="auto"/>
              <w:rPr>
                <w:rFonts w:cs="Arial"/>
                <w:sz w:val="16"/>
                <w:szCs w:val="16"/>
                <w:lang w:eastAsia="en-AU"/>
              </w:rPr>
            </w:pPr>
            <w:r>
              <w:rPr>
                <w:rFonts w:cs="Arial"/>
                <w:sz w:val="16"/>
                <w:szCs w:val="16"/>
                <w:lang w:eastAsia="en-AU"/>
              </w:rPr>
              <w:t>Marl and limestone</w:t>
            </w:r>
          </w:p>
        </w:tc>
        <w:tc>
          <w:tcPr>
            <w:tcW w:w="2127" w:type="dxa"/>
            <w:tcBorders>
              <w:top w:val="nil"/>
              <w:left w:val="nil"/>
              <w:bottom w:val="single" w:sz="4" w:space="0" w:color="064EA8"/>
              <w:right w:val="nil"/>
            </w:tcBorders>
            <w:shd w:val="clear" w:color="auto" w:fill="auto"/>
            <w:noWrap/>
            <w:tcMar>
              <w:top w:w="28" w:type="dxa"/>
              <w:bottom w:w="28" w:type="dxa"/>
            </w:tcMar>
            <w:vAlign w:val="center"/>
          </w:tcPr>
          <w:p w14:paraId="7114A2FC" w14:textId="77777777" w:rsidR="003557FD" w:rsidRPr="003557FD" w:rsidRDefault="003557FD" w:rsidP="003557FD">
            <w:pPr>
              <w:spacing w:after="0" w:line="240" w:lineRule="auto"/>
              <w:rPr>
                <w:rFonts w:cs="Arial"/>
                <w:sz w:val="16"/>
                <w:szCs w:val="16"/>
                <w:lang w:eastAsia="en-AU"/>
              </w:rPr>
            </w:pPr>
            <w:r w:rsidRPr="003557FD">
              <w:rPr>
                <w:rFonts w:cs="Arial"/>
                <w:sz w:val="16"/>
                <w:szCs w:val="16"/>
                <w:lang w:eastAsia="en-AU"/>
              </w:rPr>
              <w:t>H.N.H.Mirams</w:t>
            </w:r>
          </w:p>
        </w:tc>
        <w:tc>
          <w:tcPr>
            <w:tcW w:w="1275" w:type="dxa"/>
            <w:tcBorders>
              <w:top w:val="nil"/>
              <w:left w:val="nil"/>
              <w:bottom w:val="single" w:sz="4" w:space="0" w:color="064EA8"/>
              <w:right w:val="nil"/>
            </w:tcBorders>
            <w:shd w:val="clear" w:color="auto" w:fill="auto"/>
            <w:noWrap/>
            <w:tcMar>
              <w:top w:w="28" w:type="dxa"/>
              <w:bottom w:w="28" w:type="dxa"/>
            </w:tcMar>
            <w:vAlign w:val="center"/>
          </w:tcPr>
          <w:p w14:paraId="3FBD9C1A" w14:textId="77777777" w:rsidR="003557FD" w:rsidRPr="003557FD" w:rsidRDefault="003557FD" w:rsidP="003557FD">
            <w:pPr>
              <w:spacing w:after="0" w:line="240" w:lineRule="auto"/>
              <w:rPr>
                <w:rFonts w:cs="Arial"/>
                <w:sz w:val="16"/>
                <w:szCs w:val="16"/>
                <w:lang w:eastAsia="en-AU"/>
              </w:rPr>
            </w:pPr>
            <w:r w:rsidRPr="003557FD">
              <w:rPr>
                <w:rFonts w:cs="Arial"/>
                <w:sz w:val="16"/>
                <w:szCs w:val="16"/>
                <w:lang w:eastAsia="en-AU"/>
              </w:rPr>
              <w:t>Weak Gas Show</w:t>
            </w:r>
          </w:p>
        </w:tc>
      </w:tr>
      <w:tr w:rsidR="003557FD" w:rsidRPr="001F7554" w14:paraId="4163FEF8" w14:textId="77777777" w:rsidTr="007F7C4C">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5761EEE6"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Portland North</w:t>
            </w:r>
            <w:r>
              <w:rPr>
                <w:rFonts w:cs="Arial"/>
                <w:sz w:val="16"/>
                <w:szCs w:val="16"/>
                <w:lang w:eastAsia="en-AU"/>
              </w:rPr>
              <w:t>-</w:t>
            </w:r>
            <w:r w:rsidRPr="001F7554">
              <w:rPr>
                <w:rFonts w:cs="Arial"/>
                <w:sz w:val="16"/>
                <w:szCs w:val="16"/>
                <w:lang w:eastAsia="en-AU"/>
              </w:rPr>
              <w:t>1</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6316D5C7"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1942</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7E142687"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6617172E"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864</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EE12F95" w14:textId="77777777" w:rsidR="003557FD" w:rsidRPr="001F7554" w:rsidRDefault="003557FD" w:rsidP="006A31BB">
            <w:pPr>
              <w:spacing w:before="0" w:after="0" w:line="240" w:lineRule="auto"/>
              <w:rPr>
                <w:rFonts w:cs="Arial"/>
                <w:sz w:val="16"/>
                <w:szCs w:val="16"/>
                <w:lang w:eastAsia="en-AU"/>
              </w:rPr>
            </w:pPr>
            <w:r>
              <w:rPr>
                <w:rFonts w:cs="Arial"/>
                <w:sz w:val="16"/>
                <w:szCs w:val="16"/>
                <w:lang w:eastAsia="en-AU"/>
              </w:rPr>
              <w:t>Narrawaturk Marl</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3FEB21DF"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Producing Oilfields Ltd.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3A7F5170"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Dry Hole</w:t>
            </w:r>
          </w:p>
        </w:tc>
      </w:tr>
      <w:tr w:rsidR="003557FD" w:rsidRPr="001F7554" w14:paraId="31CF0F02" w14:textId="77777777" w:rsidTr="007F7C4C">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34393C4C"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Voluta</w:t>
            </w:r>
            <w:r>
              <w:rPr>
                <w:rFonts w:cs="Arial"/>
                <w:sz w:val="16"/>
                <w:szCs w:val="16"/>
                <w:lang w:eastAsia="en-AU"/>
              </w:rPr>
              <w:t>-</w:t>
            </w:r>
            <w:r w:rsidRPr="001F7554">
              <w:rPr>
                <w:rFonts w:cs="Arial"/>
                <w:sz w:val="16"/>
                <w:szCs w:val="16"/>
                <w:lang w:eastAsia="en-AU"/>
              </w:rPr>
              <w:t>1</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12CAFF09"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1967</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10A6C46E"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68CA605D"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3974</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36DFB6AA" w14:textId="77777777" w:rsidR="003557FD" w:rsidRPr="001F7554" w:rsidRDefault="00DB283A" w:rsidP="006A31BB">
            <w:pPr>
              <w:spacing w:before="0" w:after="0" w:line="240" w:lineRule="auto"/>
              <w:rPr>
                <w:rFonts w:cs="Arial"/>
                <w:sz w:val="16"/>
                <w:szCs w:val="16"/>
                <w:lang w:eastAsia="en-AU"/>
              </w:rPr>
            </w:pPr>
            <w:r>
              <w:rPr>
                <w:rFonts w:cs="Arial"/>
                <w:sz w:val="16"/>
                <w:szCs w:val="16"/>
                <w:lang w:eastAsia="en-AU"/>
              </w:rPr>
              <w:t>Waarre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3F6F5A4B"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Shell Development (Australia) Proprietary Limited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DE7D47A"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Strong Gas Show</w:t>
            </w:r>
          </w:p>
        </w:tc>
      </w:tr>
      <w:tr w:rsidR="003557FD" w:rsidRPr="001F7554" w14:paraId="5CA3FCAE" w14:textId="77777777" w:rsidTr="007F7C4C">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6F7F8C87"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Narrawong</w:t>
            </w:r>
            <w:r>
              <w:rPr>
                <w:rFonts w:cs="Arial"/>
                <w:sz w:val="16"/>
                <w:szCs w:val="16"/>
                <w:lang w:eastAsia="en-AU"/>
              </w:rPr>
              <w:t>-</w:t>
            </w:r>
            <w:r w:rsidRPr="001F7554">
              <w:rPr>
                <w:rFonts w:cs="Arial"/>
                <w:sz w:val="16"/>
                <w:szCs w:val="16"/>
                <w:lang w:eastAsia="en-AU"/>
              </w:rPr>
              <w:t>13</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0B3EF7DB"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1968</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09B733C0"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Groundwater</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54490026"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1713</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0F97A2E0"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Pember Mudstone</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47502286"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Department of Manufacturing and Industry Development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68493C87"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 </w:t>
            </w:r>
            <w:r>
              <w:rPr>
                <w:rFonts w:cs="Arial"/>
                <w:sz w:val="16"/>
                <w:szCs w:val="16"/>
                <w:lang w:eastAsia="en-AU"/>
              </w:rPr>
              <w:t>NA</w:t>
            </w:r>
          </w:p>
        </w:tc>
      </w:tr>
      <w:tr w:rsidR="003557FD" w:rsidRPr="001F7554" w14:paraId="520CE98D" w14:textId="77777777" w:rsidTr="007F7C4C">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1A217FCC"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Narrawong</w:t>
            </w:r>
            <w:r>
              <w:rPr>
                <w:rFonts w:cs="Arial"/>
                <w:sz w:val="16"/>
                <w:szCs w:val="16"/>
                <w:lang w:eastAsia="en-AU"/>
              </w:rPr>
              <w:t>-</w:t>
            </w:r>
            <w:r w:rsidRPr="001F7554">
              <w:rPr>
                <w:rFonts w:cs="Arial"/>
                <w:sz w:val="16"/>
                <w:szCs w:val="16"/>
                <w:lang w:eastAsia="en-AU"/>
              </w:rPr>
              <w:t>15</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12306DC2"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1972</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66EF6B3D"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Groundwater</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09F1F31B"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1905</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2081486"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Pa</w:t>
            </w:r>
            <w:r>
              <w:rPr>
                <w:rFonts w:cs="Arial"/>
                <w:sz w:val="16"/>
                <w:szCs w:val="16"/>
                <w:lang w:eastAsia="en-AU"/>
              </w:rPr>
              <w:t>aratte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2B08179F"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Department of Manufacturing and Industry Development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707EF86A"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 </w:t>
            </w:r>
            <w:r>
              <w:rPr>
                <w:rFonts w:cs="Arial"/>
                <w:sz w:val="16"/>
                <w:szCs w:val="16"/>
                <w:lang w:eastAsia="en-AU"/>
              </w:rPr>
              <w:t>NA</w:t>
            </w:r>
          </w:p>
        </w:tc>
      </w:tr>
      <w:tr w:rsidR="003557FD" w:rsidRPr="001F7554" w14:paraId="7A09CB1A" w14:textId="77777777" w:rsidTr="007F7C4C">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5468A78E"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Tarragal</w:t>
            </w:r>
            <w:r>
              <w:rPr>
                <w:rFonts w:cs="Arial"/>
                <w:sz w:val="16"/>
                <w:szCs w:val="16"/>
                <w:lang w:eastAsia="en-AU"/>
              </w:rPr>
              <w:t>-</w:t>
            </w:r>
            <w:r w:rsidRPr="001F7554">
              <w:rPr>
                <w:rFonts w:cs="Arial"/>
                <w:sz w:val="16"/>
                <w:szCs w:val="16"/>
                <w:lang w:eastAsia="en-AU"/>
              </w:rPr>
              <w:t>3</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4DF0CA8D"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1975</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29976681"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Groundwater</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30443031"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1729</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42F98CA9" w14:textId="77777777" w:rsidR="003557FD" w:rsidRPr="001F7554" w:rsidRDefault="003557FD" w:rsidP="006A31BB">
            <w:pPr>
              <w:spacing w:before="0" w:after="0" w:line="240" w:lineRule="auto"/>
              <w:rPr>
                <w:rFonts w:cs="Arial"/>
                <w:sz w:val="16"/>
                <w:szCs w:val="16"/>
                <w:lang w:eastAsia="en-AU"/>
              </w:rPr>
            </w:pPr>
            <w:r>
              <w:rPr>
                <w:rFonts w:cs="Arial"/>
                <w:sz w:val="16"/>
                <w:szCs w:val="16"/>
                <w:lang w:eastAsia="en-AU"/>
              </w:rPr>
              <w:t>Pember Mudstone</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7A960675"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Department of Manufacturing and Industry Development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6882B940"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 </w:t>
            </w:r>
            <w:r>
              <w:rPr>
                <w:rFonts w:cs="Arial"/>
                <w:sz w:val="16"/>
                <w:szCs w:val="16"/>
                <w:lang w:eastAsia="en-AU"/>
              </w:rPr>
              <w:t>NA</w:t>
            </w:r>
          </w:p>
        </w:tc>
      </w:tr>
      <w:tr w:rsidR="003557FD" w:rsidRPr="001F7554" w14:paraId="69C3BFC1" w14:textId="77777777" w:rsidTr="007F7C4C">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64C19223" w14:textId="77777777" w:rsidR="003557FD" w:rsidRPr="001F7554" w:rsidRDefault="003557FD" w:rsidP="00357F25">
            <w:pPr>
              <w:spacing w:before="0" w:after="0" w:line="240" w:lineRule="auto"/>
              <w:rPr>
                <w:rFonts w:cs="Arial"/>
                <w:sz w:val="16"/>
                <w:szCs w:val="16"/>
                <w:lang w:eastAsia="en-AU"/>
              </w:rPr>
            </w:pPr>
            <w:r w:rsidRPr="001F7554">
              <w:rPr>
                <w:rFonts w:cs="Arial"/>
                <w:sz w:val="16"/>
                <w:szCs w:val="16"/>
                <w:lang w:eastAsia="en-AU"/>
              </w:rPr>
              <w:t>Bridgewater B</w:t>
            </w:r>
            <w:r>
              <w:rPr>
                <w:rFonts w:cs="Arial"/>
                <w:sz w:val="16"/>
                <w:szCs w:val="16"/>
                <w:lang w:eastAsia="en-AU"/>
              </w:rPr>
              <w:t>ay-</w:t>
            </w:r>
            <w:r w:rsidRPr="001F7554">
              <w:rPr>
                <w:rFonts w:cs="Arial"/>
                <w:sz w:val="16"/>
                <w:szCs w:val="16"/>
                <w:lang w:eastAsia="en-AU"/>
              </w:rPr>
              <w:t>1</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711045EB"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1983</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18573638"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64C7C0E8"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4200</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5E4077D2"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Waarre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6A419093"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Phillips Australia Oil Company</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705436B5"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Dry Hole</w:t>
            </w:r>
          </w:p>
        </w:tc>
      </w:tr>
      <w:tr w:rsidR="003557FD" w:rsidRPr="001F7554" w14:paraId="635E2B93" w14:textId="77777777" w:rsidTr="007F7C4C">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15A02EA6"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Callister</w:t>
            </w:r>
            <w:r>
              <w:rPr>
                <w:rFonts w:cs="Arial"/>
                <w:sz w:val="16"/>
                <w:szCs w:val="16"/>
                <w:lang w:eastAsia="en-AU"/>
              </w:rPr>
              <w:t>-</w:t>
            </w:r>
            <w:r w:rsidRPr="001F7554">
              <w:rPr>
                <w:rFonts w:cs="Arial"/>
                <w:sz w:val="16"/>
                <w:szCs w:val="16"/>
                <w:lang w:eastAsia="en-AU"/>
              </w:rPr>
              <w:t>1</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3D2A607C"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2004</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1DC44825"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0E1077C8"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3915</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8CFD9F2"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Eumeralla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48E8EBC9"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Santos Ltd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AAA53D0" w14:textId="77777777" w:rsidR="003557FD" w:rsidRPr="001F7554" w:rsidRDefault="003557FD" w:rsidP="006A31BB">
            <w:pPr>
              <w:spacing w:before="0" w:after="0" w:line="240" w:lineRule="auto"/>
              <w:rPr>
                <w:rFonts w:cs="Arial"/>
                <w:sz w:val="16"/>
                <w:szCs w:val="16"/>
                <w:lang w:eastAsia="en-AU"/>
              </w:rPr>
            </w:pPr>
            <w:r w:rsidRPr="001F7554">
              <w:rPr>
                <w:rFonts w:cs="Arial"/>
                <w:sz w:val="16"/>
                <w:szCs w:val="16"/>
                <w:lang w:eastAsia="en-AU"/>
              </w:rPr>
              <w:t>Weak Gas Show</w:t>
            </w:r>
          </w:p>
        </w:tc>
      </w:tr>
    </w:tbl>
    <w:p w14:paraId="2EBA9E84" w14:textId="77777777" w:rsidR="00F33036" w:rsidRDefault="00F33036" w:rsidP="004438A5">
      <w:pPr>
        <w:spacing w:before="360"/>
        <w:rPr>
          <w:b/>
        </w:rPr>
      </w:pPr>
      <w:r>
        <w:rPr>
          <w:b/>
        </w:rPr>
        <w:br w:type="page"/>
      </w:r>
    </w:p>
    <w:p w14:paraId="485FE7F3" w14:textId="77777777" w:rsidR="00C53769" w:rsidRPr="00C53769" w:rsidRDefault="00C53769" w:rsidP="004438A5">
      <w:pPr>
        <w:spacing w:before="360"/>
        <w:rPr>
          <w:b/>
        </w:rPr>
      </w:pPr>
      <w:r w:rsidRPr="00C53769">
        <w:rPr>
          <w:b/>
        </w:rPr>
        <w:lastRenderedPageBreak/>
        <w:t>Release Area 18-</w:t>
      </w:r>
      <w:r>
        <w:rPr>
          <w:b/>
        </w:rPr>
        <w:t>3</w:t>
      </w:r>
      <w:r w:rsidRPr="00C53769">
        <w:rPr>
          <w:b/>
        </w:rPr>
        <w:t>(v)</w:t>
      </w:r>
    </w:p>
    <w:tbl>
      <w:tblPr>
        <w:tblW w:w="9120" w:type="dxa"/>
        <w:tblInd w:w="93" w:type="dxa"/>
        <w:tblLook w:val="04A0" w:firstRow="1" w:lastRow="0" w:firstColumn="1" w:lastColumn="0" w:noHBand="0" w:noVBand="1"/>
      </w:tblPr>
      <w:tblGrid>
        <w:gridCol w:w="1466"/>
        <w:gridCol w:w="817"/>
        <w:gridCol w:w="1418"/>
        <w:gridCol w:w="709"/>
        <w:gridCol w:w="1275"/>
        <w:gridCol w:w="2127"/>
        <w:gridCol w:w="1308"/>
      </w:tblGrid>
      <w:tr w:rsidR="006A31BB" w:rsidRPr="004A0DF4" w14:paraId="515C7304" w14:textId="77777777" w:rsidTr="007F7C4C">
        <w:trPr>
          <w:trHeight w:val="510"/>
        </w:trPr>
        <w:tc>
          <w:tcPr>
            <w:tcW w:w="1466" w:type="dxa"/>
            <w:tcBorders>
              <w:top w:val="nil"/>
              <w:left w:val="nil"/>
              <w:bottom w:val="nil"/>
              <w:right w:val="nil"/>
            </w:tcBorders>
            <w:shd w:val="clear" w:color="000000" w:fill="064EA8"/>
            <w:tcMar>
              <w:top w:w="28" w:type="dxa"/>
              <w:bottom w:w="28" w:type="dxa"/>
            </w:tcMar>
            <w:vAlign w:val="center"/>
            <w:hideMark/>
          </w:tcPr>
          <w:p w14:paraId="22521F62" w14:textId="77777777" w:rsidR="006A31BB" w:rsidRPr="004A0DF4" w:rsidRDefault="004A0DF4" w:rsidP="006A31BB">
            <w:pPr>
              <w:spacing w:before="0" w:after="0" w:line="240" w:lineRule="auto"/>
              <w:rPr>
                <w:rFonts w:cs="Arial"/>
                <w:b/>
                <w:color w:val="FFFFFF"/>
                <w:sz w:val="16"/>
                <w:szCs w:val="16"/>
                <w:lang w:eastAsia="en-AU"/>
              </w:rPr>
            </w:pPr>
            <w:r>
              <w:rPr>
                <w:rFonts w:cs="Arial"/>
                <w:b/>
                <w:color w:val="FFFFFF"/>
                <w:sz w:val="16"/>
                <w:szCs w:val="16"/>
                <w:lang w:eastAsia="en-AU"/>
              </w:rPr>
              <w:t>Well/B</w:t>
            </w:r>
            <w:r w:rsidR="006A31BB" w:rsidRPr="004A0DF4">
              <w:rPr>
                <w:rFonts w:cs="Arial"/>
                <w:b/>
                <w:color w:val="FFFFFF"/>
                <w:sz w:val="16"/>
                <w:szCs w:val="16"/>
                <w:lang w:eastAsia="en-AU"/>
              </w:rPr>
              <w:t>orehole name</w:t>
            </w:r>
          </w:p>
        </w:tc>
        <w:tc>
          <w:tcPr>
            <w:tcW w:w="817" w:type="dxa"/>
            <w:tcBorders>
              <w:top w:val="nil"/>
              <w:left w:val="nil"/>
              <w:bottom w:val="nil"/>
              <w:right w:val="nil"/>
            </w:tcBorders>
            <w:shd w:val="clear" w:color="000000" w:fill="064EA8"/>
            <w:tcMar>
              <w:top w:w="28" w:type="dxa"/>
              <w:bottom w:w="28" w:type="dxa"/>
            </w:tcMar>
            <w:vAlign w:val="center"/>
            <w:hideMark/>
          </w:tcPr>
          <w:p w14:paraId="438ABEBB"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Year</w:t>
            </w:r>
          </w:p>
        </w:tc>
        <w:tc>
          <w:tcPr>
            <w:tcW w:w="1418" w:type="dxa"/>
            <w:tcBorders>
              <w:top w:val="nil"/>
              <w:left w:val="nil"/>
              <w:bottom w:val="nil"/>
              <w:right w:val="nil"/>
            </w:tcBorders>
            <w:shd w:val="clear" w:color="000000" w:fill="064EA8"/>
            <w:tcMar>
              <w:top w:w="28" w:type="dxa"/>
              <w:bottom w:w="28" w:type="dxa"/>
            </w:tcMar>
            <w:vAlign w:val="center"/>
            <w:hideMark/>
          </w:tcPr>
          <w:p w14:paraId="3CC3D464"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Purpose</w:t>
            </w:r>
          </w:p>
        </w:tc>
        <w:tc>
          <w:tcPr>
            <w:tcW w:w="709" w:type="dxa"/>
            <w:tcBorders>
              <w:top w:val="nil"/>
              <w:left w:val="nil"/>
              <w:bottom w:val="nil"/>
              <w:right w:val="nil"/>
            </w:tcBorders>
            <w:shd w:val="clear" w:color="000000" w:fill="064EA8"/>
            <w:tcMar>
              <w:top w:w="28" w:type="dxa"/>
              <w:bottom w:w="28" w:type="dxa"/>
            </w:tcMar>
            <w:vAlign w:val="center"/>
            <w:hideMark/>
          </w:tcPr>
          <w:p w14:paraId="3FB7CC9B"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Total Depth (m)</w:t>
            </w:r>
          </w:p>
        </w:tc>
        <w:tc>
          <w:tcPr>
            <w:tcW w:w="1275" w:type="dxa"/>
            <w:tcBorders>
              <w:top w:val="nil"/>
              <w:left w:val="nil"/>
              <w:bottom w:val="nil"/>
              <w:right w:val="nil"/>
            </w:tcBorders>
            <w:shd w:val="clear" w:color="000000" w:fill="064EA8"/>
            <w:tcMar>
              <w:top w:w="28" w:type="dxa"/>
              <w:bottom w:w="28" w:type="dxa"/>
            </w:tcMar>
            <w:vAlign w:val="center"/>
            <w:hideMark/>
          </w:tcPr>
          <w:p w14:paraId="09312CB4"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Formation at TD</w:t>
            </w:r>
          </w:p>
        </w:tc>
        <w:tc>
          <w:tcPr>
            <w:tcW w:w="2127" w:type="dxa"/>
            <w:tcBorders>
              <w:top w:val="nil"/>
              <w:left w:val="nil"/>
              <w:bottom w:val="nil"/>
              <w:right w:val="nil"/>
            </w:tcBorders>
            <w:shd w:val="clear" w:color="000000" w:fill="064EA8"/>
            <w:tcMar>
              <w:top w:w="28" w:type="dxa"/>
              <w:bottom w:w="28" w:type="dxa"/>
            </w:tcMar>
            <w:vAlign w:val="center"/>
            <w:hideMark/>
          </w:tcPr>
          <w:p w14:paraId="3E8CB96D" w14:textId="77777777" w:rsidR="006A31BB" w:rsidRPr="004A0DF4" w:rsidRDefault="006A31BB"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Company</w:t>
            </w:r>
          </w:p>
        </w:tc>
        <w:tc>
          <w:tcPr>
            <w:tcW w:w="1308" w:type="dxa"/>
            <w:tcBorders>
              <w:top w:val="nil"/>
              <w:left w:val="nil"/>
              <w:bottom w:val="nil"/>
              <w:right w:val="nil"/>
            </w:tcBorders>
            <w:shd w:val="clear" w:color="000000" w:fill="064EA8"/>
            <w:tcMar>
              <w:top w:w="28" w:type="dxa"/>
              <w:bottom w:w="28" w:type="dxa"/>
            </w:tcMar>
            <w:vAlign w:val="center"/>
            <w:hideMark/>
          </w:tcPr>
          <w:p w14:paraId="37B261BD" w14:textId="77777777" w:rsidR="006A31BB" w:rsidRPr="004A0DF4" w:rsidRDefault="00695CC7" w:rsidP="006A31BB">
            <w:pPr>
              <w:spacing w:before="0" w:after="0" w:line="240" w:lineRule="auto"/>
              <w:rPr>
                <w:rFonts w:cs="Arial"/>
                <w:b/>
                <w:color w:val="FFFFFF"/>
                <w:sz w:val="16"/>
                <w:szCs w:val="16"/>
                <w:lang w:eastAsia="en-AU"/>
              </w:rPr>
            </w:pPr>
            <w:r w:rsidRPr="004A0DF4">
              <w:rPr>
                <w:rFonts w:cs="Arial"/>
                <w:b/>
                <w:color w:val="FFFFFF"/>
                <w:sz w:val="16"/>
                <w:szCs w:val="16"/>
                <w:lang w:eastAsia="en-AU"/>
              </w:rPr>
              <w:t>Shows observed</w:t>
            </w:r>
          </w:p>
        </w:tc>
      </w:tr>
      <w:tr w:rsidR="006A31BB" w:rsidRPr="001F7554" w14:paraId="44098824" w14:textId="77777777" w:rsidTr="007F7C4C">
        <w:trPr>
          <w:trHeight w:val="255"/>
        </w:trPr>
        <w:tc>
          <w:tcPr>
            <w:tcW w:w="1466" w:type="dxa"/>
            <w:tcBorders>
              <w:top w:val="nil"/>
              <w:left w:val="nil"/>
              <w:bottom w:val="single" w:sz="4" w:space="0" w:color="064EA8"/>
              <w:right w:val="nil"/>
            </w:tcBorders>
            <w:shd w:val="clear" w:color="auto" w:fill="auto"/>
            <w:noWrap/>
            <w:tcMar>
              <w:top w:w="28" w:type="dxa"/>
              <w:bottom w:w="28" w:type="dxa"/>
            </w:tcMar>
            <w:vAlign w:val="center"/>
            <w:hideMark/>
          </w:tcPr>
          <w:p w14:paraId="62B534BF"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E</w:t>
            </w:r>
            <w:r w:rsidR="00357F25" w:rsidRPr="001F7554">
              <w:rPr>
                <w:rFonts w:cs="Arial"/>
                <w:sz w:val="16"/>
                <w:szCs w:val="16"/>
                <w:lang w:eastAsia="en-AU"/>
              </w:rPr>
              <w:t>umeralla</w:t>
            </w:r>
            <w:r w:rsidR="004438A5">
              <w:rPr>
                <w:rFonts w:cs="Arial"/>
                <w:sz w:val="16"/>
                <w:szCs w:val="16"/>
                <w:lang w:eastAsia="en-AU"/>
              </w:rPr>
              <w:t>-</w:t>
            </w:r>
            <w:r w:rsidRPr="001F7554">
              <w:rPr>
                <w:rFonts w:cs="Arial"/>
                <w:sz w:val="16"/>
                <w:szCs w:val="16"/>
                <w:lang w:eastAsia="en-AU"/>
              </w:rPr>
              <w:t>1</w:t>
            </w:r>
          </w:p>
        </w:tc>
        <w:tc>
          <w:tcPr>
            <w:tcW w:w="817" w:type="dxa"/>
            <w:tcBorders>
              <w:top w:val="nil"/>
              <w:left w:val="nil"/>
              <w:bottom w:val="single" w:sz="4" w:space="0" w:color="064EA8"/>
              <w:right w:val="nil"/>
            </w:tcBorders>
            <w:shd w:val="clear" w:color="auto" w:fill="auto"/>
            <w:noWrap/>
            <w:tcMar>
              <w:top w:w="28" w:type="dxa"/>
              <w:bottom w:w="28" w:type="dxa"/>
            </w:tcMar>
            <w:vAlign w:val="center"/>
            <w:hideMark/>
          </w:tcPr>
          <w:p w14:paraId="5CB56A7D"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1963</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36C314DA"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7503C80F"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3139</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D1ED1A0"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Eumeralla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125CA971"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Frome-Broken Hill Company Proprietary Limited</w:t>
            </w:r>
          </w:p>
        </w:tc>
        <w:tc>
          <w:tcPr>
            <w:tcW w:w="1308" w:type="dxa"/>
            <w:tcBorders>
              <w:top w:val="nil"/>
              <w:left w:val="nil"/>
              <w:bottom w:val="single" w:sz="4" w:space="0" w:color="064EA8"/>
              <w:right w:val="nil"/>
            </w:tcBorders>
            <w:shd w:val="clear" w:color="auto" w:fill="auto"/>
            <w:noWrap/>
            <w:tcMar>
              <w:top w:w="28" w:type="dxa"/>
              <w:bottom w:w="28" w:type="dxa"/>
            </w:tcMar>
            <w:vAlign w:val="center"/>
            <w:hideMark/>
          </w:tcPr>
          <w:p w14:paraId="07DCFE04"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Strong Gas Show</w:t>
            </w:r>
          </w:p>
        </w:tc>
      </w:tr>
      <w:tr w:rsidR="006A31BB" w:rsidRPr="001F7554" w14:paraId="5B156CDE" w14:textId="77777777" w:rsidTr="007F7C4C">
        <w:trPr>
          <w:trHeight w:val="255"/>
        </w:trPr>
        <w:tc>
          <w:tcPr>
            <w:tcW w:w="1466" w:type="dxa"/>
            <w:tcBorders>
              <w:top w:val="nil"/>
              <w:left w:val="nil"/>
              <w:bottom w:val="single" w:sz="4" w:space="0" w:color="064EA8"/>
              <w:right w:val="nil"/>
            </w:tcBorders>
            <w:shd w:val="clear" w:color="auto" w:fill="auto"/>
            <w:noWrap/>
            <w:tcMar>
              <w:top w:w="28" w:type="dxa"/>
              <w:bottom w:w="28" w:type="dxa"/>
            </w:tcMar>
            <w:vAlign w:val="center"/>
            <w:hideMark/>
          </w:tcPr>
          <w:p w14:paraId="3CB898C2"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N</w:t>
            </w:r>
            <w:r w:rsidR="00357F25" w:rsidRPr="001F7554">
              <w:rPr>
                <w:rFonts w:cs="Arial"/>
                <w:sz w:val="16"/>
                <w:szCs w:val="16"/>
                <w:lang w:eastAsia="en-AU"/>
              </w:rPr>
              <w:t>th</w:t>
            </w:r>
            <w:r w:rsidRPr="001F7554">
              <w:rPr>
                <w:rFonts w:cs="Arial"/>
                <w:sz w:val="16"/>
                <w:szCs w:val="16"/>
                <w:lang w:eastAsia="en-AU"/>
              </w:rPr>
              <w:t xml:space="preserve"> E</w:t>
            </w:r>
            <w:r w:rsidR="00357F25" w:rsidRPr="001F7554">
              <w:rPr>
                <w:rFonts w:cs="Arial"/>
                <w:sz w:val="16"/>
                <w:szCs w:val="16"/>
                <w:lang w:eastAsia="en-AU"/>
              </w:rPr>
              <w:t>umeralla</w:t>
            </w:r>
            <w:r w:rsidR="004438A5">
              <w:rPr>
                <w:rFonts w:cs="Arial"/>
                <w:sz w:val="16"/>
                <w:szCs w:val="16"/>
                <w:lang w:eastAsia="en-AU"/>
              </w:rPr>
              <w:t>-</w:t>
            </w:r>
            <w:r w:rsidRPr="001F7554">
              <w:rPr>
                <w:rFonts w:cs="Arial"/>
                <w:sz w:val="16"/>
                <w:szCs w:val="16"/>
                <w:lang w:eastAsia="en-AU"/>
              </w:rPr>
              <w:t>1</w:t>
            </w:r>
          </w:p>
        </w:tc>
        <w:tc>
          <w:tcPr>
            <w:tcW w:w="817" w:type="dxa"/>
            <w:tcBorders>
              <w:top w:val="nil"/>
              <w:left w:val="nil"/>
              <w:bottom w:val="single" w:sz="4" w:space="0" w:color="064EA8"/>
              <w:right w:val="nil"/>
            </w:tcBorders>
            <w:shd w:val="clear" w:color="auto" w:fill="auto"/>
            <w:noWrap/>
            <w:tcMar>
              <w:top w:w="28" w:type="dxa"/>
              <w:bottom w:w="28" w:type="dxa"/>
            </w:tcMar>
            <w:vAlign w:val="center"/>
            <w:hideMark/>
          </w:tcPr>
          <w:p w14:paraId="10C90F7D"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1974</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0C63ED0E"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7089DFDD"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2961</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745E20CF"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Basement</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5A1DAB65"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Shell Development (Australia) Proprietary Limited</w:t>
            </w:r>
          </w:p>
        </w:tc>
        <w:tc>
          <w:tcPr>
            <w:tcW w:w="1308" w:type="dxa"/>
            <w:tcBorders>
              <w:top w:val="nil"/>
              <w:left w:val="nil"/>
              <w:bottom w:val="single" w:sz="4" w:space="0" w:color="064EA8"/>
              <w:right w:val="nil"/>
            </w:tcBorders>
            <w:shd w:val="clear" w:color="auto" w:fill="auto"/>
            <w:noWrap/>
            <w:tcMar>
              <w:top w:w="28" w:type="dxa"/>
              <w:bottom w:w="28" w:type="dxa"/>
            </w:tcMar>
            <w:vAlign w:val="center"/>
            <w:hideMark/>
          </w:tcPr>
          <w:p w14:paraId="3F4527D2"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Oil &amp; Gas Show</w:t>
            </w:r>
          </w:p>
        </w:tc>
      </w:tr>
      <w:tr w:rsidR="006A31BB" w:rsidRPr="001F7554" w14:paraId="30DC840D" w14:textId="77777777" w:rsidTr="007F7C4C">
        <w:trPr>
          <w:trHeight w:val="255"/>
        </w:trPr>
        <w:tc>
          <w:tcPr>
            <w:tcW w:w="1466" w:type="dxa"/>
            <w:tcBorders>
              <w:top w:val="nil"/>
              <w:left w:val="nil"/>
              <w:bottom w:val="single" w:sz="4" w:space="0" w:color="064EA8"/>
              <w:right w:val="nil"/>
            </w:tcBorders>
            <w:shd w:val="clear" w:color="auto" w:fill="auto"/>
            <w:noWrap/>
            <w:tcMar>
              <w:top w:w="28" w:type="dxa"/>
              <w:bottom w:w="28" w:type="dxa"/>
            </w:tcMar>
            <w:vAlign w:val="center"/>
            <w:hideMark/>
          </w:tcPr>
          <w:p w14:paraId="5FFE68B9"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W</w:t>
            </w:r>
            <w:r w:rsidR="00357F25" w:rsidRPr="001F7554">
              <w:rPr>
                <w:rFonts w:cs="Arial"/>
                <w:sz w:val="16"/>
                <w:szCs w:val="16"/>
                <w:lang w:eastAsia="en-AU"/>
              </w:rPr>
              <w:t>indermere</w:t>
            </w:r>
            <w:r w:rsidR="0052402C">
              <w:rPr>
                <w:rFonts w:cs="Arial"/>
                <w:sz w:val="16"/>
                <w:szCs w:val="16"/>
                <w:lang w:eastAsia="en-AU"/>
              </w:rPr>
              <w:t>-</w:t>
            </w:r>
            <w:r w:rsidRPr="001F7554">
              <w:rPr>
                <w:rFonts w:cs="Arial"/>
                <w:sz w:val="16"/>
                <w:szCs w:val="16"/>
                <w:lang w:eastAsia="en-AU"/>
              </w:rPr>
              <w:t>1</w:t>
            </w:r>
          </w:p>
        </w:tc>
        <w:tc>
          <w:tcPr>
            <w:tcW w:w="817" w:type="dxa"/>
            <w:tcBorders>
              <w:top w:val="nil"/>
              <w:left w:val="nil"/>
              <w:bottom w:val="single" w:sz="4" w:space="0" w:color="064EA8"/>
              <w:right w:val="nil"/>
            </w:tcBorders>
            <w:shd w:val="clear" w:color="auto" w:fill="auto"/>
            <w:noWrap/>
            <w:tcMar>
              <w:top w:w="28" w:type="dxa"/>
              <w:bottom w:w="28" w:type="dxa"/>
            </w:tcMar>
            <w:vAlign w:val="center"/>
            <w:hideMark/>
          </w:tcPr>
          <w:p w14:paraId="3E046683"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1987</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49DD793E"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50812E91"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1852</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06E451DD"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Eumeralla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00252EF5"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Minora Resources N.L.</w:t>
            </w:r>
          </w:p>
        </w:tc>
        <w:tc>
          <w:tcPr>
            <w:tcW w:w="1308" w:type="dxa"/>
            <w:tcBorders>
              <w:top w:val="nil"/>
              <w:left w:val="nil"/>
              <w:bottom w:val="single" w:sz="4" w:space="0" w:color="064EA8"/>
              <w:right w:val="nil"/>
            </w:tcBorders>
            <w:shd w:val="clear" w:color="auto" w:fill="auto"/>
            <w:noWrap/>
            <w:tcMar>
              <w:top w:w="28" w:type="dxa"/>
              <w:bottom w:w="28" w:type="dxa"/>
            </w:tcMar>
            <w:vAlign w:val="center"/>
            <w:hideMark/>
          </w:tcPr>
          <w:p w14:paraId="2D870BCD"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Strong Oil Show</w:t>
            </w:r>
          </w:p>
        </w:tc>
      </w:tr>
      <w:tr w:rsidR="006A31BB" w:rsidRPr="001F7554" w14:paraId="59FAE0A5" w14:textId="77777777" w:rsidTr="007F7C4C">
        <w:trPr>
          <w:trHeight w:val="255"/>
        </w:trPr>
        <w:tc>
          <w:tcPr>
            <w:tcW w:w="1466" w:type="dxa"/>
            <w:tcBorders>
              <w:top w:val="nil"/>
              <w:left w:val="nil"/>
              <w:bottom w:val="single" w:sz="4" w:space="0" w:color="064EA8"/>
              <w:right w:val="nil"/>
            </w:tcBorders>
            <w:shd w:val="clear" w:color="auto" w:fill="auto"/>
            <w:noWrap/>
            <w:tcMar>
              <w:top w:w="28" w:type="dxa"/>
              <w:bottom w:w="28" w:type="dxa"/>
            </w:tcMar>
            <w:vAlign w:val="center"/>
            <w:hideMark/>
          </w:tcPr>
          <w:p w14:paraId="16C2C104"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W</w:t>
            </w:r>
            <w:r w:rsidR="00357F25" w:rsidRPr="001F7554">
              <w:rPr>
                <w:rFonts w:cs="Arial"/>
                <w:sz w:val="16"/>
                <w:szCs w:val="16"/>
                <w:lang w:eastAsia="en-AU"/>
              </w:rPr>
              <w:t>indermere</w:t>
            </w:r>
            <w:r w:rsidR="0052402C">
              <w:rPr>
                <w:rFonts w:cs="Arial"/>
                <w:sz w:val="16"/>
                <w:szCs w:val="16"/>
                <w:lang w:eastAsia="en-AU"/>
              </w:rPr>
              <w:t>-</w:t>
            </w:r>
            <w:r w:rsidRPr="001F7554">
              <w:rPr>
                <w:rFonts w:cs="Arial"/>
                <w:sz w:val="16"/>
                <w:szCs w:val="16"/>
                <w:lang w:eastAsia="en-AU"/>
              </w:rPr>
              <w:t>2</w:t>
            </w:r>
          </w:p>
        </w:tc>
        <w:tc>
          <w:tcPr>
            <w:tcW w:w="817" w:type="dxa"/>
            <w:tcBorders>
              <w:top w:val="nil"/>
              <w:left w:val="nil"/>
              <w:bottom w:val="single" w:sz="4" w:space="0" w:color="064EA8"/>
              <w:right w:val="nil"/>
            </w:tcBorders>
            <w:shd w:val="clear" w:color="auto" w:fill="auto"/>
            <w:noWrap/>
            <w:tcMar>
              <w:top w:w="28" w:type="dxa"/>
              <w:bottom w:w="28" w:type="dxa"/>
            </w:tcMar>
            <w:vAlign w:val="center"/>
            <w:hideMark/>
          </w:tcPr>
          <w:p w14:paraId="48736535"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1989</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0DFE8949"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78E55FA0"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3595</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292807A" w14:textId="77777777" w:rsidR="006A31BB" w:rsidRPr="001F7554" w:rsidRDefault="00C80265" w:rsidP="006A31BB">
            <w:pPr>
              <w:spacing w:before="0" w:after="0" w:line="240" w:lineRule="auto"/>
              <w:rPr>
                <w:rFonts w:cs="Arial"/>
                <w:sz w:val="16"/>
                <w:szCs w:val="16"/>
                <w:lang w:eastAsia="en-AU"/>
              </w:rPr>
            </w:pPr>
            <w:r>
              <w:rPr>
                <w:rFonts w:cs="Arial"/>
                <w:sz w:val="16"/>
                <w:szCs w:val="16"/>
                <w:lang w:eastAsia="en-AU"/>
              </w:rPr>
              <w:t>Pretty Hill Formation (equivalent)</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19578BD5"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Minora Resources N.L.</w:t>
            </w:r>
          </w:p>
        </w:tc>
        <w:tc>
          <w:tcPr>
            <w:tcW w:w="1308" w:type="dxa"/>
            <w:tcBorders>
              <w:top w:val="nil"/>
              <w:left w:val="nil"/>
              <w:bottom w:val="single" w:sz="4" w:space="0" w:color="064EA8"/>
              <w:right w:val="nil"/>
            </w:tcBorders>
            <w:shd w:val="clear" w:color="auto" w:fill="auto"/>
            <w:noWrap/>
            <w:tcMar>
              <w:top w:w="28" w:type="dxa"/>
              <w:bottom w:w="28" w:type="dxa"/>
            </w:tcMar>
            <w:vAlign w:val="center"/>
            <w:hideMark/>
          </w:tcPr>
          <w:p w14:paraId="4E9C371B"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Dry Hole</w:t>
            </w:r>
          </w:p>
        </w:tc>
      </w:tr>
      <w:tr w:rsidR="006A31BB" w:rsidRPr="001F7554" w14:paraId="42A0F09B" w14:textId="77777777" w:rsidTr="007F7C4C">
        <w:trPr>
          <w:trHeight w:val="255"/>
        </w:trPr>
        <w:tc>
          <w:tcPr>
            <w:tcW w:w="1466" w:type="dxa"/>
            <w:tcBorders>
              <w:top w:val="nil"/>
              <w:left w:val="nil"/>
              <w:bottom w:val="single" w:sz="4" w:space="0" w:color="064EA8"/>
              <w:right w:val="nil"/>
            </w:tcBorders>
            <w:shd w:val="clear" w:color="auto" w:fill="auto"/>
            <w:noWrap/>
            <w:tcMar>
              <w:top w:w="28" w:type="dxa"/>
              <w:bottom w:w="28" w:type="dxa"/>
            </w:tcMar>
            <w:vAlign w:val="center"/>
            <w:hideMark/>
          </w:tcPr>
          <w:p w14:paraId="088911FB"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P</w:t>
            </w:r>
            <w:r w:rsidR="00357F25" w:rsidRPr="001F7554">
              <w:rPr>
                <w:rFonts w:cs="Arial"/>
                <w:sz w:val="16"/>
                <w:szCs w:val="16"/>
                <w:lang w:eastAsia="en-AU"/>
              </w:rPr>
              <w:t>ort</w:t>
            </w:r>
            <w:r w:rsidRPr="001F7554">
              <w:rPr>
                <w:rFonts w:cs="Arial"/>
                <w:sz w:val="16"/>
                <w:szCs w:val="16"/>
                <w:lang w:eastAsia="en-AU"/>
              </w:rPr>
              <w:t xml:space="preserve"> F</w:t>
            </w:r>
            <w:r w:rsidR="00357F25" w:rsidRPr="001F7554">
              <w:rPr>
                <w:rFonts w:cs="Arial"/>
                <w:sz w:val="16"/>
                <w:szCs w:val="16"/>
                <w:lang w:eastAsia="en-AU"/>
              </w:rPr>
              <w:t>airy</w:t>
            </w:r>
            <w:r w:rsidR="004438A5">
              <w:rPr>
                <w:rFonts w:cs="Arial"/>
                <w:sz w:val="16"/>
                <w:szCs w:val="16"/>
                <w:lang w:eastAsia="en-AU"/>
              </w:rPr>
              <w:t>-</w:t>
            </w:r>
            <w:r w:rsidRPr="001F7554">
              <w:rPr>
                <w:rFonts w:cs="Arial"/>
                <w:sz w:val="16"/>
                <w:szCs w:val="16"/>
                <w:lang w:eastAsia="en-AU"/>
              </w:rPr>
              <w:t>1</w:t>
            </w:r>
          </w:p>
        </w:tc>
        <w:tc>
          <w:tcPr>
            <w:tcW w:w="817" w:type="dxa"/>
            <w:tcBorders>
              <w:top w:val="nil"/>
              <w:left w:val="nil"/>
              <w:bottom w:val="single" w:sz="4" w:space="0" w:color="064EA8"/>
              <w:right w:val="nil"/>
            </w:tcBorders>
            <w:shd w:val="clear" w:color="auto" w:fill="auto"/>
            <w:noWrap/>
            <w:tcMar>
              <w:top w:w="28" w:type="dxa"/>
              <w:bottom w:w="28" w:type="dxa"/>
            </w:tcMar>
            <w:vAlign w:val="center"/>
            <w:hideMark/>
          </w:tcPr>
          <w:p w14:paraId="0D837D37"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2002</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08674ED9"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7E488038"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1550</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3E6BD6AF"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Eumeralla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4A17D89B"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Essential Petroleum Resources Ltd</w:t>
            </w:r>
          </w:p>
        </w:tc>
        <w:tc>
          <w:tcPr>
            <w:tcW w:w="1308" w:type="dxa"/>
            <w:tcBorders>
              <w:top w:val="nil"/>
              <w:left w:val="nil"/>
              <w:bottom w:val="single" w:sz="4" w:space="0" w:color="064EA8"/>
              <w:right w:val="nil"/>
            </w:tcBorders>
            <w:shd w:val="clear" w:color="auto" w:fill="auto"/>
            <w:noWrap/>
            <w:tcMar>
              <w:top w:w="28" w:type="dxa"/>
              <w:bottom w:w="28" w:type="dxa"/>
            </w:tcMar>
            <w:vAlign w:val="center"/>
            <w:hideMark/>
          </w:tcPr>
          <w:p w14:paraId="0FDD94C5"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Oil &amp; Gas Well</w:t>
            </w:r>
          </w:p>
        </w:tc>
      </w:tr>
      <w:tr w:rsidR="006A31BB" w:rsidRPr="001F7554" w14:paraId="24FD1CEE" w14:textId="77777777" w:rsidTr="007F7C4C">
        <w:trPr>
          <w:trHeight w:val="255"/>
        </w:trPr>
        <w:tc>
          <w:tcPr>
            <w:tcW w:w="1466" w:type="dxa"/>
            <w:tcBorders>
              <w:top w:val="nil"/>
              <w:left w:val="nil"/>
              <w:bottom w:val="single" w:sz="4" w:space="0" w:color="064EA8"/>
              <w:right w:val="nil"/>
            </w:tcBorders>
            <w:shd w:val="clear" w:color="auto" w:fill="auto"/>
            <w:noWrap/>
            <w:tcMar>
              <w:top w:w="28" w:type="dxa"/>
              <w:bottom w:w="28" w:type="dxa"/>
            </w:tcMar>
            <w:vAlign w:val="center"/>
            <w:hideMark/>
          </w:tcPr>
          <w:p w14:paraId="333B3623"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K</w:t>
            </w:r>
            <w:r w:rsidR="00357F25" w:rsidRPr="001F7554">
              <w:rPr>
                <w:rFonts w:cs="Arial"/>
                <w:sz w:val="16"/>
                <w:szCs w:val="16"/>
                <w:lang w:eastAsia="en-AU"/>
              </w:rPr>
              <w:t>illarney</w:t>
            </w:r>
            <w:r w:rsidR="004438A5">
              <w:rPr>
                <w:rFonts w:cs="Arial"/>
                <w:sz w:val="16"/>
                <w:szCs w:val="16"/>
                <w:lang w:eastAsia="en-AU"/>
              </w:rPr>
              <w:t xml:space="preserve"> EPRL-</w:t>
            </w:r>
            <w:r w:rsidRPr="001F7554">
              <w:rPr>
                <w:rFonts w:cs="Arial"/>
                <w:sz w:val="16"/>
                <w:szCs w:val="16"/>
                <w:lang w:eastAsia="en-AU"/>
              </w:rPr>
              <w:t>1</w:t>
            </w:r>
          </w:p>
        </w:tc>
        <w:tc>
          <w:tcPr>
            <w:tcW w:w="817" w:type="dxa"/>
            <w:tcBorders>
              <w:top w:val="nil"/>
              <w:left w:val="nil"/>
              <w:bottom w:val="single" w:sz="4" w:space="0" w:color="064EA8"/>
              <w:right w:val="nil"/>
            </w:tcBorders>
            <w:shd w:val="clear" w:color="auto" w:fill="auto"/>
            <w:noWrap/>
            <w:tcMar>
              <w:top w:w="28" w:type="dxa"/>
              <w:bottom w:w="28" w:type="dxa"/>
            </w:tcMar>
            <w:vAlign w:val="center"/>
            <w:hideMark/>
          </w:tcPr>
          <w:p w14:paraId="0198AFAA"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2004</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5997C328"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2E26AA6D"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1640</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C64F530"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Eumeralla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681EE0E4"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Essential Petroleum Resources Ltd</w:t>
            </w:r>
          </w:p>
        </w:tc>
        <w:tc>
          <w:tcPr>
            <w:tcW w:w="1308" w:type="dxa"/>
            <w:tcBorders>
              <w:top w:val="nil"/>
              <w:left w:val="nil"/>
              <w:bottom w:val="single" w:sz="4" w:space="0" w:color="064EA8"/>
              <w:right w:val="nil"/>
            </w:tcBorders>
            <w:shd w:val="clear" w:color="auto" w:fill="auto"/>
            <w:noWrap/>
            <w:tcMar>
              <w:top w:w="28" w:type="dxa"/>
              <w:bottom w:w="28" w:type="dxa"/>
            </w:tcMar>
            <w:vAlign w:val="center"/>
            <w:hideMark/>
          </w:tcPr>
          <w:p w14:paraId="03A67C59"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Strong Gas Show</w:t>
            </w:r>
          </w:p>
        </w:tc>
      </w:tr>
      <w:tr w:rsidR="006A31BB" w:rsidRPr="001F7554" w14:paraId="72AD41C5" w14:textId="77777777" w:rsidTr="007F7C4C">
        <w:trPr>
          <w:trHeight w:val="255"/>
        </w:trPr>
        <w:tc>
          <w:tcPr>
            <w:tcW w:w="1466" w:type="dxa"/>
            <w:tcBorders>
              <w:top w:val="nil"/>
              <w:left w:val="nil"/>
              <w:bottom w:val="single" w:sz="4" w:space="0" w:color="064EA8"/>
              <w:right w:val="nil"/>
            </w:tcBorders>
            <w:shd w:val="clear" w:color="auto" w:fill="auto"/>
            <w:noWrap/>
            <w:tcMar>
              <w:top w:w="28" w:type="dxa"/>
              <w:bottom w:w="28" w:type="dxa"/>
            </w:tcMar>
            <w:vAlign w:val="center"/>
            <w:hideMark/>
          </w:tcPr>
          <w:p w14:paraId="1D4B8B96"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W</w:t>
            </w:r>
            <w:r w:rsidR="00357F25" w:rsidRPr="001F7554">
              <w:rPr>
                <w:rFonts w:cs="Arial"/>
                <w:sz w:val="16"/>
                <w:szCs w:val="16"/>
                <w:lang w:eastAsia="en-AU"/>
              </w:rPr>
              <w:t>indermere</w:t>
            </w:r>
            <w:r w:rsidR="0052402C">
              <w:rPr>
                <w:rFonts w:cs="Arial"/>
                <w:sz w:val="16"/>
                <w:szCs w:val="16"/>
                <w:lang w:eastAsia="en-AU"/>
              </w:rPr>
              <w:t>-</w:t>
            </w:r>
            <w:r w:rsidRPr="001F7554">
              <w:rPr>
                <w:rFonts w:cs="Arial"/>
                <w:sz w:val="16"/>
                <w:szCs w:val="16"/>
                <w:lang w:eastAsia="en-AU"/>
              </w:rPr>
              <w:t>3</w:t>
            </w:r>
          </w:p>
        </w:tc>
        <w:tc>
          <w:tcPr>
            <w:tcW w:w="817" w:type="dxa"/>
            <w:tcBorders>
              <w:top w:val="nil"/>
              <w:left w:val="nil"/>
              <w:bottom w:val="single" w:sz="4" w:space="0" w:color="064EA8"/>
              <w:right w:val="nil"/>
            </w:tcBorders>
            <w:shd w:val="clear" w:color="auto" w:fill="auto"/>
            <w:noWrap/>
            <w:tcMar>
              <w:top w:w="28" w:type="dxa"/>
              <w:bottom w:w="28" w:type="dxa"/>
            </w:tcMar>
            <w:vAlign w:val="center"/>
            <w:hideMark/>
          </w:tcPr>
          <w:p w14:paraId="7636CB03"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2011</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2F1723E8"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25C951D3"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1840</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3754DDA0"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Eumeralla Formation</w:t>
            </w:r>
          </w:p>
        </w:tc>
        <w:tc>
          <w:tcPr>
            <w:tcW w:w="2127" w:type="dxa"/>
            <w:tcBorders>
              <w:top w:val="nil"/>
              <w:left w:val="nil"/>
              <w:bottom w:val="single" w:sz="4" w:space="0" w:color="064EA8"/>
              <w:right w:val="nil"/>
            </w:tcBorders>
            <w:shd w:val="clear" w:color="auto" w:fill="auto"/>
            <w:noWrap/>
            <w:tcMar>
              <w:top w:w="28" w:type="dxa"/>
              <w:bottom w:w="28" w:type="dxa"/>
            </w:tcMar>
            <w:vAlign w:val="center"/>
            <w:hideMark/>
          </w:tcPr>
          <w:p w14:paraId="4DC71206"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Bass Strait Oil Co Ltd</w:t>
            </w:r>
          </w:p>
        </w:tc>
        <w:tc>
          <w:tcPr>
            <w:tcW w:w="1308" w:type="dxa"/>
            <w:tcBorders>
              <w:top w:val="nil"/>
              <w:left w:val="nil"/>
              <w:bottom w:val="single" w:sz="4" w:space="0" w:color="064EA8"/>
              <w:right w:val="nil"/>
            </w:tcBorders>
            <w:shd w:val="clear" w:color="auto" w:fill="auto"/>
            <w:noWrap/>
            <w:tcMar>
              <w:top w:w="28" w:type="dxa"/>
              <w:bottom w:w="28" w:type="dxa"/>
            </w:tcMar>
            <w:vAlign w:val="center"/>
            <w:hideMark/>
          </w:tcPr>
          <w:p w14:paraId="690B5448" w14:textId="77777777" w:rsidR="006A31BB" w:rsidRPr="001F7554" w:rsidRDefault="006A31BB" w:rsidP="006A31BB">
            <w:pPr>
              <w:spacing w:before="0" w:after="0" w:line="240" w:lineRule="auto"/>
              <w:rPr>
                <w:rFonts w:cs="Arial"/>
                <w:sz w:val="16"/>
                <w:szCs w:val="16"/>
                <w:lang w:eastAsia="en-AU"/>
              </w:rPr>
            </w:pPr>
            <w:r w:rsidRPr="001F7554">
              <w:rPr>
                <w:rFonts w:cs="Arial"/>
                <w:sz w:val="16"/>
                <w:szCs w:val="16"/>
                <w:lang w:eastAsia="en-AU"/>
              </w:rPr>
              <w:t>Dry Hole</w:t>
            </w:r>
          </w:p>
        </w:tc>
      </w:tr>
    </w:tbl>
    <w:p w14:paraId="7BC106D1" w14:textId="77777777" w:rsidR="00C53769" w:rsidRPr="00C53769" w:rsidRDefault="00C53769" w:rsidP="004438A5">
      <w:pPr>
        <w:spacing w:before="360"/>
        <w:rPr>
          <w:b/>
        </w:rPr>
      </w:pPr>
      <w:r w:rsidRPr="00C53769">
        <w:rPr>
          <w:b/>
        </w:rPr>
        <w:t>Release Area 18-</w:t>
      </w:r>
      <w:r>
        <w:rPr>
          <w:b/>
        </w:rPr>
        <w:t>4</w:t>
      </w:r>
      <w:r w:rsidRPr="00C53769">
        <w:rPr>
          <w:b/>
        </w:rPr>
        <w:t>(v)</w:t>
      </w:r>
    </w:p>
    <w:tbl>
      <w:tblPr>
        <w:tblW w:w="9087" w:type="dxa"/>
        <w:tblInd w:w="93" w:type="dxa"/>
        <w:tblLook w:val="04A0" w:firstRow="1" w:lastRow="0" w:firstColumn="1" w:lastColumn="0" w:noHBand="0" w:noVBand="1"/>
      </w:tblPr>
      <w:tblGrid>
        <w:gridCol w:w="1433"/>
        <w:gridCol w:w="850"/>
        <w:gridCol w:w="1418"/>
        <w:gridCol w:w="709"/>
        <w:gridCol w:w="1417"/>
        <w:gridCol w:w="1985"/>
        <w:gridCol w:w="1275"/>
      </w:tblGrid>
      <w:tr w:rsidR="0089263D" w:rsidRPr="004A0DF4" w14:paraId="3B3101AD" w14:textId="77777777" w:rsidTr="00E674E5">
        <w:trPr>
          <w:trHeight w:val="510"/>
        </w:trPr>
        <w:tc>
          <w:tcPr>
            <w:tcW w:w="1433" w:type="dxa"/>
            <w:tcBorders>
              <w:top w:val="nil"/>
              <w:left w:val="nil"/>
              <w:bottom w:val="nil"/>
              <w:right w:val="nil"/>
            </w:tcBorders>
            <w:shd w:val="clear" w:color="000000" w:fill="064EA8"/>
            <w:tcMar>
              <w:top w:w="28" w:type="dxa"/>
              <w:bottom w:w="28" w:type="dxa"/>
            </w:tcMar>
            <w:vAlign w:val="center"/>
            <w:hideMark/>
          </w:tcPr>
          <w:p w14:paraId="372F81A1" w14:textId="77777777" w:rsidR="0089263D" w:rsidRPr="004A0DF4" w:rsidRDefault="0089263D" w:rsidP="0089263D">
            <w:pPr>
              <w:spacing w:before="0" w:after="0" w:line="240" w:lineRule="auto"/>
              <w:rPr>
                <w:rFonts w:cs="Arial"/>
                <w:b/>
                <w:color w:val="FFFFFF"/>
                <w:sz w:val="16"/>
                <w:szCs w:val="16"/>
                <w:lang w:eastAsia="en-AU"/>
              </w:rPr>
            </w:pPr>
            <w:r w:rsidRPr="004A0DF4">
              <w:rPr>
                <w:rFonts w:cs="Arial"/>
                <w:b/>
                <w:color w:val="FFFFFF"/>
                <w:sz w:val="16"/>
                <w:szCs w:val="16"/>
                <w:lang w:eastAsia="en-AU"/>
              </w:rPr>
              <w:t>Well</w:t>
            </w:r>
            <w:r w:rsidR="004A0DF4">
              <w:rPr>
                <w:rFonts w:cs="Arial"/>
                <w:b/>
                <w:color w:val="FFFFFF"/>
                <w:sz w:val="16"/>
                <w:szCs w:val="16"/>
                <w:lang w:eastAsia="en-AU"/>
              </w:rPr>
              <w:t>/Borehole</w:t>
            </w:r>
            <w:r w:rsidRPr="004A0DF4">
              <w:rPr>
                <w:rFonts w:cs="Arial"/>
                <w:b/>
                <w:color w:val="FFFFFF"/>
                <w:sz w:val="16"/>
                <w:szCs w:val="16"/>
                <w:lang w:eastAsia="en-AU"/>
              </w:rPr>
              <w:t xml:space="preserve"> Name</w:t>
            </w:r>
          </w:p>
        </w:tc>
        <w:tc>
          <w:tcPr>
            <w:tcW w:w="850" w:type="dxa"/>
            <w:tcBorders>
              <w:top w:val="nil"/>
              <w:left w:val="nil"/>
              <w:bottom w:val="nil"/>
              <w:right w:val="nil"/>
            </w:tcBorders>
            <w:shd w:val="clear" w:color="000000" w:fill="064EA8"/>
            <w:tcMar>
              <w:top w:w="28" w:type="dxa"/>
              <w:bottom w:w="28" w:type="dxa"/>
            </w:tcMar>
            <w:vAlign w:val="center"/>
            <w:hideMark/>
          </w:tcPr>
          <w:p w14:paraId="348CC126" w14:textId="77777777" w:rsidR="0089263D" w:rsidRPr="004A0DF4" w:rsidRDefault="0089263D" w:rsidP="0089263D">
            <w:pPr>
              <w:spacing w:before="0" w:after="0" w:line="240" w:lineRule="auto"/>
              <w:rPr>
                <w:rFonts w:cs="Arial"/>
                <w:b/>
                <w:color w:val="FFFFFF"/>
                <w:sz w:val="16"/>
                <w:szCs w:val="16"/>
                <w:lang w:eastAsia="en-AU"/>
              </w:rPr>
            </w:pPr>
            <w:r w:rsidRPr="004A0DF4">
              <w:rPr>
                <w:rFonts w:cs="Arial"/>
                <w:b/>
                <w:color w:val="FFFFFF"/>
                <w:sz w:val="16"/>
                <w:szCs w:val="16"/>
                <w:lang w:eastAsia="en-AU"/>
              </w:rPr>
              <w:t>Year</w:t>
            </w:r>
          </w:p>
        </w:tc>
        <w:tc>
          <w:tcPr>
            <w:tcW w:w="1418" w:type="dxa"/>
            <w:tcBorders>
              <w:top w:val="nil"/>
              <w:left w:val="nil"/>
              <w:bottom w:val="nil"/>
              <w:right w:val="nil"/>
            </w:tcBorders>
            <w:shd w:val="clear" w:color="000000" w:fill="064EA8"/>
            <w:tcMar>
              <w:top w:w="28" w:type="dxa"/>
              <w:bottom w:w="28" w:type="dxa"/>
            </w:tcMar>
            <w:vAlign w:val="center"/>
            <w:hideMark/>
          </w:tcPr>
          <w:p w14:paraId="16DAA979" w14:textId="77777777" w:rsidR="0089263D" w:rsidRPr="004A0DF4" w:rsidRDefault="0089263D" w:rsidP="0089263D">
            <w:pPr>
              <w:spacing w:before="0" w:after="0" w:line="240" w:lineRule="auto"/>
              <w:rPr>
                <w:rFonts w:cs="Arial"/>
                <w:b/>
                <w:color w:val="FFFFFF"/>
                <w:sz w:val="16"/>
                <w:szCs w:val="16"/>
                <w:lang w:eastAsia="en-AU"/>
              </w:rPr>
            </w:pPr>
            <w:r w:rsidRPr="004A0DF4">
              <w:rPr>
                <w:rFonts w:cs="Arial"/>
                <w:b/>
                <w:color w:val="FFFFFF"/>
                <w:sz w:val="16"/>
                <w:szCs w:val="16"/>
                <w:lang w:eastAsia="en-AU"/>
              </w:rPr>
              <w:t>Purpose</w:t>
            </w:r>
          </w:p>
        </w:tc>
        <w:tc>
          <w:tcPr>
            <w:tcW w:w="709" w:type="dxa"/>
            <w:tcBorders>
              <w:top w:val="nil"/>
              <w:left w:val="nil"/>
              <w:bottom w:val="nil"/>
              <w:right w:val="nil"/>
            </w:tcBorders>
            <w:shd w:val="clear" w:color="000000" w:fill="064EA8"/>
            <w:tcMar>
              <w:top w:w="28" w:type="dxa"/>
              <w:bottom w:w="28" w:type="dxa"/>
            </w:tcMar>
            <w:vAlign w:val="center"/>
            <w:hideMark/>
          </w:tcPr>
          <w:p w14:paraId="5DA43230" w14:textId="77777777" w:rsidR="0089263D" w:rsidRPr="004A0DF4" w:rsidRDefault="0089263D" w:rsidP="0089263D">
            <w:pPr>
              <w:spacing w:before="0" w:after="0" w:line="240" w:lineRule="auto"/>
              <w:rPr>
                <w:rFonts w:cs="Arial"/>
                <w:b/>
                <w:color w:val="FFFFFF"/>
                <w:sz w:val="16"/>
                <w:szCs w:val="16"/>
                <w:lang w:eastAsia="en-AU"/>
              </w:rPr>
            </w:pPr>
            <w:r w:rsidRPr="004A0DF4">
              <w:rPr>
                <w:rFonts w:cs="Arial"/>
                <w:b/>
                <w:color w:val="FFFFFF"/>
                <w:sz w:val="16"/>
                <w:szCs w:val="16"/>
                <w:lang w:eastAsia="en-AU"/>
              </w:rPr>
              <w:t>Total Depth (m)</w:t>
            </w:r>
          </w:p>
        </w:tc>
        <w:tc>
          <w:tcPr>
            <w:tcW w:w="1417" w:type="dxa"/>
            <w:tcBorders>
              <w:top w:val="nil"/>
              <w:left w:val="nil"/>
              <w:bottom w:val="nil"/>
              <w:right w:val="nil"/>
            </w:tcBorders>
            <w:shd w:val="clear" w:color="000000" w:fill="064EA8"/>
            <w:tcMar>
              <w:top w:w="28" w:type="dxa"/>
              <w:bottom w:w="28" w:type="dxa"/>
            </w:tcMar>
            <w:vAlign w:val="center"/>
            <w:hideMark/>
          </w:tcPr>
          <w:p w14:paraId="7F265438" w14:textId="77777777" w:rsidR="0089263D" w:rsidRPr="004A0DF4" w:rsidRDefault="0089263D" w:rsidP="0089263D">
            <w:pPr>
              <w:spacing w:before="0" w:after="0" w:line="240" w:lineRule="auto"/>
              <w:rPr>
                <w:rFonts w:cs="Arial"/>
                <w:b/>
                <w:color w:val="FFFFFF"/>
                <w:sz w:val="16"/>
                <w:szCs w:val="16"/>
                <w:lang w:eastAsia="en-AU"/>
              </w:rPr>
            </w:pPr>
            <w:r w:rsidRPr="004A0DF4">
              <w:rPr>
                <w:rFonts w:cs="Arial"/>
                <w:b/>
                <w:color w:val="FFFFFF"/>
                <w:sz w:val="16"/>
                <w:szCs w:val="16"/>
                <w:lang w:eastAsia="en-AU"/>
              </w:rPr>
              <w:t>Formation at TD</w:t>
            </w:r>
          </w:p>
        </w:tc>
        <w:tc>
          <w:tcPr>
            <w:tcW w:w="1985" w:type="dxa"/>
            <w:tcBorders>
              <w:top w:val="nil"/>
              <w:left w:val="nil"/>
              <w:bottom w:val="nil"/>
              <w:right w:val="nil"/>
            </w:tcBorders>
            <w:shd w:val="clear" w:color="000000" w:fill="064EA8"/>
            <w:tcMar>
              <w:top w:w="28" w:type="dxa"/>
              <w:bottom w:w="28" w:type="dxa"/>
            </w:tcMar>
            <w:vAlign w:val="center"/>
            <w:hideMark/>
          </w:tcPr>
          <w:p w14:paraId="7C79E10D" w14:textId="77777777" w:rsidR="0089263D" w:rsidRPr="004A0DF4" w:rsidRDefault="0089263D" w:rsidP="0089263D">
            <w:pPr>
              <w:spacing w:before="0" w:after="0" w:line="240" w:lineRule="auto"/>
              <w:rPr>
                <w:rFonts w:cs="Arial"/>
                <w:b/>
                <w:color w:val="FFFFFF"/>
                <w:sz w:val="16"/>
                <w:szCs w:val="16"/>
                <w:lang w:eastAsia="en-AU"/>
              </w:rPr>
            </w:pPr>
            <w:r w:rsidRPr="004A0DF4">
              <w:rPr>
                <w:rFonts w:cs="Arial"/>
                <w:b/>
                <w:color w:val="FFFFFF"/>
                <w:sz w:val="16"/>
                <w:szCs w:val="16"/>
                <w:lang w:eastAsia="en-AU"/>
              </w:rPr>
              <w:t>Company</w:t>
            </w:r>
          </w:p>
        </w:tc>
        <w:tc>
          <w:tcPr>
            <w:tcW w:w="1275" w:type="dxa"/>
            <w:tcBorders>
              <w:top w:val="nil"/>
              <w:left w:val="nil"/>
              <w:bottom w:val="nil"/>
              <w:right w:val="nil"/>
            </w:tcBorders>
            <w:shd w:val="clear" w:color="000000" w:fill="064EA8"/>
            <w:tcMar>
              <w:top w:w="28" w:type="dxa"/>
              <w:bottom w:w="28" w:type="dxa"/>
            </w:tcMar>
            <w:vAlign w:val="center"/>
            <w:hideMark/>
          </w:tcPr>
          <w:p w14:paraId="6ABBA189" w14:textId="77777777" w:rsidR="0089263D" w:rsidRPr="004A0DF4" w:rsidRDefault="0089263D" w:rsidP="0089263D">
            <w:pPr>
              <w:spacing w:before="0" w:after="0" w:line="240" w:lineRule="auto"/>
              <w:rPr>
                <w:rFonts w:cs="Arial"/>
                <w:b/>
                <w:color w:val="FFFFFF"/>
                <w:sz w:val="16"/>
                <w:szCs w:val="16"/>
                <w:lang w:eastAsia="en-AU"/>
              </w:rPr>
            </w:pPr>
            <w:r w:rsidRPr="004A0DF4">
              <w:rPr>
                <w:rFonts w:cs="Arial"/>
                <w:b/>
                <w:color w:val="FFFFFF"/>
                <w:sz w:val="16"/>
                <w:szCs w:val="16"/>
                <w:lang w:eastAsia="en-AU"/>
              </w:rPr>
              <w:t>Status</w:t>
            </w:r>
          </w:p>
        </w:tc>
      </w:tr>
      <w:tr w:rsidR="004438A5" w:rsidRPr="001F7554" w14:paraId="273D3803"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621A1BD1"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W</w:t>
            </w:r>
            <w:r w:rsidR="004438A5" w:rsidRPr="001F7554">
              <w:rPr>
                <w:rFonts w:cs="Arial"/>
                <w:sz w:val="16"/>
                <w:szCs w:val="16"/>
                <w:lang w:eastAsia="en-AU"/>
              </w:rPr>
              <w:t>angoom</w:t>
            </w:r>
            <w:r w:rsidR="004438A5">
              <w:rPr>
                <w:rFonts w:cs="Arial"/>
                <w:sz w:val="16"/>
                <w:szCs w:val="16"/>
                <w:lang w:eastAsia="en-AU"/>
              </w:rPr>
              <w:t>-</w:t>
            </w:r>
            <w:r w:rsidRPr="001F7554">
              <w:rPr>
                <w:rFonts w:cs="Arial"/>
                <w:sz w:val="16"/>
                <w:szCs w:val="16"/>
                <w:lang w:eastAsia="en-AU"/>
              </w:rPr>
              <w:t>2</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1EAA1631"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1960</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7E22138A"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Groundwater</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7C5488BE"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1288</w:t>
            </w:r>
          </w:p>
        </w:tc>
        <w:tc>
          <w:tcPr>
            <w:tcW w:w="1417" w:type="dxa"/>
            <w:tcBorders>
              <w:top w:val="nil"/>
              <w:left w:val="nil"/>
              <w:bottom w:val="single" w:sz="4" w:space="0" w:color="064EA8"/>
              <w:right w:val="nil"/>
            </w:tcBorders>
            <w:shd w:val="clear" w:color="auto" w:fill="auto"/>
            <w:noWrap/>
            <w:tcMar>
              <w:top w:w="28" w:type="dxa"/>
              <w:bottom w:w="28" w:type="dxa"/>
            </w:tcMar>
            <w:vAlign w:val="center"/>
            <w:hideMark/>
          </w:tcPr>
          <w:p w14:paraId="520EEBB7" w14:textId="77777777" w:rsidR="0089263D" w:rsidRPr="001F7554" w:rsidRDefault="00786335" w:rsidP="0089263D">
            <w:pPr>
              <w:spacing w:before="0" w:after="0" w:line="240" w:lineRule="auto"/>
              <w:rPr>
                <w:rFonts w:cs="Arial"/>
                <w:sz w:val="16"/>
                <w:szCs w:val="16"/>
                <w:lang w:eastAsia="en-AU"/>
              </w:rPr>
            </w:pPr>
            <w:r>
              <w:rPr>
                <w:rFonts w:cs="Arial"/>
                <w:sz w:val="16"/>
                <w:szCs w:val="16"/>
                <w:lang w:eastAsia="en-AU"/>
              </w:rPr>
              <w:t>Eumeralla Formation</w:t>
            </w:r>
          </w:p>
        </w:tc>
        <w:tc>
          <w:tcPr>
            <w:tcW w:w="1985" w:type="dxa"/>
            <w:tcBorders>
              <w:top w:val="nil"/>
              <w:left w:val="nil"/>
              <w:bottom w:val="single" w:sz="4" w:space="0" w:color="064EA8"/>
              <w:right w:val="nil"/>
            </w:tcBorders>
            <w:shd w:val="clear" w:color="auto" w:fill="auto"/>
            <w:noWrap/>
            <w:tcMar>
              <w:top w:w="28" w:type="dxa"/>
              <w:bottom w:w="28" w:type="dxa"/>
            </w:tcMar>
            <w:vAlign w:val="center"/>
            <w:hideMark/>
          </w:tcPr>
          <w:p w14:paraId="2175ADB7"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Department of Manufacturing and Industry Development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3A95FDFA"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 </w:t>
            </w:r>
            <w:r w:rsidR="00CF43EA">
              <w:rPr>
                <w:rFonts w:cs="Arial"/>
                <w:sz w:val="16"/>
                <w:szCs w:val="16"/>
                <w:lang w:eastAsia="en-AU"/>
              </w:rPr>
              <w:t>NA</w:t>
            </w:r>
          </w:p>
        </w:tc>
      </w:tr>
      <w:tr w:rsidR="004438A5" w:rsidRPr="001F7554" w14:paraId="775E2310"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729A9CE9"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M</w:t>
            </w:r>
            <w:r w:rsidR="004438A5" w:rsidRPr="001F7554">
              <w:rPr>
                <w:rFonts w:cs="Arial"/>
                <w:sz w:val="16"/>
                <w:szCs w:val="16"/>
                <w:lang w:eastAsia="en-AU"/>
              </w:rPr>
              <w:t>epunga</w:t>
            </w:r>
            <w:r w:rsidR="004438A5">
              <w:rPr>
                <w:rFonts w:cs="Arial"/>
                <w:sz w:val="16"/>
                <w:szCs w:val="16"/>
                <w:lang w:eastAsia="en-AU"/>
              </w:rPr>
              <w:t>-</w:t>
            </w:r>
            <w:r w:rsidRPr="001F7554">
              <w:rPr>
                <w:rFonts w:cs="Arial"/>
                <w:sz w:val="16"/>
                <w:szCs w:val="16"/>
                <w:lang w:eastAsia="en-AU"/>
              </w:rPr>
              <w:t>10</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30827DF9"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1964</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19277F85"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Groundwater</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1B53BE6D"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1829</w:t>
            </w:r>
          </w:p>
        </w:tc>
        <w:tc>
          <w:tcPr>
            <w:tcW w:w="1417" w:type="dxa"/>
            <w:tcBorders>
              <w:top w:val="nil"/>
              <w:left w:val="nil"/>
              <w:bottom w:val="single" w:sz="4" w:space="0" w:color="064EA8"/>
              <w:right w:val="nil"/>
            </w:tcBorders>
            <w:shd w:val="clear" w:color="auto" w:fill="auto"/>
            <w:noWrap/>
            <w:tcMar>
              <w:top w:w="28" w:type="dxa"/>
              <w:bottom w:w="28" w:type="dxa"/>
            </w:tcMar>
            <w:vAlign w:val="center"/>
            <w:hideMark/>
          </w:tcPr>
          <w:p w14:paraId="76BD1C68" w14:textId="77777777" w:rsidR="0089263D" w:rsidRPr="001F7554" w:rsidRDefault="00CF43EA" w:rsidP="0089263D">
            <w:pPr>
              <w:spacing w:before="0" w:after="0" w:line="240" w:lineRule="auto"/>
              <w:rPr>
                <w:rFonts w:cs="Arial"/>
                <w:sz w:val="16"/>
                <w:szCs w:val="16"/>
                <w:lang w:eastAsia="en-AU"/>
              </w:rPr>
            </w:pPr>
            <w:r>
              <w:rPr>
                <w:rFonts w:cs="Arial"/>
                <w:sz w:val="16"/>
                <w:szCs w:val="16"/>
                <w:lang w:eastAsia="en-AU"/>
              </w:rPr>
              <w:t>Eumeralla Formation</w:t>
            </w:r>
          </w:p>
        </w:tc>
        <w:tc>
          <w:tcPr>
            <w:tcW w:w="1985" w:type="dxa"/>
            <w:tcBorders>
              <w:top w:val="nil"/>
              <w:left w:val="nil"/>
              <w:bottom w:val="single" w:sz="4" w:space="0" w:color="064EA8"/>
              <w:right w:val="nil"/>
            </w:tcBorders>
            <w:shd w:val="clear" w:color="auto" w:fill="auto"/>
            <w:noWrap/>
            <w:tcMar>
              <w:top w:w="28" w:type="dxa"/>
              <w:bottom w:w="28" w:type="dxa"/>
            </w:tcMar>
            <w:vAlign w:val="center"/>
            <w:hideMark/>
          </w:tcPr>
          <w:p w14:paraId="4FF7C68E"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Department of Manufacturing and Industry Development</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6F890A54"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 </w:t>
            </w:r>
            <w:r w:rsidR="00CF43EA">
              <w:rPr>
                <w:rFonts w:cs="Arial"/>
                <w:sz w:val="16"/>
                <w:szCs w:val="16"/>
                <w:lang w:eastAsia="en-AU"/>
              </w:rPr>
              <w:t>NA</w:t>
            </w:r>
          </w:p>
        </w:tc>
      </w:tr>
      <w:tr w:rsidR="004438A5" w:rsidRPr="001F7554" w14:paraId="58DAA17A"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7174020A"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H</w:t>
            </w:r>
            <w:r w:rsidR="004438A5" w:rsidRPr="001F7554">
              <w:rPr>
                <w:rFonts w:cs="Arial"/>
                <w:sz w:val="16"/>
                <w:szCs w:val="16"/>
                <w:lang w:eastAsia="en-AU"/>
              </w:rPr>
              <w:t>owmains</w:t>
            </w:r>
            <w:r w:rsidR="004438A5">
              <w:rPr>
                <w:rFonts w:cs="Arial"/>
                <w:sz w:val="16"/>
                <w:szCs w:val="16"/>
                <w:lang w:eastAsia="en-AU"/>
              </w:rPr>
              <w:t>-</w:t>
            </w:r>
            <w:r w:rsidRPr="001F7554">
              <w:rPr>
                <w:rFonts w:cs="Arial"/>
                <w:sz w:val="16"/>
                <w:szCs w:val="16"/>
                <w:lang w:eastAsia="en-AU"/>
              </w:rPr>
              <w:t>1</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0A7F22C3"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1994</w:t>
            </w:r>
          </w:p>
        </w:tc>
        <w:tc>
          <w:tcPr>
            <w:tcW w:w="1418" w:type="dxa"/>
            <w:tcBorders>
              <w:top w:val="nil"/>
              <w:left w:val="nil"/>
              <w:bottom w:val="single" w:sz="4" w:space="0" w:color="064EA8"/>
              <w:right w:val="nil"/>
            </w:tcBorders>
            <w:shd w:val="clear" w:color="auto" w:fill="auto"/>
            <w:noWrap/>
            <w:tcMar>
              <w:top w:w="28" w:type="dxa"/>
              <w:bottom w:w="28" w:type="dxa"/>
            </w:tcMar>
            <w:vAlign w:val="center"/>
            <w:hideMark/>
          </w:tcPr>
          <w:p w14:paraId="4A654052"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hideMark/>
          </w:tcPr>
          <w:p w14:paraId="29616D72"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2150</w:t>
            </w:r>
          </w:p>
        </w:tc>
        <w:tc>
          <w:tcPr>
            <w:tcW w:w="1417" w:type="dxa"/>
            <w:tcBorders>
              <w:top w:val="nil"/>
              <w:left w:val="nil"/>
              <w:bottom w:val="single" w:sz="4" w:space="0" w:color="064EA8"/>
              <w:right w:val="nil"/>
            </w:tcBorders>
            <w:shd w:val="clear" w:color="auto" w:fill="auto"/>
            <w:noWrap/>
            <w:tcMar>
              <w:top w:w="28" w:type="dxa"/>
              <w:bottom w:w="28" w:type="dxa"/>
            </w:tcMar>
            <w:vAlign w:val="center"/>
            <w:hideMark/>
          </w:tcPr>
          <w:p w14:paraId="19B07839" w14:textId="77777777" w:rsidR="0089263D" w:rsidRPr="001F7554" w:rsidRDefault="00786335" w:rsidP="0089263D">
            <w:pPr>
              <w:spacing w:before="0" w:after="0" w:line="240" w:lineRule="auto"/>
              <w:rPr>
                <w:rFonts w:cs="Arial"/>
                <w:sz w:val="16"/>
                <w:szCs w:val="16"/>
                <w:lang w:eastAsia="en-AU"/>
              </w:rPr>
            </w:pPr>
            <w:r>
              <w:rPr>
                <w:rFonts w:cs="Arial"/>
                <w:sz w:val="16"/>
                <w:szCs w:val="16"/>
                <w:lang w:eastAsia="en-AU"/>
              </w:rPr>
              <w:t>Eumeralla Formation</w:t>
            </w:r>
          </w:p>
        </w:tc>
        <w:tc>
          <w:tcPr>
            <w:tcW w:w="1985" w:type="dxa"/>
            <w:tcBorders>
              <w:top w:val="nil"/>
              <w:left w:val="nil"/>
              <w:bottom w:val="single" w:sz="4" w:space="0" w:color="064EA8"/>
              <w:right w:val="nil"/>
            </w:tcBorders>
            <w:shd w:val="clear" w:color="auto" w:fill="auto"/>
            <w:noWrap/>
            <w:tcMar>
              <w:top w:w="28" w:type="dxa"/>
              <w:bottom w:w="28" w:type="dxa"/>
            </w:tcMar>
            <w:vAlign w:val="center"/>
            <w:hideMark/>
          </w:tcPr>
          <w:p w14:paraId="2200D2F7"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GFE Resources Limited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4AA004F"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Strong Gas Show</w:t>
            </w:r>
          </w:p>
        </w:tc>
      </w:tr>
      <w:tr w:rsidR="004438A5" w:rsidRPr="001F7554" w14:paraId="4991CDD9"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tcPr>
          <w:p w14:paraId="5671A9CC" w14:textId="77777777" w:rsidR="0089263D" w:rsidRPr="001F7554" w:rsidRDefault="001C348F" w:rsidP="0089263D">
            <w:pPr>
              <w:spacing w:before="0" w:after="0" w:line="240" w:lineRule="auto"/>
              <w:rPr>
                <w:rFonts w:cs="Arial"/>
                <w:sz w:val="16"/>
                <w:szCs w:val="16"/>
                <w:lang w:eastAsia="en-AU"/>
              </w:rPr>
            </w:pPr>
            <w:r>
              <w:rPr>
                <w:rFonts w:cs="Arial"/>
                <w:sz w:val="16"/>
                <w:szCs w:val="16"/>
                <w:lang w:eastAsia="en-AU"/>
              </w:rPr>
              <w:t xml:space="preserve">Halladale-1 </w:t>
            </w:r>
            <w:r w:rsidR="004438A5">
              <w:rPr>
                <w:rFonts w:cs="Arial"/>
                <w:sz w:val="16"/>
                <w:szCs w:val="16"/>
                <w:lang w:eastAsia="en-AU"/>
              </w:rPr>
              <w:t>DW</w:t>
            </w:r>
            <w:r>
              <w:rPr>
                <w:rFonts w:cs="Arial"/>
                <w:sz w:val="16"/>
                <w:szCs w:val="16"/>
                <w:lang w:eastAsia="en-AU"/>
              </w:rPr>
              <w:t>1</w:t>
            </w:r>
          </w:p>
        </w:tc>
        <w:tc>
          <w:tcPr>
            <w:tcW w:w="850" w:type="dxa"/>
            <w:tcBorders>
              <w:top w:val="nil"/>
              <w:left w:val="nil"/>
              <w:bottom w:val="single" w:sz="4" w:space="0" w:color="064EA8"/>
              <w:right w:val="nil"/>
            </w:tcBorders>
            <w:shd w:val="clear" w:color="auto" w:fill="auto"/>
            <w:noWrap/>
            <w:tcMar>
              <w:top w:w="28" w:type="dxa"/>
              <w:bottom w:w="28" w:type="dxa"/>
            </w:tcMar>
            <w:vAlign w:val="center"/>
          </w:tcPr>
          <w:p w14:paraId="618BE733" w14:textId="77777777" w:rsidR="0089263D" w:rsidRPr="001F7554" w:rsidRDefault="004438A5" w:rsidP="0089263D">
            <w:pPr>
              <w:spacing w:before="0" w:after="0" w:line="240" w:lineRule="auto"/>
              <w:rPr>
                <w:rFonts w:cs="Arial"/>
                <w:sz w:val="16"/>
                <w:szCs w:val="16"/>
                <w:lang w:eastAsia="en-AU"/>
              </w:rPr>
            </w:pPr>
            <w:r>
              <w:rPr>
                <w:rFonts w:cs="Arial"/>
                <w:sz w:val="16"/>
                <w:szCs w:val="16"/>
                <w:lang w:eastAsia="en-AU"/>
              </w:rPr>
              <w:t>2005</w:t>
            </w:r>
          </w:p>
        </w:tc>
        <w:tc>
          <w:tcPr>
            <w:tcW w:w="1418" w:type="dxa"/>
            <w:tcBorders>
              <w:top w:val="nil"/>
              <w:left w:val="nil"/>
              <w:bottom w:val="single" w:sz="4" w:space="0" w:color="064EA8"/>
              <w:right w:val="nil"/>
            </w:tcBorders>
            <w:shd w:val="clear" w:color="auto" w:fill="auto"/>
            <w:noWrap/>
            <w:tcMar>
              <w:top w:w="28" w:type="dxa"/>
              <w:bottom w:w="28" w:type="dxa"/>
            </w:tcMar>
            <w:vAlign w:val="center"/>
          </w:tcPr>
          <w:p w14:paraId="4F31858A" w14:textId="77777777" w:rsidR="0089263D" w:rsidRPr="001F7554" w:rsidRDefault="004438A5" w:rsidP="0089263D">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tcPr>
          <w:p w14:paraId="39DCDC32" w14:textId="77777777" w:rsidR="0089263D" w:rsidRPr="001F7554" w:rsidRDefault="004438A5" w:rsidP="0089263D">
            <w:pPr>
              <w:spacing w:before="0" w:after="0" w:line="240" w:lineRule="auto"/>
              <w:rPr>
                <w:rFonts w:cs="Arial"/>
                <w:sz w:val="16"/>
                <w:szCs w:val="16"/>
                <w:lang w:eastAsia="en-AU"/>
              </w:rPr>
            </w:pPr>
            <w:r>
              <w:rPr>
                <w:rFonts w:cs="Arial"/>
                <w:sz w:val="16"/>
                <w:szCs w:val="16"/>
                <w:lang w:eastAsia="en-AU"/>
              </w:rPr>
              <w:t>1918</w:t>
            </w:r>
          </w:p>
        </w:tc>
        <w:tc>
          <w:tcPr>
            <w:tcW w:w="1417" w:type="dxa"/>
            <w:tcBorders>
              <w:top w:val="nil"/>
              <w:left w:val="nil"/>
              <w:bottom w:val="single" w:sz="4" w:space="0" w:color="064EA8"/>
              <w:right w:val="nil"/>
            </w:tcBorders>
            <w:shd w:val="clear" w:color="auto" w:fill="auto"/>
            <w:noWrap/>
            <w:tcMar>
              <w:top w:w="28" w:type="dxa"/>
              <w:bottom w:w="28" w:type="dxa"/>
            </w:tcMar>
            <w:vAlign w:val="center"/>
          </w:tcPr>
          <w:p w14:paraId="68F83491" w14:textId="77777777" w:rsidR="0089263D" w:rsidRPr="001F7554" w:rsidRDefault="004438A5" w:rsidP="0089263D">
            <w:pPr>
              <w:spacing w:before="0" w:after="0" w:line="240" w:lineRule="auto"/>
              <w:rPr>
                <w:rFonts w:cs="Arial"/>
                <w:sz w:val="16"/>
                <w:szCs w:val="16"/>
                <w:lang w:eastAsia="en-AU"/>
              </w:rPr>
            </w:pPr>
            <w:r>
              <w:rPr>
                <w:rFonts w:cs="Arial"/>
                <w:sz w:val="16"/>
                <w:szCs w:val="16"/>
                <w:lang w:eastAsia="en-AU"/>
              </w:rPr>
              <w:t>Eumeralla Formation</w:t>
            </w:r>
          </w:p>
        </w:tc>
        <w:tc>
          <w:tcPr>
            <w:tcW w:w="1985" w:type="dxa"/>
            <w:tcBorders>
              <w:top w:val="nil"/>
              <w:left w:val="nil"/>
              <w:bottom w:val="single" w:sz="4" w:space="0" w:color="064EA8"/>
              <w:right w:val="nil"/>
            </w:tcBorders>
            <w:shd w:val="clear" w:color="auto" w:fill="auto"/>
            <w:noWrap/>
            <w:tcMar>
              <w:top w:w="28" w:type="dxa"/>
              <w:bottom w:w="28" w:type="dxa"/>
            </w:tcMar>
            <w:vAlign w:val="center"/>
          </w:tcPr>
          <w:p w14:paraId="150586AE" w14:textId="77777777" w:rsidR="0089263D" w:rsidRPr="001F7554" w:rsidRDefault="004438A5" w:rsidP="0089263D">
            <w:pPr>
              <w:spacing w:before="0" w:after="0" w:line="240" w:lineRule="auto"/>
              <w:rPr>
                <w:rFonts w:cs="Arial"/>
                <w:sz w:val="16"/>
                <w:szCs w:val="16"/>
                <w:lang w:eastAsia="en-AU"/>
              </w:rPr>
            </w:pPr>
            <w:r w:rsidRPr="001F7554">
              <w:rPr>
                <w:rFonts w:cs="Arial"/>
                <w:sz w:val="16"/>
                <w:szCs w:val="16"/>
                <w:lang w:eastAsia="en-AU"/>
              </w:rPr>
              <w:t>Origin Energy Resources Limited</w:t>
            </w:r>
          </w:p>
        </w:tc>
        <w:tc>
          <w:tcPr>
            <w:tcW w:w="1275" w:type="dxa"/>
            <w:tcBorders>
              <w:top w:val="nil"/>
              <w:left w:val="nil"/>
              <w:bottom w:val="single" w:sz="4" w:space="0" w:color="064EA8"/>
              <w:right w:val="nil"/>
            </w:tcBorders>
            <w:shd w:val="clear" w:color="auto" w:fill="auto"/>
            <w:noWrap/>
            <w:tcMar>
              <w:top w:w="28" w:type="dxa"/>
              <w:bottom w:w="28" w:type="dxa"/>
            </w:tcMar>
            <w:vAlign w:val="center"/>
          </w:tcPr>
          <w:p w14:paraId="100C7930" w14:textId="77777777" w:rsidR="0089263D" w:rsidRPr="001F7554" w:rsidRDefault="004438A5" w:rsidP="0089263D">
            <w:pPr>
              <w:spacing w:before="0" w:after="0" w:line="240" w:lineRule="auto"/>
              <w:rPr>
                <w:rFonts w:cs="Arial"/>
                <w:sz w:val="16"/>
                <w:szCs w:val="16"/>
                <w:lang w:eastAsia="en-AU"/>
              </w:rPr>
            </w:pPr>
            <w:r>
              <w:rPr>
                <w:rFonts w:cs="Arial"/>
                <w:sz w:val="16"/>
                <w:szCs w:val="16"/>
                <w:lang w:eastAsia="en-AU"/>
              </w:rPr>
              <w:t>Gas well/ discovery</w:t>
            </w:r>
          </w:p>
        </w:tc>
      </w:tr>
      <w:tr w:rsidR="004438A5" w:rsidRPr="001F7554" w14:paraId="088FBB24"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tcPr>
          <w:p w14:paraId="7992EC7F" w14:textId="77777777" w:rsidR="004438A5" w:rsidRDefault="001C348F" w:rsidP="0089263D">
            <w:pPr>
              <w:spacing w:before="0" w:after="0" w:line="240" w:lineRule="auto"/>
              <w:rPr>
                <w:rFonts w:cs="Arial"/>
                <w:sz w:val="16"/>
                <w:szCs w:val="16"/>
                <w:lang w:eastAsia="en-AU"/>
              </w:rPr>
            </w:pPr>
            <w:r>
              <w:rPr>
                <w:rFonts w:cs="Arial"/>
                <w:sz w:val="16"/>
                <w:szCs w:val="16"/>
                <w:lang w:eastAsia="en-AU"/>
              </w:rPr>
              <w:t>Halladale-1</w:t>
            </w:r>
            <w:r w:rsidR="004438A5">
              <w:rPr>
                <w:rFonts w:cs="Arial"/>
                <w:sz w:val="16"/>
                <w:szCs w:val="16"/>
                <w:lang w:eastAsia="en-AU"/>
              </w:rPr>
              <w:t xml:space="preserve"> DW</w:t>
            </w:r>
            <w:r>
              <w:rPr>
                <w:rFonts w:cs="Arial"/>
                <w:sz w:val="16"/>
                <w:szCs w:val="16"/>
                <w:lang w:eastAsia="en-AU"/>
              </w:rPr>
              <w:t>2</w:t>
            </w:r>
          </w:p>
        </w:tc>
        <w:tc>
          <w:tcPr>
            <w:tcW w:w="850" w:type="dxa"/>
            <w:tcBorders>
              <w:top w:val="nil"/>
              <w:left w:val="nil"/>
              <w:bottom w:val="single" w:sz="4" w:space="0" w:color="064EA8"/>
              <w:right w:val="nil"/>
            </w:tcBorders>
            <w:shd w:val="clear" w:color="auto" w:fill="auto"/>
            <w:noWrap/>
            <w:tcMar>
              <w:top w:w="28" w:type="dxa"/>
              <w:bottom w:w="28" w:type="dxa"/>
            </w:tcMar>
            <w:vAlign w:val="center"/>
          </w:tcPr>
          <w:p w14:paraId="1487CF35" w14:textId="77777777" w:rsidR="004438A5" w:rsidRPr="001F7554" w:rsidRDefault="004438A5" w:rsidP="0089263D">
            <w:pPr>
              <w:spacing w:before="0" w:after="0" w:line="240" w:lineRule="auto"/>
              <w:rPr>
                <w:rFonts w:cs="Arial"/>
                <w:sz w:val="16"/>
                <w:szCs w:val="16"/>
                <w:lang w:eastAsia="en-AU"/>
              </w:rPr>
            </w:pPr>
            <w:r>
              <w:rPr>
                <w:rFonts w:cs="Arial"/>
                <w:sz w:val="16"/>
                <w:szCs w:val="16"/>
                <w:lang w:eastAsia="en-AU"/>
              </w:rPr>
              <w:t>2005</w:t>
            </w:r>
          </w:p>
        </w:tc>
        <w:tc>
          <w:tcPr>
            <w:tcW w:w="1418" w:type="dxa"/>
            <w:tcBorders>
              <w:top w:val="nil"/>
              <w:left w:val="nil"/>
              <w:bottom w:val="single" w:sz="4" w:space="0" w:color="064EA8"/>
              <w:right w:val="nil"/>
            </w:tcBorders>
            <w:shd w:val="clear" w:color="auto" w:fill="auto"/>
            <w:noWrap/>
            <w:tcMar>
              <w:top w:w="28" w:type="dxa"/>
              <w:bottom w:w="28" w:type="dxa"/>
            </w:tcMar>
            <w:vAlign w:val="center"/>
          </w:tcPr>
          <w:p w14:paraId="3924DC87" w14:textId="77777777" w:rsidR="004438A5" w:rsidRPr="001F7554" w:rsidRDefault="004438A5" w:rsidP="0089263D">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4" w:space="0" w:color="064EA8"/>
              <w:right w:val="nil"/>
            </w:tcBorders>
            <w:shd w:val="clear" w:color="auto" w:fill="auto"/>
            <w:noWrap/>
            <w:tcMar>
              <w:top w:w="28" w:type="dxa"/>
              <w:bottom w:w="28" w:type="dxa"/>
            </w:tcMar>
            <w:vAlign w:val="center"/>
          </w:tcPr>
          <w:p w14:paraId="562CEA54" w14:textId="77777777" w:rsidR="004438A5" w:rsidRPr="001F7554" w:rsidRDefault="004438A5" w:rsidP="0089263D">
            <w:pPr>
              <w:spacing w:before="0" w:after="0" w:line="240" w:lineRule="auto"/>
              <w:rPr>
                <w:rFonts w:cs="Arial"/>
                <w:sz w:val="16"/>
                <w:szCs w:val="16"/>
                <w:lang w:eastAsia="en-AU"/>
              </w:rPr>
            </w:pPr>
            <w:r>
              <w:rPr>
                <w:rFonts w:cs="Arial"/>
                <w:sz w:val="16"/>
                <w:szCs w:val="16"/>
                <w:lang w:eastAsia="en-AU"/>
              </w:rPr>
              <w:t>1941</w:t>
            </w:r>
          </w:p>
        </w:tc>
        <w:tc>
          <w:tcPr>
            <w:tcW w:w="1417" w:type="dxa"/>
            <w:tcBorders>
              <w:top w:val="nil"/>
              <w:left w:val="nil"/>
              <w:bottom w:val="single" w:sz="4" w:space="0" w:color="064EA8"/>
              <w:right w:val="nil"/>
            </w:tcBorders>
            <w:shd w:val="clear" w:color="auto" w:fill="auto"/>
            <w:noWrap/>
            <w:tcMar>
              <w:top w:w="28" w:type="dxa"/>
              <w:bottom w:w="28" w:type="dxa"/>
            </w:tcMar>
            <w:vAlign w:val="center"/>
          </w:tcPr>
          <w:p w14:paraId="142676B4" w14:textId="77777777" w:rsidR="004438A5" w:rsidRPr="001F7554" w:rsidRDefault="004438A5" w:rsidP="0089263D">
            <w:pPr>
              <w:spacing w:before="0" w:after="0" w:line="240" w:lineRule="auto"/>
              <w:rPr>
                <w:rFonts w:cs="Arial"/>
                <w:sz w:val="16"/>
                <w:szCs w:val="16"/>
                <w:lang w:eastAsia="en-AU"/>
              </w:rPr>
            </w:pPr>
            <w:r>
              <w:rPr>
                <w:rFonts w:cs="Arial"/>
                <w:sz w:val="16"/>
                <w:szCs w:val="16"/>
                <w:lang w:eastAsia="en-AU"/>
              </w:rPr>
              <w:t>Eumeralla Formation</w:t>
            </w:r>
          </w:p>
        </w:tc>
        <w:tc>
          <w:tcPr>
            <w:tcW w:w="1985" w:type="dxa"/>
            <w:tcBorders>
              <w:top w:val="nil"/>
              <w:left w:val="nil"/>
              <w:bottom w:val="single" w:sz="4" w:space="0" w:color="064EA8"/>
              <w:right w:val="nil"/>
            </w:tcBorders>
            <w:shd w:val="clear" w:color="auto" w:fill="auto"/>
            <w:noWrap/>
            <w:tcMar>
              <w:top w:w="28" w:type="dxa"/>
              <w:bottom w:w="28" w:type="dxa"/>
            </w:tcMar>
            <w:vAlign w:val="center"/>
          </w:tcPr>
          <w:p w14:paraId="22A4973B" w14:textId="77777777" w:rsidR="004438A5" w:rsidRPr="001F7554" w:rsidRDefault="004438A5" w:rsidP="0089263D">
            <w:pPr>
              <w:spacing w:before="0" w:after="0" w:line="240" w:lineRule="auto"/>
              <w:rPr>
                <w:rFonts w:cs="Arial"/>
                <w:sz w:val="16"/>
                <w:szCs w:val="16"/>
                <w:lang w:eastAsia="en-AU"/>
              </w:rPr>
            </w:pPr>
            <w:r w:rsidRPr="001F7554">
              <w:rPr>
                <w:rFonts w:cs="Arial"/>
                <w:sz w:val="16"/>
                <w:szCs w:val="16"/>
                <w:lang w:eastAsia="en-AU"/>
              </w:rPr>
              <w:t>Origin Energy Resources Limited</w:t>
            </w:r>
          </w:p>
        </w:tc>
        <w:tc>
          <w:tcPr>
            <w:tcW w:w="1275" w:type="dxa"/>
            <w:tcBorders>
              <w:top w:val="nil"/>
              <w:left w:val="nil"/>
              <w:bottom w:val="single" w:sz="4" w:space="0" w:color="064EA8"/>
              <w:right w:val="nil"/>
            </w:tcBorders>
            <w:shd w:val="clear" w:color="auto" w:fill="auto"/>
            <w:noWrap/>
            <w:tcMar>
              <w:top w:w="28" w:type="dxa"/>
              <w:bottom w:w="28" w:type="dxa"/>
            </w:tcMar>
            <w:vAlign w:val="center"/>
          </w:tcPr>
          <w:p w14:paraId="1F4A82FC" w14:textId="77777777" w:rsidR="004438A5" w:rsidRPr="001F7554" w:rsidRDefault="004438A5" w:rsidP="0089263D">
            <w:pPr>
              <w:spacing w:before="0" w:after="0" w:line="240" w:lineRule="auto"/>
              <w:rPr>
                <w:rFonts w:cs="Arial"/>
                <w:sz w:val="16"/>
                <w:szCs w:val="16"/>
                <w:lang w:eastAsia="en-AU"/>
              </w:rPr>
            </w:pPr>
            <w:r>
              <w:rPr>
                <w:rFonts w:cs="Arial"/>
                <w:sz w:val="16"/>
                <w:szCs w:val="16"/>
                <w:lang w:eastAsia="en-AU"/>
              </w:rPr>
              <w:t>Gas well/ discovery</w:t>
            </w:r>
          </w:p>
        </w:tc>
      </w:tr>
      <w:tr w:rsidR="004438A5" w:rsidRPr="001F7554" w14:paraId="327A2F46" w14:textId="77777777" w:rsidTr="00E674E5">
        <w:trPr>
          <w:trHeight w:val="255"/>
        </w:trPr>
        <w:tc>
          <w:tcPr>
            <w:tcW w:w="1433" w:type="dxa"/>
            <w:tcBorders>
              <w:top w:val="nil"/>
              <w:left w:val="nil"/>
              <w:bottom w:val="single" w:sz="6" w:space="0" w:color="064EA8"/>
              <w:right w:val="nil"/>
            </w:tcBorders>
            <w:shd w:val="clear" w:color="auto" w:fill="auto"/>
            <w:noWrap/>
            <w:tcMar>
              <w:top w:w="28" w:type="dxa"/>
              <w:bottom w:w="28" w:type="dxa"/>
            </w:tcMar>
            <w:vAlign w:val="center"/>
            <w:hideMark/>
          </w:tcPr>
          <w:p w14:paraId="0D0B1365" w14:textId="77777777" w:rsidR="0089263D" w:rsidRPr="001F7554" w:rsidRDefault="001C348F" w:rsidP="0089263D">
            <w:pPr>
              <w:spacing w:before="0" w:after="0" w:line="240" w:lineRule="auto"/>
              <w:rPr>
                <w:rFonts w:cs="Arial"/>
                <w:sz w:val="16"/>
                <w:szCs w:val="16"/>
                <w:lang w:eastAsia="en-AU"/>
              </w:rPr>
            </w:pPr>
            <w:r>
              <w:rPr>
                <w:rFonts w:cs="Arial"/>
                <w:sz w:val="16"/>
                <w:szCs w:val="16"/>
                <w:lang w:eastAsia="en-AU"/>
              </w:rPr>
              <w:t>Halladale-1</w:t>
            </w:r>
            <w:r w:rsidR="004438A5">
              <w:rPr>
                <w:rFonts w:cs="Arial"/>
                <w:sz w:val="16"/>
                <w:szCs w:val="16"/>
                <w:lang w:eastAsia="en-AU"/>
              </w:rPr>
              <w:t xml:space="preserve"> DW</w:t>
            </w:r>
            <w:r>
              <w:rPr>
                <w:rFonts w:cs="Arial"/>
                <w:sz w:val="16"/>
                <w:szCs w:val="16"/>
                <w:lang w:eastAsia="en-AU"/>
              </w:rPr>
              <w:t>3</w:t>
            </w:r>
          </w:p>
        </w:tc>
        <w:tc>
          <w:tcPr>
            <w:tcW w:w="850" w:type="dxa"/>
            <w:tcBorders>
              <w:top w:val="nil"/>
              <w:left w:val="nil"/>
              <w:bottom w:val="single" w:sz="6" w:space="0" w:color="064EA8"/>
              <w:right w:val="nil"/>
            </w:tcBorders>
            <w:shd w:val="clear" w:color="auto" w:fill="auto"/>
            <w:noWrap/>
            <w:tcMar>
              <w:top w:w="28" w:type="dxa"/>
              <w:bottom w:w="28" w:type="dxa"/>
            </w:tcMar>
            <w:vAlign w:val="center"/>
            <w:hideMark/>
          </w:tcPr>
          <w:p w14:paraId="7CF3CFD2"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2005</w:t>
            </w:r>
          </w:p>
        </w:tc>
        <w:tc>
          <w:tcPr>
            <w:tcW w:w="1418" w:type="dxa"/>
            <w:tcBorders>
              <w:top w:val="nil"/>
              <w:left w:val="nil"/>
              <w:bottom w:val="single" w:sz="6" w:space="0" w:color="064EA8"/>
              <w:right w:val="nil"/>
            </w:tcBorders>
            <w:shd w:val="clear" w:color="auto" w:fill="auto"/>
            <w:noWrap/>
            <w:tcMar>
              <w:top w:w="28" w:type="dxa"/>
              <w:bottom w:w="28" w:type="dxa"/>
            </w:tcMar>
            <w:vAlign w:val="center"/>
            <w:hideMark/>
          </w:tcPr>
          <w:p w14:paraId="3078AC18"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Petroleum</w:t>
            </w:r>
          </w:p>
        </w:tc>
        <w:tc>
          <w:tcPr>
            <w:tcW w:w="709" w:type="dxa"/>
            <w:tcBorders>
              <w:top w:val="nil"/>
              <w:left w:val="nil"/>
              <w:bottom w:val="single" w:sz="6" w:space="0" w:color="064EA8"/>
              <w:right w:val="nil"/>
            </w:tcBorders>
            <w:shd w:val="clear" w:color="auto" w:fill="auto"/>
            <w:noWrap/>
            <w:tcMar>
              <w:top w:w="28" w:type="dxa"/>
              <w:bottom w:w="28" w:type="dxa"/>
            </w:tcMar>
            <w:vAlign w:val="center"/>
            <w:hideMark/>
          </w:tcPr>
          <w:p w14:paraId="206ED17D"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1969</w:t>
            </w:r>
          </w:p>
        </w:tc>
        <w:tc>
          <w:tcPr>
            <w:tcW w:w="1417" w:type="dxa"/>
            <w:tcBorders>
              <w:top w:val="nil"/>
              <w:left w:val="nil"/>
              <w:bottom w:val="single" w:sz="6" w:space="0" w:color="064EA8"/>
              <w:right w:val="nil"/>
            </w:tcBorders>
            <w:shd w:val="clear" w:color="auto" w:fill="auto"/>
            <w:noWrap/>
            <w:tcMar>
              <w:top w:w="28" w:type="dxa"/>
              <w:bottom w:w="28" w:type="dxa"/>
            </w:tcMar>
            <w:vAlign w:val="center"/>
            <w:hideMark/>
          </w:tcPr>
          <w:p w14:paraId="566767CC"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Waarre Formation</w:t>
            </w:r>
          </w:p>
        </w:tc>
        <w:tc>
          <w:tcPr>
            <w:tcW w:w="1985" w:type="dxa"/>
            <w:tcBorders>
              <w:top w:val="nil"/>
              <w:left w:val="nil"/>
              <w:bottom w:val="single" w:sz="6" w:space="0" w:color="064EA8"/>
              <w:right w:val="nil"/>
            </w:tcBorders>
            <w:shd w:val="clear" w:color="auto" w:fill="auto"/>
            <w:noWrap/>
            <w:tcMar>
              <w:top w:w="28" w:type="dxa"/>
              <w:bottom w:w="28" w:type="dxa"/>
            </w:tcMar>
            <w:vAlign w:val="center"/>
            <w:hideMark/>
          </w:tcPr>
          <w:p w14:paraId="5805F093" w14:textId="77777777" w:rsidR="0089263D" w:rsidRPr="001F7554" w:rsidRDefault="0089263D" w:rsidP="0089263D">
            <w:pPr>
              <w:spacing w:before="0" w:after="0" w:line="240" w:lineRule="auto"/>
              <w:rPr>
                <w:rFonts w:cs="Arial"/>
                <w:sz w:val="16"/>
                <w:szCs w:val="16"/>
                <w:lang w:eastAsia="en-AU"/>
              </w:rPr>
            </w:pPr>
            <w:r w:rsidRPr="001F7554">
              <w:rPr>
                <w:rFonts w:cs="Arial"/>
                <w:sz w:val="16"/>
                <w:szCs w:val="16"/>
                <w:lang w:eastAsia="en-AU"/>
              </w:rPr>
              <w:t>Origin Energy Resources Limited</w:t>
            </w:r>
          </w:p>
        </w:tc>
        <w:tc>
          <w:tcPr>
            <w:tcW w:w="1275" w:type="dxa"/>
            <w:tcBorders>
              <w:top w:val="nil"/>
              <w:left w:val="nil"/>
              <w:bottom w:val="single" w:sz="6" w:space="0" w:color="064EA8"/>
              <w:right w:val="nil"/>
            </w:tcBorders>
            <w:shd w:val="clear" w:color="auto" w:fill="auto"/>
            <w:noWrap/>
            <w:tcMar>
              <w:top w:w="28" w:type="dxa"/>
              <w:bottom w:w="28" w:type="dxa"/>
            </w:tcMar>
            <w:vAlign w:val="center"/>
            <w:hideMark/>
          </w:tcPr>
          <w:p w14:paraId="76EB0DB7" w14:textId="77777777" w:rsidR="0089263D" w:rsidRPr="001F7554" w:rsidRDefault="0026051B" w:rsidP="0089263D">
            <w:pPr>
              <w:spacing w:before="0" w:after="0" w:line="240" w:lineRule="auto"/>
              <w:rPr>
                <w:rFonts w:cs="Arial"/>
                <w:sz w:val="16"/>
                <w:szCs w:val="16"/>
                <w:lang w:eastAsia="en-AU"/>
              </w:rPr>
            </w:pPr>
            <w:r>
              <w:rPr>
                <w:rFonts w:cs="Arial"/>
                <w:sz w:val="16"/>
                <w:szCs w:val="16"/>
                <w:lang w:eastAsia="en-AU"/>
              </w:rPr>
              <w:t>Dry hole</w:t>
            </w:r>
          </w:p>
        </w:tc>
      </w:tr>
      <w:tr w:rsidR="001C348F" w:rsidRPr="001F7554" w14:paraId="0101B288" w14:textId="77777777" w:rsidTr="00E674E5">
        <w:trPr>
          <w:trHeight w:val="255"/>
        </w:trPr>
        <w:tc>
          <w:tcPr>
            <w:tcW w:w="1433" w:type="dxa"/>
            <w:tcBorders>
              <w:top w:val="single" w:sz="6" w:space="0" w:color="064EA8"/>
              <w:left w:val="nil"/>
              <w:bottom w:val="single" w:sz="4" w:space="0" w:color="064EA8"/>
              <w:right w:val="nil"/>
            </w:tcBorders>
            <w:shd w:val="clear" w:color="auto" w:fill="auto"/>
            <w:noWrap/>
            <w:tcMar>
              <w:top w:w="28" w:type="dxa"/>
              <w:bottom w:w="28" w:type="dxa"/>
            </w:tcMar>
            <w:vAlign w:val="center"/>
          </w:tcPr>
          <w:p w14:paraId="14746BC5" w14:textId="77777777" w:rsidR="001C348F" w:rsidRDefault="001C348F" w:rsidP="0089263D">
            <w:pPr>
              <w:spacing w:before="0" w:after="0" w:line="240" w:lineRule="auto"/>
              <w:rPr>
                <w:rFonts w:cs="Arial"/>
                <w:sz w:val="16"/>
                <w:szCs w:val="16"/>
                <w:lang w:eastAsia="en-AU"/>
              </w:rPr>
            </w:pPr>
            <w:r>
              <w:rPr>
                <w:rFonts w:cs="Arial"/>
                <w:sz w:val="16"/>
                <w:szCs w:val="16"/>
                <w:lang w:eastAsia="en-AU"/>
              </w:rPr>
              <w:t>Halladale-2</w:t>
            </w:r>
          </w:p>
        </w:tc>
        <w:tc>
          <w:tcPr>
            <w:tcW w:w="850" w:type="dxa"/>
            <w:tcBorders>
              <w:top w:val="single" w:sz="6" w:space="0" w:color="064EA8"/>
              <w:left w:val="nil"/>
              <w:bottom w:val="single" w:sz="4" w:space="0" w:color="064EA8"/>
              <w:right w:val="nil"/>
            </w:tcBorders>
            <w:shd w:val="clear" w:color="auto" w:fill="auto"/>
            <w:noWrap/>
            <w:tcMar>
              <w:top w:w="28" w:type="dxa"/>
              <w:bottom w:w="28" w:type="dxa"/>
            </w:tcMar>
            <w:vAlign w:val="center"/>
          </w:tcPr>
          <w:p w14:paraId="51572827" w14:textId="77777777" w:rsidR="001C348F" w:rsidRPr="001F7554" w:rsidRDefault="001C348F" w:rsidP="0089263D">
            <w:pPr>
              <w:spacing w:before="0" w:after="0" w:line="240" w:lineRule="auto"/>
              <w:rPr>
                <w:rFonts w:cs="Arial"/>
                <w:sz w:val="16"/>
                <w:szCs w:val="16"/>
                <w:lang w:eastAsia="en-AU"/>
              </w:rPr>
            </w:pPr>
            <w:r>
              <w:rPr>
                <w:rFonts w:cs="Arial"/>
                <w:sz w:val="16"/>
                <w:szCs w:val="16"/>
                <w:lang w:eastAsia="en-AU"/>
              </w:rPr>
              <w:t>2015</w:t>
            </w:r>
          </w:p>
        </w:tc>
        <w:tc>
          <w:tcPr>
            <w:tcW w:w="1418" w:type="dxa"/>
            <w:tcBorders>
              <w:top w:val="single" w:sz="6" w:space="0" w:color="064EA8"/>
              <w:left w:val="nil"/>
              <w:bottom w:val="single" w:sz="4" w:space="0" w:color="064EA8"/>
              <w:right w:val="nil"/>
            </w:tcBorders>
            <w:shd w:val="clear" w:color="auto" w:fill="auto"/>
            <w:noWrap/>
            <w:tcMar>
              <w:top w:w="28" w:type="dxa"/>
              <w:bottom w:w="28" w:type="dxa"/>
            </w:tcMar>
            <w:vAlign w:val="center"/>
          </w:tcPr>
          <w:p w14:paraId="17AC33DE" w14:textId="77777777" w:rsidR="001C348F" w:rsidRPr="001F7554" w:rsidRDefault="001C348F" w:rsidP="0089263D">
            <w:pPr>
              <w:spacing w:before="0" w:after="0" w:line="240" w:lineRule="auto"/>
              <w:rPr>
                <w:rFonts w:cs="Arial"/>
                <w:sz w:val="16"/>
                <w:szCs w:val="16"/>
                <w:lang w:eastAsia="en-AU"/>
              </w:rPr>
            </w:pPr>
            <w:r>
              <w:rPr>
                <w:rFonts w:cs="Arial"/>
                <w:sz w:val="16"/>
                <w:szCs w:val="16"/>
                <w:lang w:eastAsia="en-AU"/>
              </w:rPr>
              <w:t>Petroleum</w:t>
            </w:r>
          </w:p>
        </w:tc>
        <w:tc>
          <w:tcPr>
            <w:tcW w:w="709" w:type="dxa"/>
            <w:tcBorders>
              <w:top w:val="single" w:sz="6" w:space="0" w:color="064EA8"/>
              <w:left w:val="nil"/>
              <w:bottom w:val="single" w:sz="4" w:space="0" w:color="064EA8"/>
              <w:right w:val="nil"/>
            </w:tcBorders>
            <w:shd w:val="clear" w:color="auto" w:fill="auto"/>
            <w:noWrap/>
            <w:tcMar>
              <w:top w:w="28" w:type="dxa"/>
              <w:bottom w:w="28" w:type="dxa"/>
            </w:tcMar>
            <w:vAlign w:val="center"/>
          </w:tcPr>
          <w:p w14:paraId="444E7B01" w14:textId="77777777" w:rsidR="001C348F" w:rsidRPr="001F7554" w:rsidRDefault="001C348F" w:rsidP="0089263D">
            <w:pPr>
              <w:spacing w:before="0" w:after="0" w:line="240" w:lineRule="auto"/>
              <w:rPr>
                <w:rFonts w:cs="Arial"/>
                <w:sz w:val="16"/>
                <w:szCs w:val="16"/>
                <w:lang w:eastAsia="en-AU"/>
              </w:rPr>
            </w:pPr>
            <w:r>
              <w:rPr>
                <w:rFonts w:cs="Arial"/>
                <w:sz w:val="16"/>
                <w:szCs w:val="16"/>
                <w:lang w:eastAsia="en-AU"/>
              </w:rPr>
              <w:t>6015</w:t>
            </w:r>
          </w:p>
        </w:tc>
        <w:tc>
          <w:tcPr>
            <w:tcW w:w="1417" w:type="dxa"/>
            <w:tcBorders>
              <w:top w:val="single" w:sz="6" w:space="0" w:color="064EA8"/>
              <w:left w:val="nil"/>
              <w:bottom w:val="single" w:sz="4" w:space="0" w:color="064EA8"/>
              <w:right w:val="nil"/>
            </w:tcBorders>
            <w:shd w:val="clear" w:color="auto" w:fill="auto"/>
            <w:noWrap/>
            <w:tcMar>
              <w:top w:w="28" w:type="dxa"/>
              <w:bottom w:w="28" w:type="dxa"/>
            </w:tcMar>
            <w:vAlign w:val="center"/>
          </w:tcPr>
          <w:p w14:paraId="11D1A76A" w14:textId="77777777" w:rsidR="001C348F" w:rsidRPr="001F7554" w:rsidRDefault="001C348F" w:rsidP="0089263D">
            <w:pPr>
              <w:spacing w:before="0" w:after="0" w:line="240" w:lineRule="auto"/>
              <w:rPr>
                <w:rFonts w:cs="Arial"/>
                <w:sz w:val="16"/>
                <w:szCs w:val="16"/>
                <w:lang w:eastAsia="en-AU"/>
              </w:rPr>
            </w:pPr>
            <w:r>
              <w:rPr>
                <w:rFonts w:cs="Arial"/>
                <w:sz w:val="16"/>
                <w:szCs w:val="16"/>
                <w:lang w:eastAsia="en-AU"/>
              </w:rPr>
              <w:t>Not available</w:t>
            </w:r>
          </w:p>
        </w:tc>
        <w:tc>
          <w:tcPr>
            <w:tcW w:w="1985" w:type="dxa"/>
            <w:tcBorders>
              <w:top w:val="single" w:sz="6" w:space="0" w:color="064EA8"/>
              <w:left w:val="nil"/>
              <w:bottom w:val="single" w:sz="4" w:space="0" w:color="064EA8"/>
              <w:right w:val="nil"/>
            </w:tcBorders>
            <w:shd w:val="clear" w:color="auto" w:fill="auto"/>
            <w:noWrap/>
            <w:tcMar>
              <w:top w:w="28" w:type="dxa"/>
              <w:bottom w:w="28" w:type="dxa"/>
            </w:tcMar>
            <w:vAlign w:val="center"/>
          </w:tcPr>
          <w:p w14:paraId="33103D03" w14:textId="77777777" w:rsidR="001C348F" w:rsidRPr="001F7554" w:rsidRDefault="001C348F" w:rsidP="0089263D">
            <w:pPr>
              <w:spacing w:before="0" w:after="0" w:line="240" w:lineRule="auto"/>
              <w:rPr>
                <w:rFonts w:cs="Arial"/>
                <w:sz w:val="16"/>
                <w:szCs w:val="16"/>
                <w:lang w:eastAsia="en-AU"/>
              </w:rPr>
            </w:pPr>
            <w:r w:rsidRPr="001F7554">
              <w:rPr>
                <w:rFonts w:cs="Arial"/>
                <w:sz w:val="16"/>
                <w:szCs w:val="16"/>
                <w:lang w:eastAsia="en-AU"/>
              </w:rPr>
              <w:t>Origin Energy Resources Limited</w:t>
            </w:r>
          </w:p>
        </w:tc>
        <w:tc>
          <w:tcPr>
            <w:tcW w:w="1275" w:type="dxa"/>
            <w:tcBorders>
              <w:top w:val="single" w:sz="6" w:space="0" w:color="064EA8"/>
              <w:left w:val="nil"/>
              <w:bottom w:val="single" w:sz="4" w:space="0" w:color="064EA8"/>
              <w:right w:val="nil"/>
            </w:tcBorders>
            <w:shd w:val="clear" w:color="auto" w:fill="auto"/>
            <w:noWrap/>
            <w:tcMar>
              <w:top w:w="28" w:type="dxa"/>
              <w:bottom w:w="28" w:type="dxa"/>
            </w:tcMar>
            <w:vAlign w:val="center"/>
          </w:tcPr>
          <w:p w14:paraId="11017C14" w14:textId="77777777" w:rsidR="001C348F" w:rsidRDefault="001C348F" w:rsidP="0089263D">
            <w:pPr>
              <w:spacing w:before="0" w:after="0" w:line="240" w:lineRule="auto"/>
              <w:rPr>
                <w:rFonts w:cs="Arial"/>
                <w:sz w:val="16"/>
                <w:szCs w:val="16"/>
                <w:lang w:eastAsia="en-AU"/>
              </w:rPr>
            </w:pPr>
            <w:r>
              <w:rPr>
                <w:rFonts w:cs="Arial"/>
                <w:sz w:val="16"/>
                <w:szCs w:val="16"/>
                <w:lang w:eastAsia="en-AU"/>
              </w:rPr>
              <w:t>Gas well/ discovery</w:t>
            </w:r>
          </w:p>
        </w:tc>
      </w:tr>
    </w:tbl>
    <w:p w14:paraId="392AC5C7" w14:textId="77777777" w:rsidR="00C53769" w:rsidRPr="00C53769" w:rsidRDefault="00C53769" w:rsidP="004A0DF4">
      <w:pPr>
        <w:spacing w:before="360"/>
        <w:rPr>
          <w:b/>
        </w:rPr>
      </w:pPr>
      <w:r w:rsidRPr="00C53769">
        <w:rPr>
          <w:b/>
        </w:rPr>
        <w:t>Release Area 18-</w:t>
      </w:r>
      <w:r>
        <w:rPr>
          <w:b/>
        </w:rPr>
        <w:t>5</w:t>
      </w:r>
      <w:r w:rsidRPr="00C53769">
        <w:rPr>
          <w:b/>
        </w:rPr>
        <w:t>(v)</w:t>
      </w:r>
    </w:p>
    <w:tbl>
      <w:tblPr>
        <w:tblW w:w="9087" w:type="dxa"/>
        <w:tblInd w:w="93" w:type="dxa"/>
        <w:tblLook w:val="04A0" w:firstRow="1" w:lastRow="0" w:firstColumn="1" w:lastColumn="0" w:noHBand="0" w:noVBand="1"/>
      </w:tblPr>
      <w:tblGrid>
        <w:gridCol w:w="1433"/>
        <w:gridCol w:w="850"/>
        <w:gridCol w:w="1276"/>
        <w:gridCol w:w="851"/>
        <w:gridCol w:w="1417"/>
        <w:gridCol w:w="1985"/>
        <w:gridCol w:w="1275"/>
      </w:tblGrid>
      <w:tr w:rsidR="007F7C4C" w:rsidRPr="004A0DF4" w14:paraId="7E56EDA9" w14:textId="77777777" w:rsidTr="00E674E5">
        <w:trPr>
          <w:trHeight w:val="510"/>
        </w:trPr>
        <w:tc>
          <w:tcPr>
            <w:tcW w:w="1433" w:type="dxa"/>
            <w:tcBorders>
              <w:top w:val="nil"/>
              <w:left w:val="nil"/>
              <w:bottom w:val="nil"/>
              <w:right w:val="nil"/>
            </w:tcBorders>
            <w:shd w:val="clear" w:color="000000" w:fill="064EA8"/>
            <w:tcMar>
              <w:top w:w="28" w:type="dxa"/>
              <w:bottom w:w="28" w:type="dxa"/>
            </w:tcMar>
            <w:vAlign w:val="center"/>
            <w:hideMark/>
          </w:tcPr>
          <w:p w14:paraId="38F229E1" w14:textId="77777777" w:rsidR="007F7C4C" w:rsidRPr="004A0DF4" w:rsidRDefault="007F7C4C" w:rsidP="00E75E22">
            <w:pPr>
              <w:spacing w:before="0" w:after="0" w:line="240" w:lineRule="auto"/>
              <w:rPr>
                <w:rFonts w:cs="Arial"/>
                <w:b/>
                <w:color w:val="FFFFFF"/>
                <w:sz w:val="16"/>
                <w:szCs w:val="16"/>
                <w:lang w:eastAsia="en-AU"/>
              </w:rPr>
            </w:pPr>
            <w:r w:rsidRPr="004A0DF4">
              <w:rPr>
                <w:rFonts w:cs="Arial"/>
                <w:b/>
                <w:color w:val="FFFFFF"/>
                <w:sz w:val="16"/>
                <w:szCs w:val="16"/>
                <w:lang w:eastAsia="en-AU"/>
              </w:rPr>
              <w:t>Well</w:t>
            </w:r>
            <w:r w:rsidR="004A0DF4">
              <w:rPr>
                <w:rFonts w:cs="Arial"/>
                <w:b/>
                <w:color w:val="FFFFFF"/>
                <w:sz w:val="16"/>
                <w:szCs w:val="16"/>
                <w:lang w:eastAsia="en-AU"/>
              </w:rPr>
              <w:t>/Borehole</w:t>
            </w:r>
            <w:r w:rsidRPr="004A0DF4">
              <w:rPr>
                <w:rFonts w:cs="Arial"/>
                <w:b/>
                <w:color w:val="FFFFFF"/>
                <w:sz w:val="16"/>
                <w:szCs w:val="16"/>
                <w:lang w:eastAsia="en-AU"/>
              </w:rPr>
              <w:t xml:space="preserve"> Name</w:t>
            </w:r>
          </w:p>
        </w:tc>
        <w:tc>
          <w:tcPr>
            <w:tcW w:w="850" w:type="dxa"/>
            <w:tcBorders>
              <w:top w:val="nil"/>
              <w:left w:val="nil"/>
              <w:bottom w:val="nil"/>
              <w:right w:val="nil"/>
            </w:tcBorders>
            <w:shd w:val="clear" w:color="000000" w:fill="064EA8"/>
            <w:tcMar>
              <w:top w:w="28" w:type="dxa"/>
              <w:bottom w:w="28" w:type="dxa"/>
            </w:tcMar>
            <w:vAlign w:val="center"/>
            <w:hideMark/>
          </w:tcPr>
          <w:p w14:paraId="3D3D5FBA" w14:textId="77777777" w:rsidR="007F7C4C" w:rsidRPr="004A0DF4" w:rsidRDefault="007F7C4C" w:rsidP="00E75E22">
            <w:pPr>
              <w:spacing w:before="0" w:after="0" w:line="240" w:lineRule="auto"/>
              <w:rPr>
                <w:rFonts w:cs="Arial"/>
                <w:b/>
                <w:color w:val="FFFFFF"/>
                <w:sz w:val="16"/>
                <w:szCs w:val="16"/>
                <w:lang w:eastAsia="en-AU"/>
              </w:rPr>
            </w:pPr>
            <w:r w:rsidRPr="004A0DF4">
              <w:rPr>
                <w:rFonts w:cs="Arial"/>
                <w:b/>
                <w:color w:val="FFFFFF"/>
                <w:sz w:val="16"/>
                <w:szCs w:val="16"/>
                <w:lang w:eastAsia="en-AU"/>
              </w:rPr>
              <w:t>Year</w:t>
            </w:r>
          </w:p>
        </w:tc>
        <w:tc>
          <w:tcPr>
            <w:tcW w:w="1276" w:type="dxa"/>
            <w:tcBorders>
              <w:top w:val="nil"/>
              <w:left w:val="nil"/>
              <w:bottom w:val="nil"/>
              <w:right w:val="nil"/>
            </w:tcBorders>
            <w:shd w:val="clear" w:color="000000" w:fill="064EA8"/>
            <w:tcMar>
              <w:top w:w="28" w:type="dxa"/>
              <w:bottom w:w="28" w:type="dxa"/>
            </w:tcMar>
            <w:vAlign w:val="center"/>
            <w:hideMark/>
          </w:tcPr>
          <w:p w14:paraId="768E24E1" w14:textId="77777777" w:rsidR="007F7C4C" w:rsidRPr="004A0DF4" w:rsidRDefault="007F7C4C" w:rsidP="00E75E22">
            <w:pPr>
              <w:spacing w:before="0" w:after="0" w:line="240" w:lineRule="auto"/>
              <w:rPr>
                <w:rFonts w:cs="Arial"/>
                <w:b/>
                <w:color w:val="FFFFFF"/>
                <w:sz w:val="16"/>
                <w:szCs w:val="16"/>
                <w:lang w:eastAsia="en-AU"/>
              </w:rPr>
            </w:pPr>
            <w:r w:rsidRPr="004A0DF4">
              <w:rPr>
                <w:rFonts w:cs="Arial"/>
                <w:b/>
                <w:color w:val="FFFFFF"/>
                <w:sz w:val="16"/>
                <w:szCs w:val="16"/>
                <w:lang w:eastAsia="en-AU"/>
              </w:rPr>
              <w:t>Purpose</w:t>
            </w:r>
          </w:p>
        </w:tc>
        <w:tc>
          <w:tcPr>
            <w:tcW w:w="851" w:type="dxa"/>
            <w:tcBorders>
              <w:top w:val="nil"/>
              <w:left w:val="nil"/>
              <w:bottom w:val="nil"/>
              <w:right w:val="nil"/>
            </w:tcBorders>
            <w:shd w:val="clear" w:color="000000" w:fill="064EA8"/>
            <w:tcMar>
              <w:top w:w="28" w:type="dxa"/>
              <w:bottom w:w="28" w:type="dxa"/>
            </w:tcMar>
            <w:vAlign w:val="center"/>
            <w:hideMark/>
          </w:tcPr>
          <w:p w14:paraId="4629C26D" w14:textId="77777777" w:rsidR="007F7C4C" w:rsidRPr="004A0DF4" w:rsidRDefault="007F7C4C" w:rsidP="00E75E22">
            <w:pPr>
              <w:spacing w:before="0" w:after="0" w:line="240" w:lineRule="auto"/>
              <w:rPr>
                <w:rFonts w:cs="Arial"/>
                <w:b/>
                <w:color w:val="FFFFFF"/>
                <w:sz w:val="16"/>
                <w:szCs w:val="16"/>
                <w:lang w:eastAsia="en-AU"/>
              </w:rPr>
            </w:pPr>
            <w:r w:rsidRPr="004A0DF4">
              <w:rPr>
                <w:rFonts w:cs="Arial"/>
                <w:b/>
                <w:color w:val="FFFFFF"/>
                <w:sz w:val="16"/>
                <w:szCs w:val="16"/>
                <w:lang w:eastAsia="en-AU"/>
              </w:rPr>
              <w:t>Total Depth (m)</w:t>
            </w:r>
          </w:p>
        </w:tc>
        <w:tc>
          <w:tcPr>
            <w:tcW w:w="1417" w:type="dxa"/>
            <w:tcBorders>
              <w:top w:val="nil"/>
              <w:left w:val="nil"/>
              <w:bottom w:val="nil"/>
              <w:right w:val="nil"/>
            </w:tcBorders>
            <w:shd w:val="clear" w:color="000000" w:fill="064EA8"/>
            <w:tcMar>
              <w:top w:w="28" w:type="dxa"/>
              <w:bottom w:w="28" w:type="dxa"/>
            </w:tcMar>
            <w:vAlign w:val="center"/>
            <w:hideMark/>
          </w:tcPr>
          <w:p w14:paraId="4B149EA6" w14:textId="77777777" w:rsidR="007F7C4C" w:rsidRPr="004A0DF4" w:rsidRDefault="007F7C4C" w:rsidP="00E75E22">
            <w:pPr>
              <w:spacing w:before="0" w:after="0" w:line="240" w:lineRule="auto"/>
              <w:rPr>
                <w:rFonts w:cs="Arial"/>
                <w:b/>
                <w:color w:val="FFFFFF"/>
                <w:sz w:val="16"/>
                <w:szCs w:val="16"/>
                <w:lang w:eastAsia="en-AU"/>
              </w:rPr>
            </w:pPr>
            <w:r w:rsidRPr="004A0DF4">
              <w:rPr>
                <w:rFonts w:cs="Arial"/>
                <w:b/>
                <w:color w:val="FFFFFF"/>
                <w:sz w:val="16"/>
                <w:szCs w:val="16"/>
                <w:lang w:eastAsia="en-AU"/>
              </w:rPr>
              <w:t>Formation at TD</w:t>
            </w:r>
          </w:p>
        </w:tc>
        <w:tc>
          <w:tcPr>
            <w:tcW w:w="1985" w:type="dxa"/>
            <w:tcBorders>
              <w:top w:val="nil"/>
              <w:left w:val="nil"/>
              <w:bottom w:val="nil"/>
              <w:right w:val="nil"/>
            </w:tcBorders>
            <w:shd w:val="clear" w:color="000000" w:fill="064EA8"/>
            <w:tcMar>
              <w:top w:w="28" w:type="dxa"/>
              <w:bottom w:w="28" w:type="dxa"/>
            </w:tcMar>
            <w:vAlign w:val="center"/>
            <w:hideMark/>
          </w:tcPr>
          <w:p w14:paraId="711711FB" w14:textId="77777777" w:rsidR="007F7C4C" w:rsidRPr="004A0DF4" w:rsidRDefault="007F7C4C" w:rsidP="00E75E22">
            <w:pPr>
              <w:spacing w:before="0" w:after="0" w:line="240" w:lineRule="auto"/>
              <w:rPr>
                <w:rFonts w:cs="Arial"/>
                <w:b/>
                <w:color w:val="FFFFFF"/>
                <w:sz w:val="16"/>
                <w:szCs w:val="16"/>
                <w:lang w:eastAsia="en-AU"/>
              </w:rPr>
            </w:pPr>
            <w:r w:rsidRPr="004A0DF4">
              <w:rPr>
                <w:rFonts w:cs="Arial"/>
                <w:b/>
                <w:color w:val="FFFFFF"/>
                <w:sz w:val="16"/>
                <w:szCs w:val="16"/>
                <w:lang w:eastAsia="en-AU"/>
              </w:rPr>
              <w:t>Company</w:t>
            </w:r>
          </w:p>
        </w:tc>
        <w:tc>
          <w:tcPr>
            <w:tcW w:w="1275" w:type="dxa"/>
            <w:tcBorders>
              <w:top w:val="nil"/>
              <w:left w:val="nil"/>
              <w:bottom w:val="nil"/>
              <w:right w:val="nil"/>
            </w:tcBorders>
            <w:shd w:val="clear" w:color="000000" w:fill="064EA8"/>
            <w:tcMar>
              <w:top w:w="28" w:type="dxa"/>
              <w:bottom w:w="28" w:type="dxa"/>
            </w:tcMar>
            <w:vAlign w:val="center"/>
            <w:hideMark/>
          </w:tcPr>
          <w:p w14:paraId="1D19B58F" w14:textId="77777777" w:rsidR="007F7C4C" w:rsidRPr="004A0DF4" w:rsidRDefault="007F7C4C" w:rsidP="00E75E22">
            <w:pPr>
              <w:spacing w:before="0" w:after="0" w:line="240" w:lineRule="auto"/>
              <w:rPr>
                <w:rFonts w:cs="Arial"/>
                <w:b/>
                <w:color w:val="FFFFFF"/>
                <w:sz w:val="16"/>
                <w:szCs w:val="16"/>
                <w:lang w:eastAsia="en-AU"/>
              </w:rPr>
            </w:pPr>
            <w:r w:rsidRPr="004A0DF4">
              <w:rPr>
                <w:rFonts w:cs="Arial"/>
                <w:b/>
                <w:color w:val="FFFFFF"/>
                <w:sz w:val="16"/>
                <w:szCs w:val="16"/>
                <w:lang w:eastAsia="en-AU"/>
              </w:rPr>
              <w:t>Status</w:t>
            </w:r>
          </w:p>
        </w:tc>
      </w:tr>
      <w:tr w:rsidR="00E75E22" w:rsidRPr="001F7554" w14:paraId="630EC8A6"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67E86DDE"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P</w:t>
            </w:r>
            <w:r w:rsidR="00E75E22" w:rsidRPr="001F7554">
              <w:rPr>
                <w:rFonts w:cs="Arial"/>
                <w:sz w:val="16"/>
                <w:szCs w:val="16"/>
                <w:lang w:eastAsia="en-AU"/>
              </w:rPr>
              <w:t>ort</w:t>
            </w:r>
            <w:r w:rsidRPr="001F7554">
              <w:rPr>
                <w:rFonts w:cs="Arial"/>
                <w:sz w:val="16"/>
                <w:szCs w:val="16"/>
                <w:lang w:eastAsia="en-AU"/>
              </w:rPr>
              <w:t xml:space="preserve"> C</w:t>
            </w:r>
            <w:r w:rsidR="00CE75AC" w:rsidRPr="001F7554">
              <w:rPr>
                <w:rFonts w:cs="Arial"/>
                <w:sz w:val="16"/>
                <w:szCs w:val="16"/>
                <w:lang w:eastAsia="en-AU"/>
              </w:rPr>
              <w:t>ampbell</w:t>
            </w:r>
            <w:r w:rsidR="00CE75AC">
              <w:rPr>
                <w:rFonts w:cs="Arial"/>
                <w:sz w:val="16"/>
                <w:szCs w:val="16"/>
                <w:lang w:eastAsia="en-AU"/>
              </w:rPr>
              <w:t>-</w:t>
            </w:r>
            <w:r w:rsidRPr="001F7554">
              <w:rPr>
                <w:rFonts w:cs="Arial"/>
                <w:sz w:val="16"/>
                <w:szCs w:val="16"/>
                <w:lang w:eastAsia="en-AU"/>
              </w:rPr>
              <w:t>2</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5ACBD90E"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1960</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5952CE25"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58BB3609"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2696</w:t>
            </w:r>
          </w:p>
        </w:tc>
        <w:tc>
          <w:tcPr>
            <w:tcW w:w="1417" w:type="dxa"/>
            <w:tcBorders>
              <w:top w:val="nil"/>
              <w:left w:val="nil"/>
              <w:bottom w:val="single" w:sz="4" w:space="0" w:color="064EA8"/>
              <w:right w:val="nil"/>
            </w:tcBorders>
            <w:shd w:val="clear" w:color="auto" w:fill="auto"/>
            <w:noWrap/>
            <w:tcMar>
              <w:top w:w="28" w:type="dxa"/>
              <w:bottom w:w="28" w:type="dxa"/>
            </w:tcMar>
            <w:vAlign w:val="center"/>
            <w:hideMark/>
          </w:tcPr>
          <w:p w14:paraId="2114D3E2" w14:textId="18915AE3" w:rsidR="007F7C4C" w:rsidRPr="001F7554" w:rsidRDefault="006A2C89" w:rsidP="00E75E22">
            <w:pPr>
              <w:spacing w:before="0" w:after="0" w:line="240" w:lineRule="auto"/>
              <w:rPr>
                <w:rFonts w:cs="Arial"/>
                <w:sz w:val="16"/>
                <w:szCs w:val="16"/>
                <w:lang w:eastAsia="en-AU"/>
              </w:rPr>
            </w:pPr>
            <w:r>
              <w:rPr>
                <w:rFonts w:cs="Arial"/>
                <w:sz w:val="16"/>
                <w:szCs w:val="16"/>
                <w:lang w:eastAsia="en-AU"/>
              </w:rPr>
              <w:t>Eumeralla Formation</w:t>
            </w:r>
          </w:p>
        </w:tc>
        <w:tc>
          <w:tcPr>
            <w:tcW w:w="1985" w:type="dxa"/>
            <w:tcBorders>
              <w:top w:val="nil"/>
              <w:left w:val="nil"/>
              <w:bottom w:val="single" w:sz="4" w:space="0" w:color="064EA8"/>
              <w:right w:val="nil"/>
            </w:tcBorders>
            <w:shd w:val="clear" w:color="auto" w:fill="auto"/>
            <w:noWrap/>
            <w:tcMar>
              <w:top w:w="28" w:type="dxa"/>
              <w:bottom w:w="28" w:type="dxa"/>
            </w:tcMar>
            <w:vAlign w:val="center"/>
            <w:hideMark/>
          </w:tcPr>
          <w:p w14:paraId="37114C0F"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Frome-Broken Hill Company Proprietary Limited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D9FB5D0"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Strong Gas Show</w:t>
            </w:r>
          </w:p>
        </w:tc>
      </w:tr>
      <w:tr w:rsidR="00E75E22" w:rsidRPr="001F7554" w14:paraId="0CB00FE1"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49346B36"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M</w:t>
            </w:r>
            <w:r w:rsidR="00E75E22" w:rsidRPr="001F7554">
              <w:rPr>
                <w:rFonts w:cs="Arial"/>
                <w:sz w:val="16"/>
                <w:szCs w:val="16"/>
                <w:lang w:eastAsia="en-AU"/>
              </w:rPr>
              <w:t>inerva</w:t>
            </w:r>
            <w:r w:rsidR="00E75E22">
              <w:rPr>
                <w:rFonts w:cs="Arial"/>
                <w:sz w:val="16"/>
                <w:szCs w:val="16"/>
                <w:lang w:eastAsia="en-AU"/>
              </w:rPr>
              <w:t>-</w:t>
            </w:r>
            <w:r w:rsidRPr="001F7554">
              <w:rPr>
                <w:rFonts w:cs="Arial"/>
                <w:sz w:val="16"/>
                <w:szCs w:val="16"/>
                <w:lang w:eastAsia="en-AU"/>
              </w:rPr>
              <w:t>1</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7B01C776"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1993</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0E4DF9B3"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6070F701"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2425</w:t>
            </w:r>
          </w:p>
        </w:tc>
        <w:tc>
          <w:tcPr>
            <w:tcW w:w="1417" w:type="dxa"/>
            <w:tcBorders>
              <w:top w:val="nil"/>
              <w:left w:val="nil"/>
              <w:bottom w:val="single" w:sz="4" w:space="0" w:color="064EA8"/>
              <w:right w:val="nil"/>
            </w:tcBorders>
            <w:shd w:val="clear" w:color="auto" w:fill="auto"/>
            <w:noWrap/>
            <w:tcMar>
              <w:top w:w="28" w:type="dxa"/>
              <w:bottom w:w="28" w:type="dxa"/>
            </w:tcMar>
            <w:vAlign w:val="center"/>
            <w:hideMark/>
          </w:tcPr>
          <w:p w14:paraId="68C0DD4B" w14:textId="77777777" w:rsidR="007F7C4C" w:rsidRPr="001F7554" w:rsidRDefault="00E75E22" w:rsidP="00E75E22">
            <w:pPr>
              <w:spacing w:before="0" w:after="0" w:line="240" w:lineRule="auto"/>
              <w:rPr>
                <w:rFonts w:cs="Arial"/>
                <w:sz w:val="16"/>
                <w:szCs w:val="16"/>
                <w:lang w:eastAsia="en-AU"/>
              </w:rPr>
            </w:pPr>
            <w:r>
              <w:rPr>
                <w:rFonts w:cs="Arial"/>
                <w:sz w:val="16"/>
                <w:szCs w:val="16"/>
                <w:lang w:eastAsia="en-AU"/>
              </w:rPr>
              <w:t>Eumeralla Formation</w:t>
            </w:r>
          </w:p>
        </w:tc>
        <w:tc>
          <w:tcPr>
            <w:tcW w:w="1985" w:type="dxa"/>
            <w:tcBorders>
              <w:top w:val="nil"/>
              <w:left w:val="nil"/>
              <w:bottom w:val="single" w:sz="4" w:space="0" w:color="064EA8"/>
              <w:right w:val="nil"/>
            </w:tcBorders>
            <w:shd w:val="clear" w:color="auto" w:fill="auto"/>
            <w:noWrap/>
            <w:tcMar>
              <w:top w:w="28" w:type="dxa"/>
              <w:bottom w:w="28" w:type="dxa"/>
            </w:tcMar>
            <w:vAlign w:val="center"/>
            <w:hideMark/>
          </w:tcPr>
          <w:p w14:paraId="49F670B8"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BHP Petroleum Pty Ltd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0E4F20F5" w14:textId="77777777" w:rsidR="007F7C4C" w:rsidRPr="001F7554" w:rsidRDefault="00E75E22" w:rsidP="00E75E22">
            <w:pPr>
              <w:spacing w:before="0" w:after="0" w:line="240" w:lineRule="auto"/>
              <w:rPr>
                <w:rFonts w:cs="Arial"/>
                <w:sz w:val="16"/>
                <w:szCs w:val="16"/>
                <w:lang w:eastAsia="en-AU"/>
              </w:rPr>
            </w:pPr>
            <w:r>
              <w:rPr>
                <w:rFonts w:cs="Arial"/>
                <w:sz w:val="16"/>
                <w:szCs w:val="16"/>
                <w:lang w:eastAsia="en-AU"/>
              </w:rPr>
              <w:t>Gas well/ discovery</w:t>
            </w:r>
          </w:p>
        </w:tc>
      </w:tr>
      <w:tr w:rsidR="00E75E22" w:rsidRPr="001F7554" w14:paraId="52053C5B"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595DD90B"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M</w:t>
            </w:r>
            <w:r w:rsidR="00E75E22" w:rsidRPr="001F7554">
              <w:rPr>
                <w:rFonts w:cs="Arial"/>
                <w:sz w:val="16"/>
                <w:szCs w:val="16"/>
                <w:lang w:eastAsia="en-AU"/>
              </w:rPr>
              <w:t>inerva</w:t>
            </w:r>
            <w:r w:rsidR="00E75E22">
              <w:rPr>
                <w:rFonts w:cs="Arial"/>
                <w:sz w:val="16"/>
                <w:szCs w:val="16"/>
                <w:lang w:eastAsia="en-AU"/>
              </w:rPr>
              <w:t>-</w:t>
            </w:r>
            <w:r w:rsidRPr="001F7554">
              <w:rPr>
                <w:rFonts w:cs="Arial"/>
                <w:sz w:val="16"/>
                <w:szCs w:val="16"/>
                <w:lang w:eastAsia="en-AU"/>
              </w:rPr>
              <w:t>2A</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005C5E94"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1993</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72A51699"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4260ECAF"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2170</w:t>
            </w:r>
          </w:p>
        </w:tc>
        <w:tc>
          <w:tcPr>
            <w:tcW w:w="1417" w:type="dxa"/>
            <w:tcBorders>
              <w:top w:val="nil"/>
              <w:left w:val="nil"/>
              <w:bottom w:val="single" w:sz="4" w:space="0" w:color="064EA8"/>
              <w:right w:val="nil"/>
            </w:tcBorders>
            <w:shd w:val="clear" w:color="auto" w:fill="auto"/>
            <w:noWrap/>
            <w:tcMar>
              <w:top w:w="28" w:type="dxa"/>
              <w:bottom w:w="28" w:type="dxa"/>
            </w:tcMar>
            <w:vAlign w:val="center"/>
            <w:hideMark/>
          </w:tcPr>
          <w:p w14:paraId="1B64DC9A"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Waarre Formation</w:t>
            </w:r>
          </w:p>
        </w:tc>
        <w:tc>
          <w:tcPr>
            <w:tcW w:w="1985" w:type="dxa"/>
            <w:tcBorders>
              <w:top w:val="nil"/>
              <w:left w:val="nil"/>
              <w:bottom w:val="single" w:sz="4" w:space="0" w:color="064EA8"/>
              <w:right w:val="nil"/>
            </w:tcBorders>
            <w:shd w:val="clear" w:color="auto" w:fill="auto"/>
            <w:noWrap/>
            <w:tcMar>
              <w:top w:w="28" w:type="dxa"/>
              <w:bottom w:w="28" w:type="dxa"/>
            </w:tcMar>
            <w:vAlign w:val="center"/>
            <w:hideMark/>
          </w:tcPr>
          <w:p w14:paraId="076FD06C"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BHP Petroleum Pty Ltd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679B75DB" w14:textId="77777777" w:rsidR="007F7C4C" w:rsidRPr="001F7554" w:rsidRDefault="00E75E22" w:rsidP="00E75E22">
            <w:pPr>
              <w:spacing w:before="0" w:after="0" w:line="240" w:lineRule="auto"/>
              <w:rPr>
                <w:rFonts w:cs="Arial"/>
                <w:sz w:val="16"/>
                <w:szCs w:val="16"/>
                <w:lang w:eastAsia="en-AU"/>
              </w:rPr>
            </w:pPr>
            <w:r>
              <w:rPr>
                <w:rFonts w:cs="Arial"/>
                <w:sz w:val="16"/>
                <w:szCs w:val="16"/>
                <w:lang w:eastAsia="en-AU"/>
              </w:rPr>
              <w:t>Gas well/ discovery</w:t>
            </w:r>
          </w:p>
        </w:tc>
      </w:tr>
      <w:tr w:rsidR="00E75E22" w:rsidRPr="001F7554" w14:paraId="7623CAE0"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2DE95B2E"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M</w:t>
            </w:r>
            <w:r w:rsidR="00CE75AC" w:rsidRPr="001F7554">
              <w:rPr>
                <w:rFonts w:cs="Arial"/>
                <w:sz w:val="16"/>
                <w:szCs w:val="16"/>
                <w:lang w:eastAsia="en-AU"/>
              </w:rPr>
              <w:t>inerva</w:t>
            </w:r>
            <w:r w:rsidR="00CE75AC">
              <w:rPr>
                <w:rFonts w:cs="Arial"/>
                <w:sz w:val="16"/>
                <w:szCs w:val="16"/>
                <w:lang w:eastAsia="en-AU"/>
              </w:rPr>
              <w:t>-</w:t>
            </w:r>
            <w:r w:rsidRPr="001F7554">
              <w:rPr>
                <w:rFonts w:cs="Arial"/>
                <w:sz w:val="16"/>
                <w:szCs w:val="16"/>
                <w:lang w:eastAsia="en-AU"/>
              </w:rPr>
              <w:t>3</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6C5BD1AB"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2002</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198784C9"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7EFDC9A4"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1760</w:t>
            </w:r>
          </w:p>
        </w:tc>
        <w:tc>
          <w:tcPr>
            <w:tcW w:w="1417" w:type="dxa"/>
            <w:tcBorders>
              <w:top w:val="nil"/>
              <w:left w:val="nil"/>
              <w:bottom w:val="single" w:sz="4" w:space="0" w:color="064EA8"/>
              <w:right w:val="nil"/>
            </w:tcBorders>
            <w:shd w:val="clear" w:color="auto" w:fill="auto"/>
            <w:noWrap/>
            <w:tcMar>
              <w:top w:w="28" w:type="dxa"/>
              <w:bottom w:w="28" w:type="dxa"/>
            </w:tcMar>
            <w:vAlign w:val="center"/>
            <w:hideMark/>
          </w:tcPr>
          <w:p w14:paraId="692D8260" w14:textId="77777777" w:rsidR="007F7C4C" w:rsidRPr="001F7554" w:rsidRDefault="00E75E22" w:rsidP="00E75E22">
            <w:pPr>
              <w:spacing w:before="0" w:after="0" w:line="240" w:lineRule="auto"/>
              <w:rPr>
                <w:rFonts w:cs="Arial"/>
                <w:sz w:val="16"/>
                <w:szCs w:val="16"/>
                <w:lang w:eastAsia="en-AU"/>
              </w:rPr>
            </w:pPr>
            <w:r>
              <w:rPr>
                <w:rFonts w:cs="Arial"/>
                <w:sz w:val="16"/>
                <w:szCs w:val="16"/>
                <w:lang w:eastAsia="en-AU"/>
              </w:rPr>
              <w:t>Waarre Formation equivalent</w:t>
            </w:r>
          </w:p>
        </w:tc>
        <w:tc>
          <w:tcPr>
            <w:tcW w:w="1985" w:type="dxa"/>
            <w:tcBorders>
              <w:top w:val="nil"/>
              <w:left w:val="nil"/>
              <w:bottom w:val="single" w:sz="4" w:space="0" w:color="064EA8"/>
              <w:right w:val="nil"/>
            </w:tcBorders>
            <w:shd w:val="clear" w:color="auto" w:fill="auto"/>
            <w:noWrap/>
            <w:tcMar>
              <w:top w:w="28" w:type="dxa"/>
              <w:bottom w:w="28" w:type="dxa"/>
            </w:tcMar>
            <w:vAlign w:val="center"/>
            <w:hideMark/>
          </w:tcPr>
          <w:p w14:paraId="11EF8900"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BHP Petroleum Pty Ltd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2D677C99" w14:textId="77777777" w:rsidR="007F7C4C" w:rsidRPr="001F7554" w:rsidRDefault="00E75E22" w:rsidP="00E75E22">
            <w:pPr>
              <w:spacing w:before="0" w:after="0" w:line="240" w:lineRule="auto"/>
              <w:rPr>
                <w:rFonts w:cs="Arial"/>
                <w:sz w:val="16"/>
                <w:szCs w:val="16"/>
                <w:lang w:eastAsia="en-AU"/>
              </w:rPr>
            </w:pPr>
            <w:r>
              <w:rPr>
                <w:rFonts w:cs="Arial"/>
                <w:sz w:val="16"/>
                <w:szCs w:val="16"/>
                <w:lang w:eastAsia="en-AU"/>
              </w:rPr>
              <w:t>Gas well/ discovery</w:t>
            </w:r>
          </w:p>
        </w:tc>
      </w:tr>
      <w:tr w:rsidR="00E75E22" w:rsidRPr="001F7554" w14:paraId="336FD699" w14:textId="77777777" w:rsidTr="00E674E5">
        <w:trPr>
          <w:trHeight w:val="255"/>
        </w:trPr>
        <w:tc>
          <w:tcPr>
            <w:tcW w:w="1433" w:type="dxa"/>
            <w:tcBorders>
              <w:top w:val="nil"/>
              <w:left w:val="nil"/>
              <w:bottom w:val="single" w:sz="4" w:space="0" w:color="064EA8"/>
              <w:right w:val="nil"/>
            </w:tcBorders>
            <w:shd w:val="clear" w:color="auto" w:fill="auto"/>
            <w:noWrap/>
            <w:tcMar>
              <w:top w:w="28" w:type="dxa"/>
              <w:bottom w:w="28" w:type="dxa"/>
            </w:tcMar>
            <w:vAlign w:val="center"/>
            <w:hideMark/>
          </w:tcPr>
          <w:p w14:paraId="562AF6A6"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M</w:t>
            </w:r>
            <w:r w:rsidR="00CE75AC" w:rsidRPr="001F7554">
              <w:rPr>
                <w:rFonts w:cs="Arial"/>
                <w:sz w:val="16"/>
                <w:szCs w:val="16"/>
                <w:lang w:eastAsia="en-AU"/>
              </w:rPr>
              <w:t>inerva</w:t>
            </w:r>
            <w:r w:rsidR="00CE75AC">
              <w:rPr>
                <w:rFonts w:cs="Arial"/>
                <w:sz w:val="16"/>
                <w:szCs w:val="16"/>
                <w:lang w:eastAsia="en-AU"/>
              </w:rPr>
              <w:t>-</w:t>
            </w:r>
            <w:r w:rsidRPr="001F7554">
              <w:rPr>
                <w:rFonts w:cs="Arial"/>
                <w:sz w:val="16"/>
                <w:szCs w:val="16"/>
                <w:lang w:eastAsia="en-AU"/>
              </w:rPr>
              <w:t>4</w:t>
            </w:r>
          </w:p>
        </w:tc>
        <w:tc>
          <w:tcPr>
            <w:tcW w:w="850" w:type="dxa"/>
            <w:tcBorders>
              <w:top w:val="nil"/>
              <w:left w:val="nil"/>
              <w:bottom w:val="single" w:sz="4" w:space="0" w:color="064EA8"/>
              <w:right w:val="nil"/>
            </w:tcBorders>
            <w:shd w:val="clear" w:color="auto" w:fill="auto"/>
            <w:noWrap/>
            <w:tcMar>
              <w:top w:w="28" w:type="dxa"/>
              <w:bottom w:w="28" w:type="dxa"/>
            </w:tcMar>
            <w:vAlign w:val="center"/>
            <w:hideMark/>
          </w:tcPr>
          <w:p w14:paraId="49452123"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2003</w:t>
            </w:r>
          </w:p>
        </w:tc>
        <w:tc>
          <w:tcPr>
            <w:tcW w:w="1276" w:type="dxa"/>
            <w:tcBorders>
              <w:top w:val="nil"/>
              <w:left w:val="nil"/>
              <w:bottom w:val="single" w:sz="4" w:space="0" w:color="064EA8"/>
              <w:right w:val="nil"/>
            </w:tcBorders>
            <w:shd w:val="clear" w:color="auto" w:fill="auto"/>
            <w:noWrap/>
            <w:tcMar>
              <w:top w:w="28" w:type="dxa"/>
              <w:bottom w:w="28" w:type="dxa"/>
            </w:tcMar>
            <w:vAlign w:val="center"/>
            <w:hideMark/>
          </w:tcPr>
          <w:p w14:paraId="7C150597"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Petroleum</w:t>
            </w:r>
          </w:p>
        </w:tc>
        <w:tc>
          <w:tcPr>
            <w:tcW w:w="851" w:type="dxa"/>
            <w:tcBorders>
              <w:top w:val="nil"/>
              <w:left w:val="nil"/>
              <w:bottom w:val="single" w:sz="4" w:space="0" w:color="064EA8"/>
              <w:right w:val="nil"/>
            </w:tcBorders>
            <w:shd w:val="clear" w:color="auto" w:fill="auto"/>
            <w:noWrap/>
            <w:tcMar>
              <w:top w:w="28" w:type="dxa"/>
              <w:bottom w:w="28" w:type="dxa"/>
            </w:tcMar>
            <w:vAlign w:val="center"/>
            <w:hideMark/>
          </w:tcPr>
          <w:p w14:paraId="4D8475CE"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1857</w:t>
            </w:r>
          </w:p>
        </w:tc>
        <w:tc>
          <w:tcPr>
            <w:tcW w:w="1417" w:type="dxa"/>
            <w:tcBorders>
              <w:top w:val="nil"/>
              <w:left w:val="nil"/>
              <w:bottom w:val="single" w:sz="4" w:space="0" w:color="064EA8"/>
              <w:right w:val="nil"/>
            </w:tcBorders>
            <w:shd w:val="clear" w:color="auto" w:fill="auto"/>
            <w:noWrap/>
            <w:tcMar>
              <w:top w:w="28" w:type="dxa"/>
              <w:bottom w:w="28" w:type="dxa"/>
            </w:tcMar>
            <w:vAlign w:val="center"/>
            <w:hideMark/>
          </w:tcPr>
          <w:p w14:paraId="6DA834BA" w14:textId="77777777" w:rsidR="007F7C4C" w:rsidRPr="001F7554" w:rsidRDefault="00E75E22" w:rsidP="00E75E22">
            <w:pPr>
              <w:spacing w:before="0" w:after="0" w:line="240" w:lineRule="auto"/>
              <w:rPr>
                <w:rFonts w:cs="Arial"/>
                <w:sz w:val="16"/>
                <w:szCs w:val="16"/>
                <w:lang w:eastAsia="en-AU"/>
              </w:rPr>
            </w:pPr>
            <w:r>
              <w:rPr>
                <w:rFonts w:cs="Arial"/>
                <w:sz w:val="16"/>
                <w:szCs w:val="16"/>
                <w:lang w:eastAsia="en-AU"/>
              </w:rPr>
              <w:t>Waarre Formation equivalent</w:t>
            </w:r>
          </w:p>
        </w:tc>
        <w:tc>
          <w:tcPr>
            <w:tcW w:w="1985" w:type="dxa"/>
            <w:tcBorders>
              <w:top w:val="nil"/>
              <w:left w:val="nil"/>
              <w:bottom w:val="single" w:sz="4" w:space="0" w:color="064EA8"/>
              <w:right w:val="nil"/>
            </w:tcBorders>
            <w:shd w:val="clear" w:color="auto" w:fill="auto"/>
            <w:noWrap/>
            <w:tcMar>
              <w:top w:w="28" w:type="dxa"/>
              <w:bottom w:w="28" w:type="dxa"/>
            </w:tcMar>
            <w:vAlign w:val="center"/>
            <w:hideMark/>
          </w:tcPr>
          <w:p w14:paraId="68FBBC0E" w14:textId="77777777" w:rsidR="007F7C4C" w:rsidRPr="001F7554" w:rsidRDefault="007F7C4C" w:rsidP="00E75E22">
            <w:pPr>
              <w:spacing w:before="0" w:after="0" w:line="240" w:lineRule="auto"/>
              <w:rPr>
                <w:rFonts w:cs="Arial"/>
                <w:sz w:val="16"/>
                <w:szCs w:val="16"/>
                <w:lang w:eastAsia="en-AU"/>
              </w:rPr>
            </w:pPr>
            <w:r w:rsidRPr="001F7554">
              <w:rPr>
                <w:rFonts w:cs="Arial"/>
                <w:sz w:val="16"/>
                <w:szCs w:val="16"/>
                <w:lang w:eastAsia="en-AU"/>
              </w:rPr>
              <w:t>BHP Petroleum Pty Ltd</w:t>
            </w:r>
          </w:p>
        </w:tc>
        <w:tc>
          <w:tcPr>
            <w:tcW w:w="1275" w:type="dxa"/>
            <w:tcBorders>
              <w:top w:val="nil"/>
              <w:left w:val="nil"/>
              <w:bottom w:val="single" w:sz="4" w:space="0" w:color="064EA8"/>
              <w:right w:val="nil"/>
            </w:tcBorders>
            <w:shd w:val="clear" w:color="auto" w:fill="auto"/>
            <w:noWrap/>
            <w:tcMar>
              <w:top w:w="28" w:type="dxa"/>
              <w:bottom w:w="28" w:type="dxa"/>
            </w:tcMar>
            <w:vAlign w:val="center"/>
            <w:hideMark/>
          </w:tcPr>
          <w:p w14:paraId="1C6A41ED" w14:textId="77777777" w:rsidR="007F7C4C" w:rsidRPr="001F7554" w:rsidRDefault="00E75E22" w:rsidP="00E75E22">
            <w:pPr>
              <w:spacing w:before="0" w:after="0" w:line="240" w:lineRule="auto"/>
              <w:rPr>
                <w:rFonts w:cs="Arial"/>
                <w:sz w:val="16"/>
                <w:szCs w:val="16"/>
                <w:lang w:eastAsia="en-AU"/>
              </w:rPr>
            </w:pPr>
            <w:r>
              <w:rPr>
                <w:rFonts w:cs="Arial"/>
                <w:sz w:val="16"/>
                <w:szCs w:val="16"/>
                <w:lang w:eastAsia="en-AU"/>
              </w:rPr>
              <w:t>Gas well/ discovery</w:t>
            </w:r>
          </w:p>
        </w:tc>
      </w:tr>
    </w:tbl>
    <w:p w14:paraId="43934753" w14:textId="77777777" w:rsidR="008E317F" w:rsidRDefault="008E317F" w:rsidP="00D75914">
      <w:pPr>
        <w:pStyle w:val="Heading1"/>
        <w:numPr>
          <w:ilvl w:val="0"/>
          <w:numId w:val="0"/>
        </w:numPr>
        <w:ind w:left="431" w:hanging="431"/>
        <w:sectPr w:rsidR="008E317F" w:rsidSect="008E317F">
          <w:pgSz w:w="11901" w:h="16840" w:code="9"/>
          <w:pgMar w:top="907" w:right="1008" w:bottom="1138" w:left="1152" w:header="288" w:footer="283" w:gutter="0"/>
          <w:cols w:space="708"/>
          <w:docGrid w:linePitch="360"/>
        </w:sectPr>
      </w:pPr>
      <w:bookmarkStart w:id="76" w:name="_Appendix_2_"/>
      <w:bookmarkEnd w:id="76"/>
    </w:p>
    <w:p w14:paraId="62AD2657" w14:textId="581F4B29" w:rsidR="00637B07" w:rsidRDefault="00D75914" w:rsidP="00D75914">
      <w:pPr>
        <w:pStyle w:val="Heading1"/>
        <w:numPr>
          <w:ilvl w:val="0"/>
          <w:numId w:val="0"/>
        </w:numPr>
        <w:ind w:left="431" w:hanging="431"/>
      </w:pPr>
      <w:bookmarkStart w:id="77" w:name="_Toc513813362"/>
      <w:r>
        <w:lastRenderedPageBreak/>
        <w:t xml:space="preserve">Appendix </w:t>
      </w:r>
      <w:r w:rsidR="00B535F1">
        <w:t xml:space="preserve">3 </w:t>
      </w:r>
      <w:r>
        <w:t>Seismic coverage</w:t>
      </w:r>
      <w:bookmarkEnd w:id="77"/>
    </w:p>
    <w:p w14:paraId="27A4AFF3" w14:textId="77777777" w:rsidR="00274B5A" w:rsidRDefault="007F7C4C" w:rsidP="00CC60C0">
      <w:pPr>
        <w:pStyle w:val="bodyCopy"/>
      </w:pPr>
      <w:r>
        <w:t xml:space="preserve">Note that many of the following surveys </w:t>
      </w:r>
      <w:r w:rsidR="008656CE">
        <w:t>provide minimal coverage of the acreage release blocks.</w:t>
      </w:r>
    </w:p>
    <w:p w14:paraId="73FEB6AB" w14:textId="77777777" w:rsidR="00CC60C0" w:rsidRPr="00AE51DB" w:rsidRDefault="00F75CC4" w:rsidP="008656CE">
      <w:pPr>
        <w:pStyle w:val="bodyCopy"/>
        <w:spacing w:before="360"/>
        <w:rPr>
          <w:b/>
        </w:rPr>
      </w:pPr>
      <w:r w:rsidRPr="00AE51DB">
        <w:rPr>
          <w:b/>
        </w:rPr>
        <w:t>Release Area 18-1(v)</w:t>
      </w:r>
    </w:p>
    <w:tbl>
      <w:tblPr>
        <w:tblW w:w="8237" w:type="dxa"/>
        <w:tblInd w:w="93" w:type="dxa"/>
        <w:tblLook w:val="04A0" w:firstRow="1" w:lastRow="0" w:firstColumn="1" w:lastColumn="0" w:noHBand="0" w:noVBand="1"/>
      </w:tblPr>
      <w:tblGrid>
        <w:gridCol w:w="1281"/>
        <w:gridCol w:w="917"/>
        <w:gridCol w:w="777"/>
        <w:gridCol w:w="718"/>
        <w:gridCol w:w="1284"/>
        <w:gridCol w:w="3260"/>
      </w:tblGrid>
      <w:tr w:rsidR="00F75CC4" w:rsidRPr="00C80265" w14:paraId="321CDC12" w14:textId="77777777" w:rsidTr="00DB283A">
        <w:trPr>
          <w:trHeight w:val="480"/>
        </w:trPr>
        <w:tc>
          <w:tcPr>
            <w:tcW w:w="1281" w:type="dxa"/>
            <w:tcBorders>
              <w:top w:val="nil"/>
              <w:left w:val="nil"/>
              <w:bottom w:val="nil"/>
              <w:right w:val="nil"/>
            </w:tcBorders>
            <w:shd w:val="clear" w:color="000000" w:fill="064EA8"/>
            <w:vAlign w:val="center"/>
            <w:hideMark/>
          </w:tcPr>
          <w:p w14:paraId="0DB2C392"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Name</w:t>
            </w:r>
          </w:p>
        </w:tc>
        <w:tc>
          <w:tcPr>
            <w:tcW w:w="917" w:type="dxa"/>
            <w:tcBorders>
              <w:top w:val="nil"/>
              <w:left w:val="nil"/>
              <w:bottom w:val="nil"/>
              <w:right w:val="nil"/>
            </w:tcBorders>
            <w:shd w:val="clear" w:color="000000" w:fill="064EA8"/>
            <w:vAlign w:val="center"/>
            <w:hideMark/>
          </w:tcPr>
          <w:p w14:paraId="1E057ED9"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Number</w:t>
            </w:r>
          </w:p>
        </w:tc>
        <w:tc>
          <w:tcPr>
            <w:tcW w:w="777" w:type="dxa"/>
            <w:tcBorders>
              <w:top w:val="nil"/>
              <w:left w:val="nil"/>
              <w:bottom w:val="nil"/>
              <w:right w:val="nil"/>
            </w:tcBorders>
            <w:shd w:val="clear" w:color="000000" w:fill="064EA8"/>
            <w:vAlign w:val="center"/>
            <w:hideMark/>
          </w:tcPr>
          <w:p w14:paraId="53E01742"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Type</w:t>
            </w:r>
          </w:p>
        </w:tc>
        <w:tc>
          <w:tcPr>
            <w:tcW w:w="718" w:type="dxa"/>
            <w:tcBorders>
              <w:top w:val="nil"/>
              <w:left w:val="nil"/>
              <w:bottom w:val="nil"/>
              <w:right w:val="nil"/>
            </w:tcBorders>
            <w:shd w:val="clear" w:color="000000" w:fill="064EA8"/>
            <w:vAlign w:val="center"/>
            <w:hideMark/>
          </w:tcPr>
          <w:p w14:paraId="56E9234E"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Year</w:t>
            </w:r>
          </w:p>
        </w:tc>
        <w:tc>
          <w:tcPr>
            <w:tcW w:w="1284" w:type="dxa"/>
            <w:tcBorders>
              <w:top w:val="nil"/>
              <w:left w:val="nil"/>
              <w:bottom w:val="nil"/>
              <w:right w:val="nil"/>
            </w:tcBorders>
            <w:shd w:val="clear" w:color="000000" w:fill="064EA8"/>
            <w:vAlign w:val="center"/>
            <w:hideMark/>
          </w:tcPr>
          <w:p w14:paraId="48FC497E"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Availability of SEGY</w:t>
            </w:r>
          </w:p>
        </w:tc>
        <w:tc>
          <w:tcPr>
            <w:tcW w:w="3260" w:type="dxa"/>
            <w:tcBorders>
              <w:top w:val="nil"/>
              <w:left w:val="nil"/>
              <w:bottom w:val="nil"/>
              <w:right w:val="nil"/>
            </w:tcBorders>
            <w:shd w:val="clear" w:color="000000" w:fill="064EA8"/>
            <w:vAlign w:val="center"/>
            <w:hideMark/>
          </w:tcPr>
          <w:p w14:paraId="119C3EAB"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Operator</w:t>
            </w:r>
          </w:p>
        </w:tc>
      </w:tr>
      <w:tr w:rsidR="00F75CC4" w:rsidRPr="00C80265" w14:paraId="57F9886B" w14:textId="77777777" w:rsidTr="00DB283A">
        <w:trPr>
          <w:trHeight w:val="255"/>
        </w:trPr>
        <w:tc>
          <w:tcPr>
            <w:tcW w:w="1281" w:type="dxa"/>
            <w:tcBorders>
              <w:top w:val="nil"/>
              <w:left w:val="nil"/>
              <w:bottom w:val="single" w:sz="4" w:space="0" w:color="064EA8"/>
              <w:right w:val="nil"/>
            </w:tcBorders>
            <w:shd w:val="clear" w:color="auto" w:fill="auto"/>
            <w:noWrap/>
            <w:vAlign w:val="bottom"/>
            <w:hideMark/>
          </w:tcPr>
          <w:p w14:paraId="18336FFD"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Offshore Otway</w:t>
            </w:r>
          </w:p>
        </w:tc>
        <w:tc>
          <w:tcPr>
            <w:tcW w:w="917" w:type="dxa"/>
            <w:tcBorders>
              <w:top w:val="nil"/>
              <w:left w:val="nil"/>
              <w:bottom w:val="single" w:sz="4" w:space="0" w:color="064EA8"/>
              <w:right w:val="nil"/>
            </w:tcBorders>
            <w:shd w:val="clear" w:color="auto" w:fill="auto"/>
            <w:noWrap/>
            <w:vAlign w:val="bottom"/>
            <w:hideMark/>
          </w:tcPr>
          <w:p w14:paraId="085C0166"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OS66A</w:t>
            </w:r>
          </w:p>
        </w:tc>
        <w:tc>
          <w:tcPr>
            <w:tcW w:w="777" w:type="dxa"/>
            <w:tcBorders>
              <w:top w:val="nil"/>
              <w:left w:val="nil"/>
              <w:bottom w:val="single" w:sz="4" w:space="0" w:color="064EA8"/>
              <w:right w:val="nil"/>
            </w:tcBorders>
            <w:shd w:val="clear" w:color="auto" w:fill="auto"/>
            <w:noWrap/>
            <w:vAlign w:val="bottom"/>
            <w:hideMark/>
          </w:tcPr>
          <w:p w14:paraId="4CAE5A47"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18" w:type="dxa"/>
            <w:tcBorders>
              <w:top w:val="nil"/>
              <w:left w:val="nil"/>
              <w:bottom w:val="single" w:sz="4" w:space="0" w:color="064EA8"/>
              <w:right w:val="nil"/>
            </w:tcBorders>
            <w:shd w:val="clear" w:color="auto" w:fill="auto"/>
            <w:noWrap/>
            <w:vAlign w:val="bottom"/>
            <w:hideMark/>
          </w:tcPr>
          <w:p w14:paraId="57CA46C9"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1966</w:t>
            </w:r>
          </w:p>
        </w:tc>
        <w:tc>
          <w:tcPr>
            <w:tcW w:w="1284" w:type="dxa"/>
            <w:tcBorders>
              <w:top w:val="nil"/>
              <w:left w:val="nil"/>
              <w:bottom w:val="single" w:sz="4" w:space="0" w:color="064EA8"/>
              <w:right w:val="nil"/>
            </w:tcBorders>
            <w:shd w:val="clear" w:color="auto" w:fill="auto"/>
            <w:noWrap/>
            <w:vAlign w:val="bottom"/>
            <w:hideMark/>
          </w:tcPr>
          <w:p w14:paraId="060A6391" w14:textId="77777777" w:rsidR="00F75CC4" w:rsidRPr="00C80265" w:rsidRDefault="00F75CC4" w:rsidP="00C80265">
            <w:pPr>
              <w:spacing w:before="0" w:after="0" w:line="240" w:lineRule="auto"/>
              <w:jc w:val="center"/>
              <w:rPr>
                <w:rFonts w:cs="Arial"/>
                <w:sz w:val="16"/>
                <w:szCs w:val="16"/>
                <w:lang w:eastAsia="en-AU"/>
              </w:rPr>
            </w:pPr>
          </w:p>
        </w:tc>
        <w:tc>
          <w:tcPr>
            <w:tcW w:w="3260" w:type="dxa"/>
            <w:tcBorders>
              <w:top w:val="nil"/>
              <w:left w:val="nil"/>
              <w:bottom w:val="single" w:sz="4" w:space="0" w:color="064EA8"/>
              <w:right w:val="nil"/>
            </w:tcBorders>
            <w:shd w:val="clear" w:color="auto" w:fill="auto"/>
            <w:noWrap/>
            <w:vAlign w:val="bottom"/>
            <w:hideMark/>
          </w:tcPr>
          <w:p w14:paraId="579A5D48"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F75CC4" w:rsidRPr="00C80265" w14:paraId="1F387313" w14:textId="77777777" w:rsidTr="00DB283A">
        <w:trPr>
          <w:trHeight w:val="255"/>
        </w:trPr>
        <w:tc>
          <w:tcPr>
            <w:tcW w:w="1281" w:type="dxa"/>
            <w:tcBorders>
              <w:top w:val="nil"/>
              <w:left w:val="nil"/>
              <w:bottom w:val="single" w:sz="4" w:space="0" w:color="064EA8"/>
              <w:right w:val="nil"/>
            </w:tcBorders>
            <w:shd w:val="clear" w:color="auto" w:fill="auto"/>
            <w:noWrap/>
            <w:vAlign w:val="bottom"/>
            <w:hideMark/>
          </w:tcPr>
          <w:p w14:paraId="1AF354FA"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OP80</w:t>
            </w:r>
          </w:p>
        </w:tc>
        <w:tc>
          <w:tcPr>
            <w:tcW w:w="917" w:type="dxa"/>
            <w:tcBorders>
              <w:top w:val="nil"/>
              <w:left w:val="nil"/>
              <w:bottom w:val="single" w:sz="4" w:space="0" w:color="064EA8"/>
              <w:right w:val="nil"/>
            </w:tcBorders>
            <w:shd w:val="clear" w:color="auto" w:fill="auto"/>
            <w:noWrap/>
            <w:vAlign w:val="bottom"/>
            <w:hideMark/>
          </w:tcPr>
          <w:p w14:paraId="040FC813"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OP80</w:t>
            </w:r>
          </w:p>
        </w:tc>
        <w:tc>
          <w:tcPr>
            <w:tcW w:w="777" w:type="dxa"/>
            <w:tcBorders>
              <w:top w:val="nil"/>
              <w:left w:val="nil"/>
              <w:bottom w:val="single" w:sz="4" w:space="0" w:color="064EA8"/>
              <w:right w:val="nil"/>
            </w:tcBorders>
            <w:shd w:val="clear" w:color="auto" w:fill="auto"/>
            <w:noWrap/>
            <w:vAlign w:val="bottom"/>
            <w:hideMark/>
          </w:tcPr>
          <w:p w14:paraId="6C7B3ECA"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18" w:type="dxa"/>
            <w:tcBorders>
              <w:top w:val="nil"/>
              <w:left w:val="nil"/>
              <w:bottom w:val="single" w:sz="4" w:space="0" w:color="064EA8"/>
              <w:right w:val="nil"/>
            </w:tcBorders>
            <w:shd w:val="clear" w:color="auto" w:fill="auto"/>
            <w:noWrap/>
            <w:vAlign w:val="bottom"/>
            <w:hideMark/>
          </w:tcPr>
          <w:p w14:paraId="4F24CCEF"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1981</w:t>
            </w:r>
          </w:p>
        </w:tc>
        <w:tc>
          <w:tcPr>
            <w:tcW w:w="1284" w:type="dxa"/>
            <w:tcBorders>
              <w:top w:val="nil"/>
              <w:left w:val="nil"/>
              <w:bottom w:val="single" w:sz="4" w:space="0" w:color="064EA8"/>
              <w:right w:val="nil"/>
            </w:tcBorders>
            <w:shd w:val="clear" w:color="auto" w:fill="auto"/>
            <w:noWrap/>
            <w:vAlign w:val="bottom"/>
            <w:hideMark/>
          </w:tcPr>
          <w:p w14:paraId="51D6C8E9" w14:textId="77777777" w:rsidR="00F75CC4" w:rsidRPr="00C80265" w:rsidRDefault="00F75CC4"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260" w:type="dxa"/>
            <w:tcBorders>
              <w:top w:val="nil"/>
              <w:left w:val="nil"/>
              <w:bottom w:val="single" w:sz="4" w:space="0" w:color="064EA8"/>
              <w:right w:val="nil"/>
            </w:tcBorders>
            <w:shd w:val="clear" w:color="auto" w:fill="auto"/>
            <w:noWrap/>
            <w:vAlign w:val="bottom"/>
            <w:hideMark/>
          </w:tcPr>
          <w:p w14:paraId="37E6758D"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Phillips Australia Oil Company</w:t>
            </w:r>
          </w:p>
        </w:tc>
      </w:tr>
      <w:tr w:rsidR="00F75CC4" w:rsidRPr="00C80265" w14:paraId="40823BF2" w14:textId="77777777" w:rsidTr="00DB283A">
        <w:trPr>
          <w:trHeight w:val="255"/>
        </w:trPr>
        <w:tc>
          <w:tcPr>
            <w:tcW w:w="1281" w:type="dxa"/>
            <w:tcBorders>
              <w:top w:val="nil"/>
              <w:left w:val="nil"/>
              <w:bottom w:val="single" w:sz="4" w:space="0" w:color="064EA8"/>
              <w:right w:val="nil"/>
            </w:tcBorders>
            <w:shd w:val="clear" w:color="auto" w:fill="auto"/>
            <w:noWrap/>
            <w:vAlign w:val="bottom"/>
            <w:hideMark/>
          </w:tcPr>
          <w:p w14:paraId="53A35301"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OEP02A</w:t>
            </w:r>
          </w:p>
        </w:tc>
        <w:tc>
          <w:tcPr>
            <w:tcW w:w="917" w:type="dxa"/>
            <w:tcBorders>
              <w:top w:val="nil"/>
              <w:left w:val="nil"/>
              <w:bottom w:val="single" w:sz="4" w:space="0" w:color="064EA8"/>
              <w:right w:val="nil"/>
            </w:tcBorders>
            <w:shd w:val="clear" w:color="auto" w:fill="auto"/>
            <w:noWrap/>
            <w:vAlign w:val="bottom"/>
            <w:hideMark/>
          </w:tcPr>
          <w:p w14:paraId="3BB4228F"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OEP02A</w:t>
            </w:r>
          </w:p>
        </w:tc>
        <w:tc>
          <w:tcPr>
            <w:tcW w:w="777" w:type="dxa"/>
            <w:tcBorders>
              <w:top w:val="nil"/>
              <w:left w:val="nil"/>
              <w:bottom w:val="single" w:sz="4" w:space="0" w:color="064EA8"/>
              <w:right w:val="nil"/>
            </w:tcBorders>
            <w:shd w:val="clear" w:color="auto" w:fill="auto"/>
            <w:noWrap/>
            <w:vAlign w:val="bottom"/>
            <w:hideMark/>
          </w:tcPr>
          <w:p w14:paraId="089E8F96"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18" w:type="dxa"/>
            <w:tcBorders>
              <w:top w:val="nil"/>
              <w:left w:val="nil"/>
              <w:bottom w:val="single" w:sz="4" w:space="0" w:color="064EA8"/>
              <w:right w:val="nil"/>
            </w:tcBorders>
            <w:shd w:val="clear" w:color="auto" w:fill="auto"/>
            <w:noWrap/>
            <w:vAlign w:val="bottom"/>
            <w:hideMark/>
          </w:tcPr>
          <w:p w14:paraId="45F7137B"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2002</w:t>
            </w:r>
          </w:p>
        </w:tc>
        <w:tc>
          <w:tcPr>
            <w:tcW w:w="1284" w:type="dxa"/>
            <w:tcBorders>
              <w:top w:val="nil"/>
              <w:left w:val="nil"/>
              <w:bottom w:val="single" w:sz="4" w:space="0" w:color="064EA8"/>
              <w:right w:val="nil"/>
            </w:tcBorders>
            <w:shd w:val="clear" w:color="auto" w:fill="auto"/>
            <w:noWrap/>
            <w:vAlign w:val="bottom"/>
            <w:hideMark/>
          </w:tcPr>
          <w:p w14:paraId="32B3330C" w14:textId="77777777" w:rsidR="00F75CC4" w:rsidRPr="00C80265" w:rsidRDefault="00F75CC4"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260" w:type="dxa"/>
            <w:tcBorders>
              <w:top w:val="nil"/>
              <w:left w:val="nil"/>
              <w:bottom w:val="single" w:sz="4" w:space="0" w:color="064EA8"/>
              <w:right w:val="nil"/>
            </w:tcBorders>
            <w:shd w:val="clear" w:color="auto" w:fill="auto"/>
            <w:noWrap/>
            <w:vAlign w:val="bottom"/>
            <w:hideMark/>
          </w:tcPr>
          <w:p w14:paraId="1FBA1347"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Essential Petroleum Resources Ltd</w:t>
            </w:r>
          </w:p>
        </w:tc>
      </w:tr>
    </w:tbl>
    <w:p w14:paraId="5F4292BF" w14:textId="77777777" w:rsidR="00F75CC4" w:rsidRPr="00AE51DB" w:rsidRDefault="00F75CC4" w:rsidP="00AE51DB">
      <w:pPr>
        <w:pStyle w:val="bodyCopy"/>
        <w:spacing w:before="360"/>
        <w:rPr>
          <w:b/>
        </w:rPr>
      </w:pPr>
      <w:r w:rsidRPr="00AE51DB">
        <w:rPr>
          <w:b/>
        </w:rPr>
        <w:t>Release Area 18-2(v)</w:t>
      </w:r>
    </w:p>
    <w:tbl>
      <w:tblPr>
        <w:tblW w:w="8237" w:type="dxa"/>
        <w:tblInd w:w="93" w:type="dxa"/>
        <w:tblLayout w:type="fixed"/>
        <w:tblLook w:val="04A0" w:firstRow="1" w:lastRow="0" w:firstColumn="1" w:lastColumn="0" w:noHBand="0" w:noVBand="1"/>
      </w:tblPr>
      <w:tblGrid>
        <w:gridCol w:w="1291"/>
        <w:gridCol w:w="1067"/>
        <w:gridCol w:w="777"/>
        <w:gridCol w:w="708"/>
        <w:gridCol w:w="1134"/>
        <w:gridCol w:w="3260"/>
      </w:tblGrid>
      <w:tr w:rsidR="00F75CC4" w:rsidRPr="00C80265" w14:paraId="30AC4E85" w14:textId="77777777" w:rsidTr="00DB283A">
        <w:trPr>
          <w:trHeight w:val="540"/>
        </w:trPr>
        <w:tc>
          <w:tcPr>
            <w:tcW w:w="1291" w:type="dxa"/>
            <w:tcBorders>
              <w:top w:val="nil"/>
              <w:left w:val="nil"/>
              <w:bottom w:val="nil"/>
              <w:right w:val="nil"/>
            </w:tcBorders>
            <w:shd w:val="clear" w:color="000000" w:fill="064EA8"/>
            <w:vAlign w:val="center"/>
            <w:hideMark/>
          </w:tcPr>
          <w:p w14:paraId="18048F71"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Name</w:t>
            </w:r>
          </w:p>
        </w:tc>
        <w:tc>
          <w:tcPr>
            <w:tcW w:w="1067" w:type="dxa"/>
            <w:tcBorders>
              <w:top w:val="nil"/>
              <w:left w:val="nil"/>
              <w:bottom w:val="nil"/>
              <w:right w:val="nil"/>
            </w:tcBorders>
            <w:shd w:val="clear" w:color="000000" w:fill="064EA8"/>
            <w:vAlign w:val="center"/>
            <w:hideMark/>
          </w:tcPr>
          <w:p w14:paraId="01FFA4AB"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Number</w:t>
            </w:r>
          </w:p>
        </w:tc>
        <w:tc>
          <w:tcPr>
            <w:tcW w:w="777" w:type="dxa"/>
            <w:tcBorders>
              <w:top w:val="nil"/>
              <w:left w:val="nil"/>
              <w:bottom w:val="nil"/>
              <w:right w:val="nil"/>
            </w:tcBorders>
            <w:shd w:val="clear" w:color="000000" w:fill="064EA8"/>
            <w:vAlign w:val="center"/>
            <w:hideMark/>
          </w:tcPr>
          <w:p w14:paraId="475CD397"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Type</w:t>
            </w:r>
          </w:p>
        </w:tc>
        <w:tc>
          <w:tcPr>
            <w:tcW w:w="708" w:type="dxa"/>
            <w:tcBorders>
              <w:top w:val="nil"/>
              <w:left w:val="nil"/>
              <w:bottom w:val="nil"/>
              <w:right w:val="nil"/>
            </w:tcBorders>
            <w:shd w:val="clear" w:color="000000" w:fill="064EA8"/>
            <w:vAlign w:val="center"/>
            <w:hideMark/>
          </w:tcPr>
          <w:p w14:paraId="4F2E2CC9"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Year</w:t>
            </w:r>
          </w:p>
        </w:tc>
        <w:tc>
          <w:tcPr>
            <w:tcW w:w="1134" w:type="dxa"/>
            <w:tcBorders>
              <w:top w:val="nil"/>
              <w:left w:val="nil"/>
              <w:bottom w:val="nil"/>
              <w:right w:val="nil"/>
            </w:tcBorders>
            <w:shd w:val="clear" w:color="000000" w:fill="064EA8"/>
            <w:vAlign w:val="center"/>
            <w:hideMark/>
          </w:tcPr>
          <w:p w14:paraId="3978FF33"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Availability of SEGY</w:t>
            </w:r>
          </w:p>
        </w:tc>
        <w:tc>
          <w:tcPr>
            <w:tcW w:w="3260" w:type="dxa"/>
            <w:tcBorders>
              <w:top w:val="nil"/>
              <w:left w:val="nil"/>
              <w:bottom w:val="nil"/>
              <w:right w:val="nil"/>
            </w:tcBorders>
            <w:shd w:val="clear" w:color="000000" w:fill="064EA8"/>
            <w:vAlign w:val="center"/>
            <w:hideMark/>
          </w:tcPr>
          <w:p w14:paraId="71E31BBE" w14:textId="77777777" w:rsidR="00F75CC4" w:rsidRPr="00C80265" w:rsidRDefault="00F75CC4"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Operator</w:t>
            </w:r>
          </w:p>
        </w:tc>
      </w:tr>
      <w:tr w:rsidR="00F75CC4" w:rsidRPr="00C80265" w14:paraId="08E1CE11" w14:textId="77777777" w:rsidTr="00DB283A">
        <w:trPr>
          <w:trHeight w:val="255"/>
        </w:trPr>
        <w:tc>
          <w:tcPr>
            <w:tcW w:w="1291" w:type="dxa"/>
            <w:tcBorders>
              <w:top w:val="nil"/>
              <w:left w:val="nil"/>
              <w:bottom w:val="single" w:sz="4" w:space="0" w:color="064EA8"/>
              <w:right w:val="nil"/>
            </w:tcBorders>
            <w:shd w:val="clear" w:color="auto" w:fill="auto"/>
            <w:noWrap/>
            <w:vAlign w:val="bottom"/>
            <w:hideMark/>
          </w:tcPr>
          <w:p w14:paraId="5D4D1FF4"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Offshore Otway</w:t>
            </w:r>
          </w:p>
        </w:tc>
        <w:tc>
          <w:tcPr>
            <w:tcW w:w="1067" w:type="dxa"/>
            <w:tcBorders>
              <w:top w:val="nil"/>
              <w:left w:val="nil"/>
              <w:bottom w:val="single" w:sz="4" w:space="0" w:color="064EA8"/>
              <w:right w:val="nil"/>
            </w:tcBorders>
            <w:shd w:val="clear" w:color="auto" w:fill="auto"/>
            <w:noWrap/>
            <w:vAlign w:val="bottom"/>
            <w:hideMark/>
          </w:tcPr>
          <w:p w14:paraId="72CFB319"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OS66A</w:t>
            </w:r>
          </w:p>
        </w:tc>
        <w:tc>
          <w:tcPr>
            <w:tcW w:w="777" w:type="dxa"/>
            <w:tcBorders>
              <w:top w:val="nil"/>
              <w:left w:val="nil"/>
              <w:bottom w:val="single" w:sz="4" w:space="0" w:color="064EA8"/>
              <w:right w:val="nil"/>
            </w:tcBorders>
            <w:shd w:val="clear" w:color="auto" w:fill="auto"/>
            <w:noWrap/>
            <w:vAlign w:val="bottom"/>
            <w:hideMark/>
          </w:tcPr>
          <w:p w14:paraId="2516AFA8"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08" w:type="dxa"/>
            <w:tcBorders>
              <w:top w:val="nil"/>
              <w:left w:val="nil"/>
              <w:bottom w:val="single" w:sz="4" w:space="0" w:color="064EA8"/>
              <w:right w:val="nil"/>
            </w:tcBorders>
            <w:shd w:val="clear" w:color="auto" w:fill="auto"/>
            <w:noWrap/>
            <w:vAlign w:val="bottom"/>
            <w:hideMark/>
          </w:tcPr>
          <w:p w14:paraId="725D9752"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1966</w:t>
            </w:r>
          </w:p>
        </w:tc>
        <w:tc>
          <w:tcPr>
            <w:tcW w:w="1134" w:type="dxa"/>
            <w:tcBorders>
              <w:top w:val="nil"/>
              <w:left w:val="nil"/>
              <w:bottom w:val="single" w:sz="4" w:space="0" w:color="064EA8"/>
              <w:right w:val="nil"/>
            </w:tcBorders>
            <w:shd w:val="clear" w:color="auto" w:fill="auto"/>
            <w:noWrap/>
            <w:vAlign w:val="bottom"/>
            <w:hideMark/>
          </w:tcPr>
          <w:p w14:paraId="0B831616" w14:textId="77777777" w:rsidR="00F75CC4" w:rsidRPr="00C80265" w:rsidRDefault="00F75CC4" w:rsidP="00C80265">
            <w:pPr>
              <w:spacing w:before="0" w:after="0" w:line="240" w:lineRule="auto"/>
              <w:jc w:val="center"/>
              <w:rPr>
                <w:rFonts w:cs="Arial"/>
                <w:sz w:val="16"/>
                <w:szCs w:val="16"/>
                <w:lang w:eastAsia="en-AU"/>
              </w:rPr>
            </w:pPr>
          </w:p>
        </w:tc>
        <w:tc>
          <w:tcPr>
            <w:tcW w:w="3260" w:type="dxa"/>
            <w:tcBorders>
              <w:top w:val="nil"/>
              <w:left w:val="nil"/>
              <w:bottom w:val="single" w:sz="4" w:space="0" w:color="064EA8"/>
              <w:right w:val="nil"/>
            </w:tcBorders>
            <w:shd w:val="clear" w:color="auto" w:fill="auto"/>
            <w:noWrap/>
            <w:vAlign w:val="bottom"/>
            <w:hideMark/>
          </w:tcPr>
          <w:p w14:paraId="3EF2EFAE"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F75CC4" w:rsidRPr="00C80265" w14:paraId="2EAC4218" w14:textId="77777777" w:rsidTr="00DB283A">
        <w:trPr>
          <w:trHeight w:val="255"/>
        </w:trPr>
        <w:tc>
          <w:tcPr>
            <w:tcW w:w="1291" w:type="dxa"/>
            <w:tcBorders>
              <w:top w:val="nil"/>
              <w:left w:val="nil"/>
              <w:bottom w:val="single" w:sz="4" w:space="0" w:color="064EA8"/>
              <w:right w:val="nil"/>
            </w:tcBorders>
            <w:shd w:val="clear" w:color="auto" w:fill="auto"/>
            <w:noWrap/>
            <w:vAlign w:val="bottom"/>
            <w:hideMark/>
          </w:tcPr>
          <w:p w14:paraId="59AB0C36"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PEP22/D</w:t>
            </w:r>
          </w:p>
        </w:tc>
        <w:tc>
          <w:tcPr>
            <w:tcW w:w="1067" w:type="dxa"/>
            <w:tcBorders>
              <w:top w:val="nil"/>
              <w:left w:val="nil"/>
              <w:bottom w:val="single" w:sz="4" w:space="0" w:color="064EA8"/>
              <w:right w:val="nil"/>
            </w:tcBorders>
            <w:shd w:val="clear" w:color="auto" w:fill="auto"/>
            <w:noWrap/>
            <w:vAlign w:val="bottom"/>
            <w:hideMark/>
          </w:tcPr>
          <w:p w14:paraId="120049A3"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OS66C</w:t>
            </w:r>
          </w:p>
        </w:tc>
        <w:tc>
          <w:tcPr>
            <w:tcW w:w="777" w:type="dxa"/>
            <w:tcBorders>
              <w:top w:val="nil"/>
              <w:left w:val="nil"/>
              <w:bottom w:val="single" w:sz="4" w:space="0" w:color="064EA8"/>
              <w:right w:val="nil"/>
            </w:tcBorders>
            <w:shd w:val="clear" w:color="auto" w:fill="auto"/>
            <w:noWrap/>
            <w:vAlign w:val="bottom"/>
            <w:hideMark/>
          </w:tcPr>
          <w:p w14:paraId="3015B9C6"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08" w:type="dxa"/>
            <w:tcBorders>
              <w:top w:val="nil"/>
              <w:left w:val="nil"/>
              <w:bottom w:val="single" w:sz="4" w:space="0" w:color="064EA8"/>
              <w:right w:val="nil"/>
            </w:tcBorders>
            <w:shd w:val="clear" w:color="auto" w:fill="auto"/>
            <w:noWrap/>
            <w:vAlign w:val="bottom"/>
            <w:hideMark/>
          </w:tcPr>
          <w:p w14:paraId="4C84A650"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1966</w:t>
            </w:r>
          </w:p>
        </w:tc>
        <w:tc>
          <w:tcPr>
            <w:tcW w:w="1134" w:type="dxa"/>
            <w:tcBorders>
              <w:top w:val="nil"/>
              <w:left w:val="nil"/>
              <w:bottom w:val="single" w:sz="4" w:space="0" w:color="064EA8"/>
              <w:right w:val="nil"/>
            </w:tcBorders>
            <w:shd w:val="clear" w:color="auto" w:fill="auto"/>
            <w:noWrap/>
            <w:vAlign w:val="bottom"/>
            <w:hideMark/>
          </w:tcPr>
          <w:p w14:paraId="17ED2C8C" w14:textId="77777777" w:rsidR="00F75CC4" w:rsidRPr="00C80265" w:rsidRDefault="00F75CC4" w:rsidP="00C80265">
            <w:pPr>
              <w:spacing w:before="0" w:after="0" w:line="240" w:lineRule="auto"/>
              <w:jc w:val="center"/>
              <w:rPr>
                <w:rFonts w:cs="Arial"/>
                <w:sz w:val="16"/>
                <w:szCs w:val="16"/>
                <w:lang w:eastAsia="en-AU"/>
              </w:rPr>
            </w:pPr>
          </w:p>
        </w:tc>
        <w:tc>
          <w:tcPr>
            <w:tcW w:w="3260" w:type="dxa"/>
            <w:tcBorders>
              <w:top w:val="nil"/>
              <w:left w:val="nil"/>
              <w:bottom w:val="single" w:sz="4" w:space="0" w:color="064EA8"/>
              <w:right w:val="nil"/>
            </w:tcBorders>
            <w:shd w:val="clear" w:color="auto" w:fill="auto"/>
            <w:noWrap/>
            <w:vAlign w:val="bottom"/>
            <w:hideMark/>
          </w:tcPr>
          <w:p w14:paraId="00D2B667"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F75CC4" w:rsidRPr="00C80265" w14:paraId="518A4033" w14:textId="77777777" w:rsidTr="00DB283A">
        <w:trPr>
          <w:trHeight w:val="255"/>
        </w:trPr>
        <w:tc>
          <w:tcPr>
            <w:tcW w:w="1291" w:type="dxa"/>
            <w:tcBorders>
              <w:top w:val="nil"/>
              <w:left w:val="nil"/>
              <w:bottom w:val="single" w:sz="4" w:space="0" w:color="064EA8"/>
              <w:right w:val="nil"/>
            </w:tcBorders>
            <w:shd w:val="clear" w:color="auto" w:fill="auto"/>
            <w:noWrap/>
            <w:vAlign w:val="bottom"/>
            <w:hideMark/>
          </w:tcPr>
          <w:p w14:paraId="217060CC"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Portland Experimental</w:t>
            </w:r>
          </w:p>
        </w:tc>
        <w:tc>
          <w:tcPr>
            <w:tcW w:w="1067" w:type="dxa"/>
            <w:tcBorders>
              <w:top w:val="nil"/>
              <w:left w:val="nil"/>
              <w:bottom w:val="single" w:sz="4" w:space="0" w:color="064EA8"/>
              <w:right w:val="nil"/>
            </w:tcBorders>
            <w:shd w:val="clear" w:color="auto" w:fill="auto"/>
            <w:noWrap/>
            <w:vAlign w:val="bottom"/>
            <w:hideMark/>
          </w:tcPr>
          <w:p w14:paraId="6F3E3B6D"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OS70A</w:t>
            </w:r>
          </w:p>
        </w:tc>
        <w:tc>
          <w:tcPr>
            <w:tcW w:w="777" w:type="dxa"/>
            <w:tcBorders>
              <w:top w:val="nil"/>
              <w:left w:val="nil"/>
              <w:bottom w:val="single" w:sz="4" w:space="0" w:color="064EA8"/>
              <w:right w:val="nil"/>
            </w:tcBorders>
            <w:shd w:val="clear" w:color="auto" w:fill="auto"/>
            <w:noWrap/>
            <w:vAlign w:val="bottom"/>
            <w:hideMark/>
          </w:tcPr>
          <w:p w14:paraId="417AA777"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08" w:type="dxa"/>
            <w:tcBorders>
              <w:top w:val="nil"/>
              <w:left w:val="nil"/>
              <w:bottom w:val="single" w:sz="4" w:space="0" w:color="064EA8"/>
              <w:right w:val="nil"/>
            </w:tcBorders>
            <w:shd w:val="clear" w:color="auto" w:fill="auto"/>
            <w:noWrap/>
            <w:vAlign w:val="bottom"/>
            <w:hideMark/>
          </w:tcPr>
          <w:p w14:paraId="197760D1"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1970</w:t>
            </w:r>
          </w:p>
        </w:tc>
        <w:tc>
          <w:tcPr>
            <w:tcW w:w="1134" w:type="dxa"/>
            <w:tcBorders>
              <w:top w:val="nil"/>
              <w:left w:val="nil"/>
              <w:bottom w:val="single" w:sz="4" w:space="0" w:color="064EA8"/>
              <w:right w:val="nil"/>
            </w:tcBorders>
            <w:shd w:val="clear" w:color="auto" w:fill="auto"/>
            <w:noWrap/>
            <w:vAlign w:val="bottom"/>
            <w:hideMark/>
          </w:tcPr>
          <w:p w14:paraId="13C9EA93" w14:textId="77777777" w:rsidR="00F75CC4" w:rsidRPr="00C80265" w:rsidRDefault="00F75CC4" w:rsidP="00C80265">
            <w:pPr>
              <w:spacing w:before="0" w:after="0" w:line="240" w:lineRule="auto"/>
              <w:jc w:val="center"/>
              <w:rPr>
                <w:rFonts w:cs="Arial"/>
                <w:sz w:val="16"/>
                <w:szCs w:val="16"/>
                <w:lang w:eastAsia="en-AU"/>
              </w:rPr>
            </w:pPr>
          </w:p>
        </w:tc>
        <w:tc>
          <w:tcPr>
            <w:tcW w:w="3260" w:type="dxa"/>
            <w:tcBorders>
              <w:top w:val="nil"/>
              <w:left w:val="nil"/>
              <w:bottom w:val="single" w:sz="4" w:space="0" w:color="064EA8"/>
              <w:right w:val="nil"/>
            </w:tcBorders>
            <w:shd w:val="clear" w:color="auto" w:fill="auto"/>
            <w:noWrap/>
            <w:vAlign w:val="bottom"/>
            <w:hideMark/>
          </w:tcPr>
          <w:p w14:paraId="4438C92B"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F75CC4" w:rsidRPr="00C80265" w14:paraId="39D39CC6" w14:textId="77777777" w:rsidTr="00DB283A">
        <w:trPr>
          <w:trHeight w:val="255"/>
        </w:trPr>
        <w:tc>
          <w:tcPr>
            <w:tcW w:w="1291" w:type="dxa"/>
            <w:tcBorders>
              <w:top w:val="nil"/>
              <w:left w:val="nil"/>
              <w:bottom w:val="single" w:sz="4" w:space="0" w:color="064EA8"/>
              <w:right w:val="nil"/>
            </w:tcBorders>
            <w:shd w:val="clear" w:color="auto" w:fill="auto"/>
            <w:noWrap/>
            <w:vAlign w:val="bottom"/>
            <w:hideMark/>
          </w:tcPr>
          <w:p w14:paraId="3FCDCC9A"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OP80</w:t>
            </w:r>
          </w:p>
        </w:tc>
        <w:tc>
          <w:tcPr>
            <w:tcW w:w="1067" w:type="dxa"/>
            <w:tcBorders>
              <w:top w:val="nil"/>
              <w:left w:val="nil"/>
              <w:bottom w:val="single" w:sz="4" w:space="0" w:color="064EA8"/>
              <w:right w:val="nil"/>
            </w:tcBorders>
            <w:shd w:val="clear" w:color="auto" w:fill="auto"/>
            <w:noWrap/>
            <w:vAlign w:val="bottom"/>
            <w:hideMark/>
          </w:tcPr>
          <w:p w14:paraId="552F153F"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OP80</w:t>
            </w:r>
          </w:p>
        </w:tc>
        <w:tc>
          <w:tcPr>
            <w:tcW w:w="777" w:type="dxa"/>
            <w:tcBorders>
              <w:top w:val="nil"/>
              <w:left w:val="nil"/>
              <w:bottom w:val="single" w:sz="4" w:space="0" w:color="064EA8"/>
              <w:right w:val="nil"/>
            </w:tcBorders>
            <w:shd w:val="clear" w:color="auto" w:fill="auto"/>
            <w:noWrap/>
            <w:vAlign w:val="bottom"/>
            <w:hideMark/>
          </w:tcPr>
          <w:p w14:paraId="0A4F01E8"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08" w:type="dxa"/>
            <w:tcBorders>
              <w:top w:val="nil"/>
              <w:left w:val="nil"/>
              <w:bottom w:val="single" w:sz="4" w:space="0" w:color="064EA8"/>
              <w:right w:val="nil"/>
            </w:tcBorders>
            <w:shd w:val="clear" w:color="auto" w:fill="auto"/>
            <w:noWrap/>
            <w:vAlign w:val="bottom"/>
            <w:hideMark/>
          </w:tcPr>
          <w:p w14:paraId="1408E9F7"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1981</w:t>
            </w:r>
          </w:p>
        </w:tc>
        <w:tc>
          <w:tcPr>
            <w:tcW w:w="1134" w:type="dxa"/>
            <w:tcBorders>
              <w:top w:val="nil"/>
              <w:left w:val="nil"/>
              <w:bottom w:val="single" w:sz="4" w:space="0" w:color="064EA8"/>
              <w:right w:val="nil"/>
            </w:tcBorders>
            <w:shd w:val="clear" w:color="auto" w:fill="auto"/>
            <w:noWrap/>
            <w:vAlign w:val="bottom"/>
            <w:hideMark/>
          </w:tcPr>
          <w:p w14:paraId="3504638D" w14:textId="77777777" w:rsidR="00F75CC4" w:rsidRPr="00C80265" w:rsidRDefault="00F75CC4"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260" w:type="dxa"/>
            <w:tcBorders>
              <w:top w:val="nil"/>
              <w:left w:val="nil"/>
              <w:bottom w:val="single" w:sz="4" w:space="0" w:color="064EA8"/>
              <w:right w:val="nil"/>
            </w:tcBorders>
            <w:shd w:val="clear" w:color="auto" w:fill="auto"/>
            <w:noWrap/>
            <w:vAlign w:val="bottom"/>
            <w:hideMark/>
          </w:tcPr>
          <w:p w14:paraId="046BE241"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Phillips Australia Oil Company</w:t>
            </w:r>
          </w:p>
        </w:tc>
      </w:tr>
      <w:tr w:rsidR="00F75CC4" w:rsidRPr="00C80265" w14:paraId="3B708309" w14:textId="77777777" w:rsidTr="00DB283A">
        <w:trPr>
          <w:trHeight w:val="255"/>
        </w:trPr>
        <w:tc>
          <w:tcPr>
            <w:tcW w:w="1291" w:type="dxa"/>
            <w:tcBorders>
              <w:top w:val="nil"/>
              <w:left w:val="nil"/>
              <w:bottom w:val="single" w:sz="4" w:space="0" w:color="064EA8"/>
              <w:right w:val="nil"/>
            </w:tcBorders>
            <w:shd w:val="clear" w:color="auto" w:fill="auto"/>
            <w:noWrap/>
            <w:vAlign w:val="bottom"/>
            <w:hideMark/>
          </w:tcPr>
          <w:p w14:paraId="06322483"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Howick</w:t>
            </w:r>
          </w:p>
        </w:tc>
        <w:tc>
          <w:tcPr>
            <w:tcW w:w="1067" w:type="dxa"/>
            <w:tcBorders>
              <w:top w:val="nil"/>
              <w:left w:val="nil"/>
              <w:bottom w:val="single" w:sz="4" w:space="0" w:color="064EA8"/>
              <w:right w:val="nil"/>
            </w:tcBorders>
            <w:shd w:val="clear" w:color="auto" w:fill="auto"/>
            <w:noWrap/>
            <w:vAlign w:val="bottom"/>
            <w:hideMark/>
          </w:tcPr>
          <w:p w14:paraId="4CAF5B21"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OC96D</w:t>
            </w:r>
          </w:p>
        </w:tc>
        <w:tc>
          <w:tcPr>
            <w:tcW w:w="777" w:type="dxa"/>
            <w:tcBorders>
              <w:top w:val="nil"/>
              <w:left w:val="nil"/>
              <w:bottom w:val="single" w:sz="4" w:space="0" w:color="064EA8"/>
              <w:right w:val="nil"/>
            </w:tcBorders>
            <w:shd w:val="clear" w:color="auto" w:fill="auto"/>
            <w:noWrap/>
            <w:vAlign w:val="bottom"/>
            <w:hideMark/>
          </w:tcPr>
          <w:p w14:paraId="7E47DAE6"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08" w:type="dxa"/>
            <w:tcBorders>
              <w:top w:val="nil"/>
              <w:left w:val="nil"/>
              <w:bottom w:val="single" w:sz="4" w:space="0" w:color="064EA8"/>
              <w:right w:val="nil"/>
            </w:tcBorders>
            <w:shd w:val="clear" w:color="auto" w:fill="auto"/>
            <w:noWrap/>
            <w:vAlign w:val="bottom"/>
            <w:hideMark/>
          </w:tcPr>
          <w:p w14:paraId="25A5A88F"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1996</w:t>
            </w:r>
          </w:p>
        </w:tc>
        <w:tc>
          <w:tcPr>
            <w:tcW w:w="1134" w:type="dxa"/>
            <w:tcBorders>
              <w:top w:val="nil"/>
              <w:left w:val="nil"/>
              <w:bottom w:val="single" w:sz="4" w:space="0" w:color="064EA8"/>
              <w:right w:val="nil"/>
            </w:tcBorders>
            <w:shd w:val="clear" w:color="auto" w:fill="auto"/>
            <w:noWrap/>
            <w:vAlign w:val="bottom"/>
            <w:hideMark/>
          </w:tcPr>
          <w:p w14:paraId="5F404B4A" w14:textId="77777777" w:rsidR="00F75CC4" w:rsidRPr="00C80265" w:rsidRDefault="00F75CC4"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260" w:type="dxa"/>
            <w:tcBorders>
              <w:top w:val="nil"/>
              <w:left w:val="nil"/>
              <w:bottom w:val="single" w:sz="4" w:space="0" w:color="064EA8"/>
              <w:right w:val="nil"/>
            </w:tcBorders>
            <w:shd w:val="clear" w:color="auto" w:fill="auto"/>
            <w:noWrap/>
            <w:vAlign w:val="bottom"/>
            <w:hideMark/>
          </w:tcPr>
          <w:p w14:paraId="409551D1"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Cultus Timor Sea Ltd</w:t>
            </w:r>
          </w:p>
        </w:tc>
      </w:tr>
      <w:tr w:rsidR="00F75CC4" w:rsidRPr="00C80265" w14:paraId="378F4DC9" w14:textId="77777777" w:rsidTr="00DB283A">
        <w:trPr>
          <w:trHeight w:val="255"/>
        </w:trPr>
        <w:tc>
          <w:tcPr>
            <w:tcW w:w="1291" w:type="dxa"/>
            <w:tcBorders>
              <w:top w:val="nil"/>
              <w:left w:val="nil"/>
              <w:bottom w:val="single" w:sz="4" w:space="0" w:color="064EA8"/>
              <w:right w:val="nil"/>
            </w:tcBorders>
            <w:shd w:val="clear" w:color="auto" w:fill="auto"/>
            <w:noWrap/>
            <w:vAlign w:val="bottom"/>
            <w:hideMark/>
          </w:tcPr>
          <w:p w14:paraId="665FCE61"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OEP02A</w:t>
            </w:r>
          </w:p>
        </w:tc>
        <w:tc>
          <w:tcPr>
            <w:tcW w:w="1067" w:type="dxa"/>
            <w:tcBorders>
              <w:top w:val="nil"/>
              <w:left w:val="nil"/>
              <w:bottom w:val="single" w:sz="4" w:space="0" w:color="064EA8"/>
              <w:right w:val="nil"/>
            </w:tcBorders>
            <w:shd w:val="clear" w:color="auto" w:fill="auto"/>
            <w:noWrap/>
            <w:vAlign w:val="bottom"/>
            <w:hideMark/>
          </w:tcPr>
          <w:p w14:paraId="047D3E7A"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OEP02A</w:t>
            </w:r>
          </w:p>
        </w:tc>
        <w:tc>
          <w:tcPr>
            <w:tcW w:w="777" w:type="dxa"/>
            <w:tcBorders>
              <w:top w:val="nil"/>
              <w:left w:val="nil"/>
              <w:bottom w:val="single" w:sz="4" w:space="0" w:color="064EA8"/>
              <w:right w:val="nil"/>
            </w:tcBorders>
            <w:shd w:val="clear" w:color="auto" w:fill="auto"/>
            <w:noWrap/>
            <w:vAlign w:val="bottom"/>
            <w:hideMark/>
          </w:tcPr>
          <w:p w14:paraId="53D27CA0"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08" w:type="dxa"/>
            <w:tcBorders>
              <w:top w:val="nil"/>
              <w:left w:val="nil"/>
              <w:bottom w:val="single" w:sz="4" w:space="0" w:color="064EA8"/>
              <w:right w:val="nil"/>
            </w:tcBorders>
            <w:shd w:val="clear" w:color="auto" w:fill="auto"/>
            <w:noWrap/>
            <w:vAlign w:val="bottom"/>
            <w:hideMark/>
          </w:tcPr>
          <w:p w14:paraId="4D03E9B4"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2002</w:t>
            </w:r>
          </w:p>
        </w:tc>
        <w:tc>
          <w:tcPr>
            <w:tcW w:w="1134" w:type="dxa"/>
            <w:tcBorders>
              <w:top w:val="nil"/>
              <w:left w:val="nil"/>
              <w:bottom w:val="single" w:sz="4" w:space="0" w:color="064EA8"/>
              <w:right w:val="nil"/>
            </w:tcBorders>
            <w:shd w:val="clear" w:color="auto" w:fill="auto"/>
            <w:noWrap/>
            <w:vAlign w:val="bottom"/>
            <w:hideMark/>
          </w:tcPr>
          <w:p w14:paraId="2A298797" w14:textId="77777777" w:rsidR="00F75CC4" w:rsidRPr="00C80265" w:rsidRDefault="00F75CC4"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260" w:type="dxa"/>
            <w:tcBorders>
              <w:top w:val="nil"/>
              <w:left w:val="nil"/>
              <w:bottom w:val="single" w:sz="4" w:space="0" w:color="064EA8"/>
              <w:right w:val="nil"/>
            </w:tcBorders>
            <w:shd w:val="clear" w:color="auto" w:fill="auto"/>
            <w:noWrap/>
            <w:vAlign w:val="bottom"/>
            <w:hideMark/>
          </w:tcPr>
          <w:p w14:paraId="16438699"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Essential Petroleum Resources Ltd</w:t>
            </w:r>
          </w:p>
        </w:tc>
      </w:tr>
      <w:tr w:rsidR="00F75CC4" w:rsidRPr="00C80265" w14:paraId="148CCEF2" w14:textId="77777777" w:rsidTr="00DB283A">
        <w:trPr>
          <w:trHeight w:val="255"/>
        </w:trPr>
        <w:tc>
          <w:tcPr>
            <w:tcW w:w="1291" w:type="dxa"/>
            <w:tcBorders>
              <w:top w:val="nil"/>
              <w:left w:val="nil"/>
              <w:bottom w:val="single" w:sz="4" w:space="0" w:color="064EA8"/>
              <w:right w:val="nil"/>
            </w:tcBorders>
            <w:shd w:val="clear" w:color="auto" w:fill="auto"/>
            <w:noWrap/>
            <w:vAlign w:val="bottom"/>
            <w:hideMark/>
          </w:tcPr>
          <w:p w14:paraId="0FA7E653"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Southern Margin</w:t>
            </w:r>
          </w:p>
        </w:tc>
        <w:tc>
          <w:tcPr>
            <w:tcW w:w="1067" w:type="dxa"/>
            <w:tcBorders>
              <w:top w:val="nil"/>
              <w:left w:val="nil"/>
              <w:bottom w:val="single" w:sz="4" w:space="0" w:color="064EA8"/>
              <w:right w:val="nil"/>
            </w:tcBorders>
            <w:shd w:val="clear" w:color="auto" w:fill="auto"/>
            <w:noWrap/>
            <w:vAlign w:val="bottom"/>
            <w:hideMark/>
          </w:tcPr>
          <w:p w14:paraId="373BAA83"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OS03</w:t>
            </w:r>
          </w:p>
        </w:tc>
        <w:tc>
          <w:tcPr>
            <w:tcW w:w="777" w:type="dxa"/>
            <w:tcBorders>
              <w:top w:val="nil"/>
              <w:left w:val="nil"/>
              <w:bottom w:val="single" w:sz="4" w:space="0" w:color="064EA8"/>
              <w:right w:val="nil"/>
            </w:tcBorders>
            <w:shd w:val="clear" w:color="auto" w:fill="auto"/>
            <w:noWrap/>
            <w:vAlign w:val="bottom"/>
            <w:hideMark/>
          </w:tcPr>
          <w:p w14:paraId="07092B73"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2D</w:t>
            </w:r>
          </w:p>
        </w:tc>
        <w:tc>
          <w:tcPr>
            <w:tcW w:w="708" w:type="dxa"/>
            <w:tcBorders>
              <w:top w:val="nil"/>
              <w:left w:val="nil"/>
              <w:bottom w:val="single" w:sz="4" w:space="0" w:color="064EA8"/>
              <w:right w:val="nil"/>
            </w:tcBorders>
            <w:shd w:val="clear" w:color="auto" w:fill="auto"/>
            <w:noWrap/>
            <w:vAlign w:val="bottom"/>
            <w:hideMark/>
          </w:tcPr>
          <w:p w14:paraId="05D495AD"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2003</w:t>
            </w:r>
          </w:p>
        </w:tc>
        <w:tc>
          <w:tcPr>
            <w:tcW w:w="1134" w:type="dxa"/>
            <w:tcBorders>
              <w:top w:val="nil"/>
              <w:left w:val="nil"/>
              <w:bottom w:val="single" w:sz="4" w:space="0" w:color="064EA8"/>
              <w:right w:val="nil"/>
            </w:tcBorders>
            <w:shd w:val="clear" w:color="auto" w:fill="auto"/>
            <w:noWrap/>
            <w:vAlign w:val="bottom"/>
            <w:hideMark/>
          </w:tcPr>
          <w:p w14:paraId="477EB87B" w14:textId="77777777" w:rsidR="00F75CC4" w:rsidRPr="00C80265" w:rsidRDefault="00F75CC4"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260" w:type="dxa"/>
            <w:tcBorders>
              <w:top w:val="nil"/>
              <w:left w:val="nil"/>
              <w:bottom w:val="single" w:sz="4" w:space="0" w:color="064EA8"/>
              <w:right w:val="nil"/>
            </w:tcBorders>
            <w:shd w:val="clear" w:color="auto" w:fill="auto"/>
            <w:noWrap/>
            <w:vAlign w:val="bottom"/>
            <w:hideMark/>
          </w:tcPr>
          <w:p w14:paraId="63782E15" w14:textId="77777777" w:rsidR="00F75CC4" w:rsidRPr="00C80265" w:rsidRDefault="00F75CC4" w:rsidP="00F75CC4">
            <w:pPr>
              <w:spacing w:before="0" w:after="0" w:line="240" w:lineRule="auto"/>
              <w:rPr>
                <w:rFonts w:cs="Arial"/>
                <w:sz w:val="16"/>
                <w:szCs w:val="16"/>
                <w:lang w:eastAsia="en-AU"/>
              </w:rPr>
            </w:pPr>
            <w:r w:rsidRPr="00C80265">
              <w:rPr>
                <w:rFonts w:cs="Arial"/>
                <w:sz w:val="16"/>
                <w:szCs w:val="16"/>
                <w:lang w:eastAsia="en-AU"/>
              </w:rPr>
              <w:t>SANTOS Limited  ACN007550923</w:t>
            </w:r>
          </w:p>
        </w:tc>
      </w:tr>
    </w:tbl>
    <w:p w14:paraId="78EBE24B" w14:textId="77777777" w:rsidR="00F75CC4" w:rsidRPr="00AE51DB" w:rsidRDefault="00F75CC4" w:rsidP="00AE51DB">
      <w:pPr>
        <w:pStyle w:val="bodyCopy"/>
        <w:spacing w:before="360"/>
        <w:rPr>
          <w:b/>
        </w:rPr>
      </w:pPr>
      <w:r w:rsidRPr="00AE51DB">
        <w:rPr>
          <w:b/>
        </w:rPr>
        <w:t>Release Area 18-3(v)</w:t>
      </w:r>
    </w:p>
    <w:tbl>
      <w:tblPr>
        <w:tblW w:w="8447" w:type="dxa"/>
        <w:tblInd w:w="93" w:type="dxa"/>
        <w:tblLayout w:type="fixed"/>
        <w:tblLook w:val="04A0" w:firstRow="1" w:lastRow="0" w:firstColumn="1" w:lastColumn="0" w:noHBand="0" w:noVBand="1"/>
      </w:tblPr>
      <w:tblGrid>
        <w:gridCol w:w="1291"/>
        <w:gridCol w:w="992"/>
        <w:gridCol w:w="851"/>
        <w:gridCol w:w="709"/>
        <w:gridCol w:w="1134"/>
        <w:gridCol w:w="3470"/>
      </w:tblGrid>
      <w:tr w:rsidR="00274B5A" w:rsidRPr="00C80265" w14:paraId="446C04F4" w14:textId="77777777" w:rsidTr="00C80265">
        <w:trPr>
          <w:trHeight w:val="540"/>
        </w:trPr>
        <w:tc>
          <w:tcPr>
            <w:tcW w:w="1291" w:type="dxa"/>
            <w:tcBorders>
              <w:top w:val="nil"/>
              <w:left w:val="nil"/>
              <w:bottom w:val="nil"/>
              <w:right w:val="nil"/>
            </w:tcBorders>
            <w:shd w:val="clear" w:color="000000" w:fill="064EA8"/>
            <w:vAlign w:val="center"/>
            <w:hideMark/>
          </w:tcPr>
          <w:p w14:paraId="0C5542EC"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Name</w:t>
            </w:r>
          </w:p>
        </w:tc>
        <w:tc>
          <w:tcPr>
            <w:tcW w:w="992" w:type="dxa"/>
            <w:tcBorders>
              <w:top w:val="nil"/>
              <w:left w:val="nil"/>
              <w:bottom w:val="nil"/>
              <w:right w:val="nil"/>
            </w:tcBorders>
            <w:shd w:val="clear" w:color="000000" w:fill="064EA8"/>
            <w:vAlign w:val="center"/>
            <w:hideMark/>
          </w:tcPr>
          <w:p w14:paraId="3DF50BF6"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Number</w:t>
            </w:r>
          </w:p>
        </w:tc>
        <w:tc>
          <w:tcPr>
            <w:tcW w:w="851" w:type="dxa"/>
            <w:tcBorders>
              <w:top w:val="nil"/>
              <w:left w:val="nil"/>
              <w:bottom w:val="nil"/>
              <w:right w:val="nil"/>
            </w:tcBorders>
            <w:shd w:val="clear" w:color="000000" w:fill="064EA8"/>
            <w:vAlign w:val="center"/>
            <w:hideMark/>
          </w:tcPr>
          <w:p w14:paraId="7CD8A6FE"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Type</w:t>
            </w:r>
          </w:p>
        </w:tc>
        <w:tc>
          <w:tcPr>
            <w:tcW w:w="709" w:type="dxa"/>
            <w:tcBorders>
              <w:top w:val="nil"/>
              <w:left w:val="nil"/>
              <w:bottom w:val="nil"/>
              <w:right w:val="nil"/>
            </w:tcBorders>
            <w:shd w:val="clear" w:color="000000" w:fill="064EA8"/>
            <w:vAlign w:val="center"/>
            <w:hideMark/>
          </w:tcPr>
          <w:p w14:paraId="1E8B5B2E"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Year</w:t>
            </w:r>
          </w:p>
        </w:tc>
        <w:tc>
          <w:tcPr>
            <w:tcW w:w="1134" w:type="dxa"/>
            <w:tcBorders>
              <w:top w:val="nil"/>
              <w:left w:val="nil"/>
              <w:bottom w:val="nil"/>
              <w:right w:val="nil"/>
            </w:tcBorders>
            <w:shd w:val="clear" w:color="000000" w:fill="064EA8"/>
            <w:vAlign w:val="center"/>
            <w:hideMark/>
          </w:tcPr>
          <w:p w14:paraId="6335C5C1" w14:textId="77777777" w:rsidR="00274B5A" w:rsidRPr="00C80265" w:rsidRDefault="00C80265"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Availability</w:t>
            </w:r>
            <w:r w:rsidR="00274B5A" w:rsidRPr="00C80265">
              <w:rPr>
                <w:rFonts w:cs="Arial"/>
                <w:b/>
                <w:color w:val="FFFFFF"/>
                <w:sz w:val="16"/>
                <w:szCs w:val="16"/>
                <w:lang w:eastAsia="en-AU"/>
              </w:rPr>
              <w:t xml:space="preserve"> of SEGY</w:t>
            </w:r>
          </w:p>
        </w:tc>
        <w:tc>
          <w:tcPr>
            <w:tcW w:w="3470" w:type="dxa"/>
            <w:tcBorders>
              <w:top w:val="nil"/>
              <w:left w:val="nil"/>
              <w:bottom w:val="nil"/>
              <w:right w:val="nil"/>
            </w:tcBorders>
            <w:shd w:val="clear" w:color="000000" w:fill="064EA8"/>
            <w:vAlign w:val="center"/>
            <w:hideMark/>
          </w:tcPr>
          <w:p w14:paraId="20F07959"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Operator</w:t>
            </w:r>
          </w:p>
        </w:tc>
      </w:tr>
      <w:tr w:rsidR="00274B5A" w:rsidRPr="00C80265" w14:paraId="6A943073" w14:textId="77777777" w:rsidTr="00D96407">
        <w:trPr>
          <w:trHeight w:val="255"/>
        </w:trPr>
        <w:tc>
          <w:tcPr>
            <w:tcW w:w="1291" w:type="dxa"/>
            <w:tcBorders>
              <w:top w:val="nil"/>
              <w:left w:val="nil"/>
              <w:bottom w:val="single" w:sz="4" w:space="0" w:color="064EA8"/>
              <w:right w:val="nil"/>
            </w:tcBorders>
            <w:shd w:val="clear" w:color="auto" w:fill="auto"/>
            <w:noWrap/>
            <w:vAlign w:val="bottom"/>
            <w:hideMark/>
          </w:tcPr>
          <w:p w14:paraId="7F06D243"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Offshore Otway</w:t>
            </w:r>
          </w:p>
        </w:tc>
        <w:tc>
          <w:tcPr>
            <w:tcW w:w="992" w:type="dxa"/>
            <w:tcBorders>
              <w:top w:val="nil"/>
              <w:left w:val="nil"/>
              <w:bottom w:val="single" w:sz="4" w:space="0" w:color="064EA8"/>
              <w:right w:val="nil"/>
            </w:tcBorders>
            <w:shd w:val="clear" w:color="auto" w:fill="auto"/>
            <w:noWrap/>
            <w:vAlign w:val="bottom"/>
            <w:hideMark/>
          </w:tcPr>
          <w:p w14:paraId="43BD5B70"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OS66A</w:t>
            </w:r>
          </w:p>
        </w:tc>
        <w:tc>
          <w:tcPr>
            <w:tcW w:w="851" w:type="dxa"/>
            <w:tcBorders>
              <w:top w:val="nil"/>
              <w:left w:val="nil"/>
              <w:bottom w:val="single" w:sz="4" w:space="0" w:color="064EA8"/>
              <w:right w:val="nil"/>
            </w:tcBorders>
            <w:shd w:val="clear" w:color="auto" w:fill="auto"/>
            <w:noWrap/>
            <w:vAlign w:val="bottom"/>
            <w:hideMark/>
          </w:tcPr>
          <w:p w14:paraId="52699E58"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709" w:type="dxa"/>
            <w:tcBorders>
              <w:top w:val="nil"/>
              <w:left w:val="nil"/>
              <w:bottom w:val="single" w:sz="4" w:space="0" w:color="064EA8"/>
              <w:right w:val="nil"/>
            </w:tcBorders>
            <w:shd w:val="clear" w:color="auto" w:fill="auto"/>
            <w:noWrap/>
            <w:vAlign w:val="bottom"/>
            <w:hideMark/>
          </w:tcPr>
          <w:p w14:paraId="38EC7AD3"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1966</w:t>
            </w:r>
          </w:p>
        </w:tc>
        <w:tc>
          <w:tcPr>
            <w:tcW w:w="1134" w:type="dxa"/>
            <w:tcBorders>
              <w:top w:val="nil"/>
              <w:left w:val="nil"/>
              <w:bottom w:val="single" w:sz="4" w:space="0" w:color="064EA8"/>
              <w:right w:val="nil"/>
            </w:tcBorders>
            <w:shd w:val="clear" w:color="auto" w:fill="auto"/>
            <w:noWrap/>
            <w:vAlign w:val="bottom"/>
            <w:hideMark/>
          </w:tcPr>
          <w:p w14:paraId="6330B6DC" w14:textId="77777777" w:rsidR="00274B5A" w:rsidRPr="00C80265" w:rsidRDefault="00274B5A" w:rsidP="00C80265">
            <w:pPr>
              <w:spacing w:before="0" w:after="0" w:line="240" w:lineRule="auto"/>
              <w:jc w:val="center"/>
              <w:rPr>
                <w:rFonts w:cs="Arial"/>
                <w:sz w:val="16"/>
                <w:szCs w:val="16"/>
                <w:lang w:eastAsia="en-AU"/>
              </w:rPr>
            </w:pPr>
          </w:p>
        </w:tc>
        <w:tc>
          <w:tcPr>
            <w:tcW w:w="3470" w:type="dxa"/>
            <w:tcBorders>
              <w:top w:val="nil"/>
              <w:left w:val="nil"/>
              <w:bottom w:val="single" w:sz="4" w:space="0" w:color="064EA8"/>
              <w:right w:val="nil"/>
            </w:tcBorders>
            <w:shd w:val="clear" w:color="auto" w:fill="auto"/>
            <w:noWrap/>
            <w:vAlign w:val="bottom"/>
            <w:hideMark/>
          </w:tcPr>
          <w:p w14:paraId="5EE3F754"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274B5A" w:rsidRPr="00C80265" w14:paraId="0222BFA5" w14:textId="77777777" w:rsidTr="00D96407">
        <w:trPr>
          <w:trHeight w:val="255"/>
        </w:trPr>
        <w:tc>
          <w:tcPr>
            <w:tcW w:w="1291" w:type="dxa"/>
            <w:tcBorders>
              <w:top w:val="nil"/>
              <w:left w:val="nil"/>
              <w:bottom w:val="single" w:sz="4" w:space="0" w:color="064EA8"/>
              <w:right w:val="nil"/>
            </w:tcBorders>
            <w:shd w:val="clear" w:color="auto" w:fill="auto"/>
            <w:noWrap/>
            <w:vAlign w:val="bottom"/>
            <w:hideMark/>
          </w:tcPr>
          <w:p w14:paraId="52138AEF"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PEP22/D</w:t>
            </w:r>
          </w:p>
        </w:tc>
        <w:tc>
          <w:tcPr>
            <w:tcW w:w="992" w:type="dxa"/>
            <w:tcBorders>
              <w:top w:val="nil"/>
              <w:left w:val="nil"/>
              <w:bottom w:val="single" w:sz="4" w:space="0" w:color="064EA8"/>
              <w:right w:val="nil"/>
            </w:tcBorders>
            <w:shd w:val="clear" w:color="auto" w:fill="auto"/>
            <w:noWrap/>
            <w:vAlign w:val="bottom"/>
            <w:hideMark/>
          </w:tcPr>
          <w:p w14:paraId="52C5E6E3"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OS66C</w:t>
            </w:r>
          </w:p>
        </w:tc>
        <w:tc>
          <w:tcPr>
            <w:tcW w:w="851" w:type="dxa"/>
            <w:tcBorders>
              <w:top w:val="nil"/>
              <w:left w:val="nil"/>
              <w:bottom w:val="single" w:sz="4" w:space="0" w:color="064EA8"/>
              <w:right w:val="nil"/>
            </w:tcBorders>
            <w:shd w:val="clear" w:color="auto" w:fill="auto"/>
            <w:noWrap/>
            <w:vAlign w:val="bottom"/>
            <w:hideMark/>
          </w:tcPr>
          <w:p w14:paraId="0D377A2B"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709" w:type="dxa"/>
            <w:tcBorders>
              <w:top w:val="nil"/>
              <w:left w:val="nil"/>
              <w:bottom w:val="single" w:sz="4" w:space="0" w:color="064EA8"/>
              <w:right w:val="nil"/>
            </w:tcBorders>
            <w:shd w:val="clear" w:color="auto" w:fill="auto"/>
            <w:noWrap/>
            <w:vAlign w:val="bottom"/>
            <w:hideMark/>
          </w:tcPr>
          <w:p w14:paraId="24568616"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1966</w:t>
            </w:r>
          </w:p>
        </w:tc>
        <w:tc>
          <w:tcPr>
            <w:tcW w:w="1134" w:type="dxa"/>
            <w:tcBorders>
              <w:top w:val="nil"/>
              <w:left w:val="nil"/>
              <w:bottom w:val="single" w:sz="4" w:space="0" w:color="064EA8"/>
              <w:right w:val="nil"/>
            </w:tcBorders>
            <w:shd w:val="clear" w:color="auto" w:fill="auto"/>
            <w:noWrap/>
            <w:vAlign w:val="bottom"/>
            <w:hideMark/>
          </w:tcPr>
          <w:p w14:paraId="2662B1E4" w14:textId="77777777" w:rsidR="00274B5A" w:rsidRPr="00C80265" w:rsidRDefault="00274B5A" w:rsidP="00C80265">
            <w:pPr>
              <w:spacing w:before="0" w:after="0" w:line="240" w:lineRule="auto"/>
              <w:jc w:val="center"/>
              <w:rPr>
                <w:rFonts w:cs="Arial"/>
                <w:sz w:val="16"/>
                <w:szCs w:val="16"/>
                <w:lang w:eastAsia="en-AU"/>
              </w:rPr>
            </w:pPr>
          </w:p>
        </w:tc>
        <w:tc>
          <w:tcPr>
            <w:tcW w:w="3470" w:type="dxa"/>
            <w:tcBorders>
              <w:top w:val="nil"/>
              <w:left w:val="nil"/>
              <w:bottom w:val="single" w:sz="4" w:space="0" w:color="064EA8"/>
              <w:right w:val="nil"/>
            </w:tcBorders>
            <w:shd w:val="clear" w:color="auto" w:fill="auto"/>
            <w:noWrap/>
            <w:vAlign w:val="bottom"/>
            <w:hideMark/>
          </w:tcPr>
          <w:p w14:paraId="334F3EA3"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274B5A" w:rsidRPr="00C80265" w14:paraId="1C345F7F" w14:textId="77777777" w:rsidTr="00D96407">
        <w:trPr>
          <w:trHeight w:val="255"/>
        </w:trPr>
        <w:tc>
          <w:tcPr>
            <w:tcW w:w="1291" w:type="dxa"/>
            <w:tcBorders>
              <w:top w:val="nil"/>
              <w:left w:val="nil"/>
              <w:bottom w:val="single" w:sz="4" w:space="0" w:color="064EA8"/>
              <w:right w:val="nil"/>
            </w:tcBorders>
            <w:shd w:val="clear" w:color="auto" w:fill="auto"/>
            <w:noWrap/>
            <w:vAlign w:val="bottom"/>
            <w:hideMark/>
          </w:tcPr>
          <w:p w14:paraId="0A1EDAE9"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OP80</w:t>
            </w:r>
          </w:p>
        </w:tc>
        <w:tc>
          <w:tcPr>
            <w:tcW w:w="992" w:type="dxa"/>
            <w:tcBorders>
              <w:top w:val="nil"/>
              <w:left w:val="nil"/>
              <w:bottom w:val="single" w:sz="4" w:space="0" w:color="064EA8"/>
              <w:right w:val="nil"/>
            </w:tcBorders>
            <w:shd w:val="clear" w:color="auto" w:fill="auto"/>
            <w:noWrap/>
            <w:vAlign w:val="bottom"/>
            <w:hideMark/>
          </w:tcPr>
          <w:p w14:paraId="5CC0D870"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OP80</w:t>
            </w:r>
          </w:p>
        </w:tc>
        <w:tc>
          <w:tcPr>
            <w:tcW w:w="851" w:type="dxa"/>
            <w:tcBorders>
              <w:top w:val="nil"/>
              <w:left w:val="nil"/>
              <w:bottom w:val="single" w:sz="4" w:space="0" w:color="064EA8"/>
              <w:right w:val="nil"/>
            </w:tcBorders>
            <w:shd w:val="clear" w:color="auto" w:fill="auto"/>
            <w:noWrap/>
            <w:vAlign w:val="bottom"/>
            <w:hideMark/>
          </w:tcPr>
          <w:p w14:paraId="6D3C2F92"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709" w:type="dxa"/>
            <w:tcBorders>
              <w:top w:val="nil"/>
              <w:left w:val="nil"/>
              <w:bottom w:val="single" w:sz="4" w:space="0" w:color="064EA8"/>
              <w:right w:val="nil"/>
            </w:tcBorders>
            <w:shd w:val="clear" w:color="auto" w:fill="auto"/>
            <w:noWrap/>
            <w:vAlign w:val="bottom"/>
            <w:hideMark/>
          </w:tcPr>
          <w:p w14:paraId="38F9DE5D"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1981</w:t>
            </w:r>
          </w:p>
        </w:tc>
        <w:tc>
          <w:tcPr>
            <w:tcW w:w="1134" w:type="dxa"/>
            <w:tcBorders>
              <w:top w:val="nil"/>
              <w:left w:val="nil"/>
              <w:bottom w:val="single" w:sz="4" w:space="0" w:color="064EA8"/>
              <w:right w:val="nil"/>
            </w:tcBorders>
            <w:shd w:val="clear" w:color="auto" w:fill="auto"/>
            <w:noWrap/>
            <w:vAlign w:val="bottom"/>
            <w:hideMark/>
          </w:tcPr>
          <w:p w14:paraId="64D46608"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470" w:type="dxa"/>
            <w:tcBorders>
              <w:top w:val="nil"/>
              <w:left w:val="nil"/>
              <w:bottom w:val="single" w:sz="4" w:space="0" w:color="064EA8"/>
              <w:right w:val="nil"/>
            </w:tcBorders>
            <w:shd w:val="clear" w:color="auto" w:fill="auto"/>
            <w:noWrap/>
            <w:vAlign w:val="bottom"/>
            <w:hideMark/>
          </w:tcPr>
          <w:p w14:paraId="435B2F5A"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Phillips Australian Oil Company</w:t>
            </w:r>
          </w:p>
        </w:tc>
      </w:tr>
      <w:tr w:rsidR="00274B5A" w:rsidRPr="00C80265" w14:paraId="421998F3" w14:textId="77777777" w:rsidTr="00D96407">
        <w:trPr>
          <w:trHeight w:val="255"/>
        </w:trPr>
        <w:tc>
          <w:tcPr>
            <w:tcW w:w="1291" w:type="dxa"/>
            <w:tcBorders>
              <w:top w:val="nil"/>
              <w:left w:val="nil"/>
              <w:bottom w:val="single" w:sz="4" w:space="0" w:color="064EA8"/>
              <w:right w:val="nil"/>
            </w:tcBorders>
            <w:shd w:val="clear" w:color="auto" w:fill="auto"/>
            <w:noWrap/>
            <w:vAlign w:val="bottom"/>
            <w:hideMark/>
          </w:tcPr>
          <w:p w14:paraId="20404FC6"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Howick</w:t>
            </w:r>
          </w:p>
        </w:tc>
        <w:tc>
          <w:tcPr>
            <w:tcW w:w="992" w:type="dxa"/>
            <w:tcBorders>
              <w:top w:val="nil"/>
              <w:left w:val="nil"/>
              <w:bottom w:val="single" w:sz="4" w:space="0" w:color="064EA8"/>
              <w:right w:val="nil"/>
            </w:tcBorders>
            <w:shd w:val="clear" w:color="auto" w:fill="auto"/>
            <w:noWrap/>
            <w:vAlign w:val="bottom"/>
            <w:hideMark/>
          </w:tcPr>
          <w:p w14:paraId="5E412117"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OC96D</w:t>
            </w:r>
          </w:p>
        </w:tc>
        <w:tc>
          <w:tcPr>
            <w:tcW w:w="851" w:type="dxa"/>
            <w:tcBorders>
              <w:top w:val="nil"/>
              <w:left w:val="nil"/>
              <w:bottom w:val="single" w:sz="4" w:space="0" w:color="064EA8"/>
              <w:right w:val="nil"/>
            </w:tcBorders>
            <w:shd w:val="clear" w:color="auto" w:fill="auto"/>
            <w:noWrap/>
            <w:vAlign w:val="bottom"/>
            <w:hideMark/>
          </w:tcPr>
          <w:p w14:paraId="039F581C"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709" w:type="dxa"/>
            <w:tcBorders>
              <w:top w:val="nil"/>
              <w:left w:val="nil"/>
              <w:bottom w:val="single" w:sz="4" w:space="0" w:color="064EA8"/>
              <w:right w:val="nil"/>
            </w:tcBorders>
            <w:shd w:val="clear" w:color="auto" w:fill="auto"/>
            <w:noWrap/>
            <w:vAlign w:val="bottom"/>
            <w:hideMark/>
          </w:tcPr>
          <w:p w14:paraId="1303DB1A"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1996</w:t>
            </w:r>
          </w:p>
        </w:tc>
        <w:tc>
          <w:tcPr>
            <w:tcW w:w="1134" w:type="dxa"/>
            <w:tcBorders>
              <w:top w:val="nil"/>
              <w:left w:val="nil"/>
              <w:bottom w:val="single" w:sz="4" w:space="0" w:color="064EA8"/>
              <w:right w:val="nil"/>
            </w:tcBorders>
            <w:shd w:val="clear" w:color="auto" w:fill="auto"/>
            <w:noWrap/>
            <w:vAlign w:val="bottom"/>
            <w:hideMark/>
          </w:tcPr>
          <w:p w14:paraId="15F93F60"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470" w:type="dxa"/>
            <w:tcBorders>
              <w:top w:val="nil"/>
              <w:left w:val="nil"/>
              <w:bottom w:val="single" w:sz="4" w:space="0" w:color="064EA8"/>
              <w:right w:val="nil"/>
            </w:tcBorders>
            <w:shd w:val="clear" w:color="auto" w:fill="auto"/>
            <w:noWrap/>
            <w:vAlign w:val="bottom"/>
            <w:hideMark/>
          </w:tcPr>
          <w:p w14:paraId="160111EE"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Cultus Timor Sea Ltd</w:t>
            </w:r>
          </w:p>
        </w:tc>
      </w:tr>
      <w:tr w:rsidR="00274B5A" w:rsidRPr="00C80265" w14:paraId="67A843EA" w14:textId="77777777" w:rsidTr="00D96407">
        <w:trPr>
          <w:trHeight w:val="255"/>
        </w:trPr>
        <w:tc>
          <w:tcPr>
            <w:tcW w:w="1291" w:type="dxa"/>
            <w:tcBorders>
              <w:top w:val="nil"/>
              <w:left w:val="nil"/>
              <w:bottom w:val="single" w:sz="4" w:space="0" w:color="064EA8"/>
              <w:right w:val="nil"/>
            </w:tcBorders>
            <w:shd w:val="clear" w:color="auto" w:fill="auto"/>
            <w:noWrap/>
            <w:vAlign w:val="bottom"/>
            <w:hideMark/>
          </w:tcPr>
          <w:p w14:paraId="6B0D72AC"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Southern Margin</w:t>
            </w:r>
          </w:p>
        </w:tc>
        <w:tc>
          <w:tcPr>
            <w:tcW w:w="992" w:type="dxa"/>
            <w:tcBorders>
              <w:top w:val="nil"/>
              <w:left w:val="nil"/>
              <w:bottom w:val="single" w:sz="4" w:space="0" w:color="064EA8"/>
              <w:right w:val="nil"/>
            </w:tcBorders>
            <w:shd w:val="clear" w:color="auto" w:fill="auto"/>
            <w:noWrap/>
            <w:vAlign w:val="bottom"/>
            <w:hideMark/>
          </w:tcPr>
          <w:p w14:paraId="7DF52CDD"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OS03</w:t>
            </w:r>
          </w:p>
        </w:tc>
        <w:tc>
          <w:tcPr>
            <w:tcW w:w="851" w:type="dxa"/>
            <w:tcBorders>
              <w:top w:val="nil"/>
              <w:left w:val="nil"/>
              <w:bottom w:val="single" w:sz="4" w:space="0" w:color="064EA8"/>
              <w:right w:val="nil"/>
            </w:tcBorders>
            <w:shd w:val="clear" w:color="auto" w:fill="auto"/>
            <w:noWrap/>
            <w:vAlign w:val="bottom"/>
            <w:hideMark/>
          </w:tcPr>
          <w:p w14:paraId="41C70835"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709" w:type="dxa"/>
            <w:tcBorders>
              <w:top w:val="nil"/>
              <w:left w:val="nil"/>
              <w:bottom w:val="single" w:sz="4" w:space="0" w:color="064EA8"/>
              <w:right w:val="nil"/>
            </w:tcBorders>
            <w:shd w:val="clear" w:color="auto" w:fill="auto"/>
            <w:noWrap/>
            <w:vAlign w:val="bottom"/>
            <w:hideMark/>
          </w:tcPr>
          <w:p w14:paraId="0B929EB7"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2003</w:t>
            </w:r>
          </w:p>
        </w:tc>
        <w:tc>
          <w:tcPr>
            <w:tcW w:w="1134" w:type="dxa"/>
            <w:tcBorders>
              <w:top w:val="nil"/>
              <w:left w:val="nil"/>
              <w:bottom w:val="single" w:sz="4" w:space="0" w:color="064EA8"/>
              <w:right w:val="nil"/>
            </w:tcBorders>
            <w:shd w:val="clear" w:color="auto" w:fill="auto"/>
            <w:noWrap/>
            <w:vAlign w:val="bottom"/>
            <w:hideMark/>
          </w:tcPr>
          <w:p w14:paraId="12DF9492"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470" w:type="dxa"/>
            <w:tcBorders>
              <w:top w:val="nil"/>
              <w:left w:val="nil"/>
              <w:bottom w:val="single" w:sz="4" w:space="0" w:color="064EA8"/>
              <w:right w:val="nil"/>
            </w:tcBorders>
            <w:shd w:val="clear" w:color="auto" w:fill="auto"/>
            <w:noWrap/>
            <w:vAlign w:val="bottom"/>
            <w:hideMark/>
          </w:tcPr>
          <w:p w14:paraId="26536076"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SANTOS Limited  ACN007550923</w:t>
            </w:r>
          </w:p>
        </w:tc>
      </w:tr>
    </w:tbl>
    <w:p w14:paraId="3D4258ED" w14:textId="77777777" w:rsidR="00F75CC4" w:rsidRPr="00AE51DB" w:rsidRDefault="00F75CC4" w:rsidP="00C80265">
      <w:pPr>
        <w:pStyle w:val="bodyCopy"/>
        <w:spacing w:before="360"/>
        <w:rPr>
          <w:b/>
        </w:rPr>
      </w:pPr>
      <w:r w:rsidRPr="00AE51DB">
        <w:rPr>
          <w:b/>
        </w:rPr>
        <w:t>Release Area 18-4(v)</w:t>
      </w:r>
    </w:p>
    <w:tbl>
      <w:tblPr>
        <w:tblW w:w="8237" w:type="dxa"/>
        <w:tblInd w:w="93" w:type="dxa"/>
        <w:tblLook w:val="04A0" w:firstRow="1" w:lastRow="0" w:firstColumn="1" w:lastColumn="0" w:noHBand="0" w:noVBand="1"/>
      </w:tblPr>
      <w:tblGrid>
        <w:gridCol w:w="1281"/>
        <w:gridCol w:w="857"/>
        <w:gridCol w:w="777"/>
        <w:gridCol w:w="617"/>
        <w:gridCol w:w="1067"/>
        <w:gridCol w:w="3638"/>
      </w:tblGrid>
      <w:tr w:rsidR="00274B5A" w:rsidRPr="00C80265" w14:paraId="4F0D9786" w14:textId="77777777" w:rsidTr="00C80265">
        <w:trPr>
          <w:trHeight w:val="510"/>
        </w:trPr>
        <w:tc>
          <w:tcPr>
            <w:tcW w:w="1281" w:type="dxa"/>
            <w:tcBorders>
              <w:top w:val="nil"/>
              <w:left w:val="nil"/>
              <w:bottom w:val="nil"/>
              <w:right w:val="nil"/>
            </w:tcBorders>
            <w:shd w:val="clear" w:color="000000" w:fill="064EA8"/>
            <w:vAlign w:val="center"/>
            <w:hideMark/>
          </w:tcPr>
          <w:p w14:paraId="355A4BAC"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Name</w:t>
            </w:r>
          </w:p>
        </w:tc>
        <w:tc>
          <w:tcPr>
            <w:tcW w:w="857" w:type="dxa"/>
            <w:tcBorders>
              <w:top w:val="nil"/>
              <w:left w:val="nil"/>
              <w:bottom w:val="nil"/>
              <w:right w:val="nil"/>
            </w:tcBorders>
            <w:shd w:val="clear" w:color="000000" w:fill="064EA8"/>
            <w:vAlign w:val="center"/>
            <w:hideMark/>
          </w:tcPr>
          <w:p w14:paraId="6415DB93"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Number</w:t>
            </w:r>
          </w:p>
        </w:tc>
        <w:tc>
          <w:tcPr>
            <w:tcW w:w="777" w:type="dxa"/>
            <w:tcBorders>
              <w:top w:val="nil"/>
              <w:left w:val="nil"/>
              <w:bottom w:val="nil"/>
              <w:right w:val="nil"/>
            </w:tcBorders>
            <w:shd w:val="clear" w:color="000000" w:fill="064EA8"/>
            <w:vAlign w:val="center"/>
            <w:hideMark/>
          </w:tcPr>
          <w:p w14:paraId="35958B4B"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Type</w:t>
            </w:r>
          </w:p>
        </w:tc>
        <w:tc>
          <w:tcPr>
            <w:tcW w:w="617" w:type="dxa"/>
            <w:tcBorders>
              <w:top w:val="nil"/>
              <w:left w:val="nil"/>
              <w:bottom w:val="nil"/>
              <w:right w:val="nil"/>
            </w:tcBorders>
            <w:shd w:val="clear" w:color="000000" w:fill="064EA8"/>
            <w:vAlign w:val="center"/>
            <w:hideMark/>
          </w:tcPr>
          <w:p w14:paraId="450D7D82"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Year</w:t>
            </w:r>
          </w:p>
        </w:tc>
        <w:tc>
          <w:tcPr>
            <w:tcW w:w="1067" w:type="dxa"/>
            <w:tcBorders>
              <w:top w:val="nil"/>
              <w:left w:val="nil"/>
              <w:bottom w:val="nil"/>
              <w:right w:val="nil"/>
            </w:tcBorders>
            <w:shd w:val="clear" w:color="000000" w:fill="064EA8"/>
            <w:vAlign w:val="center"/>
            <w:hideMark/>
          </w:tcPr>
          <w:p w14:paraId="3194C616"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Availability of SEGY</w:t>
            </w:r>
          </w:p>
        </w:tc>
        <w:tc>
          <w:tcPr>
            <w:tcW w:w="3638" w:type="dxa"/>
            <w:tcBorders>
              <w:top w:val="nil"/>
              <w:left w:val="nil"/>
              <w:bottom w:val="nil"/>
              <w:right w:val="nil"/>
            </w:tcBorders>
            <w:shd w:val="clear" w:color="000000" w:fill="064EA8"/>
            <w:vAlign w:val="center"/>
            <w:hideMark/>
          </w:tcPr>
          <w:p w14:paraId="337FF603"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Operator</w:t>
            </w:r>
          </w:p>
        </w:tc>
      </w:tr>
      <w:tr w:rsidR="00274B5A" w:rsidRPr="00C80265" w14:paraId="31F2B1FF" w14:textId="77777777" w:rsidTr="00AE51DB">
        <w:trPr>
          <w:trHeight w:val="255"/>
        </w:trPr>
        <w:tc>
          <w:tcPr>
            <w:tcW w:w="1281" w:type="dxa"/>
            <w:tcBorders>
              <w:top w:val="nil"/>
              <w:left w:val="nil"/>
              <w:bottom w:val="single" w:sz="4" w:space="0" w:color="064EA8"/>
              <w:right w:val="nil"/>
            </w:tcBorders>
            <w:shd w:val="clear" w:color="auto" w:fill="auto"/>
            <w:noWrap/>
            <w:vAlign w:val="bottom"/>
            <w:hideMark/>
          </w:tcPr>
          <w:p w14:paraId="577ABFA1"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Offshore Otway</w:t>
            </w:r>
          </w:p>
        </w:tc>
        <w:tc>
          <w:tcPr>
            <w:tcW w:w="857" w:type="dxa"/>
            <w:tcBorders>
              <w:top w:val="nil"/>
              <w:left w:val="nil"/>
              <w:bottom w:val="single" w:sz="4" w:space="0" w:color="064EA8"/>
              <w:right w:val="nil"/>
            </w:tcBorders>
            <w:shd w:val="clear" w:color="auto" w:fill="auto"/>
            <w:noWrap/>
            <w:vAlign w:val="bottom"/>
            <w:hideMark/>
          </w:tcPr>
          <w:p w14:paraId="1B165610"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OS66A</w:t>
            </w:r>
          </w:p>
        </w:tc>
        <w:tc>
          <w:tcPr>
            <w:tcW w:w="777" w:type="dxa"/>
            <w:tcBorders>
              <w:top w:val="nil"/>
              <w:left w:val="nil"/>
              <w:bottom w:val="single" w:sz="4" w:space="0" w:color="064EA8"/>
              <w:right w:val="nil"/>
            </w:tcBorders>
            <w:shd w:val="clear" w:color="auto" w:fill="auto"/>
            <w:noWrap/>
            <w:vAlign w:val="bottom"/>
            <w:hideMark/>
          </w:tcPr>
          <w:p w14:paraId="42F05DBB"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617" w:type="dxa"/>
            <w:tcBorders>
              <w:top w:val="nil"/>
              <w:left w:val="nil"/>
              <w:bottom w:val="single" w:sz="4" w:space="0" w:color="064EA8"/>
              <w:right w:val="nil"/>
            </w:tcBorders>
            <w:shd w:val="clear" w:color="auto" w:fill="auto"/>
            <w:noWrap/>
            <w:vAlign w:val="bottom"/>
            <w:hideMark/>
          </w:tcPr>
          <w:p w14:paraId="1A48B86F"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1966</w:t>
            </w:r>
          </w:p>
        </w:tc>
        <w:tc>
          <w:tcPr>
            <w:tcW w:w="1067" w:type="dxa"/>
            <w:tcBorders>
              <w:top w:val="nil"/>
              <w:left w:val="nil"/>
              <w:bottom w:val="single" w:sz="4" w:space="0" w:color="064EA8"/>
              <w:right w:val="nil"/>
            </w:tcBorders>
            <w:shd w:val="clear" w:color="auto" w:fill="auto"/>
            <w:noWrap/>
            <w:vAlign w:val="bottom"/>
            <w:hideMark/>
          </w:tcPr>
          <w:p w14:paraId="72D84A92" w14:textId="77777777" w:rsidR="00274B5A" w:rsidRPr="00C80265" w:rsidRDefault="00274B5A" w:rsidP="00C80265">
            <w:pPr>
              <w:spacing w:before="0" w:after="0" w:line="240" w:lineRule="auto"/>
              <w:jc w:val="center"/>
              <w:rPr>
                <w:rFonts w:cs="Arial"/>
                <w:sz w:val="16"/>
                <w:szCs w:val="16"/>
                <w:lang w:eastAsia="en-AU"/>
              </w:rPr>
            </w:pPr>
          </w:p>
        </w:tc>
        <w:tc>
          <w:tcPr>
            <w:tcW w:w="3638" w:type="dxa"/>
            <w:tcBorders>
              <w:top w:val="nil"/>
              <w:left w:val="nil"/>
              <w:bottom w:val="single" w:sz="4" w:space="0" w:color="064EA8"/>
              <w:right w:val="nil"/>
            </w:tcBorders>
            <w:shd w:val="clear" w:color="auto" w:fill="auto"/>
            <w:noWrap/>
            <w:vAlign w:val="bottom"/>
            <w:hideMark/>
          </w:tcPr>
          <w:p w14:paraId="6EB1B17B"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274B5A" w:rsidRPr="00C80265" w14:paraId="2CC536C4" w14:textId="77777777" w:rsidTr="00AE51DB">
        <w:trPr>
          <w:trHeight w:val="255"/>
        </w:trPr>
        <w:tc>
          <w:tcPr>
            <w:tcW w:w="1281" w:type="dxa"/>
            <w:tcBorders>
              <w:top w:val="nil"/>
              <w:left w:val="nil"/>
              <w:bottom w:val="single" w:sz="4" w:space="0" w:color="064EA8"/>
              <w:right w:val="nil"/>
            </w:tcBorders>
            <w:shd w:val="clear" w:color="auto" w:fill="auto"/>
            <w:noWrap/>
            <w:vAlign w:val="bottom"/>
            <w:hideMark/>
          </w:tcPr>
          <w:p w14:paraId="46A35648"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PEP22/D</w:t>
            </w:r>
          </w:p>
        </w:tc>
        <w:tc>
          <w:tcPr>
            <w:tcW w:w="857" w:type="dxa"/>
            <w:tcBorders>
              <w:top w:val="nil"/>
              <w:left w:val="nil"/>
              <w:bottom w:val="single" w:sz="4" w:space="0" w:color="064EA8"/>
              <w:right w:val="nil"/>
            </w:tcBorders>
            <w:shd w:val="clear" w:color="auto" w:fill="auto"/>
            <w:noWrap/>
            <w:vAlign w:val="bottom"/>
            <w:hideMark/>
          </w:tcPr>
          <w:p w14:paraId="0331EF69"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OS66C</w:t>
            </w:r>
          </w:p>
        </w:tc>
        <w:tc>
          <w:tcPr>
            <w:tcW w:w="777" w:type="dxa"/>
            <w:tcBorders>
              <w:top w:val="nil"/>
              <w:left w:val="nil"/>
              <w:bottom w:val="single" w:sz="4" w:space="0" w:color="064EA8"/>
              <w:right w:val="nil"/>
            </w:tcBorders>
            <w:shd w:val="clear" w:color="auto" w:fill="auto"/>
            <w:noWrap/>
            <w:vAlign w:val="bottom"/>
            <w:hideMark/>
          </w:tcPr>
          <w:p w14:paraId="2DBA4E29"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617" w:type="dxa"/>
            <w:tcBorders>
              <w:top w:val="nil"/>
              <w:left w:val="nil"/>
              <w:bottom w:val="single" w:sz="4" w:space="0" w:color="064EA8"/>
              <w:right w:val="nil"/>
            </w:tcBorders>
            <w:shd w:val="clear" w:color="auto" w:fill="auto"/>
            <w:noWrap/>
            <w:vAlign w:val="bottom"/>
            <w:hideMark/>
          </w:tcPr>
          <w:p w14:paraId="5F554B85"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1966</w:t>
            </w:r>
          </w:p>
        </w:tc>
        <w:tc>
          <w:tcPr>
            <w:tcW w:w="1067" w:type="dxa"/>
            <w:tcBorders>
              <w:top w:val="nil"/>
              <w:left w:val="nil"/>
              <w:bottom w:val="single" w:sz="4" w:space="0" w:color="064EA8"/>
              <w:right w:val="nil"/>
            </w:tcBorders>
            <w:shd w:val="clear" w:color="auto" w:fill="auto"/>
            <w:noWrap/>
            <w:vAlign w:val="bottom"/>
            <w:hideMark/>
          </w:tcPr>
          <w:p w14:paraId="663F08E0" w14:textId="77777777" w:rsidR="00274B5A" w:rsidRPr="00C80265" w:rsidRDefault="00274B5A" w:rsidP="00C80265">
            <w:pPr>
              <w:spacing w:before="0" w:after="0" w:line="240" w:lineRule="auto"/>
              <w:jc w:val="center"/>
              <w:rPr>
                <w:rFonts w:cs="Arial"/>
                <w:sz w:val="16"/>
                <w:szCs w:val="16"/>
                <w:lang w:eastAsia="en-AU"/>
              </w:rPr>
            </w:pPr>
          </w:p>
        </w:tc>
        <w:tc>
          <w:tcPr>
            <w:tcW w:w="3638" w:type="dxa"/>
            <w:tcBorders>
              <w:top w:val="nil"/>
              <w:left w:val="nil"/>
              <w:bottom w:val="single" w:sz="4" w:space="0" w:color="064EA8"/>
              <w:right w:val="nil"/>
            </w:tcBorders>
            <w:shd w:val="clear" w:color="auto" w:fill="auto"/>
            <w:noWrap/>
            <w:vAlign w:val="bottom"/>
            <w:hideMark/>
          </w:tcPr>
          <w:p w14:paraId="1B44783B"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274B5A" w:rsidRPr="00C80265" w14:paraId="549BF224" w14:textId="77777777" w:rsidTr="00AE51DB">
        <w:trPr>
          <w:trHeight w:val="255"/>
        </w:trPr>
        <w:tc>
          <w:tcPr>
            <w:tcW w:w="1281" w:type="dxa"/>
            <w:tcBorders>
              <w:top w:val="nil"/>
              <w:left w:val="nil"/>
              <w:bottom w:val="single" w:sz="4" w:space="0" w:color="064EA8"/>
              <w:right w:val="nil"/>
            </w:tcBorders>
            <w:shd w:val="clear" w:color="auto" w:fill="auto"/>
            <w:noWrap/>
            <w:vAlign w:val="bottom"/>
            <w:hideMark/>
          </w:tcPr>
          <w:p w14:paraId="24D2D40C"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Minerva</w:t>
            </w:r>
          </w:p>
        </w:tc>
        <w:tc>
          <w:tcPr>
            <w:tcW w:w="857" w:type="dxa"/>
            <w:tcBorders>
              <w:top w:val="nil"/>
              <w:left w:val="nil"/>
              <w:bottom w:val="single" w:sz="4" w:space="0" w:color="064EA8"/>
              <w:right w:val="nil"/>
            </w:tcBorders>
            <w:shd w:val="clear" w:color="auto" w:fill="auto"/>
            <w:noWrap/>
            <w:vAlign w:val="bottom"/>
            <w:hideMark/>
          </w:tcPr>
          <w:p w14:paraId="471D97D7"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OH94</w:t>
            </w:r>
          </w:p>
        </w:tc>
        <w:tc>
          <w:tcPr>
            <w:tcW w:w="777" w:type="dxa"/>
            <w:tcBorders>
              <w:top w:val="nil"/>
              <w:left w:val="nil"/>
              <w:bottom w:val="single" w:sz="4" w:space="0" w:color="064EA8"/>
              <w:right w:val="nil"/>
            </w:tcBorders>
            <w:shd w:val="clear" w:color="auto" w:fill="auto"/>
            <w:noWrap/>
            <w:vAlign w:val="bottom"/>
            <w:hideMark/>
          </w:tcPr>
          <w:p w14:paraId="5556F7E2"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617" w:type="dxa"/>
            <w:tcBorders>
              <w:top w:val="nil"/>
              <w:left w:val="nil"/>
              <w:bottom w:val="single" w:sz="4" w:space="0" w:color="064EA8"/>
              <w:right w:val="nil"/>
            </w:tcBorders>
            <w:shd w:val="clear" w:color="auto" w:fill="auto"/>
            <w:noWrap/>
            <w:vAlign w:val="bottom"/>
            <w:hideMark/>
          </w:tcPr>
          <w:p w14:paraId="04707EB5"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1994</w:t>
            </w:r>
          </w:p>
        </w:tc>
        <w:tc>
          <w:tcPr>
            <w:tcW w:w="1067" w:type="dxa"/>
            <w:tcBorders>
              <w:top w:val="nil"/>
              <w:left w:val="nil"/>
              <w:bottom w:val="single" w:sz="4" w:space="0" w:color="064EA8"/>
              <w:right w:val="nil"/>
            </w:tcBorders>
            <w:shd w:val="clear" w:color="auto" w:fill="auto"/>
            <w:noWrap/>
            <w:vAlign w:val="bottom"/>
            <w:hideMark/>
          </w:tcPr>
          <w:p w14:paraId="6AB9A4EB"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638" w:type="dxa"/>
            <w:tcBorders>
              <w:top w:val="nil"/>
              <w:left w:val="nil"/>
              <w:bottom w:val="single" w:sz="4" w:space="0" w:color="064EA8"/>
              <w:right w:val="nil"/>
            </w:tcBorders>
            <w:shd w:val="clear" w:color="auto" w:fill="auto"/>
            <w:noWrap/>
            <w:vAlign w:val="bottom"/>
            <w:hideMark/>
          </w:tcPr>
          <w:p w14:paraId="6EF8A9EE"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BHP Petroleum Pty Ltd</w:t>
            </w:r>
          </w:p>
        </w:tc>
      </w:tr>
      <w:tr w:rsidR="00274B5A" w:rsidRPr="00C80265" w14:paraId="778788CD" w14:textId="77777777" w:rsidTr="00AE51DB">
        <w:trPr>
          <w:trHeight w:val="255"/>
        </w:trPr>
        <w:tc>
          <w:tcPr>
            <w:tcW w:w="1281" w:type="dxa"/>
            <w:tcBorders>
              <w:top w:val="nil"/>
              <w:left w:val="nil"/>
              <w:bottom w:val="single" w:sz="4" w:space="0" w:color="064EA8"/>
              <w:right w:val="nil"/>
            </w:tcBorders>
            <w:shd w:val="clear" w:color="auto" w:fill="auto"/>
            <w:noWrap/>
            <w:vAlign w:val="bottom"/>
            <w:hideMark/>
          </w:tcPr>
          <w:p w14:paraId="7DA53175"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Antares</w:t>
            </w:r>
          </w:p>
        </w:tc>
        <w:tc>
          <w:tcPr>
            <w:tcW w:w="857" w:type="dxa"/>
            <w:tcBorders>
              <w:top w:val="nil"/>
              <w:left w:val="nil"/>
              <w:bottom w:val="single" w:sz="4" w:space="0" w:color="064EA8"/>
              <w:right w:val="nil"/>
            </w:tcBorders>
            <w:shd w:val="clear" w:color="auto" w:fill="auto"/>
            <w:noWrap/>
            <w:vAlign w:val="bottom"/>
            <w:hideMark/>
          </w:tcPr>
          <w:p w14:paraId="4567424D"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OWS03</w:t>
            </w:r>
          </w:p>
        </w:tc>
        <w:tc>
          <w:tcPr>
            <w:tcW w:w="777" w:type="dxa"/>
            <w:tcBorders>
              <w:top w:val="nil"/>
              <w:left w:val="nil"/>
              <w:bottom w:val="single" w:sz="4" w:space="0" w:color="064EA8"/>
              <w:right w:val="nil"/>
            </w:tcBorders>
            <w:shd w:val="clear" w:color="auto" w:fill="auto"/>
            <w:noWrap/>
            <w:vAlign w:val="bottom"/>
            <w:hideMark/>
          </w:tcPr>
          <w:p w14:paraId="256753EC"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3D</w:t>
            </w:r>
          </w:p>
        </w:tc>
        <w:tc>
          <w:tcPr>
            <w:tcW w:w="617" w:type="dxa"/>
            <w:tcBorders>
              <w:top w:val="nil"/>
              <w:left w:val="nil"/>
              <w:bottom w:val="single" w:sz="4" w:space="0" w:color="064EA8"/>
              <w:right w:val="nil"/>
            </w:tcBorders>
            <w:shd w:val="clear" w:color="auto" w:fill="auto"/>
            <w:noWrap/>
            <w:vAlign w:val="bottom"/>
            <w:hideMark/>
          </w:tcPr>
          <w:p w14:paraId="080B574F"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2003</w:t>
            </w:r>
          </w:p>
        </w:tc>
        <w:tc>
          <w:tcPr>
            <w:tcW w:w="1067" w:type="dxa"/>
            <w:tcBorders>
              <w:top w:val="nil"/>
              <w:left w:val="nil"/>
              <w:bottom w:val="single" w:sz="4" w:space="0" w:color="064EA8"/>
              <w:right w:val="nil"/>
            </w:tcBorders>
            <w:shd w:val="clear" w:color="auto" w:fill="auto"/>
            <w:noWrap/>
            <w:vAlign w:val="bottom"/>
            <w:hideMark/>
          </w:tcPr>
          <w:p w14:paraId="36212B9F"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638" w:type="dxa"/>
            <w:tcBorders>
              <w:top w:val="nil"/>
              <w:left w:val="nil"/>
              <w:bottom w:val="single" w:sz="4" w:space="0" w:color="064EA8"/>
              <w:right w:val="nil"/>
            </w:tcBorders>
            <w:shd w:val="clear" w:color="auto" w:fill="auto"/>
            <w:noWrap/>
            <w:vAlign w:val="bottom"/>
            <w:hideMark/>
          </w:tcPr>
          <w:p w14:paraId="319335E6"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Woodside Energy Ltd</w:t>
            </w:r>
          </w:p>
        </w:tc>
      </w:tr>
    </w:tbl>
    <w:p w14:paraId="554EA55C" w14:textId="77777777" w:rsidR="00F75CC4" w:rsidRPr="00AE51DB" w:rsidRDefault="00F75CC4" w:rsidP="00AE51DB">
      <w:pPr>
        <w:pStyle w:val="bodyCopy"/>
        <w:spacing w:before="360"/>
        <w:rPr>
          <w:b/>
        </w:rPr>
      </w:pPr>
      <w:r w:rsidRPr="00AE51DB">
        <w:rPr>
          <w:b/>
        </w:rPr>
        <w:t>Release Area 18-5(v)</w:t>
      </w:r>
    </w:p>
    <w:tbl>
      <w:tblPr>
        <w:tblW w:w="8237" w:type="dxa"/>
        <w:tblInd w:w="93" w:type="dxa"/>
        <w:tblLook w:val="04A0" w:firstRow="1" w:lastRow="0" w:firstColumn="1" w:lastColumn="0" w:noHBand="0" w:noVBand="1"/>
      </w:tblPr>
      <w:tblGrid>
        <w:gridCol w:w="1281"/>
        <w:gridCol w:w="857"/>
        <w:gridCol w:w="777"/>
        <w:gridCol w:w="641"/>
        <w:gridCol w:w="1067"/>
        <w:gridCol w:w="3614"/>
      </w:tblGrid>
      <w:tr w:rsidR="00274B5A" w:rsidRPr="00C80265" w14:paraId="49398012" w14:textId="77777777" w:rsidTr="00C80265">
        <w:trPr>
          <w:trHeight w:val="525"/>
        </w:trPr>
        <w:tc>
          <w:tcPr>
            <w:tcW w:w="1281" w:type="dxa"/>
            <w:tcBorders>
              <w:top w:val="nil"/>
              <w:left w:val="nil"/>
              <w:bottom w:val="nil"/>
              <w:right w:val="nil"/>
            </w:tcBorders>
            <w:shd w:val="clear" w:color="000000" w:fill="064EA8"/>
            <w:vAlign w:val="center"/>
            <w:hideMark/>
          </w:tcPr>
          <w:p w14:paraId="452A9AB4"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Name</w:t>
            </w:r>
          </w:p>
        </w:tc>
        <w:tc>
          <w:tcPr>
            <w:tcW w:w="857" w:type="dxa"/>
            <w:tcBorders>
              <w:top w:val="nil"/>
              <w:left w:val="nil"/>
              <w:bottom w:val="nil"/>
              <w:right w:val="nil"/>
            </w:tcBorders>
            <w:shd w:val="clear" w:color="000000" w:fill="064EA8"/>
            <w:vAlign w:val="center"/>
            <w:hideMark/>
          </w:tcPr>
          <w:p w14:paraId="0E7DD4E5"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Number</w:t>
            </w:r>
          </w:p>
        </w:tc>
        <w:tc>
          <w:tcPr>
            <w:tcW w:w="777" w:type="dxa"/>
            <w:tcBorders>
              <w:top w:val="nil"/>
              <w:left w:val="nil"/>
              <w:bottom w:val="nil"/>
              <w:right w:val="nil"/>
            </w:tcBorders>
            <w:shd w:val="clear" w:color="000000" w:fill="064EA8"/>
            <w:vAlign w:val="center"/>
            <w:hideMark/>
          </w:tcPr>
          <w:p w14:paraId="0C5CFF14"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Survey Type</w:t>
            </w:r>
          </w:p>
        </w:tc>
        <w:tc>
          <w:tcPr>
            <w:tcW w:w="641" w:type="dxa"/>
            <w:tcBorders>
              <w:top w:val="nil"/>
              <w:left w:val="nil"/>
              <w:bottom w:val="nil"/>
              <w:right w:val="nil"/>
            </w:tcBorders>
            <w:shd w:val="clear" w:color="000000" w:fill="064EA8"/>
            <w:vAlign w:val="center"/>
            <w:hideMark/>
          </w:tcPr>
          <w:p w14:paraId="66B26A58"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Year</w:t>
            </w:r>
          </w:p>
        </w:tc>
        <w:tc>
          <w:tcPr>
            <w:tcW w:w="1067" w:type="dxa"/>
            <w:tcBorders>
              <w:top w:val="nil"/>
              <w:left w:val="nil"/>
              <w:bottom w:val="nil"/>
              <w:right w:val="nil"/>
            </w:tcBorders>
            <w:shd w:val="clear" w:color="000000" w:fill="064EA8"/>
            <w:vAlign w:val="center"/>
            <w:hideMark/>
          </w:tcPr>
          <w:p w14:paraId="65A6A821"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Availability of SEGY</w:t>
            </w:r>
          </w:p>
        </w:tc>
        <w:tc>
          <w:tcPr>
            <w:tcW w:w="3614" w:type="dxa"/>
            <w:tcBorders>
              <w:top w:val="nil"/>
              <w:left w:val="nil"/>
              <w:bottom w:val="nil"/>
              <w:right w:val="nil"/>
            </w:tcBorders>
            <w:shd w:val="clear" w:color="000000" w:fill="064EA8"/>
            <w:vAlign w:val="center"/>
            <w:hideMark/>
          </w:tcPr>
          <w:p w14:paraId="458CE4FC" w14:textId="77777777" w:rsidR="00274B5A" w:rsidRPr="00C80265" w:rsidRDefault="00274B5A" w:rsidP="00C80265">
            <w:pPr>
              <w:spacing w:before="0" w:after="0" w:line="240" w:lineRule="auto"/>
              <w:rPr>
                <w:rFonts w:cs="Arial"/>
                <w:b/>
                <w:color w:val="FFFFFF"/>
                <w:sz w:val="16"/>
                <w:szCs w:val="16"/>
                <w:lang w:eastAsia="en-AU"/>
              </w:rPr>
            </w:pPr>
            <w:r w:rsidRPr="00C80265">
              <w:rPr>
                <w:rFonts w:cs="Arial"/>
                <w:b/>
                <w:color w:val="FFFFFF"/>
                <w:sz w:val="16"/>
                <w:szCs w:val="16"/>
                <w:lang w:eastAsia="en-AU"/>
              </w:rPr>
              <w:t>Operator</w:t>
            </w:r>
          </w:p>
        </w:tc>
      </w:tr>
      <w:tr w:rsidR="00365FB6" w:rsidRPr="00C80265" w14:paraId="1A246C88" w14:textId="77777777" w:rsidTr="00AE51DB">
        <w:trPr>
          <w:trHeight w:val="255"/>
        </w:trPr>
        <w:tc>
          <w:tcPr>
            <w:tcW w:w="1281" w:type="dxa"/>
            <w:tcBorders>
              <w:top w:val="nil"/>
              <w:left w:val="nil"/>
              <w:bottom w:val="single" w:sz="4" w:space="0" w:color="064EA8"/>
              <w:right w:val="nil"/>
            </w:tcBorders>
            <w:shd w:val="clear" w:color="auto" w:fill="auto"/>
            <w:noWrap/>
            <w:vAlign w:val="bottom"/>
            <w:hideMark/>
          </w:tcPr>
          <w:p w14:paraId="3DF31B4A"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Offshore Otway</w:t>
            </w:r>
          </w:p>
        </w:tc>
        <w:tc>
          <w:tcPr>
            <w:tcW w:w="857" w:type="dxa"/>
            <w:tcBorders>
              <w:top w:val="nil"/>
              <w:left w:val="nil"/>
              <w:bottom w:val="single" w:sz="4" w:space="0" w:color="064EA8"/>
              <w:right w:val="nil"/>
            </w:tcBorders>
            <w:shd w:val="clear" w:color="auto" w:fill="auto"/>
            <w:noWrap/>
            <w:vAlign w:val="bottom"/>
            <w:hideMark/>
          </w:tcPr>
          <w:p w14:paraId="326ABD2D"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OS66A</w:t>
            </w:r>
          </w:p>
        </w:tc>
        <w:tc>
          <w:tcPr>
            <w:tcW w:w="777" w:type="dxa"/>
            <w:tcBorders>
              <w:top w:val="nil"/>
              <w:left w:val="nil"/>
              <w:bottom w:val="single" w:sz="4" w:space="0" w:color="064EA8"/>
              <w:right w:val="nil"/>
            </w:tcBorders>
            <w:shd w:val="clear" w:color="auto" w:fill="auto"/>
            <w:noWrap/>
            <w:vAlign w:val="bottom"/>
            <w:hideMark/>
          </w:tcPr>
          <w:p w14:paraId="43E83247"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641" w:type="dxa"/>
            <w:tcBorders>
              <w:top w:val="nil"/>
              <w:left w:val="nil"/>
              <w:bottom w:val="single" w:sz="4" w:space="0" w:color="064EA8"/>
              <w:right w:val="nil"/>
            </w:tcBorders>
            <w:shd w:val="clear" w:color="auto" w:fill="auto"/>
            <w:noWrap/>
            <w:vAlign w:val="bottom"/>
            <w:hideMark/>
          </w:tcPr>
          <w:p w14:paraId="3DDD99D8"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1966</w:t>
            </w:r>
          </w:p>
        </w:tc>
        <w:tc>
          <w:tcPr>
            <w:tcW w:w="1067" w:type="dxa"/>
            <w:tcBorders>
              <w:top w:val="nil"/>
              <w:left w:val="nil"/>
              <w:bottom w:val="single" w:sz="4" w:space="0" w:color="064EA8"/>
              <w:right w:val="nil"/>
            </w:tcBorders>
            <w:shd w:val="clear" w:color="auto" w:fill="auto"/>
            <w:noWrap/>
            <w:vAlign w:val="bottom"/>
            <w:hideMark/>
          </w:tcPr>
          <w:p w14:paraId="7963DB51"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614" w:type="dxa"/>
            <w:tcBorders>
              <w:top w:val="nil"/>
              <w:left w:val="nil"/>
              <w:bottom w:val="single" w:sz="4" w:space="0" w:color="064EA8"/>
              <w:right w:val="nil"/>
            </w:tcBorders>
            <w:shd w:val="clear" w:color="auto" w:fill="auto"/>
            <w:noWrap/>
            <w:vAlign w:val="bottom"/>
            <w:hideMark/>
          </w:tcPr>
          <w:p w14:paraId="06E1A931"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Shell Development (Australia) Pty Ltd</w:t>
            </w:r>
          </w:p>
        </w:tc>
      </w:tr>
      <w:tr w:rsidR="00365FB6" w:rsidRPr="00C80265" w14:paraId="0B87B454" w14:textId="77777777" w:rsidTr="00AE51DB">
        <w:trPr>
          <w:trHeight w:val="255"/>
        </w:trPr>
        <w:tc>
          <w:tcPr>
            <w:tcW w:w="1281" w:type="dxa"/>
            <w:tcBorders>
              <w:top w:val="nil"/>
              <w:left w:val="nil"/>
              <w:bottom w:val="single" w:sz="4" w:space="0" w:color="064EA8"/>
              <w:right w:val="nil"/>
            </w:tcBorders>
            <w:shd w:val="clear" w:color="auto" w:fill="auto"/>
            <w:noWrap/>
            <w:vAlign w:val="bottom"/>
            <w:hideMark/>
          </w:tcPr>
          <w:p w14:paraId="02646BEF"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Princetown</w:t>
            </w:r>
          </w:p>
        </w:tc>
        <w:tc>
          <w:tcPr>
            <w:tcW w:w="857" w:type="dxa"/>
            <w:tcBorders>
              <w:top w:val="nil"/>
              <w:left w:val="nil"/>
              <w:bottom w:val="single" w:sz="4" w:space="0" w:color="064EA8"/>
              <w:right w:val="nil"/>
            </w:tcBorders>
            <w:shd w:val="clear" w:color="auto" w:fill="auto"/>
            <w:noWrap/>
            <w:vAlign w:val="bottom"/>
            <w:hideMark/>
          </w:tcPr>
          <w:p w14:paraId="618D7116"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OI75</w:t>
            </w:r>
          </w:p>
        </w:tc>
        <w:tc>
          <w:tcPr>
            <w:tcW w:w="777" w:type="dxa"/>
            <w:tcBorders>
              <w:top w:val="nil"/>
              <w:left w:val="nil"/>
              <w:bottom w:val="single" w:sz="4" w:space="0" w:color="064EA8"/>
              <w:right w:val="nil"/>
            </w:tcBorders>
            <w:shd w:val="clear" w:color="auto" w:fill="auto"/>
            <w:noWrap/>
            <w:vAlign w:val="bottom"/>
            <w:hideMark/>
          </w:tcPr>
          <w:p w14:paraId="0A383ADB"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641" w:type="dxa"/>
            <w:tcBorders>
              <w:top w:val="nil"/>
              <w:left w:val="nil"/>
              <w:bottom w:val="single" w:sz="4" w:space="0" w:color="064EA8"/>
              <w:right w:val="nil"/>
            </w:tcBorders>
            <w:shd w:val="clear" w:color="auto" w:fill="auto"/>
            <w:noWrap/>
            <w:vAlign w:val="bottom"/>
            <w:hideMark/>
          </w:tcPr>
          <w:p w14:paraId="2A369038"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1975</w:t>
            </w:r>
          </w:p>
        </w:tc>
        <w:tc>
          <w:tcPr>
            <w:tcW w:w="1067" w:type="dxa"/>
            <w:tcBorders>
              <w:top w:val="nil"/>
              <w:left w:val="nil"/>
              <w:bottom w:val="single" w:sz="4" w:space="0" w:color="064EA8"/>
              <w:right w:val="nil"/>
            </w:tcBorders>
            <w:shd w:val="clear" w:color="auto" w:fill="auto"/>
            <w:noWrap/>
            <w:vAlign w:val="bottom"/>
            <w:hideMark/>
          </w:tcPr>
          <w:p w14:paraId="0A4771B7"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614" w:type="dxa"/>
            <w:tcBorders>
              <w:top w:val="nil"/>
              <w:left w:val="nil"/>
              <w:bottom w:val="single" w:sz="4" w:space="0" w:color="064EA8"/>
              <w:right w:val="nil"/>
            </w:tcBorders>
            <w:shd w:val="clear" w:color="auto" w:fill="auto"/>
            <w:noWrap/>
            <w:vAlign w:val="bottom"/>
            <w:hideMark/>
          </w:tcPr>
          <w:p w14:paraId="71E223E3"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Interstate Oil Limited</w:t>
            </w:r>
          </w:p>
        </w:tc>
      </w:tr>
      <w:tr w:rsidR="00365FB6" w:rsidRPr="00C80265" w14:paraId="032098C8" w14:textId="77777777" w:rsidTr="00AE51DB">
        <w:trPr>
          <w:trHeight w:val="255"/>
        </w:trPr>
        <w:tc>
          <w:tcPr>
            <w:tcW w:w="1281" w:type="dxa"/>
            <w:tcBorders>
              <w:top w:val="nil"/>
              <w:left w:val="nil"/>
              <w:bottom w:val="single" w:sz="4" w:space="0" w:color="064EA8"/>
              <w:right w:val="nil"/>
            </w:tcBorders>
            <w:shd w:val="clear" w:color="auto" w:fill="auto"/>
            <w:noWrap/>
            <w:vAlign w:val="bottom"/>
            <w:hideMark/>
          </w:tcPr>
          <w:p w14:paraId="701DAD8A"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OE81A</w:t>
            </w:r>
          </w:p>
        </w:tc>
        <w:tc>
          <w:tcPr>
            <w:tcW w:w="857" w:type="dxa"/>
            <w:tcBorders>
              <w:top w:val="nil"/>
              <w:left w:val="nil"/>
              <w:bottom w:val="single" w:sz="4" w:space="0" w:color="064EA8"/>
              <w:right w:val="nil"/>
            </w:tcBorders>
            <w:shd w:val="clear" w:color="auto" w:fill="auto"/>
            <w:noWrap/>
            <w:vAlign w:val="bottom"/>
            <w:hideMark/>
          </w:tcPr>
          <w:p w14:paraId="3D977BB9"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OE81A</w:t>
            </w:r>
          </w:p>
        </w:tc>
        <w:tc>
          <w:tcPr>
            <w:tcW w:w="777" w:type="dxa"/>
            <w:tcBorders>
              <w:top w:val="nil"/>
              <w:left w:val="nil"/>
              <w:bottom w:val="single" w:sz="4" w:space="0" w:color="064EA8"/>
              <w:right w:val="nil"/>
            </w:tcBorders>
            <w:shd w:val="clear" w:color="auto" w:fill="auto"/>
            <w:noWrap/>
            <w:vAlign w:val="bottom"/>
            <w:hideMark/>
          </w:tcPr>
          <w:p w14:paraId="777233F5"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2D</w:t>
            </w:r>
          </w:p>
        </w:tc>
        <w:tc>
          <w:tcPr>
            <w:tcW w:w="641" w:type="dxa"/>
            <w:tcBorders>
              <w:top w:val="nil"/>
              <w:left w:val="nil"/>
              <w:bottom w:val="single" w:sz="4" w:space="0" w:color="064EA8"/>
              <w:right w:val="nil"/>
            </w:tcBorders>
            <w:shd w:val="clear" w:color="auto" w:fill="auto"/>
            <w:noWrap/>
            <w:vAlign w:val="bottom"/>
            <w:hideMark/>
          </w:tcPr>
          <w:p w14:paraId="73403057"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1981</w:t>
            </w:r>
          </w:p>
        </w:tc>
        <w:tc>
          <w:tcPr>
            <w:tcW w:w="1067" w:type="dxa"/>
            <w:tcBorders>
              <w:top w:val="nil"/>
              <w:left w:val="nil"/>
              <w:bottom w:val="single" w:sz="4" w:space="0" w:color="064EA8"/>
              <w:right w:val="nil"/>
            </w:tcBorders>
            <w:shd w:val="clear" w:color="auto" w:fill="auto"/>
            <w:noWrap/>
            <w:vAlign w:val="bottom"/>
            <w:hideMark/>
          </w:tcPr>
          <w:p w14:paraId="008B8101"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614" w:type="dxa"/>
            <w:tcBorders>
              <w:top w:val="nil"/>
              <w:left w:val="nil"/>
              <w:bottom w:val="single" w:sz="4" w:space="0" w:color="064EA8"/>
              <w:right w:val="nil"/>
            </w:tcBorders>
            <w:shd w:val="clear" w:color="auto" w:fill="auto"/>
            <w:noWrap/>
            <w:vAlign w:val="bottom"/>
            <w:hideMark/>
          </w:tcPr>
          <w:p w14:paraId="02E0BF89"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Esso Australia Ltd</w:t>
            </w:r>
          </w:p>
        </w:tc>
      </w:tr>
      <w:tr w:rsidR="00365FB6" w:rsidRPr="00C80265" w14:paraId="3E01F310" w14:textId="77777777" w:rsidTr="00AE51DB">
        <w:trPr>
          <w:trHeight w:val="255"/>
        </w:trPr>
        <w:tc>
          <w:tcPr>
            <w:tcW w:w="1281" w:type="dxa"/>
            <w:tcBorders>
              <w:top w:val="nil"/>
              <w:left w:val="nil"/>
              <w:bottom w:val="single" w:sz="4" w:space="0" w:color="064EA8"/>
              <w:right w:val="nil"/>
            </w:tcBorders>
            <w:shd w:val="clear" w:color="auto" w:fill="auto"/>
            <w:noWrap/>
            <w:vAlign w:val="bottom"/>
            <w:hideMark/>
          </w:tcPr>
          <w:p w14:paraId="1491DD80"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Minerva</w:t>
            </w:r>
          </w:p>
        </w:tc>
        <w:tc>
          <w:tcPr>
            <w:tcW w:w="857" w:type="dxa"/>
            <w:tcBorders>
              <w:top w:val="nil"/>
              <w:left w:val="nil"/>
              <w:bottom w:val="single" w:sz="4" w:space="0" w:color="064EA8"/>
              <w:right w:val="nil"/>
            </w:tcBorders>
            <w:shd w:val="clear" w:color="auto" w:fill="auto"/>
            <w:noWrap/>
            <w:vAlign w:val="bottom"/>
            <w:hideMark/>
          </w:tcPr>
          <w:p w14:paraId="3AEB427A"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OH94</w:t>
            </w:r>
          </w:p>
        </w:tc>
        <w:tc>
          <w:tcPr>
            <w:tcW w:w="777" w:type="dxa"/>
            <w:tcBorders>
              <w:top w:val="nil"/>
              <w:left w:val="nil"/>
              <w:bottom w:val="single" w:sz="4" w:space="0" w:color="064EA8"/>
              <w:right w:val="nil"/>
            </w:tcBorders>
            <w:shd w:val="clear" w:color="auto" w:fill="auto"/>
            <w:noWrap/>
            <w:vAlign w:val="bottom"/>
            <w:hideMark/>
          </w:tcPr>
          <w:p w14:paraId="6E620DEC"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3D</w:t>
            </w:r>
          </w:p>
        </w:tc>
        <w:tc>
          <w:tcPr>
            <w:tcW w:w="641" w:type="dxa"/>
            <w:tcBorders>
              <w:top w:val="nil"/>
              <w:left w:val="nil"/>
              <w:bottom w:val="single" w:sz="4" w:space="0" w:color="064EA8"/>
              <w:right w:val="nil"/>
            </w:tcBorders>
            <w:shd w:val="clear" w:color="auto" w:fill="auto"/>
            <w:noWrap/>
            <w:vAlign w:val="bottom"/>
            <w:hideMark/>
          </w:tcPr>
          <w:p w14:paraId="42BCFB23"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1994</w:t>
            </w:r>
          </w:p>
        </w:tc>
        <w:tc>
          <w:tcPr>
            <w:tcW w:w="1067" w:type="dxa"/>
            <w:tcBorders>
              <w:top w:val="nil"/>
              <w:left w:val="nil"/>
              <w:bottom w:val="single" w:sz="4" w:space="0" w:color="064EA8"/>
              <w:right w:val="nil"/>
            </w:tcBorders>
            <w:shd w:val="clear" w:color="auto" w:fill="auto"/>
            <w:noWrap/>
            <w:vAlign w:val="bottom"/>
            <w:hideMark/>
          </w:tcPr>
          <w:p w14:paraId="66FB56D6" w14:textId="77777777" w:rsidR="00274B5A" w:rsidRPr="00C80265" w:rsidRDefault="00274B5A" w:rsidP="00C80265">
            <w:pPr>
              <w:spacing w:before="0" w:after="0" w:line="240" w:lineRule="auto"/>
              <w:jc w:val="center"/>
              <w:rPr>
                <w:rFonts w:cs="Arial"/>
                <w:sz w:val="16"/>
                <w:szCs w:val="16"/>
                <w:lang w:eastAsia="en-AU"/>
              </w:rPr>
            </w:pPr>
            <w:r w:rsidRPr="00C80265">
              <w:rPr>
                <w:rFonts w:cs="Arial"/>
                <w:sz w:val="16"/>
                <w:szCs w:val="16"/>
                <w:lang w:eastAsia="en-AU"/>
              </w:rPr>
              <w:t>Y</w:t>
            </w:r>
          </w:p>
        </w:tc>
        <w:tc>
          <w:tcPr>
            <w:tcW w:w="3614" w:type="dxa"/>
            <w:tcBorders>
              <w:top w:val="nil"/>
              <w:left w:val="nil"/>
              <w:bottom w:val="single" w:sz="4" w:space="0" w:color="064EA8"/>
              <w:right w:val="nil"/>
            </w:tcBorders>
            <w:shd w:val="clear" w:color="auto" w:fill="auto"/>
            <w:noWrap/>
            <w:vAlign w:val="bottom"/>
            <w:hideMark/>
          </w:tcPr>
          <w:p w14:paraId="533F49E0" w14:textId="77777777" w:rsidR="00274B5A" w:rsidRPr="00C80265" w:rsidRDefault="00274B5A" w:rsidP="00274B5A">
            <w:pPr>
              <w:spacing w:before="0" w:after="0" w:line="240" w:lineRule="auto"/>
              <w:rPr>
                <w:rFonts w:cs="Arial"/>
                <w:sz w:val="16"/>
                <w:szCs w:val="16"/>
                <w:lang w:eastAsia="en-AU"/>
              </w:rPr>
            </w:pPr>
            <w:r w:rsidRPr="00C80265">
              <w:rPr>
                <w:rFonts w:cs="Arial"/>
                <w:sz w:val="16"/>
                <w:szCs w:val="16"/>
                <w:lang w:eastAsia="en-AU"/>
              </w:rPr>
              <w:t>BHP Petroleum Pty Ltd</w:t>
            </w:r>
          </w:p>
        </w:tc>
      </w:tr>
    </w:tbl>
    <w:p w14:paraId="7E2F2BF5" w14:textId="77777777" w:rsidR="008E317F" w:rsidRDefault="008E317F" w:rsidP="00BC5C4D">
      <w:pPr>
        <w:pStyle w:val="Heading1"/>
        <w:numPr>
          <w:ilvl w:val="0"/>
          <w:numId w:val="0"/>
        </w:numPr>
        <w:ind w:left="2127" w:hanging="2127"/>
        <w:sectPr w:rsidR="008E317F" w:rsidSect="008E317F">
          <w:pgSz w:w="11901" w:h="16840" w:code="9"/>
          <w:pgMar w:top="907" w:right="1008" w:bottom="1138" w:left="1152" w:header="288" w:footer="283" w:gutter="0"/>
          <w:cols w:space="708"/>
          <w:docGrid w:linePitch="360"/>
        </w:sectPr>
      </w:pPr>
      <w:bookmarkStart w:id="78" w:name="_Appendix_3_"/>
      <w:bookmarkEnd w:id="78"/>
    </w:p>
    <w:p w14:paraId="1E8ACC75" w14:textId="558F86B2" w:rsidR="001B7E13" w:rsidRPr="001B7E13" w:rsidRDefault="00C83757" w:rsidP="00BC5C4D">
      <w:pPr>
        <w:pStyle w:val="Heading1"/>
        <w:numPr>
          <w:ilvl w:val="0"/>
          <w:numId w:val="0"/>
        </w:numPr>
        <w:ind w:left="2127" w:hanging="2127"/>
      </w:pPr>
      <w:bookmarkStart w:id="79" w:name="_Toc513813363"/>
      <w:r>
        <w:lastRenderedPageBreak/>
        <w:t xml:space="preserve">Appendix </w:t>
      </w:r>
      <w:r w:rsidR="00B535F1">
        <w:t xml:space="preserve">4 </w:t>
      </w:r>
      <w:r>
        <w:t>Marine and Terrestrial Parks and</w:t>
      </w:r>
      <w:r w:rsidR="00BC5C4D">
        <w:t xml:space="preserve"> </w:t>
      </w:r>
      <w:r>
        <w:t>Reserves</w:t>
      </w:r>
      <w:bookmarkEnd w:id="79"/>
    </w:p>
    <w:tbl>
      <w:tblPr>
        <w:tblStyle w:val="Responsetable"/>
        <w:tblW w:w="9606" w:type="dxa"/>
        <w:tblLayout w:type="fixed"/>
        <w:tblLook w:val="04A0" w:firstRow="1" w:lastRow="0" w:firstColumn="1" w:lastColumn="0" w:noHBand="0" w:noVBand="1"/>
      </w:tblPr>
      <w:tblGrid>
        <w:gridCol w:w="1101"/>
        <w:gridCol w:w="4252"/>
        <w:gridCol w:w="4253"/>
      </w:tblGrid>
      <w:tr w:rsidR="00E57756" w:rsidRPr="00DB283A" w14:paraId="362403B1" w14:textId="77777777" w:rsidTr="00AE5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shd w:val="clear" w:color="auto" w:fill="064EA8"/>
          </w:tcPr>
          <w:p w14:paraId="4DD2647E" w14:textId="77777777" w:rsidR="00E57756" w:rsidRPr="00DB283A" w:rsidRDefault="00E57756" w:rsidP="001B7E13">
            <w:pPr>
              <w:pStyle w:val="tablename"/>
              <w:rPr>
                <w:color w:val="FFFFFF" w:themeColor="background1"/>
                <w:sz w:val="16"/>
                <w:szCs w:val="16"/>
              </w:rPr>
            </w:pPr>
            <w:r w:rsidRPr="00DB283A">
              <w:rPr>
                <w:color w:val="FFFFFF" w:themeColor="background1"/>
                <w:sz w:val="16"/>
                <w:szCs w:val="16"/>
              </w:rPr>
              <w:t>Release area</w:t>
            </w:r>
          </w:p>
        </w:tc>
        <w:tc>
          <w:tcPr>
            <w:tcW w:w="8505" w:type="dxa"/>
            <w:gridSpan w:val="2"/>
            <w:shd w:val="clear" w:color="auto" w:fill="064EA8"/>
          </w:tcPr>
          <w:p w14:paraId="1B661443" w14:textId="77777777" w:rsidR="00E57756" w:rsidRPr="00DB283A" w:rsidRDefault="00E57756" w:rsidP="001B7E13">
            <w:pPr>
              <w:pStyle w:val="tablename"/>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B283A">
              <w:rPr>
                <w:color w:val="FFFFFF" w:themeColor="background1"/>
                <w:sz w:val="16"/>
                <w:szCs w:val="16"/>
              </w:rPr>
              <w:t>Adjacent Parks/Reserves</w:t>
            </w:r>
          </w:p>
        </w:tc>
      </w:tr>
      <w:tr w:rsidR="00E57756" w:rsidRPr="00DB283A" w14:paraId="30C9E98E" w14:textId="77777777" w:rsidTr="00AE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Borders>
              <w:bottom w:val="single" w:sz="6" w:space="0" w:color="064EA8"/>
            </w:tcBorders>
          </w:tcPr>
          <w:p w14:paraId="1EAE5D5E" w14:textId="77777777" w:rsidR="00E57756" w:rsidRPr="00DB283A" w:rsidRDefault="00E57756" w:rsidP="001B7E13">
            <w:pPr>
              <w:pStyle w:val="tablename"/>
              <w:rPr>
                <w:sz w:val="16"/>
                <w:szCs w:val="16"/>
              </w:rPr>
            </w:pPr>
          </w:p>
        </w:tc>
        <w:tc>
          <w:tcPr>
            <w:tcW w:w="4252" w:type="dxa"/>
            <w:tcBorders>
              <w:bottom w:val="single" w:sz="6" w:space="0" w:color="064EA8"/>
            </w:tcBorders>
          </w:tcPr>
          <w:p w14:paraId="22409E3D" w14:textId="77777777" w:rsidR="00E57756" w:rsidRPr="00DB283A" w:rsidRDefault="00E57756" w:rsidP="001B7E13">
            <w:pPr>
              <w:pStyle w:val="tablename"/>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Marine</w:t>
            </w:r>
          </w:p>
        </w:tc>
        <w:tc>
          <w:tcPr>
            <w:tcW w:w="4252" w:type="dxa"/>
            <w:tcBorders>
              <w:bottom w:val="single" w:sz="6" w:space="0" w:color="064EA8"/>
            </w:tcBorders>
          </w:tcPr>
          <w:p w14:paraId="240361C1" w14:textId="77777777" w:rsidR="00E57756" w:rsidRPr="00DB283A" w:rsidRDefault="00E57756" w:rsidP="001B7E13">
            <w:pPr>
              <w:pStyle w:val="tablename"/>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Terrestrial</w:t>
            </w:r>
          </w:p>
        </w:tc>
      </w:tr>
      <w:tr w:rsidR="00E57756" w:rsidRPr="00DB283A" w14:paraId="2DF3B1D0" w14:textId="77777777" w:rsidTr="00AE5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064EA8"/>
              <w:bottom w:val="single" w:sz="6" w:space="0" w:color="064EA8"/>
            </w:tcBorders>
          </w:tcPr>
          <w:p w14:paraId="4D11A827" w14:textId="77777777" w:rsidR="00E57756" w:rsidRPr="00DB283A" w:rsidRDefault="00E57756" w:rsidP="00933710">
            <w:pPr>
              <w:pStyle w:val="tabletext"/>
              <w:rPr>
                <w:sz w:val="16"/>
                <w:szCs w:val="16"/>
              </w:rPr>
            </w:pPr>
            <w:r w:rsidRPr="00DB283A">
              <w:rPr>
                <w:sz w:val="16"/>
                <w:szCs w:val="16"/>
              </w:rPr>
              <w:t>18-1(</w:t>
            </w:r>
            <w:r w:rsidR="00933710" w:rsidRPr="00DB283A">
              <w:rPr>
                <w:sz w:val="16"/>
                <w:szCs w:val="16"/>
              </w:rPr>
              <w:t>v</w:t>
            </w:r>
            <w:r w:rsidRPr="00DB283A">
              <w:rPr>
                <w:sz w:val="16"/>
                <w:szCs w:val="16"/>
              </w:rPr>
              <w:t>)</w:t>
            </w:r>
          </w:p>
        </w:tc>
        <w:tc>
          <w:tcPr>
            <w:tcW w:w="4252" w:type="dxa"/>
            <w:tcBorders>
              <w:top w:val="single" w:sz="6" w:space="0" w:color="064EA8"/>
              <w:bottom w:val="single" w:sz="6" w:space="0" w:color="064EA8"/>
            </w:tcBorders>
          </w:tcPr>
          <w:p w14:paraId="396CC985"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Discovery Bay Marine National Park</w:t>
            </w:r>
          </w:p>
        </w:tc>
        <w:tc>
          <w:tcPr>
            <w:tcW w:w="4252" w:type="dxa"/>
            <w:tcBorders>
              <w:top w:val="single" w:sz="6" w:space="0" w:color="064EA8"/>
              <w:bottom w:val="single" w:sz="6" w:space="0" w:color="064EA8"/>
            </w:tcBorders>
          </w:tcPr>
          <w:p w14:paraId="1D7BB5A1"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Discovery Bay Coastal Park</w:t>
            </w:r>
          </w:p>
        </w:tc>
      </w:tr>
      <w:tr w:rsidR="00E57756" w:rsidRPr="00DB283A" w14:paraId="44385CCD" w14:textId="77777777" w:rsidTr="00AE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064EA8"/>
              <w:bottom w:val="single" w:sz="6" w:space="0" w:color="064EA8"/>
            </w:tcBorders>
          </w:tcPr>
          <w:p w14:paraId="78F9479C" w14:textId="77777777" w:rsidR="00E57756" w:rsidRPr="00DB283A" w:rsidRDefault="00E57756" w:rsidP="00933710">
            <w:pPr>
              <w:pStyle w:val="tabletext"/>
              <w:rPr>
                <w:sz w:val="16"/>
                <w:szCs w:val="16"/>
              </w:rPr>
            </w:pPr>
            <w:r w:rsidRPr="00DB283A">
              <w:rPr>
                <w:sz w:val="16"/>
                <w:szCs w:val="16"/>
              </w:rPr>
              <w:t>18-2(</w:t>
            </w:r>
            <w:r w:rsidR="00933710" w:rsidRPr="00DB283A">
              <w:rPr>
                <w:sz w:val="16"/>
                <w:szCs w:val="16"/>
              </w:rPr>
              <w:t>v</w:t>
            </w:r>
            <w:r w:rsidRPr="00DB283A">
              <w:rPr>
                <w:sz w:val="16"/>
                <w:szCs w:val="16"/>
              </w:rPr>
              <w:t>)</w:t>
            </w:r>
          </w:p>
        </w:tc>
        <w:tc>
          <w:tcPr>
            <w:tcW w:w="4252" w:type="dxa"/>
            <w:tcBorders>
              <w:top w:val="single" w:sz="6" w:space="0" w:color="064EA8"/>
              <w:bottom w:val="single" w:sz="6" w:space="0" w:color="064EA8"/>
            </w:tcBorders>
          </w:tcPr>
          <w:p w14:paraId="0E3D1DB7"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Discovery Bay Marine National Park</w:t>
            </w:r>
          </w:p>
          <w:p w14:paraId="59A9BAA3"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Lawrence Rocks Wildlife Reserve</w:t>
            </w:r>
          </w:p>
        </w:tc>
        <w:tc>
          <w:tcPr>
            <w:tcW w:w="4252" w:type="dxa"/>
            <w:tcBorders>
              <w:top w:val="single" w:sz="6" w:space="0" w:color="064EA8"/>
              <w:bottom w:val="single" w:sz="6" w:space="0" w:color="064EA8"/>
            </w:tcBorders>
          </w:tcPr>
          <w:p w14:paraId="5F69F227"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Cape Nelson State Park</w:t>
            </w:r>
          </w:p>
          <w:p w14:paraId="7E7BB46E"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Foreshore reserves, including Nelson Bay, Narrawong, Point Danger, Portland</w:t>
            </w:r>
          </w:p>
          <w:p w14:paraId="6AC5E03C"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Narrawong Coastal Reserve</w:t>
            </w:r>
          </w:p>
        </w:tc>
      </w:tr>
      <w:tr w:rsidR="00E57756" w:rsidRPr="00DB283A" w14:paraId="5A1458DE" w14:textId="77777777" w:rsidTr="00AE5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064EA8"/>
              <w:bottom w:val="single" w:sz="6" w:space="0" w:color="064EA8"/>
            </w:tcBorders>
          </w:tcPr>
          <w:p w14:paraId="414CF9D1" w14:textId="77777777" w:rsidR="00E57756" w:rsidRPr="00DB283A" w:rsidRDefault="00E57756" w:rsidP="00933710">
            <w:pPr>
              <w:pStyle w:val="tabletext"/>
              <w:rPr>
                <w:sz w:val="16"/>
                <w:szCs w:val="16"/>
              </w:rPr>
            </w:pPr>
            <w:r w:rsidRPr="00DB283A">
              <w:rPr>
                <w:sz w:val="16"/>
                <w:szCs w:val="16"/>
              </w:rPr>
              <w:t>18-3(</w:t>
            </w:r>
            <w:r w:rsidR="00933710" w:rsidRPr="00DB283A">
              <w:rPr>
                <w:sz w:val="16"/>
                <w:szCs w:val="16"/>
              </w:rPr>
              <w:t>v</w:t>
            </w:r>
            <w:r w:rsidRPr="00DB283A">
              <w:rPr>
                <w:sz w:val="16"/>
                <w:szCs w:val="16"/>
              </w:rPr>
              <w:t>)</w:t>
            </w:r>
          </w:p>
        </w:tc>
        <w:tc>
          <w:tcPr>
            <w:tcW w:w="4252" w:type="dxa"/>
            <w:tcBorders>
              <w:top w:val="single" w:sz="6" w:space="0" w:color="064EA8"/>
              <w:bottom w:val="single" w:sz="6" w:space="0" w:color="064EA8"/>
            </w:tcBorders>
          </w:tcPr>
          <w:p w14:paraId="41189C7F"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Lady Julia Percy Island Wildlife Reserve</w:t>
            </w:r>
          </w:p>
        </w:tc>
        <w:tc>
          <w:tcPr>
            <w:tcW w:w="4252" w:type="dxa"/>
            <w:tcBorders>
              <w:top w:val="single" w:sz="6" w:space="0" w:color="064EA8"/>
              <w:bottom w:val="single" w:sz="6" w:space="0" w:color="064EA8"/>
            </w:tcBorders>
          </w:tcPr>
          <w:p w14:paraId="6838783F"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Narrawong Coastal Reserve</w:t>
            </w:r>
          </w:p>
          <w:p w14:paraId="5969E6FF"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Yambuk Coastal Reserve</w:t>
            </w:r>
          </w:p>
          <w:p w14:paraId="4ECFA3DF"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E</w:t>
            </w:r>
            <w:r w:rsidR="001B7E13" w:rsidRPr="00DB283A">
              <w:rPr>
                <w:sz w:val="16"/>
                <w:szCs w:val="16"/>
              </w:rPr>
              <w:t>u</w:t>
            </w:r>
            <w:r w:rsidRPr="00DB283A">
              <w:rPr>
                <w:sz w:val="16"/>
                <w:szCs w:val="16"/>
              </w:rPr>
              <w:t>merella (Yambuk) Coastal Reserve</w:t>
            </w:r>
          </w:p>
          <w:p w14:paraId="0ECE76AF"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Yambuk Flora and Fauna Reserve</w:t>
            </w:r>
          </w:p>
          <w:p w14:paraId="21ABD4CB"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Port Fairy Coastal Reserve</w:t>
            </w:r>
          </w:p>
          <w:p w14:paraId="580F3295" w14:textId="77777777" w:rsidR="00E57756" w:rsidRPr="00DB283A" w:rsidRDefault="00E57756"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Belfast Coastal Reserve</w:t>
            </w:r>
          </w:p>
        </w:tc>
      </w:tr>
      <w:tr w:rsidR="00E57756" w:rsidRPr="00DB283A" w14:paraId="181A2152" w14:textId="77777777" w:rsidTr="00AE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064EA8"/>
              <w:bottom w:val="single" w:sz="6" w:space="0" w:color="064EA8"/>
            </w:tcBorders>
          </w:tcPr>
          <w:p w14:paraId="59A21536" w14:textId="77777777" w:rsidR="00E57756" w:rsidRPr="00DB283A" w:rsidRDefault="00E57756" w:rsidP="00933710">
            <w:pPr>
              <w:pStyle w:val="tabletext"/>
              <w:rPr>
                <w:sz w:val="16"/>
                <w:szCs w:val="16"/>
              </w:rPr>
            </w:pPr>
            <w:r w:rsidRPr="00DB283A">
              <w:rPr>
                <w:sz w:val="16"/>
                <w:szCs w:val="16"/>
              </w:rPr>
              <w:t>18-4(</w:t>
            </w:r>
            <w:r w:rsidR="00933710" w:rsidRPr="00DB283A">
              <w:rPr>
                <w:sz w:val="16"/>
                <w:szCs w:val="16"/>
              </w:rPr>
              <w:t>v</w:t>
            </w:r>
            <w:r w:rsidRPr="00DB283A">
              <w:rPr>
                <w:sz w:val="16"/>
                <w:szCs w:val="16"/>
              </w:rPr>
              <w:t>)</w:t>
            </w:r>
          </w:p>
        </w:tc>
        <w:tc>
          <w:tcPr>
            <w:tcW w:w="4252" w:type="dxa"/>
            <w:tcBorders>
              <w:top w:val="single" w:sz="6" w:space="0" w:color="064EA8"/>
              <w:bottom w:val="single" w:sz="6" w:space="0" w:color="064EA8"/>
            </w:tcBorders>
          </w:tcPr>
          <w:p w14:paraId="3A14AD48"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Merri Marine Sanctu</w:t>
            </w:r>
            <w:r w:rsidR="001B7E13" w:rsidRPr="00DB283A">
              <w:rPr>
                <w:sz w:val="16"/>
                <w:szCs w:val="16"/>
              </w:rPr>
              <w:t>a</w:t>
            </w:r>
            <w:r w:rsidRPr="00DB283A">
              <w:rPr>
                <w:sz w:val="16"/>
                <w:szCs w:val="16"/>
              </w:rPr>
              <w:t>ry</w:t>
            </w:r>
          </w:p>
        </w:tc>
        <w:tc>
          <w:tcPr>
            <w:tcW w:w="4252" w:type="dxa"/>
            <w:tcBorders>
              <w:top w:val="single" w:sz="6" w:space="0" w:color="064EA8"/>
              <w:bottom w:val="single" w:sz="6" w:space="0" w:color="064EA8"/>
            </w:tcBorders>
          </w:tcPr>
          <w:p w14:paraId="464875E1"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Belfast Coastal Reserve</w:t>
            </w:r>
          </w:p>
          <w:p w14:paraId="64DF0098"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Mepunga Coastal Reserve</w:t>
            </w:r>
          </w:p>
          <w:p w14:paraId="5A26A879" w14:textId="77777777" w:rsidR="00E57756" w:rsidRPr="00DB283A" w:rsidRDefault="00E57756" w:rsidP="00E57756">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DB283A">
              <w:rPr>
                <w:sz w:val="16"/>
                <w:szCs w:val="16"/>
              </w:rPr>
              <w:t>Bay of Islands Coastal Park</w:t>
            </w:r>
          </w:p>
        </w:tc>
      </w:tr>
      <w:tr w:rsidR="00E57756" w:rsidRPr="00DB283A" w14:paraId="16464D78" w14:textId="77777777" w:rsidTr="00AE51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064EA8"/>
              <w:bottom w:val="single" w:sz="6" w:space="0" w:color="064EA8"/>
            </w:tcBorders>
          </w:tcPr>
          <w:p w14:paraId="3D7D07D4" w14:textId="77777777" w:rsidR="00E57756" w:rsidRPr="00DB283A" w:rsidRDefault="001B7E13" w:rsidP="00933710">
            <w:pPr>
              <w:pStyle w:val="tabletext"/>
              <w:rPr>
                <w:sz w:val="16"/>
                <w:szCs w:val="16"/>
              </w:rPr>
            </w:pPr>
            <w:r w:rsidRPr="00DB283A">
              <w:rPr>
                <w:sz w:val="16"/>
                <w:szCs w:val="16"/>
              </w:rPr>
              <w:t>18-5(</w:t>
            </w:r>
            <w:r w:rsidR="00933710" w:rsidRPr="00DB283A">
              <w:rPr>
                <w:sz w:val="16"/>
                <w:szCs w:val="16"/>
              </w:rPr>
              <w:t>v</w:t>
            </w:r>
            <w:r w:rsidRPr="00DB283A">
              <w:rPr>
                <w:sz w:val="16"/>
                <w:szCs w:val="16"/>
              </w:rPr>
              <w:t>)</w:t>
            </w:r>
          </w:p>
        </w:tc>
        <w:tc>
          <w:tcPr>
            <w:tcW w:w="4252" w:type="dxa"/>
            <w:tcBorders>
              <w:top w:val="single" w:sz="6" w:space="0" w:color="064EA8"/>
              <w:bottom w:val="single" w:sz="6" w:space="0" w:color="064EA8"/>
            </w:tcBorders>
          </w:tcPr>
          <w:p w14:paraId="00A21CF9" w14:textId="77777777" w:rsidR="00E57756" w:rsidRPr="00DB283A" w:rsidRDefault="001B7E13"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 xml:space="preserve">The Arches </w:t>
            </w:r>
            <w:r w:rsidR="0073324E" w:rsidRPr="00DB283A">
              <w:rPr>
                <w:sz w:val="16"/>
                <w:szCs w:val="16"/>
              </w:rPr>
              <w:t>M</w:t>
            </w:r>
            <w:r w:rsidRPr="00DB283A">
              <w:rPr>
                <w:sz w:val="16"/>
                <w:szCs w:val="16"/>
              </w:rPr>
              <w:t>arine Sanctuary</w:t>
            </w:r>
          </w:p>
          <w:p w14:paraId="663E1E79" w14:textId="77777777" w:rsidR="001B7E13" w:rsidRPr="00DB283A" w:rsidRDefault="001B7E13"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Twelve Apostles Marine National Park</w:t>
            </w:r>
          </w:p>
        </w:tc>
        <w:tc>
          <w:tcPr>
            <w:tcW w:w="4252" w:type="dxa"/>
            <w:tcBorders>
              <w:top w:val="single" w:sz="6" w:space="0" w:color="064EA8"/>
              <w:bottom w:val="single" w:sz="6" w:space="0" w:color="064EA8"/>
            </w:tcBorders>
          </w:tcPr>
          <w:p w14:paraId="7823F3A1" w14:textId="77777777" w:rsidR="00E57756" w:rsidRPr="00DB283A" w:rsidRDefault="001B7E13" w:rsidP="00E57756">
            <w:pPr>
              <w:pStyle w:val="tabletext"/>
              <w:cnfStyle w:val="000000010000" w:firstRow="0" w:lastRow="0" w:firstColumn="0" w:lastColumn="0" w:oddVBand="0" w:evenVBand="0" w:oddHBand="0" w:evenHBand="1" w:firstRowFirstColumn="0" w:firstRowLastColumn="0" w:lastRowFirstColumn="0" w:lastRowLastColumn="0"/>
              <w:rPr>
                <w:sz w:val="16"/>
                <w:szCs w:val="16"/>
              </w:rPr>
            </w:pPr>
            <w:r w:rsidRPr="00DB283A">
              <w:rPr>
                <w:sz w:val="16"/>
                <w:szCs w:val="16"/>
              </w:rPr>
              <w:t>Port Campbell National Park</w:t>
            </w:r>
          </w:p>
        </w:tc>
      </w:tr>
    </w:tbl>
    <w:p w14:paraId="653D30D8" w14:textId="77777777" w:rsidR="008E317F" w:rsidRDefault="008E317F" w:rsidP="00E57756">
      <w:pPr>
        <w:pStyle w:val="tabletext"/>
        <w:sectPr w:rsidR="008E317F" w:rsidSect="008E317F">
          <w:pgSz w:w="11901" w:h="16840" w:code="9"/>
          <w:pgMar w:top="907" w:right="1008" w:bottom="1138" w:left="1152" w:header="288" w:footer="283" w:gutter="0"/>
          <w:cols w:space="708"/>
          <w:docGrid w:linePitch="360"/>
        </w:sectPr>
      </w:pPr>
    </w:p>
    <w:p w14:paraId="2216B050" w14:textId="65861E16" w:rsidR="001B7E13" w:rsidRDefault="001B7E13" w:rsidP="00E57756">
      <w:pPr>
        <w:pStyle w:val="tabletext"/>
      </w:pPr>
    </w:p>
    <w:p w14:paraId="75634CFA" w14:textId="77777777" w:rsidR="00637B07" w:rsidRDefault="00D75914" w:rsidP="00637B07">
      <w:pPr>
        <w:pStyle w:val="Heading1"/>
        <w:numPr>
          <w:ilvl w:val="0"/>
          <w:numId w:val="0"/>
        </w:numPr>
        <w:ind w:left="431" w:hanging="431"/>
      </w:pPr>
      <w:bookmarkStart w:id="80" w:name="_Appendix_4__1"/>
      <w:bookmarkStart w:id="81" w:name="_Toc513813364"/>
      <w:bookmarkEnd w:id="80"/>
      <w:r>
        <w:t xml:space="preserve">Appendix </w:t>
      </w:r>
      <w:r w:rsidR="00B535F1">
        <w:t xml:space="preserve">5 </w:t>
      </w:r>
      <w:r w:rsidR="00C83757">
        <w:t>Historic sites</w:t>
      </w:r>
      <w:r w:rsidR="001F7554">
        <w:t xml:space="preserve"> - p</w:t>
      </w:r>
      <w:r w:rsidR="00AE51DB">
        <w:t>rotected shipwrecks</w:t>
      </w:r>
      <w:bookmarkEnd w:id="81"/>
    </w:p>
    <w:tbl>
      <w:tblPr>
        <w:tblStyle w:val="TableGrid2"/>
        <w:tblW w:w="0" w:type="auto"/>
        <w:tblBorders>
          <w:top w:val="none" w:sz="0" w:space="0" w:color="auto"/>
          <w:bottom w:val="single" w:sz="4" w:space="0" w:color="064EA8"/>
          <w:insideH w:val="single" w:sz="4" w:space="0" w:color="064EA8"/>
        </w:tblBorders>
        <w:tblLook w:val="04A0" w:firstRow="1" w:lastRow="0" w:firstColumn="1" w:lastColumn="0" w:noHBand="0" w:noVBand="1"/>
      </w:tblPr>
      <w:tblGrid>
        <w:gridCol w:w="973"/>
        <w:gridCol w:w="856"/>
        <w:gridCol w:w="2929"/>
        <w:gridCol w:w="1689"/>
        <w:gridCol w:w="1689"/>
        <w:gridCol w:w="1126"/>
      </w:tblGrid>
      <w:tr w:rsidR="00E10439" w:rsidRPr="00DB283A" w14:paraId="6BAB22B9" w14:textId="77777777" w:rsidTr="00D964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tcBorders>
              <w:top w:val="none" w:sz="0" w:space="0" w:color="auto"/>
              <w:left w:val="none" w:sz="0" w:space="0" w:color="auto"/>
              <w:bottom w:val="none" w:sz="0" w:space="0" w:color="auto"/>
            </w:tcBorders>
            <w:shd w:val="clear" w:color="auto" w:fill="064EA8"/>
            <w:noWrap/>
            <w:hideMark/>
          </w:tcPr>
          <w:p w14:paraId="7D8D0A41" w14:textId="77777777" w:rsidR="00E10439" w:rsidRPr="00DB283A" w:rsidRDefault="00C83757" w:rsidP="00E10439">
            <w:pPr>
              <w:pStyle w:val="tablename"/>
              <w:rPr>
                <w:color w:val="FFFFFF" w:themeColor="background1"/>
                <w:sz w:val="16"/>
                <w:szCs w:val="16"/>
              </w:rPr>
            </w:pPr>
            <w:r w:rsidRPr="00DB283A">
              <w:rPr>
                <w:color w:val="FFFFFF" w:themeColor="background1"/>
                <w:sz w:val="16"/>
                <w:szCs w:val="16"/>
              </w:rPr>
              <w:t xml:space="preserve">Release </w:t>
            </w:r>
            <w:r w:rsidR="00E10439" w:rsidRPr="00DB283A">
              <w:rPr>
                <w:color w:val="FFFFFF" w:themeColor="background1"/>
                <w:sz w:val="16"/>
                <w:szCs w:val="16"/>
              </w:rPr>
              <w:t>Area</w:t>
            </w:r>
          </w:p>
        </w:tc>
        <w:tc>
          <w:tcPr>
            <w:tcW w:w="856" w:type="dxa"/>
            <w:tcBorders>
              <w:top w:val="none" w:sz="0" w:space="0" w:color="auto"/>
              <w:bottom w:val="none" w:sz="0" w:space="0" w:color="auto"/>
            </w:tcBorders>
            <w:shd w:val="clear" w:color="auto" w:fill="064EA8"/>
            <w:noWrap/>
            <w:hideMark/>
          </w:tcPr>
          <w:p w14:paraId="26CF4E22" w14:textId="77777777" w:rsidR="00E10439" w:rsidRPr="00DB283A" w:rsidRDefault="00E10439" w:rsidP="00E10439">
            <w:pPr>
              <w:pStyle w:val="tablename"/>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B283A">
              <w:rPr>
                <w:color w:val="FFFFFF" w:themeColor="background1"/>
                <w:sz w:val="16"/>
                <w:szCs w:val="16"/>
              </w:rPr>
              <w:t>VHR</w:t>
            </w:r>
          </w:p>
        </w:tc>
        <w:tc>
          <w:tcPr>
            <w:tcW w:w="2929" w:type="dxa"/>
            <w:tcBorders>
              <w:top w:val="none" w:sz="0" w:space="0" w:color="auto"/>
              <w:bottom w:val="none" w:sz="0" w:space="0" w:color="auto"/>
            </w:tcBorders>
            <w:shd w:val="clear" w:color="auto" w:fill="064EA8"/>
            <w:noWrap/>
            <w:hideMark/>
          </w:tcPr>
          <w:p w14:paraId="79F54531" w14:textId="77777777" w:rsidR="00E10439" w:rsidRPr="00DB283A" w:rsidRDefault="00E10439" w:rsidP="00E10439">
            <w:pPr>
              <w:pStyle w:val="tablename"/>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B283A">
              <w:rPr>
                <w:color w:val="FFFFFF" w:themeColor="background1"/>
                <w:sz w:val="16"/>
                <w:szCs w:val="16"/>
              </w:rPr>
              <w:t>Shipwreck</w:t>
            </w:r>
          </w:p>
        </w:tc>
        <w:tc>
          <w:tcPr>
            <w:tcW w:w="1689" w:type="dxa"/>
            <w:tcBorders>
              <w:top w:val="none" w:sz="0" w:space="0" w:color="auto"/>
              <w:bottom w:val="none" w:sz="0" w:space="0" w:color="auto"/>
            </w:tcBorders>
            <w:shd w:val="clear" w:color="auto" w:fill="064EA8"/>
            <w:noWrap/>
            <w:hideMark/>
          </w:tcPr>
          <w:p w14:paraId="516C56A5" w14:textId="77777777" w:rsidR="00E10439" w:rsidRPr="00DB283A" w:rsidRDefault="00E10439" w:rsidP="00611DE3">
            <w:pPr>
              <w:pStyle w:val="tablename"/>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B283A">
              <w:rPr>
                <w:color w:val="FFFFFF" w:themeColor="background1"/>
                <w:sz w:val="16"/>
                <w:szCs w:val="16"/>
              </w:rPr>
              <w:t>Latitude</w:t>
            </w:r>
          </w:p>
        </w:tc>
        <w:tc>
          <w:tcPr>
            <w:tcW w:w="1689" w:type="dxa"/>
            <w:tcBorders>
              <w:top w:val="none" w:sz="0" w:space="0" w:color="auto"/>
              <w:bottom w:val="none" w:sz="0" w:space="0" w:color="auto"/>
            </w:tcBorders>
            <w:shd w:val="clear" w:color="auto" w:fill="064EA8"/>
            <w:noWrap/>
            <w:hideMark/>
          </w:tcPr>
          <w:p w14:paraId="4444DCDF" w14:textId="77777777" w:rsidR="00E10439" w:rsidRPr="00DB283A" w:rsidRDefault="00E10439" w:rsidP="00611DE3">
            <w:pPr>
              <w:pStyle w:val="tablename"/>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B283A">
              <w:rPr>
                <w:color w:val="FFFFFF" w:themeColor="background1"/>
                <w:sz w:val="16"/>
                <w:szCs w:val="16"/>
              </w:rPr>
              <w:t>Longitude</w:t>
            </w:r>
          </w:p>
        </w:tc>
        <w:tc>
          <w:tcPr>
            <w:tcW w:w="1126" w:type="dxa"/>
            <w:tcBorders>
              <w:top w:val="none" w:sz="0" w:space="0" w:color="auto"/>
              <w:bottom w:val="none" w:sz="0" w:space="0" w:color="auto"/>
              <w:right w:val="none" w:sz="0" w:space="0" w:color="auto"/>
            </w:tcBorders>
            <w:shd w:val="clear" w:color="auto" w:fill="064EA8"/>
            <w:noWrap/>
            <w:hideMark/>
          </w:tcPr>
          <w:p w14:paraId="20DA2431" w14:textId="77777777" w:rsidR="00E10439" w:rsidRPr="00DB283A" w:rsidRDefault="00C83757" w:rsidP="00611DE3">
            <w:pPr>
              <w:pStyle w:val="tablename"/>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B283A">
              <w:rPr>
                <w:color w:val="FFFFFF" w:themeColor="background1"/>
                <w:sz w:val="16"/>
                <w:szCs w:val="16"/>
              </w:rPr>
              <w:t>D</w:t>
            </w:r>
            <w:r w:rsidR="00E10439" w:rsidRPr="00DB283A">
              <w:rPr>
                <w:color w:val="FFFFFF" w:themeColor="background1"/>
                <w:sz w:val="16"/>
                <w:szCs w:val="16"/>
              </w:rPr>
              <w:t>atum</w:t>
            </w:r>
          </w:p>
        </w:tc>
      </w:tr>
      <w:tr w:rsidR="001B7E13" w:rsidRPr="00DB283A" w14:paraId="606DAE47"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val="restart"/>
            <w:noWrap/>
            <w:hideMark/>
          </w:tcPr>
          <w:p w14:paraId="1F5FF285" w14:textId="77777777" w:rsidR="001B7E13" w:rsidRPr="00DB283A" w:rsidRDefault="001B7E13" w:rsidP="00DB283A">
            <w:pPr>
              <w:pStyle w:val="bodyCopy"/>
              <w:rPr>
                <w:rFonts w:cs="Arial"/>
                <w:sz w:val="16"/>
                <w:szCs w:val="16"/>
              </w:rPr>
            </w:pPr>
            <w:r w:rsidRPr="00DB283A">
              <w:rPr>
                <w:rFonts w:cs="Arial"/>
                <w:sz w:val="16"/>
                <w:szCs w:val="16"/>
              </w:rPr>
              <w:t>18-2(</w:t>
            </w:r>
            <w:r w:rsidR="00933710" w:rsidRPr="00DB283A">
              <w:rPr>
                <w:rFonts w:cs="Arial"/>
                <w:sz w:val="16"/>
                <w:szCs w:val="16"/>
              </w:rPr>
              <w:t>v</w:t>
            </w:r>
            <w:r w:rsidRPr="00DB283A">
              <w:rPr>
                <w:rFonts w:cs="Arial"/>
                <w:sz w:val="16"/>
                <w:szCs w:val="16"/>
              </w:rPr>
              <w:t>)</w:t>
            </w:r>
          </w:p>
          <w:p w14:paraId="3EE78D97" w14:textId="77777777" w:rsidR="001B7E13" w:rsidRPr="00DB283A" w:rsidRDefault="001B7E13" w:rsidP="00DB283A">
            <w:pPr>
              <w:pStyle w:val="bodyCopy"/>
              <w:rPr>
                <w:rFonts w:cs="Arial"/>
                <w:sz w:val="16"/>
                <w:szCs w:val="16"/>
              </w:rPr>
            </w:pPr>
          </w:p>
        </w:tc>
        <w:tc>
          <w:tcPr>
            <w:tcW w:w="856" w:type="dxa"/>
            <w:noWrap/>
            <w:hideMark/>
          </w:tcPr>
          <w:p w14:paraId="542FB950"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S234</w:t>
            </w:r>
          </w:p>
        </w:tc>
        <w:tc>
          <w:tcPr>
            <w:tcW w:w="2929" w:type="dxa"/>
            <w:noWrap/>
            <w:hideMark/>
          </w:tcPr>
          <w:p w14:paraId="45E51BA3"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Emily S</w:t>
            </w:r>
          </w:p>
        </w:tc>
        <w:tc>
          <w:tcPr>
            <w:tcW w:w="1689" w:type="dxa"/>
            <w:noWrap/>
            <w:hideMark/>
          </w:tcPr>
          <w:p w14:paraId="0162136F"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-38.4050</w:t>
            </w:r>
          </w:p>
        </w:tc>
        <w:tc>
          <w:tcPr>
            <w:tcW w:w="1689" w:type="dxa"/>
            <w:noWrap/>
            <w:hideMark/>
          </w:tcPr>
          <w:p w14:paraId="2A904D49"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141.66667</w:t>
            </w:r>
          </w:p>
        </w:tc>
        <w:tc>
          <w:tcPr>
            <w:tcW w:w="1126" w:type="dxa"/>
            <w:noWrap/>
            <w:hideMark/>
          </w:tcPr>
          <w:p w14:paraId="7CF1B9B1"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44EFD53C"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6AC3BC79" w14:textId="77777777" w:rsidR="001B7E13" w:rsidRPr="00DB283A" w:rsidRDefault="001B7E13" w:rsidP="00DB283A">
            <w:pPr>
              <w:pStyle w:val="bodyCopy"/>
              <w:rPr>
                <w:rFonts w:cs="Arial"/>
                <w:sz w:val="16"/>
                <w:szCs w:val="16"/>
              </w:rPr>
            </w:pPr>
          </w:p>
        </w:tc>
        <w:tc>
          <w:tcPr>
            <w:tcW w:w="856" w:type="dxa"/>
            <w:noWrap/>
            <w:hideMark/>
          </w:tcPr>
          <w:p w14:paraId="72225043"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S342</w:t>
            </w:r>
          </w:p>
        </w:tc>
        <w:tc>
          <w:tcPr>
            <w:tcW w:w="2929" w:type="dxa"/>
            <w:noWrap/>
            <w:hideMark/>
          </w:tcPr>
          <w:p w14:paraId="296E002B"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Isabella</w:t>
            </w:r>
          </w:p>
        </w:tc>
        <w:tc>
          <w:tcPr>
            <w:tcW w:w="1689" w:type="dxa"/>
            <w:noWrap/>
            <w:hideMark/>
          </w:tcPr>
          <w:p w14:paraId="7C0945C3"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-38.4262</w:t>
            </w:r>
          </w:p>
        </w:tc>
        <w:tc>
          <w:tcPr>
            <w:tcW w:w="1689" w:type="dxa"/>
            <w:noWrap/>
            <w:hideMark/>
          </w:tcPr>
          <w:p w14:paraId="0AC6495F"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141.558</w:t>
            </w:r>
          </w:p>
        </w:tc>
        <w:tc>
          <w:tcPr>
            <w:tcW w:w="1126" w:type="dxa"/>
            <w:noWrap/>
            <w:hideMark/>
          </w:tcPr>
          <w:p w14:paraId="73F97AFB"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GDA 94</w:t>
            </w:r>
          </w:p>
        </w:tc>
      </w:tr>
      <w:tr w:rsidR="001B7E13" w:rsidRPr="00DB283A" w14:paraId="3AC91FAC"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3FD447EC" w14:textId="77777777" w:rsidR="001B7E13" w:rsidRPr="00DB283A" w:rsidRDefault="001B7E13" w:rsidP="00DB283A">
            <w:pPr>
              <w:pStyle w:val="bodyCopy"/>
              <w:rPr>
                <w:rFonts w:cs="Arial"/>
                <w:sz w:val="16"/>
                <w:szCs w:val="16"/>
              </w:rPr>
            </w:pPr>
          </w:p>
        </w:tc>
        <w:tc>
          <w:tcPr>
            <w:tcW w:w="856" w:type="dxa"/>
            <w:noWrap/>
            <w:hideMark/>
          </w:tcPr>
          <w:p w14:paraId="4DD7FC81"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S429</w:t>
            </w:r>
          </w:p>
        </w:tc>
        <w:tc>
          <w:tcPr>
            <w:tcW w:w="2929" w:type="dxa"/>
            <w:noWrap/>
            <w:hideMark/>
          </w:tcPr>
          <w:p w14:paraId="71FEBD8C"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Lifeboat: Narrawong Beach</w:t>
            </w:r>
          </w:p>
        </w:tc>
        <w:tc>
          <w:tcPr>
            <w:tcW w:w="1689" w:type="dxa"/>
            <w:noWrap/>
            <w:hideMark/>
          </w:tcPr>
          <w:p w14:paraId="54BA9826"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-38.2677</w:t>
            </w:r>
          </w:p>
        </w:tc>
        <w:tc>
          <w:tcPr>
            <w:tcW w:w="1689" w:type="dxa"/>
            <w:noWrap/>
            <w:hideMark/>
          </w:tcPr>
          <w:p w14:paraId="156BC00D"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141.6822035</w:t>
            </w:r>
          </w:p>
        </w:tc>
        <w:tc>
          <w:tcPr>
            <w:tcW w:w="1126" w:type="dxa"/>
            <w:noWrap/>
            <w:hideMark/>
          </w:tcPr>
          <w:p w14:paraId="61B368D2"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4E201DD4"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50D0EC17" w14:textId="77777777" w:rsidR="001B7E13" w:rsidRPr="00DB283A" w:rsidRDefault="001B7E13" w:rsidP="00DB283A">
            <w:pPr>
              <w:pStyle w:val="bodyCopy"/>
              <w:rPr>
                <w:rFonts w:cs="Arial"/>
                <w:sz w:val="16"/>
                <w:szCs w:val="16"/>
              </w:rPr>
            </w:pPr>
          </w:p>
        </w:tc>
        <w:tc>
          <w:tcPr>
            <w:tcW w:w="856" w:type="dxa"/>
            <w:noWrap/>
            <w:hideMark/>
          </w:tcPr>
          <w:p w14:paraId="79FE09B1"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S489</w:t>
            </w:r>
          </w:p>
        </w:tc>
        <w:tc>
          <w:tcPr>
            <w:tcW w:w="2929" w:type="dxa"/>
            <w:noWrap/>
            <w:hideMark/>
          </w:tcPr>
          <w:p w14:paraId="21C6B540"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New Zealander</w:t>
            </w:r>
          </w:p>
        </w:tc>
        <w:tc>
          <w:tcPr>
            <w:tcW w:w="1689" w:type="dxa"/>
            <w:noWrap/>
            <w:hideMark/>
          </w:tcPr>
          <w:p w14:paraId="5F242C18"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-38.3385</w:t>
            </w:r>
          </w:p>
        </w:tc>
        <w:tc>
          <w:tcPr>
            <w:tcW w:w="1689" w:type="dxa"/>
            <w:noWrap/>
            <w:hideMark/>
          </w:tcPr>
          <w:p w14:paraId="09BC7861"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141.6104833</w:t>
            </w:r>
          </w:p>
        </w:tc>
        <w:tc>
          <w:tcPr>
            <w:tcW w:w="1126" w:type="dxa"/>
            <w:noWrap/>
            <w:hideMark/>
          </w:tcPr>
          <w:p w14:paraId="1E62C4AF"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2CA3DAC8"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412526F5" w14:textId="77777777" w:rsidR="001B7E13" w:rsidRPr="00DB283A" w:rsidRDefault="001B7E13" w:rsidP="00DB283A">
            <w:pPr>
              <w:pStyle w:val="bodyCopy"/>
              <w:rPr>
                <w:rFonts w:cs="Arial"/>
                <w:sz w:val="16"/>
                <w:szCs w:val="16"/>
              </w:rPr>
            </w:pPr>
          </w:p>
        </w:tc>
        <w:tc>
          <w:tcPr>
            <w:tcW w:w="856" w:type="dxa"/>
            <w:noWrap/>
            <w:hideMark/>
          </w:tcPr>
          <w:p w14:paraId="49544FC8"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S567</w:t>
            </w:r>
          </w:p>
        </w:tc>
        <w:tc>
          <w:tcPr>
            <w:tcW w:w="2929" w:type="dxa"/>
            <w:noWrap/>
            <w:hideMark/>
          </w:tcPr>
          <w:p w14:paraId="42859023"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Regia</w:t>
            </w:r>
          </w:p>
        </w:tc>
        <w:tc>
          <w:tcPr>
            <w:tcW w:w="1689" w:type="dxa"/>
            <w:noWrap/>
            <w:hideMark/>
          </w:tcPr>
          <w:p w14:paraId="18F75872"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-38.3452</w:t>
            </w:r>
          </w:p>
        </w:tc>
        <w:tc>
          <w:tcPr>
            <w:tcW w:w="1689" w:type="dxa"/>
            <w:noWrap/>
            <w:hideMark/>
          </w:tcPr>
          <w:p w14:paraId="6408DD10"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141.6076667</w:t>
            </w:r>
          </w:p>
        </w:tc>
        <w:tc>
          <w:tcPr>
            <w:tcW w:w="1126" w:type="dxa"/>
            <w:noWrap/>
            <w:hideMark/>
          </w:tcPr>
          <w:p w14:paraId="43158BE0"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2324D73E"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250CEC4C" w14:textId="77777777" w:rsidR="001B7E13" w:rsidRPr="00DB283A" w:rsidRDefault="001B7E13" w:rsidP="00DB283A">
            <w:pPr>
              <w:pStyle w:val="bodyCopy"/>
              <w:rPr>
                <w:rFonts w:cs="Arial"/>
                <w:sz w:val="16"/>
                <w:szCs w:val="16"/>
              </w:rPr>
            </w:pPr>
          </w:p>
        </w:tc>
        <w:tc>
          <w:tcPr>
            <w:tcW w:w="856" w:type="dxa"/>
            <w:noWrap/>
            <w:hideMark/>
          </w:tcPr>
          <w:p w14:paraId="7BD1D794"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S69</w:t>
            </w:r>
          </w:p>
        </w:tc>
        <w:tc>
          <w:tcPr>
            <w:tcW w:w="2929" w:type="dxa"/>
            <w:noWrap/>
            <w:hideMark/>
          </w:tcPr>
          <w:p w14:paraId="3C483CE8"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SS Barwon</w:t>
            </w:r>
          </w:p>
        </w:tc>
        <w:tc>
          <w:tcPr>
            <w:tcW w:w="1689" w:type="dxa"/>
            <w:noWrap/>
            <w:hideMark/>
          </w:tcPr>
          <w:p w14:paraId="3A5558BD"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-38.3917</w:t>
            </w:r>
          </w:p>
        </w:tc>
        <w:tc>
          <w:tcPr>
            <w:tcW w:w="1689" w:type="dxa"/>
            <w:noWrap/>
            <w:hideMark/>
          </w:tcPr>
          <w:p w14:paraId="773A16EF"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141.4083333</w:t>
            </w:r>
          </w:p>
        </w:tc>
        <w:tc>
          <w:tcPr>
            <w:tcW w:w="1126" w:type="dxa"/>
            <w:noWrap/>
            <w:hideMark/>
          </w:tcPr>
          <w:p w14:paraId="0A8ECB95"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4D56420D"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57621D45" w14:textId="77777777" w:rsidR="001B7E13" w:rsidRPr="00DB283A" w:rsidRDefault="001B7E13" w:rsidP="00DB283A">
            <w:pPr>
              <w:pStyle w:val="bodyCopy"/>
              <w:rPr>
                <w:rFonts w:cs="Arial"/>
                <w:sz w:val="16"/>
                <w:szCs w:val="16"/>
              </w:rPr>
            </w:pPr>
          </w:p>
        </w:tc>
        <w:tc>
          <w:tcPr>
            <w:tcW w:w="856" w:type="dxa"/>
            <w:noWrap/>
            <w:hideMark/>
          </w:tcPr>
          <w:p w14:paraId="6A09BF4C"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S760</w:t>
            </w:r>
          </w:p>
        </w:tc>
        <w:tc>
          <w:tcPr>
            <w:tcW w:w="2929" w:type="dxa"/>
            <w:noWrap/>
            <w:hideMark/>
          </w:tcPr>
          <w:p w14:paraId="12FCC1A5"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Unidentified: Tyrendarra.</w:t>
            </w:r>
          </w:p>
        </w:tc>
        <w:tc>
          <w:tcPr>
            <w:tcW w:w="1689" w:type="dxa"/>
            <w:noWrap/>
            <w:hideMark/>
          </w:tcPr>
          <w:p w14:paraId="059D9429"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-38.2667</w:t>
            </w:r>
          </w:p>
        </w:tc>
        <w:tc>
          <w:tcPr>
            <w:tcW w:w="1689" w:type="dxa"/>
            <w:noWrap/>
            <w:hideMark/>
          </w:tcPr>
          <w:p w14:paraId="0949ABBC"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141.805</w:t>
            </w:r>
          </w:p>
        </w:tc>
        <w:tc>
          <w:tcPr>
            <w:tcW w:w="1126" w:type="dxa"/>
            <w:noWrap/>
            <w:hideMark/>
          </w:tcPr>
          <w:p w14:paraId="6A4DFFAB"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26E99885"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val="restart"/>
            <w:noWrap/>
            <w:hideMark/>
          </w:tcPr>
          <w:p w14:paraId="0130BB07" w14:textId="77777777" w:rsidR="00933710" w:rsidRPr="00DB283A" w:rsidRDefault="00933710" w:rsidP="00DB283A">
            <w:pPr>
              <w:pStyle w:val="bodyCopy"/>
              <w:rPr>
                <w:rFonts w:cs="Arial"/>
                <w:sz w:val="16"/>
                <w:szCs w:val="16"/>
              </w:rPr>
            </w:pPr>
            <w:r w:rsidRPr="00DB283A">
              <w:rPr>
                <w:rFonts w:cs="Arial"/>
                <w:sz w:val="16"/>
                <w:szCs w:val="16"/>
              </w:rPr>
              <w:t>18-3(v)</w:t>
            </w:r>
          </w:p>
          <w:p w14:paraId="4583A7E7" w14:textId="77777777" w:rsidR="00933710" w:rsidRPr="00DB283A" w:rsidRDefault="00933710" w:rsidP="00DB283A">
            <w:pPr>
              <w:pStyle w:val="bodyCopy"/>
              <w:rPr>
                <w:rFonts w:cs="Arial"/>
                <w:sz w:val="16"/>
                <w:szCs w:val="16"/>
              </w:rPr>
            </w:pPr>
          </w:p>
        </w:tc>
        <w:tc>
          <w:tcPr>
            <w:tcW w:w="856" w:type="dxa"/>
            <w:noWrap/>
            <w:hideMark/>
          </w:tcPr>
          <w:p w14:paraId="66CD10C6"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S67</w:t>
            </w:r>
          </w:p>
        </w:tc>
        <w:tc>
          <w:tcPr>
            <w:tcW w:w="2929" w:type="dxa"/>
            <w:noWrap/>
            <w:hideMark/>
          </w:tcPr>
          <w:p w14:paraId="640968A6"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Balmoral</w:t>
            </w:r>
          </w:p>
        </w:tc>
        <w:tc>
          <w:tcPr>
            <w:tcW w:w="1689" w:type="dxa"/>
            <w:noWrap/>
            <w:hideMark/>
          </w:tcPr>
          <w:p w14:paraId="580097A6"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-38.3749</w:t>
            </w:r>
          </w:p>
        </w:tc>
        <w:tc>
          <w:tcPr>
            <w:tcW w:w="1689" w:type="dxa"/>
            <w:noWrap/>
            <w:hideMark/>
          </w:tcPr>
          <w:p w14:paraId="29C69200"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142.248</w:t>
            </w:r>
          </w:p>
        </w:tc>
        <w:tc>
          <w:tcPr>
            <w:tcW w:w="1126" w:type="dxa"/>
            <w:noWrap/>
            <w:hideMark/>
          </w:tcPr>
          <w:p w14:paraId="41DBC38C"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1BEA93C7"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6A8CE4CE" w14:textId="77777777" w:rsidR="00933710" w:rsidRPr="00DB283A" w:rsidRDefault="00933710" w:rsidP="00DB283A">
            <w:pPr>
              <w:pStyle w:val="bodyCopy"/>
              <w:rPr>
                <w:rFonts w:cs="Arial"/>
                <w:sz w:val="16"/>
                <w:szCs w:val="16"/>
              </w:rPr>
            </w:pPr>
          </w:p>
        </w:tc>
        <w:tc>
          <w:tcPr>
            <w:tcW w:w="856" w:type="dxa"/>
            <w:noWrap/>
            <w:hideMark/>
          </w:tcPr>
          <w:p w14:paraId="3A329F68"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S172</w:t>
            </w:r>
          </w:p>
        </w:tc>
        <w:tc>
          <w:tcPr>
            <w:tcW w:w="2929" w:type="dxa"/>
            <w:noWrap/>
            <w:hideMark/>
          </w:tcPr>
          <w:p w14:paraId="431A3A30"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Diana</w:t>
            </w:r>
          </w:p>
        </w:tc>
        <w:tc>
          <w:tcPr>
            <w:tcW w:w="1689" w:type="dxa"/>
            <w:noWrap/>
            <w:hideMark/>
          </w:tcPr>
          <w:p w14:paraId="6037225F"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-38.3646</w:t>
            </w:r>
          </w:p>
        </w:tc>
        <w:tc>
          <w:tcPr>
            <w:tcW w:w="1689" w:type="dxa"/>
            <w:noWrap/>
            <w:hideMark/>
          </w:tcPr>
          <w:p w14:paraId="3E2E75AC"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142.2636</w:t>
            </w:r>
          </w:p>
        </w:tc>
        <w:tc>
          <w:tcPr>
            <w:tcW w:w="1126" w:type="dxa"/>
            <w:noWrap/>
            <w:hideMark/>
          </w:tcPr>
          <w:p w14:paraId="17651530"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30D45660"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1133FBC2" w14:textId="77777777" w:rsidR="00933710" w:rsidRPr="00DB283A" w:rsidRDefault="00933710" w:rsidP="00DB283A">
            <w:pPr>
              <w:pStyle w:val="bodyCopy"/>
              <w:rPr>
                <w:rFonts w:cs="Arial"/>
                <w:sz w:val="16"/>
                <w:szCs w:val="16"/>
              </w:rPr>
            </w:pPr>
          </w:p>
        </w:tc>
        <w:tc>
          <w:tcPr>
            <w:tcW w:w="856" w:type="dxa"/>
            <w:noWrap/>
            <w:hideMark/>
          </w:tcPr>
          <w:p w14:paraId="124DF960"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S240</w:t>
            </w:r>
          </w:p>
        </w:tc>
        <w:tc>
          <w:tcPr>
            <w:tcW w:w="2929" w:type="dxa"/>
            <w:noWrap/>
            <w:hideMark/>
          </w:tcPr>
          <w:p w14:paraId="54649EAE"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Essington</w:t>
            </w:r>
          </w:p>
        </w:tc>
        <w:tc>
          <w:tcPr>
            <w:tcW w:w="1689" w:type="dxa"/>
            <w:noWrap/>
            <w:hideMark/>
          </w:tcPr>
          <w:p w14:paraId="33286C01"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-38.3854</w:t>
            </w:r>
          </w:p>
        </w:tc>
        <w:tc>
          <w:tcPr>
            <w:tcW w:w="1689" w:type="dxa"/>
            <w:noWrap/>
            <w:hideMark/>
          </w:tcPr>
          <w:p w14:paraId="30C42055"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142.2449167</w:t>
            </w:r>
          </w:p>
        </w:tc>
        <w:tc>
          <w:tcPr>
            <w:tcW w:w="1126" w:type="dxa"/>
            <w:noWrap/>
            <w:hideMark/>
          </w:tcPr>
          <w:p w14:paraId="6F1918AB"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0F270D27"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5D027D43" w14:textId="77777777" w:rsidR="00933710" w:rsidRPr="00DB283A" w:rsidRDefault="00933710" w:rsidP="00DB283A">
            <w:pPr>
              <w:pStyle w:val="bodyCopy"/>
              <w:rPr>
                <w:rFonts w:cs="Arial"/>
                <w:sz w:val="16"/>
                <w:szCs w:val="16"/>
              </w:rPr>
            </w:pPr>
          </w:p>
        </w:tc>
        <w:tc>
          <w:tcPr>
            <w:tcW w:w="856" w:type="dxa"/>
            <w:noWrap/>
            <w:hideMark/>
          </w:tcPr>
          <w:p w14:paraId="438C4BC1"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S405</w:t>
            </w:r>
          </w:p>
        </w:tc>
        <w:tc>
          <w:tcPr>
            <w:tcW w:w="2929" w:type="dxa"/>
            <w:noWrap/>
            <w:hideMark/>
          </w:tcPr>
          <w:p w14:paraId="784311D6"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Lady Mary Pelham</w:t>
            </w:r>
          </w:p>
        </w:tc>
        <w:tc>
          <w:tcPr>
            <w:tcW w:w="1689" w:type="dxa"/>
            <w:noWrap/>
            <w:hideMark/>
          </w:tcPr>
          <w:p w14:paraId="40104012"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-38.3821</w:t>
            </w:r>
          </w:p>
        </w:tc>
        <w:tc>
          <w:tcPr>
            <w:tcW w:w="1689" w:type="dxa"/>
            <w:noWrap/>
            <w:hideMark/>
          </w:tcPr>
          <w:p w14:paraId="4A76B9CC"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142.2499753</w:t>
            </w:r>
          </w:p>
        </w:tc>
        <w:tc>
          <w:tcPr>
            <w:tcW w:w="1126" w:type="dxa"/>
            <w:noWrap/>
            <w:hideMark/>
          </w:tcPr>
          <w:p w14:paraId="47C296FC"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6EBD0C07"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68304F35" w14:textId="77777777" w:rsidR="00933710" w:rsidRPr="00DB283A" w:rsidRDefault="00933710" w:rsidP="00DB283A">
            <w:pPr>
              <w:pStyle w:val="bodyCopy"/>
              <w:rPr>
                <w:rFonts w:cs="Arial"/>
                <w:sz w:val="16"/>
                <w:szCs w:val="16"/>
              </w:rPr>
            </w:pPr>
          </w:p>
        </w:tc>
        <w:tc>
          <w:tcPr>
            <w:tcW w:w="856" w:type="dxa"/>
            <w:noWrap/>
            <w:hideMark/>
          </w:tcPr>
          <w:p w14:paraId="205B8D61"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S422</w:t>
            </w:r>
          </w:p>
        </w:tc>
        <w:tc>
          <w:tcPr>
            <w:tcW w:w="2929" w:type="dxa"/>
            <w:noWrap/>
            <w:hideMark/>
          </w:tcPr>
          <w:p w14:paraId="734B9601"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Lydia</w:t>
            </w:r>
          </w:p>
        </w:tc>
        <w:tc>
          <w:tcPr>
            <w:tcW w:w="1689" w:type="dxa"/>
            <w:noWrap/>
            <w:hideMark/>
          </w:tcPr>
          <w:p w14:paraId="35C6A76A"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-38.3822</w:t>
            </w:r>
          </w:p>
        </w:tc>
        <w:tc>
          <w:tcPr>
            <w:tcW w:w="1689" w:type="dxa"/>
            <w:noWrap/>
            <w:hideMark/>
          </w:tcPr>
          <w:p w14:paraId="21115B83"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142.2447222</w:t>
            </w:r>
          </w:p>
        </w:tc>
        <w:tc>
          <w:tcPr>
            <w:tcW w:w="1126" w:type="dxa"/>
            <w:noWrap/>
            <w:hideMark/>
          </w:tcPr>
          <w:p w14:paraId="31F06770"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51910020"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tcPr>
          <w:p w14:paraId="6583484D" w14:textId="77777777" w:rsidR="00933710" w:rsidRPr="00DB283A" w:rsidRDefault="00933710" w:rsidP="00DB283A">
            <w:pPr>
              <w:pStyle w:val="bodyCopy"/>
              <w:rPr>
                <w:rFonts w:cs="Arial"/>
                <w:sz w:val="16"/>
                <w:szCs w:val="16"/>
              </w:rPr>
            </w:pPr>
          </w:p>
        </w:tc>
        <w:tc>
          <w:tcPr>
            <w:tcW w:w="856" w:type="dxa"/>
            <w:noWrap/>
            <w:hideMark/>
          </w:tcPr>
          <w:p w14:paraId="78799134"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S882</w:t>
            </w:r>
          </w:p>
        </w:tc>
        <w:tc>
          <w:tcPr>
            <w:tcW w:w="2929" w:type="dxa"/>
            <w:noWrap/>
            <w:hideMark/>
          </w:tcPr>
          <w:p w14:paraId="6AC472EC"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Port Fairy Unid Site B</w:t>
            </w:r>
          </w:p>
        </w:tc>
        <w:tc>
          <w:tcPr>
            <w:tcW w:w="1689" w:type="dxa"/>
            <w:noWrap/>
            <w:hideMark/>
          </w:tcPr>
          <w:p w14:paraId="0D79AB78"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-38.3825</w:t>
            </w:r>
          </w:p>
        </w:tc>
        <w:tc>
          <w:tcPr>
            <w:tcW w:w="1689" w:type="dxa"/>
            <w:noWrap/>
            <w:hideMark/>
          </w:tcPr>
          <w:p w14:paraId="0FB3C515"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142.2433333</w:t>
            </w:r>
          </w:p>
        </w:tc>
        <w:tc>
          <w:tcPr>
            <w:tcW w:w="1126" w:type="dxa"/>
            <w:noWrap/>
            <w:hideMark/>
          </w:tcPr>
          <w:p w14:paraId="7E9C69BA"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31978A92"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42BEB9B2" w14:textId="77777777" w:rsidR="00933710" w:rsidRPr="00DB283A" w:rsidRDefault="00933710" w:rsidP="00DB283A">
            <w:pPr>
              <w:pStyle w:val="bodyCopy"/>
              <w:rPr>
                <w:rFonts w:cs="Arial"/>
                <w:sz w:val="16"/>
                <w:szCs w:val="16"/>
              </w:rPr>
            </w:pPr>
          </w:p>
        </w:tc>
        <w:tc>
          <w:tcPr>
            <w:tcW w:w="856" w:type="dxa"/>
            <w:noWrap/>
            <w:hideMark/>
          </w:tcPr>
          <w:p w14:paraId="29E6B4FC"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S883</w:t>
            </w:r>
          </w:p>
        </w:tc>
        <w:tc>
          <w:tcPr>
            <w:tcW w:w="2929" w:type="dxa"/>
            <w:noWrap/>
            <w:hideMark/>
          </w:tcPr>
          <w:p w14:paraId="12BA00CA"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Port Fairy Unid Site C</w:t>
            </w:r>
          </w:p>
        </w:tc>
        <w:tc>
          <w:tcPr>
            <w:tcW w:w="1689" w:type="dxa"/>
            <w:noWrap/>
            <w:hideMark/>
          </w:tcPr>
          <w:p w14:paraId="04BD05AD"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-38.3731</w:t>
            </w:r>
          </w:p>
        </w:tc>
        <w:tc>
          <w:tcPr>
            <w:tcW w:w="1689" w:type="dxa"/>
            <w:noWrap/>
            <w:hideMark/>
          </w:tcPr>
          <w:p w14:paraId="628F6B7A"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142.2508333</w:t>
            </w:r>
          </w:p>
        </w:tc>
        <w:tc>
          <w:tcPr>
            <w:tcW w:w="1126" w:type="dxa"/>
            <w:noWrap/>
            <w:hideMark/>
          </w:tcPr>
          <w:p w14:paraId="331B18EA"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52910F03"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1DABDA68" w14:textId="77777777" w:rsidR="00933710" w:rsidRPr="00DB283A" w:rsidRDefault="00933710" w:rsidP="00DB283A">
            <w:pPr>
              <w:pStyle w:val="bodyCopy"/>
              <w:rPr>
                <w:rFonts w:cs="Arial"/>
                <w:sz w:val="16"/>
                <w:szCs w:val="16"/>
              </w:rPr>
            </w:pPr>
          </w:p>
        </w:tc>
        <w:tc>
          <w:tcPr>
            <w:tcW w:w="856" w:type="dxa"/>
            <w:noWrap/>
            <w:hideMark/>
          </w:tcPr>
          <w:p w14:paraId="64E699AD"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S884</w:t>
            </w:r>
          </w:p>
        </w:tc>
        <w:tc>
          <w:tcPr>
            <w:tcW w:w="2929" w:type="dxa"/>
            <w:noWrap/>
            <w:hideMark/>
          </w:tcPr>
          <w:p w14:paraId="7DA27023"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Port Fairy Unid Site D</w:t>
            </w:r>
          </w:p>
        </w:tc>
        <w:tc>
          <w:tcPr>
            <w:tcW w:w="1689" w:type="dxa"/>
            <w:noWrap/>
            <w:hideMark/>
          </w:tcPr>
          <w:p w14:paraId="5BB4FD4D"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-38.3767</w:t>
            </w:r>
          </w:p>
        </w:tc>
        <w:tc>
          <w:tcPr>
            <w:tcW w:w="1689" w:type="dxa"/>
            <w:noWrap/>
            <w:hideMark/>
          </w:tcPr>
          <w:p w14:paraId="49666649"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142.2469444</w:t>
            </w:r>
          </w:p>
        </w:tc>
        <w:tc>
          <w:tcPr>
            <w:tcW w:w="1126" w:type="dxa"/>
            <w:noWrap/>
            <w:hideMark/>
          </w:tcPr>
          <w:p w14:paraId="786EED43"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169DA809"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21F9C0AE" w14:textId="77777777" w:rsidR="00933710" w:rsidRPr="00DB283A" w:rsidRDefault="00933710" w:rsidP="00DB283A">
            <w:pPr>
              <w:pStyle w:val="bodyCopy"/>
              <w:rPr>
                <w:rFonts w:cs="Arial"/>
                <w:sz w:val="16"/>
                <w:szCs w:val="16"/>
              </w:rPr>
            </w:pPr>
          </w:p>
        </w:tc>
        <w:tc>
          <w:tcPr>
            <w:tcW w:w="856" w:type="dxa"/>
            <w:noWrap/>
            <w:hideMark/>
          </w:tcPr>
          <w:p w14:paraId="05619DD8"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S621</w:t>
            </w:r>
          </w:p>
        </w:tc>
        <w:tc>
          <w:tcPr>
            <w:tcW w:w="2929" w:type="dxa"/>
            <w:noWrap/>
            <w:hideMark/>
          </w:tcPr>
          <w:p w14:paraId="0CF117A7"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Sir John Byng</w:t>
            </w:r>
          </w:p>
        </w:tc>
        <w:tc>
          <w:tcPr>
            <w:tcW w:w="1689" w:type="dxa"/>
            <w:noWrap/>
            <w:hideMark/>
          </w:tcPr>
          <w:p w14:paraId="18250D47"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-38.3741</w:t>
            </w:r>
          </w:p>
        </w:tc>
        <w:tc>
          <w:tcPr>
            <w:tcW w:w="1689" w:type="dxa"/>
            <w:noWrap/>
            <w:hideMark/>
          </w:tcPr>
          <w:p w14:paraId="607B2BB1"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142.251084</w:t>
            </w:r>
          </w:p>
        </w:tc>
        <w:tc>
          <w:tcPr>
            <w:tcW w:w="1126" w:type="dxa"/>
            <w:noWrap/>
            <w:hideMark/>
          </w:tcPr>
          <w:p w14:paraId="70480967"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5EEB3464"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39441F3C" w14:textId="77777777" w:rsidR="00933710" w:rsidRPr="00DB283A" w:rsidRDefault="00933710" w:rsidP="00DB283A">
            <w:pPr>
              <w:pStyle w:val="bodyCopy"/>
              <w:rPr>
                <w:rFonts w:cs="Arial"/>
                <w:sz w:val="16"/>
                <w:szCs w:val="16"/>
              </w:rPr>
            </w:pPr>
          </w:p>
        </w:tc>
        <w:tc>
          <w:tcPr>
            <w:tcW w:w="856" w:type="dxa"/>
            <w:noWrap/>
            <w:hideMark/>
          </w:tcPr>
          <w:p w14:paraId="056F22F5"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S623</w:t>
            </w:r>
          </w:p>
        </w:tc>
        <w:tc>
          <w:tcPr>
            <w:tcW w:w="2929" w:type="dxa"/>
            <w:noWrap/>
            <w:hideMark/>
          </w:tcPr>
          <w:p w14:paraId="139CC289"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Socrates</w:t>
            </w:r>
          </w:p>
        </w:tc>
        <w:tc>
          <w:tcPr>
            <w:tcW w:w="1689" w:type="dxa"/>
            <w:noWrap/>
            <w:hideMark/>
          </w:tcPr>
          <w:p w14:paraId="7FDFB7B7"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-38.3805</w:t>
            </w:r>
          </w:p>
        </w:tc>
        <w:tc>
          <w:tcPr>
            <w:tcW w:w="1689" w:type="dxa"/>
            <w:noWrap/>
            <w:hideMark/>
          </w:tcPr>
          <w:p w14:paraId="4497DF4A"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142.24455</w:t>
            </w:r>
          </w:p>
        </w:tc>
        <w:tc>
          <w:tcPr>
            <w:tcW w:w="1126" w:type="dxa"/>
            <w:noWrap/>
            <w:hideMark/>
          </w:tcPr>
          <w:p w14:paraId="115E04CF"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68CD7B07"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0045CD34" w14:textId="77777777" w:rsidR="00933710" w:rsidRPr="00DB283A" w:rsidRDefault="00933710" w:rsidP="00DB283A">
            <w:pPr>
              <w:pStyle w:val="bodyCopy"/>
              <w:rPr>
                <w:rFonts w:cs="Arial"/>
                <w:sz w:val="16"/>
                <w:szCs w:val="16"/>
              </w:rPr>
            </w:pPr>
          </w:p>
        </w:tc>
        <w:tc>
          <w:tcPr>
            <w:tcW w:w="856" w:type="dxa"/>
            <w:noWrap/>
            <w:hideMark/>
          </w:tcPr>
          <w:p w14:paraId="10DDF473"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S609</w:t>
            </w:r>
          </w:p>
        </w:tc>
        <w:tc>
          <w:tcPr>
            <w:tcW w:w="2929" w:type="dxa"/>
            <w:noWrap/>
            <w:hideMark/>
          </w:tcPr>
          <w:p w14:paraId="2DF787DE"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Thistle</w:t>
            </w:r>
          </w:p>
        </w:tc>
        <w:tc>
          <w:tcPr>
            <w:tcW w:w="1689" w:type="dxa"/>
            <w:noWrap/>
            <w:hideMark/>
          </w:tcPr>
          <w:p w14:paraId="0C241850"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-38.3842</w:t>
            </w:r>
          </w:p>
        </w:tc>
        <w:tc>
          <w:tcPr>
            <w:tcW w:w="1689" w:type="dxa"/>
            <w:noWrap/>
            <w:hideMark/>
          </w:tcPr>
          <w:p w14:paraId="5FC577BF"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142.243623</w:t>
            </w:r>
          </w:p>
        </w:tc>
        <w:tc>
          <w:tcPr>
            <w:tcW w:w="1126" w:type="dxa"/>
            <w:noWrap/>
            <w:hideMark/>
          </w:tcPr>
          <w:p w14:paraId="358FCD8D" w14:textId="77777777" w:rsidR="00933710" w:rsidRPr="00DB283A" w:rsidRDefault="00933710"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933710" w:rsidRPr="00DB283A" w14:paraId="380540C8"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2DF5AF75" w14:textId="77777777" w:rsidR="00933710" w:rsidRPr="00DB283A" w:rsidRDefault="00933710" w:rsidP="00DB283A">
            <w:pPr>
              <w:pStyle w:val="bodyCopy"/>
              <w:rPr>
                <w:rFonts w:cs="Arial"/>
                <w:sz w:val="16"/>
                <w:szCs w:val="16"/>
              </w:rPr>
            </w:pPr>
          </w:p>
        </w:tc>
        <w:tc>
          <w:tcPr>
            <w:tcW w:w="856" w:type="dxa"/>
            <w:noWrap/>
            <w:hideMark/>
          </w:tcPr>
          <w:p w14:paraId="4558F545"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S764</w:t>
            </w:r>
          </w:p>
        </w:tc>
        <w:tc>
          <w:tcPr>
            <w:tcW w:w="2929" w:type="dxa"/>
            <w:noWrap/>
            <w:hideMark/>
          </w:tcPr>
          <w:p w14:paraId="00C622C6"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Unidentified: Killarney Beach.</w:t>
            </w:r>
          </w:p>
        </w:tc>
        <w:tc>
          <w:tcPr>
            <w:tcW w:w="1689" w:type="dxa"/>
            <w:noWrap/>
            <w:hideMark/>
          </w:tcPr>
          <w:p w14:paraId="4C30BD14"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-38.3589</w:t>
            </w:r>
          </w:p>
        </w:tc>
        <w:tc>
          <w:tcPr>
            <w:tcW w:w="1689" w:type="dxa"/>
            <w:noWrap/>
            <w:hideMark/>
          </w:tcPr>
          <w:p w14:paraId="04D2761F"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142.3</w:t>
            </w:r>
          </w:p>
        </w:tc>
        <w:tc>
          <w:tcPr>
            <w:tcW w:w="1126" w:type="dxa"/>
            <w:noWrap/>
            <w:hideMark/>
          </w:tcPr>
          <w:p w14:paraId="190A37A4" w14:textId="77777777" w:rsidR="00933710" w:rsidRPr="00DB283A" w:rsidRDefault="00933710"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2DB5043D"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val="restart"/>
            <w:noWrap/>
            <w:hideMark/>
          </w:tcPr>
          <w:p w14:paraId="3C9306F5" w14:textId="77777777" w:rsidR="001B7E13" w:rsidRPr="00DB283A" w:rsidRDefault="001B7E13" w:rsidP="00DB283A">
            <w:pPr>
              <w:pStyle w:val="bodyCopy"/>
              <w:rPr>
                <w:rFonts w:cs="Arial"/>
                <w:sz w:val="16"/>
                <w:szCs w:val="16"/>
              </w:rPr>
            </w:pPr>
            <w:r w:rsidRPr="00DB283A">
              <w:rPr>
                <w:rFonts w:cs="Arial"/>
                <w:sz w:val="16"/>
                <w:szCs w:val="16"/>
              </w:rPr>
              <w:t>18-4(</w:t>
            </w:r>
            <w:r w:rsidR="00933710" w:rsidRPr="00DB283A">
              <w:rPr>
                <w:rFonts w:cs="Arial"/>
                <w:sz w:val="16"/>
                <w:szCs w:val="16"/>
              </w:rPr>
              <w:t>v</w:t>
            </w:r>
            <w:r w:rsidRPr="00DB283A">
              <w:rPr>
                <w:rFonts w:cs="Arial"/>
                <w:sz w:val="16"/>
                <w:szCs w:val="16"/>
              </w:rPr>
              <w:t>)</w:t>
            </w:r>
          </w:p>
          <w:p w14:paraId="6F7EB7B9" w14:textId="77777777" w:rsidR="001B7E13" w:rsidRPr="00DB283A" w:rsidRDefault="001B7E13" w:rsidP="00DB283A">
            <w:pPr>
              <w:pStyle w:val="bodyCopy"/>
              <w:rPr>
                <w:rFonts w:cs="Arial"/>
                <w:sz w:val="16"/>
                <w:szCs w:val="16"/>
              </w:rPr>
            </w:pPr>
          </w:p>
        </w:tc>
        <w:tc>
          <w:tcPr>
            <w:tcW w:w="856" w:type="dxa"/>
            <w:noWrap/>
            <w:hideMark/>
          </w:tcPr>
          <w:p w14:paraId="6B5B226D"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S34</w:t>
            </w:r>
          </w:p>
        </w:tc>
        <w:tc>
          <w:tcPr>
            <w:tcW w:w="2929" w:type="dxa"/>
            <w:noWrap/>
            <w:hideMark/>
          </w:tcPr>
          <w:p w14:paraId="224490EF"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Antares</w:t>
            </w:r>
          </w:p>
        </w:tc>
        <w:tc>
          <w:tcPr>
            <w:tcW w:w="1689" w:type="dxa"/>
            <w:noWrap/>
            <w:hideMark/>
          </w:tcPr>
          <w:p w14:paraId="3B78D281"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-38.5569</w:t>
            </w:r>
          </w:p>
        </w:tc>
        <w:tc>
          <w:tcPr>
            <w:tcW w:w="1689" w:type="dxa"/>
            <w:noWrap/>
            <w:hideMark/>
          </w:tcPr>
          <w:p w14:paraId="253062C0"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142.7638855</w:t>
            </w:r>
          </w:p>
        </w:tc>
        <w:tc>
          <w:tcPr>
            <w:tcW w:w="1126" w:type="dxa"/>
            <w:noWrap/>
            <w:hideMark/>
          </w:tcPr>
          <w:p w14:paraId="4C4928F4"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5EA1FD24"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14706BB5" w14:textId="77777777" w:rsidR="001B7E13" w:rsidRPr="00DB283A" w:rsidRDefault="001B7E13" w:rsidP="00DB283A">
            <w:pPr>
              <w:pStyle w:val="bodyCopy"/>
              <w:rPr>
                <w:rFonts w:cs="Arial"/>
                <w:sz w:val="16"/>
                <w:szCs w:val="16"/>
              </w:rPr>
            </w:pPr>
          </w:p>
        </w:tc>
        <w:tc>
          <w:tcPr>
            <w:tcW w:w="856" w:type="dxa"/>
            <w:noWrap/>
            <w:hideMark/>
          </w:tcPr>
          <w:p w14:paraId="37E0C689"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S208</w:t>
            </w:r>
          </w:p>
        </w:tc>
        <w:tc>
          <w:tcPr>
            <w:tcW w:w="2929" w:type="dxa"/>
            <w:noWrap/>
            <w:hideMark/>
          </w:tcPr>
          <w:p w14:paraId="452D500F"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Edinburgh Castle</w:t>
            </w:r>
          </w:p>
        </w:tc>
        <w:tc>
          <w:tcPr>
            <w:tcW w:w="1689" w:type="dxa"/>
            <w:noWrap/>
            <w:hideMark/>
          </w:tcPr>
          <w:p w14:paraId="76652491"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-38.4025</w:t>
            </w:r>
          </w:p>
        </w:tc>
        <w:tc>
          <w:tcPr>
            <w:tcW w:w="1689" w:type="dxa"/>
            <w:noWrap/>
            <w:hideMark/>
          </w:tcPr>
          <w:p w14:paraId="2138B5B4"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142.4930</w:t>
            </w:r>
          </w:p>
        </w:tc>
        <w:tc>
          <w:tcPr>
            <w:tcW w:w="1126" w:type="dxa"/>
            <w:noWrap/>
            <w:hideMark/>
          </w:tcPr>
          <w:p w14:paraId="179F8AF1"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4EFC7699"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077933C2" w14:textId="77777777" w:rsidR="001B7E13" w:rsidRPr="00DB283A" w:rsidRDefault="001B7E13" w:rsidP="00DB283A">
            <w:pPr>
              <w:pStyle w:val="bodyCopy"/>
              <w:rPr>
                <w:rFonts w:cs="Arial"/>
                <w:sz w:val="16"/>
                <w:szCs w:val="16"/>
              </w:rPr>
            </w:pPr>
          </w:p>
        </w:tc>
        <w:tc>
          <w:tcPr>
            <w:tcW w:w="856" w:type="dxa"/>
            <w:noWrap/>
            <w:hideMark/>
          </w:tcPr>
          <w:p w14:paraId="4FC35F9C"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S267</w:t>
            </w:r>
          </w:p>
        </w:tc>
        <w:tc>
          <w:tcPr>
            <w:tcW w:w="2929" w:type="dxa"/>
            <w:noWrap/>
            <w:hideMark/>
          </w:tcPr>
          <w:p w14:paraId="1537BE1D"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Free Trader</w:t>
            </w:r>
          </w:p>
        </w:tc>
        <w:tc>
          <w:tcPr>
            <w:tcW w:w="1689" w:type="dxa"/>
            <w:noWrap/>
            <w:hideMark/>
          </w:tcPr>
          <w:p w14:paraId="16851B3B"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-38.3936</w:t>
            </w:r>
          </w:p>
        </w:tc>
        <w:tc>
          <w:tcPr>
            <w:tcW w:w="1689" w:type="dxa"/>
            <w:noWrap/>
            <w:hideMark/>
          </w:tcPr>
          <w:p w14:paraId="0B725EDC"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142.484184</w:t>
            </w:r>
          </w:p>
        </w:tc>
        <w:tc>
          <w:tcPr>
            <w:tcW w:w="1126" w:type="dxa"/>
            <w:noWrap/>
            <w:hideMark/>
          </w:tcPr>
          <w:p w14:paraId="3DADC8C8"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15C44AD3" w14:textId="77777777" w:rsidTr="00D96407">
        <w:trPr>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465EB289" w14:textId="77777777" w:rsidR="001B7E13" w:rsidRPr="00DB283A" w:rsidRDefault="001B7E13" w:rsidP="00DB283A">
            <w:pPr>
              <w:pStyle w:val="bodyCopy"/>
              <w:rPr>
                <w:rFonts w:cs="Arial"/>
                <w:sz w:val="16"/>
                <w:szCs w:val="16"/>
              </w:rPr>
            </w:pPr>
          </w:p>
        </w:tc>
        <w:tc>
          <w:tcPr>
            <w:tcW w:w="856" w:type="dxa"/>
            <w:noWrap/>
            <w:hideMark/>
          </w:tcPr>
          <w:p w14:paraId="39F3FB46"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S401</w:t>
            </w:r>
          </w:p>
        </w:tc>
        <w:tc>
          <w:tcPr>
            <w:tcW w:w="2929" w:type="dxa"/>
            <w:noWrap/>
            <w:hideMark/>
          </w:tcPr>
          <w:p w14:paraId="5FFB8D89"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La Bella</w:t>
            </w:r>
          </w:p>
        </w:tc>
        <w:tc>
          <w:tcPr>
            <w:tcW w:w="1689" w:type="dxa"/>
            <w:noWrap/>
            <w:hideMark/>
          </w:tcPr>
          <w:p w14:paraId="5071AA31"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-38.4043</w:t>
            </w:r>
          </w:p>
        </w:tc>
        <w:tc>
          <w:tcPr>
            <w:tcW w:w="1689" w:type="dxa"/>
            <w:noWrap/>
            <w:hideMark/>
          </w:tcPr>
          <w:p w14:paraId="339B0972"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142.48135</w:t>
            </w:r>
          </w:p>
        </w:tc>
        <w:tc>
          <w:tcPr>
            <w:tcW w:w="1126" w:type="dxa"/>
            <w:noWrap/>
            <w:hideMark/>
          </w:tcPr>
          <w:p w14:paraId="5DC6269D" w14:textId="77777777" w:rsidR="001B7E13" w:rsidRPr="00DB283A" w:rsidRDefault="001B7E13" w:rsidP="00DB283A">
            <w:pPr>
              <w:pStyle w:val="bodyCopy"/>
              <w:cnfStyle w:val="000000000000" w:firstRow="0" w:lastRow="0" w:firstColumn="0" w:lastColumn="0" w:oddVBand="0" w:evenVBand="0" w:oddHBand="0" w:evenHBand="0" w:firstRowFirstColumn="0" w:firstRowLastColumn="0" w:lastRowFirstColumn="0" w:lastRowLastColumn="0"/>
              <w:rPr>
                <w:rFonts w:cs="Arial"/>
                <w:sz w:val="16"/>
                <w:szCs w:val="16"/>
              </w:rPr>
            </w:pPr>
            <w:r w:rsidRPr="00DB283A">
              <w:rPr>
                <w:rFonts w:cs="Arial"/>
                <w:sz w:val="16"/>
                <w:szCs w:val="16"/>
              </w:rPr>
              <w:t>WGS 84</w:t>
            </w:r>
          </w:p>
        </w:tc>
      </w:tr>
      <w:tr w:rsidR="001B7E13" w:rsidRPr="00DB283A" w14:paraId="5B561A19" w14:textId="77777777" w:rsidTr="00D96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dxa"/>
            <w:vMerge/>
            <w:noWrap/>
            <w:hideMark/>
          </w:tcPr>
          <w:p w14:paraId="267748CF" w14:textId="77777777" w:rsidR="001B7E13" w:rsidRPr="00DB283A" w:rsidRDefault="001B7E13" w:rsidP="00DB283A">
            <w:pPr>
              <w:pStyle w:val="bodyCopy"/>
              <w:rPr>
                <w:rFonts w:cs="Arial"/>
                <w:sz w:val="16"/>
                <w:szCs w:val="16"/>
              </w:rPr>
            </w:pPr>
          </w:p>
        </w:tc>
        <w:tc>
          <w:tcPr>
            <w:tcW w:w="856" w:type="dxa"/>
            <w:noWrap/>
            <w:hideMark/>
          </w:tcPr>
          <w:p w14:paraId="493103F7"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S416</w:t>
            </w:r>
          </w:p>
        </w:tc>
        <w:tc>
          <w:tcPr>
            <w:tcW w:w="2929" w:type="dxa"/>
            <w:noWrap/>
            <w:hideMark/>
          </w:tcPr>
          <w:p w14:paraId="7872019B"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Lillias</w:t>
            </w:r>
          </w:p>
        </w:tc>
        <w:tc>
          <w:tcPr>
            <w:tcW w:w="1689" w:type="dxa"/>
            <w:noWrap/>
            <w:hideMark/>
          </w:tcPr>
          <w:p w14:paraId="48B48035"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-38.4027</w:t>
            </w:r>
          </w:p>
        </w:tc>
        <w:tc>
          <w:tcPr>
            <w:tcW w:w="1689" w:type="dxa"/>
            <w:noWrap/>
            <w:hideMark/>
          </w:tcPr>
          <w:p w14:paraId="4FA7567B"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142.508</w:t>
            </w:r>
          </w:p>
        </w:tc>
        <w:tc>
          <w:tcPr>
            <w:tcW w:w="1126" w:type="dxa"/>
            <w:noWrap/>
            <w:hideMark/>
          </w:tcPr>
          <w:p w14:paraId="61AD95BB" w14:textId="77777777" w:rsidR="001B7E13" w:rsidRPr="00DB283A" w:rsidRDefault="001B7E13" w:rsidP="00DB283A">
            <w:pPr>
              <w:pStyle w:val="bodyCopy"/>
              <w:cnfStyle w:val="000000010000" w:firstRow="0" w:lastRow="0" w:firstColumn="0" w:lastColumn="0" w:oddVBand="0" w:evenVBand="0" w:oddHBand="0" w:evenHBand="1" w:firstRowFirstColumn="0" w:firstRowLastColumn="0" w:lastRowFirstColumn="0" w:lastRowLastColumn="0"/>
              <w:rPr>
                <w:rFonts w:cs="Arial"/>
                <w:sz w:val="16"/>
                <w:szCs w:val="16"/>
              </w:rPr>
            </w:pPr>
            <w:r w:rsidRPr="00DB283A">
              <w:rPr>
                <w:rFonts w:cs="Arial"/>
                <w:sz w:val="16"/>
                <w:szCs w:val="16"/>
              </w:rPr>
              <w:t>WGS 84</w:t>
            </w:r>
          </w:p>
        </w:tc>
      </w:tr>
    </w:tbl>
    <w:p w14:paraId="113411E4" w14:textId="76BF8526" w:rsidR="001768D2" w:rsidRDefault="001768D2" w:rsidP="00CC60C0">
      <w:pPr>
        <w:pStyle w:val="bodyCopy"/>
      </w:pPr>
    </w:p>
    <w:p w14:paraId="4EEABFE7" w14:textId="77777777" w:rsidR="001768D2" w:rsidRDefault="001768D2">
      <w:pPr>
        <w:spacing w:before="0" w:after="200"/>
        <w:sectPr w:rsidR="001768D2" w:rsidSect="008E317F">
          <w:pgSz w:w="11901" w:h="16840" w:code="9"/>
          <w:pgMar w:top="907" w:right="1008" w:bottom="1138" w:left="1152" w:header="288" w:footer="283" w:gutter="0"/>
          <w:cols w:space="708"/>
          <w:docGrid w:linePitch="360"/>
        </w:sectPr>
      </w:pPr>
    </w:p>
    <w:p w14:paraId="2E1F02EA" w14:textId="77777777" w:rsidR="00E10439" w:rsidRDefault="00E10439" w:rsidP="00CC60C0">
      <w:pPr>
        <w:pStyle w:val="bodyCopy"/>
      </w:pPr>
    </w:p>
    <w:p w14:paraId="159F2562" w14:textId="77777777" w:rsidR="0018740E" w:rsidRDefault="0018740E">
      <w:pPr>
        <w:spacing w:before="0" w:after="200"/>
      </w:pPr>
    </w:p>
    <w:sectPr w:rsidR="0018740E" w:rsidSect="008E317F">
      <w:footerReference w:type="default" r:id="rId43"/>
      <w:pgSz w:w="11901" w:h="16840" w:code="9"/>
      <w:pgMar w:top="907" w:right="1008" w:bottom="1138" w:left="1152" w:header="28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1F720" w14:textId="77777777" w:rsidR="00423DDB" w:rsidRDefault="00423DDB" w:rsidP="00BF2BA6">
      <w:pPr>
        <w:spacing w:before="0" w:after="0"/>
      </w:pPr>
      <w:r>
        <w:separator/>
      </w:r>
    </w:p>
  </w:endnote>
  <w:endnote w:type="continuationSeparator" w:id="0">
    <w:p w14:paraId="0D7E9249" w14:textId="77777777" w:rsidR="00423DDB" w:rsidRDefault="00423DDB" w:rsidP="00BF2B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IC-Regular">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711561"/>
      <w:docPartObj>
        <w:docPartGallery w:val="Page Numbers (Bottom of Page)"/>
        <w:docPartUnique/>
      </w:docPartObj>
    </w:sdtPr>
    <w:sdtEndPr>
      <w:rPr>
        <w:noProof/>
      </w:rPr>
    </w:sdtEndPr>
    <w:sdtContent>
      <w:p w14:paraId="3DA4A4E2" w14:textId="21B9CAAC" w:rsidR="00423DDB" w:rsidRPr="00D74433" w:rsidRDefault="00423DDB" w:rsidP="00611383">
        <w:pPr>
          <w:pStyle w:val="footerinfo"/>
        </w:pPr>
        <w:r>
          <w:t xml:space="preserve">2018 Offshore Victorian Petroleum Acreage Release </w:t>
        </w:r>
        <w:r w:rsidRPr="00D74433">
          <w:t>|</w:t>
        </w:r>
        <w:r>
          <w:t xml:space="preserve"> </w:t>
        </w:r>
        <w:r w:rsidRPr="00D74433">
          <w:t xml:space="preserve"> </w:t>
        </w:r>
        <w:r w:rsidRPr="00D74433">
          <w:fldChar w:fldCharType="begin"/>
        </w:r>
        <w:r w:rsidRPr="00D74433">
          <w:instrText xml:space="preserve"> PAGE   \* MERGEFORMAT </w:instrText>
        </w:r>
        <w:r w:rsidRPr="00D74433">
          <w:fldChar w:fldCharType="separate"/>
        </w:r>
        <w:r w:rsidR="00A004A8">
          <w:rPr>
            <w:noProof/>
          </w:rPr>
          <w:t>17</w:t>
        </w:r>
        <w:r w:rsidRPr="00D74433">
          <w:rPr>
            <w:noProof/>
          </w:rPr>
          <w:fldChar w:fldCharType="end"/>
        </w:r>
      </w:p>
    </w:sdtContent>
  </w:sdt>
  <w:p w14:paraId="70564EA3" w14:textId="77777777" w:rsidR="00423DDB" w:rsidRDefault="00423D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16284" w14:textId="77777777" w:rsidR="00423DDB" w:rsidRPr="00A571EA" w:rsidRDefault="00423DDB" w:rsidP="006028ED">
    <w:pPr>
      <w:pStyle w:val="Foote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F715" w14:textId="77777777" w:rsidR="00423DDB" w:rsidRPr="00F92C49" w:rsidRDefault="00423DDB" w:rsidP="003D052E">
    <w:pPr>
      <w:pStyle w:val="Footer"/>
      <w:framePr w:wrap="around" w:vAnchor="text" w:hAnchor="page" w:x="10831" w:y="16"/>
      <w:rPr>
        <w:rStyle w:val="PageNumber"/>
        <w:rFonts w:cs="Arial"/>
      </w:rPr>
    </w:pPr>
  </w:p>
  <w:p w14:paraId="62F49E38" w14:textId="77777777" w:rsidR="00423DDB" w:rsidRDefault="00423D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AFEC" w14:textId="1B856566" w:rsidR="001768D2" w:rsidRPr="00D74433" w:rsidRDefault="001768D2" w:rsidP="00611383">
    <w:pPr>
      <w:pStyle w:val="footerinfo"/>
    </w:pPr>
  </w:p>
  <w:p w14:paraId="3E0CEF70" w14:textId="77777777" w:rsidR="001768D2" w:rsidRDefault="00176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ED76E" w14:textId="77777777" w:rsidR="00423DDB" w:rsidRDefault="00423DDB" w:rsidP="00BF2BA6">
      <w:pPr>
        <w:spacing w:before="0" w:after="0"/>
      </w:pPr>
      <w:r>
        <w:separator/>
      </w:r>
    </w:p>
  </w:footnote>
  <w:footnote w:type="continuationSeparator" w:id="0">
    <w:p w14:paraId="25C12346" w14:textId="77777777" w:rsidR="00423DDB" w:rsidRDefault="00423DDB" w:rsidP="00BF2BA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43D2" w14:textId="77777777" w:rsidR="00423DDB" w:rsidRPr="004537C3" w:rsidRDefault="00423DDB" w:rsidP="00812A3D">
    <w:pPr>
      <w:spacing w:after="0"/>
      <w:rPr>
        <w:rFonts w:cs="Arial"/>
        <w:color w:val="8DB3E2" w:themeColor="text2" w:themeTint="66"/>
        <w:sz w:val="16"/>
        <w:szCs w:val="16"/>
        <w:lang w:eastAsia="en-AU"/>
      </w:rPr>
    </w:pPr>
  </w:p>
  <w:p w14:paraId="17F7BC2A" w14:textId="77777777" w:rsidR="00423DDB" w:rsidRDefault="00423D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FE50" w14:textId="77777777" w:rsidR="00423DDB" w:rsidRDefault="00423DDB">
    <w:pPr>
      <w:pStyle w:val="Header"/>
    </w:pPr>
    <w:r>
      <w:rPr>
        <w:noProof/>
        <w:lang w:eastAsia="en-AU"/>
      </w:rPr>
      <w:drawing>
        <wp:anchor distT="0" distB="0" distL="114300" distR="114300" simplePos="0" relativeHeight="251658240" behindDoc="1" locked="0" layoutInCell="1" allowOverlap="1" wp14:anchorId="221110A7" wp14:editId="03B88A73">
          <wp:simplePos x="0" y="0"/>
          <wp:positionH relativeFrom="page">
            <wp:posOffset>24130</wp:posOffset>
          </wp:positionH>
          <wp:positionV relativeFrom="page">
            <wp:posOffset>39544</wp:posOffset>
          </wp:positionV>
          <wp:extent cx="7560000" cy="720000"/>
          <wp:effectExtent l="0" t="0" r="0" b="0"/>
          <wp:wrapNone/>
          <wp:docPr id="30" name="Picture 3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9C50" w14:textId="77777777" w:rsidR="00423DDB" w:rsidRDefault="00423D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9A88E" w14:textId="77777777" w:rsidR="00423DDB" w:rsidRPr="003D6539" w:rsidRDefault="00423DDB" w:rsidP="003D6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F2D58"/>
    <w:multiLevelType w:val="hybridMultilevel"/>
    <w:tmpl w:val="6E4CEC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730E93"/>
    <w:multiLevelType w:val="hybridMultilevel"/>
    <w:tmpl w:val="78E8C492"/>
    <w:lvl w:ilvl="0" w:tplc="A28416D4">
      <w:start w:val="1"/>
      <w:numFmt w:val="bullet"/>
      <w:lvlText w:val="£"/>
      <w:lvlJc w:val="left"/>
      <w:pPr>
        <w:ind w:left="360" w:hanging="360"/>
      </w:pPr>
      <w:rPr>
        <w:rFonts w:ascii="Wingdings 2" w:hAnsi="Wingdings 2" w:hint="default"/>
        <w:sz w:val="32"/>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FF064F"/>
    <w:multiLevelType w:val="hybridMultilevel"/>
    <w:tmpl w:val="8B5AA2C6"/>
    <w:lvl w:ilvl="0" w:tplc="1DFCB5BE">
      <w:start w:val="1"/>
      <w:numFmt w:val="bullet"/>
      <w:pStyle w:val="bulletL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09A23D30"/>
    <w:multiLevelType w:val="hybridMultilevel"/>
    <w:tmpl w:val="32C88E0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6945F5"/>
    <w:multiLevelType w:val="hybridMultilevel"/>
    <w:tmpl w:val="2BE2E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F2FEF"/>
    <w:multiLevelType w:val="multilevel"/>
    <w:tmpl w:val="26EE03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109303F"/>
    <w:multiLevelType w:val="multilevel"/>
    <w:tmpl w:val="28D841A2"/>
    <w:lvl w:ilvl="0">
      <w:start w:val="1"/>
      <w:numFmt w:val="bullet"/>
      <w:lvlText w:val=""/>
      <w:lvlJc w:val="left"/>
      <w:pPr>
        <w:ind w:left="0" w:firstLine="0"/>
      </w:pPr>
      <w:rPr>
        <w:rFonts w:ascii="Symbol" w:hAnsi="Symbol"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2381FCA"/>
    <w:multiLevelType w:val="hybridMultilevel"/>
    <w:tmpl w:val="97CAB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053FFA"/>
    <w:multiLevelType w:val="hybridMultilevel"/>
    <w:tmpl w:val="209ED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A3F2E"/>
    <w:multiLevelType w:val="hybridMultilevel"/>
    <w:tmpl w:val="3676B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230970"/>
    <w:multiLevelType w:val="hybridMultilevel"/>
    <w:tmpl w:val="A10CB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02091"/>
    <w:multiLevelType w:val="multilevel"/>
    <w:tmpl w:val="E06C2F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C82E72"/>
    <w:multiLevelType w:val="hybridMultilevel"/>
    <w:tmpl w:val="715A1ADE"/>
    <w:lvl w:ilvl="0" w:tplc="A38EEEA2">
      <w:numFmt w:val="bullet"/>
      <w:lvlText w:val="•"/>
      <w:lvlJc w:val="left"/>
      <w:pPr>
        <w:ind w:left="750" w:hanging="39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0F0BE1"/>
    <w:multiLevelType w:val="multilevel"/>
    <w:tmpl w:val="E65E28DA"/>
    <w:lvl w:ilvl="0">
      <w:start w:val="1"/>
      <w:numFmt w:val="decimal"/>
      <w:lvlText w:val="%1."/>
      <w:lvlJc w:val="left"/>
      <w:pPr>
        <w:tabs>
          <w:tab w:val="num" w:pos="360"/>
        </w:tabs>
        <w:ind w:left="360" w:hanging="360"/>
      </w:pPr>
      <w:rPr>
        <w:rFonts w:hint="default"/>
        <w:b w:val="0"/>
        <w:i w:val="0"/>
        <w:vanish w:val="0"/>
        <w:color w:val="auto"/>
        <w:sz w:val="20"/>
      </w:rPr>
    </w:lvl>
    <w:lvl w:ilvl="1">
      <w:start w:val="1"/>
      <w:numFmt w:val="bullet"/>
      <w:lvlText w:val="–"/>
      <w:lvlJc w:val="left"/>
      <w:pPr>
        <w:tabs>
          <w:tab w:val="num" w:pos="720"/>
        </w:tabs>
        <w:ind w:left="720" w:hanging="360"/>
      </w:pPr>
      <w:rPr>
        <w:rFonts w:ascii="Calibri" w:hAnsi="Calibri" w:hint="default"/>
        <w:b w:val="0"/>
        <w:i w:val="0"/>
        <w:vanish w:val="0"/>
        <w:color w:val="auto"/>
        <w:sz w:val="20"/>
      </w:rPr>
    </w:lvl>
    <w:lvl w:ilvl="2">
      <w:start w:val="1"/>
      <w:numFmt w:val="bullet"/>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17" w15:restartNumberingAfterBreak="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8" w15:restartNumberingAfterBreak="0">
    <w:nsid w:val="2D863908"/>
    <w:multiLevelType w:val="hybridMultilevel"/>
    <w:tmpl w:val="3B58F9CC"/>
    <w:lvl w:ilvl="0" w:tplc="A38EEEA2">
      <w:numFmt w:val="bullet"/>
      <w:lvlText w:val="•"/>
      <w:lvlJc w:val="left"/>
      <w:pPr>
        <w:ind w:left="750" w:hanging="39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7C7FD9"/>
    <w:multiLevelType w:val="multilevel"/>
    <w:tmpl w:val="F16E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BB660E"/>
    <w:multiLevelType w:val="hybridMultilevel"/>
    <w:tmpl w:val="8EBC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4F0779"/>
    <w:multiLevelType w:val="hybridMultilevel"/>
    <w:tmpl w:val="887ECBD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0A2408D"/>
    <w:multiLevelType w:val="multilevel"/>
    <w:tmpl w:val="442E2EE0"/>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29754D5"/>
    <w:multiLevelType w:val="hybridMultilevel"/>
    <w:tmpl w:val="7FDA5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701802"/>
    <w:multiLevelType w:val="hybridMultilevel"/>
    <w:tmpl w:val="7CC8A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2B406A"/>
    <w:multiLevelType w:val="hybridMultilevel"/>
    <w:tmpl w:val="CC5676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6D36A2"/>
    <w:multiLevelType w:val="multilevel"/>
    <w:tmpl w:val="273CA9F0"/>
    <w:lvl w:ilvl="0">
      <w:start w:val="1"/>
      <w:numFmt w:val="decimal"/>
      <w:lvlText w:val="%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4D724A87"/>
    <w:multiLevelType w:val="multilevel"/>
    <w:tmpl w:val="32CC34BC"/>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E030488"/>
    <w:multiLevelType w:val="multilevel"/>
    <w:tmpl w:val="B0006ECE"/>
    <w:styleLink w:val="ArticleSection"/>
    <w:lvl w:ilvl="0">
      <w:start w:val="1"/>
      <w:numFmt w:val="decimal"/>
      <w:lvlText w:val="%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5DB68FC"/>
    <w:multiLevelType w:val="hybridMultilevel"/>
    <w:tmpl w:val="C9DA5062"/>
    <w:lvl w:ilvl="0" w:tplc="76C03C82">
      <w:start w:val="1"/>
      <w:numFmt w:val="bullet"/>
      <w:pStyle w:val="bulletL1"/>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677507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A622BED"/>
    <w:multiLevelType w:val="hybridMultilevel"/>
    <w:tmpl w:val="F2761D54"/>
    <w:lvl w:ilvl="0" w:tplc="C60441C8">
      <w:start w:val="6"/>
      <w:numFmt w:val="decimal"/>
      <w:pStyle w:val="Appendixheader2"/>
      <w:lvlText w:val="A%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FE11027"/>
    <w:multiLevelType w:val="hybridMultilevel"/>
    <w:tmpl w:val="D1BA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0542F2"/>
    <w:multiLevelType w:val="multilevel"/>
    <w:tmpl w:val="8368BD9E"/>
    <w:lvl w:ilvl="0">
      <w:start w:val="1"/>
      <w:numFmt w:val="decimal"/>
      <w:pStyle w:val="Heading1"/>
      <w:lvlText w:val="%1"/>
      <w:lvlJc w:val="left"/>
      <w:pPr>
        <w:ind w:left="432" w:hanging="432"/>
      </w:pPr>
      <w:rPr>
        <w:color w:val="064EA8"/>
      </w:rPr>
    </w:lvl>
    <w:lvl w:ilvl="1">
      <w:start w:val="1"/>
      <w:numFmt w:val="decimal"/>
      <w:pStyle w:val="Heading2"/>
      <w:lvlText w:val="%1.%2"/>
      <w:lvlJc w:val="left"/>
      <w:pPr>
        <w:ind w:left="576" w:hanging="576"/>
      </w:pPr>
      <w:rPr>
        <w:rFonts w:ascii="Arial" w:hAnsi="Arial" w:cs="Arial" w:hint="default"/>
        <w:color w:val="064EA8"/>
        <w:sz w:val="28"/>
        <w:szCs w:val="28"/>
      </w:rPr>
    </w:lvl>
    <w:lvl w:ilvl="2">
      <w:start w:val="1"/>
      <w:numFmt w:val="decimal"/>
      <w:pStyle w:val="Heading3"/>
      <w:lvlText w:val="%1.%2.%3"/>
      <w:lvlJc w:val="left"/>
      <w:pPr>
        <w:ind w:left="720" w:hanging="720"/>
      </w:pPr>
      <w:rPr>
        <w:rFonts w:ascii="Arial" w:hAnsi="Arial" w:cs="Arial" w:hint="default"/>
        <w:b/>
        <w:color w:val="064EA8"/>
        <w:sz w:val="22"/>
        <w:szCs w:val="22"/>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9246085"/>
    <w:multiLevelType w:val="hybridMultilevel"/>
    <w:tmpl w:val="14EA92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430E2A"/>
    <w:multiLevelType w:val="hybridMultilevel"/>
    <w:tmpl w:val="34805B8C"/>
    <w:lvl w:ilvl="0" w:tplc="0C090017">
      <w:start w:val="1"/>
      <w:numFmt w:val="low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39" w15:restartNumberingAfterBreak="0">
    <w:nsid w:val="6F043C95"/>
    <w:multiLevelType w:val="hybridMultilevel"/>
    <w:tmpl w:val="82242F8E"/>
    <w:lvl w:ilvl="0" w:tplc="A38EEEA2">
      <w:numFmt w:val="bullet"/>
      <w:lvlText w:val="•"/>
      <w:lvlJc w:val="left"/>
      <w:pPr>
        <w:ind w:left="750" w:hanging="39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7D0F2D"/>
    <w:multiLevelType w:val="hybridMultilevel"/>
    <w:tmpl w:val="C5F27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C6D3859"/>
    <w:multiLevelType w:val="hybridMultilevel"/>
    <w:tmpl w:val="DB6A21C6"/>
    <w:lvl w:ilvl="0" w:tplc="C0B0DB26">
      <w:start w:val="1"/>
      <w:numFmt w:val="lowerLetter"/>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7D0C783C"/>
    <w:multiLevelType w:val="multilevel"/>
    <w:tmpl w:val="D55812F6"/>
    <w:lvl w:ilvl="0">
      <w:start w:val="1"/>
      <w:numFmt w:val="lowerRoman"/>
      <w:lvlText w:val="%1."/>
      <w:lvlJc w:val="right"/>
      <w:pPr>
        <w:ind w:left="1154" w:hanging="360"/>
      </w:pPr>
    </w:lvl>
    <w:lvl w:ilvl="1">
      <w:start w:val="1"/>
      <w:numFmt w:val="lowerLetter"/>
      <w:lvlText w:val="%2)"/>
      <w:lvlJc w:val="left"/>
      <w:pPr>
        <w:ind w:left="1514" w:hanging="360"/>
      </w:pPr>
    </w:lvl>
    <w:lvl w:ilvl="2">
      <w:start w:val="1"/>
      <w:numFmt w:val="lowerRoman"/>
      <w:lvlText w:val="%3)"/>
      <w:lvlJc w:val="left"/>
      <w:pPr>
        <w:ind w:left="1874" w:hanging="360"/>
      </w:pPr>
    </w:lvl>
    <w:lvl w:ilvl="3">
      <w:start w:val="1"/>
      <w:numFmt w:val="decimal"/>
      <w:lvlText w:val="(%4)"/>
      <w:lvlJc w:val="left"/>
      <w:pPr>
        <w:ind w:left="2234" w:hanging="360"/>
      </w:pPr>
    </w:lvl>
    <w:lvl w:ilvl="4">
      <w:start w:val="1"/>
      <w:numFmt w:val="lowerLetter"/>
      <w:lvlText w:val="(%5)"/>
      <w:lvlJc w:val="left"/>
      <w:pPr>
        <w:ind w:left="2594" w:hanging="360"/>
      </w:pPr>
    </w:lvl>
    <w:lvl w:ilvl="5">
      <w:start w:val="1"/>
      <w:numFmt w:val="lowerRoman"/>
      <w:lvlText w:val="(%6)"/>
      <w:lvlJc w:val="left"/>
      <w:pPr>
        <w:ind w:left="2954" w:hanging="360"/>
      </w:pPr>
    </w:lvl>
    <w:lvl w:ilvl="6">
      <w:start w:val="1"/>
      <w:numFmt w:val="decimal"/>
      <w:lvlText w:val="%7."/>
      <w:lvlJc w:val="left"/>
      <w:pPr>
        <w:ind w:left="3314" w:hanging="360"/>
      </w:pPr>
    </w:lvl>
    <w:lvl w:ilvl="7">
      <w:start w:val="1"/>
      <w:numFmt w:val="lowerLetter"/>
      <w:lvlText w:val="%8."/>
      <w:lvlJc w:val="left"/>
      <w:pPr>
        <w:ind w:left="3674" w:hanging="360"/>
      </w:pPr>
    </w:lvl>
    <w:lvl w:ilvl="8">
      <w:start w:val="1"/>
      <w:numFmt w:val="lowerRoman"/>
      <w:lvlText w:val="%9."/>
      <w:lvlJc w:val="left"/>
      <w:pPr>
        <w:ind w:left="4034" w:hanging="360"/>
      </w:pPr>
    </w:lvl>
  </w:abstractNum>
  <w:num w:numId="1">
    <w:abstractNumId w:val="32"/>
  </w:num>
  <w:num w:numId="2">
    <w:abstractNumId w:val="32"/>
  </w:num>
  <w:num w:numId="3">
    <w:abstractNumId w:val="32"/>
  </w:num>
  <w:num w:numId="4">
    <w:abstractNumId w:val="32"/>
  </w:num>
  <w:num w:numId="5">
    <w:abstractNumId w:val="32"/>
  </w:num>
  <w:num w:numId="6">
    <w:abstractNumId w:val="26"/>
  </w:num>
  <w:num w:numId="7">
    <w:abstractNumId w:val="41"/>
  </w:num>
  <w:num w:numId="8">
    <w:abstractNumId w:val="36"/>
  </w:num>
  <w:num w:numId="9">
    <w:abstractNumId w:val="14"/>
  </w:num>
  <w:num w:numId="10">
    <w:abstractNumId w:val="0"/>
  </w:num>
  <w:num w:numId="11">
    <w:abstractNumId w:val="7"/>
  </w:num>
  <w:num w:numId="12">
    <w:abstractNumId w:val="24"/>
  </w:num>
  <w:num w:numId="13">
    <w:abstractNumId w:val="22"/>
  </w:num>
  <w:num w:numId="14">
    <w:abstractNumId w:val="3"/>
  </w:num>
  <w:num w:numId="15">
    <w:abstractNumId w:val="4"/>
  </w:num>
  <w:num w:numId="16">
    <w:abstractNumId w:val="21"/>
  </w:num>
  <w:num w:numId="17">
    <w:abstractNumId w:val="42"/>
  </w:num>
  <w:num w:numId="18">
    <w:abstractNumId w:val="2"/>
  </w:num>
  <w:num w:numId="19">
    <w:abstractNumId w:val="10"/>
  </w:num>
  <w:num w:numId="20">
    <w:abstractNumId w:val="15"/>
  </w:num>
  <w:num w:numId="21">
    <w:abstractNumId w:val="18"/>
  </w:num>
  <w:num w:numId="22">
    <w:abstractNumId w:val="39"/>
  </w:num>
  <w:num w:numId="23">
    <w:abstractNumId w:val="5"/>
  </w:num>
  <w:num w:numId="24">
    <w:abstractNumId w:val="12"/>
  </w:num>
  <w:num w:numId="25">
    <w:abstractNumId w:val="27"/>
  </w:num>
  <w:num w:numId="26">
    <w:abstractNumId w:val="25"/>
  </w:num>
  <w:num w:numId="27">
    <w:abstractNumId w:val="35"/>
  </w:num>
  <w:num w:numId="28">
    <w:abstractNumId w:val="20"/>
  </w:num>
  <w:num w:numId="29">
    <w:abstractNumId w:val="1"/>
  </w:num>
  <w:num w:numId="30">
    <w:abstractNumId w:val="40"/>
  </w:num>
  <w:num w:numId="31">
    <w:abstractNumId w:val="33"/>
  </w:num>
  <w:num w:numId="32">
    <w:abstractNumId w:val="23"/>
  </w:num>
  <w:num w:numId="33">
    <w:abstractNumId w:val="43"/>
  </w:num>
  <w:num w:numId="34">
    <w:abstractNumId w:val="9"/>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17"/>
  </w:num>
  <w:num w:numId="50">
    <w:abstractNumId w:val="31"/>
    <w:lvlOverride w:ilvl="0">
      <w:lvl w:ilvl="0">
        <w:start w:val="1"/>
        <w:numFmt w:val="decimal"/>
        <w:lvlText w:val="%1."/>
        <w:lvlJc w:val="left"/>
        <w:pPr>
          <w:ind w:left="0" w:firstLine="0"/>
        </w:pPr>
      </w:lvl>
    </w:lvlOverride>
  </w:num>
  <w:num w:numId="51">
    <w:abstractNumId w:val="11"/>
  </w:num>
  <w:num w:numId="52">
    <w:abstractNumId w:val="16"/>
  </w:num>
  <w:num w:numId="53">
    <w:abstractNumId w:val="29"/>
  </w:num>
  <w:num w:numId="54">
    <w:abstractNumId w:val="8"/>
  </w:num>
  <w:num w:numId="55">
    <w:abstractNumId w:val="34"/>
  </w:num>
  <w:num w:numId="56">
    <w:abstractNumId w:val="31"/>
  </w:num>
  <w:num w:numId="57">
    <w:abstractNumId w:val="28"/>
  </w:num>
  <w:num w:numId="58">
    <w:abstractNumId w:val="38"/>
  </w:num>
  <w:num w:numId="59">
    <w:abstractNumId w:val="37"/>
  </w:num>
  <w:num w:numId="60">
    <w:abstractNumId w:val="19"/>
  </w:num>
  <w:num w:numId="61">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97"/>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14"/>
    <w:rsid w:val="000045CC"/>
    <w:rsid w:val="0000762E"/>
    <w:rsid w:val="00010204"/>
    <w:rsid w:val="00013F24"/>
    <w:rsid w:val="00020A1B"/>
    <w:rsid w:val="00020A79"/>
    <w:rsid w:val="00021AE4"/>
    <w:rsid w:val="0002352C"/>
    <w:rsid w:val="00026415"/>
    <w:rsid w:val="00034053"/>
    <w:rsid w:val="000377DF"/>
    <w:rsid w:val="00037D6D"/>
    <w:rsid w:val="0004322F"/>
    <w:rsid w:val="00044DC5"/>
    <w:rsid w:val="0005619F"/>
    <w:rsid w:val="000568E0"/>
    <w:rsid w:val="00060302"/>
    <w:rsid w:val="000608F9"/>
    <w:rsid w:val="0006102E"/>
    <w:rsid w:val="00062F4B"/>
    <w:rsid w:val="000664EC"/>
    <w:rsid w:val="00071987"/>
    <w:rsid w:val="000758D3"/>
    <w:rsid w:val="000809CD"/>
    <w:rsid w:val="00083F3A"/>
    <w:rsid w:val="00087E01"/>
    <w:rsid w:val="00090333"/>
    <w:rsid w:val="00096418"/>
    <w:rsid w:val="000B2BD7"/>
    <w:rsid w:val="000B5CE2"/>
    <w:rsid w:val="000C4586"/>
    <w:rsid w:val="000C74DA"/>
    <w:rsid w:val="000D1984"/>
    <w:rsid w:val="000D23B7"/>
    <w:rsid w:val="000D6F1D"/>
    <w:rsid w:val="000E1324"/>
    <w:rsid w:val="000E15FD"/>
    <w:rsid w:val="000F0296"/>
    <w:rsid w:val="000F1D43"/>
    <w:rsid w:val="000F3324"/>
    <w:rsid w:val="000F71AD"/>
    <w:rsid w:val="000F74D5"/>
    <w:rsid w:val="000F7643"/>
    <w:rsid w:val="000F7F3B"/>
    <w:rsid w:val="001027E9"/>
    <w:rsid w:val="00104801"/>
    <w:rsid w:val="0010686F"/>
    <w:rsid w:val="00106B24"/>
    <w:rsid w:val="0010760D"/>
    <w:rsid w:val="00110CF5"/>
    <w:rsid w:val="00121751"/>
    <w:rsid w:val="001266CB"/>
    <w:rsid w:val="00133F06"/>
    <w:rsid w:val="00134B32"/>
    <w:rsid w:val="00135B6F"/>
    <w:rsid w:val="00135FEA"/>
    <w:rsid w:val="001417FE"/>
    <w:rsid w:val="00155F2C"/>
    <w:rsid w:val="00162167"/>
    <w:rsid w:val="00162476"/>
    <w:rsid w:val="00162BFF"/>
    <w:rsid w:val="00162CEF"/>
    <w:rsid w:val="00164461"/>
    <w:rsid w:val="00164987"/>
    <w:rsid w:val="0016612F"/>
    <w:rsid w:val="00166869"/>
    <w:rsid w:val="00173510"/>
    <w:rsid w:val="0017412F"/>
    <w:rsid w:val="001768D2"/>
    <w:rsid w:val="001774D2"/>
    <w:rsid w:val="00181A8F"/>
    <w:rsid w:val="00183E16"/>
    <w:rsid w:val="00185723"/>
    <w:rsid w:val="00186B61"/>
    <w:rsid w:val="0018740E"/>
    <w:rsid w:val="00190A16"/>
    <w:rsid w:val="001912B6"/>
    <w:rsid w:val="00192276"/>
    <w:rsid w:val="0019464B"/>
    <w:rsid w:val="001A5DDB"/>
    <w:rsid w:val="001A5DF6"/>
    <w:rsid w:val="001A7C7D"/>
    <w:rsid w:val="001B03E3"/>
    <w:rsid w:val="001B4BAE"/>
    <w:rsid w:val="001B6C62"/>
    <w:rsid w:val="001B7C39"/>
    <w:rsid w:val="001B7E13"/>
    <w:rsid w:val="001C25A7"/>
    <w:rsid w:val="001C348F"/>
    <w:rsid w:val="001D1A67"/>
    <w:rsid w:val="001D4474"/>
    <w:rsid w:val="001D7AD6"/>
    <w:rsid w:val="001F0A49"/>
    <w:rsid w:val="001F7554"/>
    <w:rsid w:val="001F76F6"/>
    <w:rsid w:val="001F7FE5"/>
    <w:rsid w:val="0021262D"/>
    <w:rsid w:val="0022073F"/>
    <w:rsid w:val="00225110"/>
    <w:rsid w:val="00225FC8"/>
    <w:rsid w:val="00227B67"/>
    <w:rsid w:val="00240644"/>
    <w:rsid w:val="00242FDB"/>
    <w:rsid w:val="002476B3"/>
    <w:rsid w:val="0025629E"/>
    <w:rsid w:val="0026051B"/>
    <w:rsid w:val="00260638"/>
    <w:rsid w:val="00262AA9"/>
    <w:rsid w:val="00265A67"/>
    <w:rsid w:val="00267718"/>
    <w:rsid w:val="002679A3"/>
    <w:rsid w:val="00270BC1"/>
    <w:rsid w:val="00270CB2"/>
    <w:rsid w:val="00271C26"/>
    <w:rsid w:val="00273897"/>
    <w:rsid w:val="00274B5A"/>
    <w:rsid w:val="00275C41"/>
    <w:rsid w:val="00277A1E"/>
    <w:rsid w:val="00280F12"/>
    <w:rsid w:val="0028104E"/>
    <w:rsid w:val="00281835"/>
    <w:rsid w:val="00281998"/>
    <w:rsid w:val="002848F0"/>
    <w:rsid w:val="002900E3"/>
    <w:rsid w:val="00291642"/>
    <w:rsid w:val="00294079"/>
    <w:rsid w:val="002A08FA"/>
    <w:rsid w:val="002A56CF"/>
    <w:rsid w:val="002A5929"/>
    <w:rsid w:val="002A72B2"/>
    <w:rsid w:val="002B0A79"/>
    <w:rsid w:val="002B3947"/>
    <w:rsid w:val="002B752A"/>
    <w:rsid w:val="002C2F1F"/>
    <w:rsid w:val="002C6B23"/>
    <w:rsid w:val="002D32B0"/>
    <w:rsid w:val="002E04F8"/>
    <w:rsid w:val="002E1B35"/>
    <w:rsid w:val="002E3C2C"/>
    <w:rsid w:val="002E66C7"/>
    <w:rsid w:val="002F0877"/>
    <w:rsid w:val="002F10BB"/>
    <w:rsid w:val="002F5195"/>
    <w:rsid w:val="00300D80"/>
    <w:rsid w:val="00303BBB"/>
    <w:rsid w:val="003044FE"/>
    <w:rsid w:val="00311E13"/>
    <w:rsid w:val="00316853"/>
    <w:rsid w:val="003219ED"/>
    <w:rsid w:val="00322AE7"/>
    <w:rsid w:val="00347FBD"/>
    <w:rsid w:val="003501F1"/>
    <w:rsid w:val="003508BB"/>
    <w:rsid w:val="00353D57"/>
    <w:rsid w:val="003557FD"/>
    <w:rsid w:val="00357F25"/>
    <w:rsid w:val="003603BD"/>
    <w:rsid w:val="00360C9C"/>
    <w:rsid w:val="00365FB6"/>
    <w:rsid w:val="00375F08"/>
    <w:rsid w:val="0037669F"/>
    <w:rsid w:val="003821EE"/>
    <w:rsid w:val="0038297E"/>
    <w:rsid w:val="0038352D"/>
    <w:rsid w:val="00384606"/>
    <w:rsid w:val="003909B3"/>
    <w:rsid w:val="00391A43"/>
    <w:rsid w:val="003A370B"/>
    <w:rsid w:val="003A3CD4"/>
    <w:rsid w:val="003B31C0"/>
    <w:rsid w:val="003B37BD"/>
    <w:rsid w:val="003B4F2D"/>
    <w:rsid w:val="003B760A"/>
    <w:rsid w:val="003C1BD0"/>
    <w:rsid w:val="003C4259"/>
    <w:rsid w:val="003D03A7"/>
    <w:rsid w:val="003D052E"/>
    <w:rsid w:val="003D44AD"/>
    <w:rsid w:val="003D6539"/>
    <w:rsid w:val="003D7590"/>
    <w:rsid w:val="003E18B1"/>
    <w:rsid w:val="003E1A27"/>
    <w:rsid w:val="003E690A"/>
    <w:rsid w:val="003E746F"/>
    <w:rsid w:val="003F2584"/>
    <w:rsid w:val="0040036F"/>
    <w:rsid w:val="0040610A"/>
    <w:rsid w:val="004073A7"/>
    <w:rsid w:val="00412227"/>
    <w:rsid w:val="00412942"/>
    <w:rsid w:val="00421E8D"/>
    <w:rsid w:val="00422F1C"/>
    <w:rsid w:val="00423DDB"/>
    <w:rsid w:val="00426FBE"/>
    <w:rsid w:val="00430080"/>
    <w:rsid w:val="00431CED"/>
    <w:rsid w:val="00432110"/>
    <w:rsid w:val="00435FCF"/>
    <w:rsid w:val="004371F6"/>
    <w:rsid w:val="00440DF0"/>
    <w:rsid w:val="00442C81"/>
    <w:rsid w:val="004438A5"/>
    <w:rsid w:val="00444D94"/>
    <w:rsid w:val="00445A09"/>
    <w:rsid w:val="004477B6"/>
    <w:rsid w:val="004537C3"/>
    <w:rsid w:val="004574A9"/>
    <w:rsid w:val="004602BE"/>
    <w:rsid w:val="004621A0"/>
    <w:rsid w:val="00463658"/>
    <w:rsid w:val="00463D93"/>
    <w:rsid w:val="00467C6B"/>
    <w:rsid w:val="004727D2"/>
    <w:rsid w:val="004750E8"/>
    <w:rsid w:val="00485A3C"/>
    <w:rsid w:val="00494E6D"/>
    <w:rsid w:val="004A0DF4"/>
    <w:rsid w:val="004A147F"/>
    <w:rsid w:val="004B3FC2"/>
    <w:rsid w:val="004C0264"/>
    <w:rsid w:val="004C3002"/>
    <w:rsid w:val="004C5942"/>
    <w:rsid w:val="004C6634"/>
    <w:rsid w:val="004C7A27"/>
    <w:rsid w:val="004D5A66"/>
    <w:rsid w:val="004D653B"/>
    <w:rsid w:val="004E0169"/>
    <w:rsid w:val="004E471E"/>
    <w:rsid w:val="004E6A84"/>
    <w:rsid w:val="004E6E35"/>
    <w:rsid w:val="004F1E91"/>
    <w:rsid w:val="005001F0"/>
    <w:rsid w:val="00506A93"/>
    <w:rsid w:val="00507F72"/>
    <w:rsid w:val="005104E6"/>
    <w:rsid w:val="005159EB"/>
    <w:rsid w:val="005163FE"/>
    <w:rsid w:val="00521393"/>
    <w:rsid w:val="0052402C"/>
    <w:rsid w:val="00524A91"/>
    <w:rsid w:val="005276EB"/>
    <w:rsid w:val="00537F3D"/>
    <w:rsid w:val="00540F77"/>
    <w:rsid w:val="00560564"/>
    <w:rsid w:val="00561202"/>
    <w:rsid w:val="005656A1"/>
    <w:rsid w:val="00581EF4"/>
    <w:rsid w:val="00585115"/>
    <w:rsid w:val="0058767F"/>
    <w:rsid w:val="00591895"/>
    <w:rsid w:val="00595FB4"/>
    <w:rsid w:val="00596E47"/>
    <w:rsid w:val="00597DC5"/>
    <w:rsid w:val="005A3493"/>
    <w:rsid w:val="005A360C"/>
    <w:rsid w:val="005A5394"/>
    <w:rsid w:val="005B0813"/>
    <w:rsid w:val="005D4B13"/>
    <w:rsid w:val="005D4F80"/>
    <w:rsid w:val="005E1417"/>
    <w:rsid w:val="005E1486"/>
    <w:rsid w:val="005E1638"/>
    <w:rsid w:val="005E17A0"/>
    <w:rsid w:val="005E5DD4"/>
    <w:rsid w:val="005E66F2"/>
    <w:rsid w:val="005F5DA8"/>
    <w:rsid w:val="005F655D"/>
    <w:rsid w:val="005F679D"/>
    <w:rsid w:val="005F772E"/>
    <w:rsid w:val="006028ED"/>
    <w:rsid w:val="00604D7C"/>
    <w:rsid w:val="006058EA"/>
    <w:rsid w:val="00605924"/>
    <w:rsid w:val="00606E0C"/>
    <w:rsid w:val="00611383"/>
    <w:rsid w:val="00611DE3"/>
    <w:rsid w:val="00614C62"/>
    <w:rsid w:val="00622505"/>
    <w:rsid w:val="00625114"/>
    <w:rsid w:val="006256C5"/>
    <w:rsid w:val="00632263"/>
    <w:rsid w:val="00637B07"/>
    <w:rsid w:val="006424A5"/>
    <w:rsid w:val="0064636E"/>
    <w:rsid w:val="006664B6"/>
    <w:rsid w:val="00670157"/>
    <w:rsid w:val="0067577D"/>
    <w:rsid w:val="00677E57"/>
    <w:rsid w:val="00687148"/>
    <w:rsid w:val="006905F9"/>
    <w:rsid w:val="006926CC"/>
    <w:rsid w:val="006954CA"/>
    <w:rsid w:val="00695CC7"/>
    <w:rsid w:val="00696044"/>
    <w:rsid w:val="006A1C27"/>
    <w:rsid w:val="006A1C7E"/>
    <w:rsid w:val="006A21DF"/>
    <w:rsid w:val="006A2C89"/>
    <w:rsid w:val="006A2FFA"/>
    <w:rsid w:val="006A31BB"/>
    <w:rsid w:val="006A6607"/>
    <w:rsid w:val="006B6054"/>
    <w:rsid w:val="006B6841"/>
    <w:rsid w:val="006B778A"/>
    <w:rsid w:val="006C0F74"/>
    <w:rsid w:val="006C7DEC"/>
    <w:rsid w:val="006D55F3"/>
    <w:rsid w:val="006E6885"/>
    <w:rsid w:val="006F01F2"/>
    <w:rsid w:val="006F0D4D"/>
    <w:rsid w:val="006F0E7E"/>
    <w:rsid w:val="006F1AA2"/>
    <w:rsid w:val="006F227C"/>
    <w:rsid w:val="006F2A1C"/>
    <w:rsid w:val="006F2B1C"/>
    <w:rsid w:val="006F6135"/>
    <w:rsid w:val="006F63FE"/>
    <w:rsid w:val="007000A8"/>
    <w:rsid w:val="00700B64"/>
    <w:rsid w:val="00704AF9"/>
    <w:rsid w:val="007054C9"/>
    <w:rsid w:val="0070705E"/>
    <w:rsid w:val="00707F05"/>
    <w:rsid w:val="00710763"/>
    <w:rsid w:val="0072425B"/>
    <w:rsid w:val="007259DB"/>
    <w:rsid w:val="00725FF9"/>
    <w:rsid w:val="00730369"/>
    <w:rsid w:val="0073324E"/>
    <w:rsid w:val="00734911"/>
    <w:rsid w:val="00735B47"/>
    <w:rsid w:val="00740629"/>
    <w:rsid w:val="00742F77"/>
    <w:rsid w:val="007431E7"/>
    <w:rsid w:val="007444DD"/>
    <w:rsid w:val="007646AA"/>
    <w:rsid w:val="00770803"/>
    <w:rsid w:val="00771777"/>
    <w:rsid w:val="00773820"/>
    <w:rsid w:val="00774C45"/>
    <w:rsid w:val="00775173"/>
    <w:rsid w:val="00786335"/>
    <w:rsid w:val="0079417C"/>
    <w:rsid w:val="007944CC"/>
    <w:rsid w:val="00796772"/>
    <w:rsid w:val="007A37DC"/>
    <w:rsid w:val="007A5398"/>
    <w:rsid w:val="007A66D1"/>
    <w:rsid w:val="007C55E7"/>
    <w:rsid w:val="007C658A"/>
    <w:rsid w:val="007D262C"/>
    <w:rsid w:val="007D46A6"/>
    <w:rsid w:val="007D7E1E"/>
    <w:rsid w:val="007E01B3"/>
    <w:rsid w:val="007E6B02"/>
    <w:rsid w:val="007F5EA9"/>
    <w:rsid w:val="007F7C4C"/>
    <w:rsid w:val="00801367"/>
    <w:rsid w:val="0080199E"/>
    <w:rsid w:val="008027EC"/>
    <w:rsid w:val="00805E7C"/>
    <w:rsid w:val="00812A3D"/>
    <w:rsid w:val="00813FA3"/>
    <w:rsid w:val="00814984"/>
    <w:rsid w:val="008151D9"/>
    <w:rsid w:val="00816E8B"/>
    <w:rsid w:val="00817436"/>
    <w:rsid w:val="00821D06"/>
    <w:rsid w:val="00822430"/>
    <w:rsid w:val="00823638"/>
    <w:rsid w:val="00830111"/>
    <w:rsid w:val="008325F4"/>
    <w:rsid w:val="0083468E"/>
    <w:rsid w:val="0084575A"/>
    <w:rsid w:val="00846E9F"/>
    <w:rsid w:val="00853535"/>
    <w:rsid w:val="00853FDD"/>
    <w:rsid w:val="00855AB3"/>
    <w:rsid w:val="00855D60"/>
    <w:rsid w:val="008571B4"/>
    <w:rsid w:val="00864B2F"/>
    <w:rsid w:val="008656CE"/>
    <w:rsid w:val="00866A4A"/>
    <w:rsid w:val="0087121B"/>
    <w:rsid w:val="00871C33"/>
    <w:rsid w:val="008730BD"/>
    <w:rsid w:val="00880142"/>
    <w:rsid w:val="008804D6"/>
    <w:rsid w:val="00886AD8"/>
    <w:rsid w:val="0089263D"/>
    <w:rsid w:val="00892F06"/>
    <w:rsid w:val="00896940"/>
    <w:rsid w:val="008A1F1C"/>
    <w:rsid w:val="008A20F4"/>
    <w:rsid w:val="008B2E98"/>
    <w:rsid w:val="008D0CB1"/>
    <w:rsid w:val="008D16B5"/>
    <w:rsid w:val="008D3C9C"/>
    <w:rsid w:val="008E12F5"/>
    <w:rsid w:val="008E317F"/>
    <w:rsid w:val="008E34C0"/>
    <w:rsid w:val="008E45EE"/>
    <w:rsid w:val="008F0636"/>
    <w:rsid w:val="008F1CE3"/>
    <w:rsid w:val="008F210D"/>
    <w:rsid w:val="008F2AEE"/>
    <w:rsid w:val="008F4C03"/>
    <w:rsid w:val="008F752C"/>
    <w:rsid w:val="008F7C0D"/>
    <w:rsid w:val="00902A1F"/>
    <w:rsid w:val="00904A5E"/>
    <w:rsid w:val="00907F21"/>
    <w:rsid w:val="00912064"/>
    <w:rsid w:val="00913117"/>
    <w:rsid w:val="00914E64"/>
    <w:rsid w:val="009230BD"/>
    <w:rsid w:val="0092565F"/>
    <w:rsid w:val="0093051A"/>
    <w:rsid w:val="0093205D"/>
    <w:rsid w:val="009336BE"/>
    <w:rsid w:val="00933710"/>
    <w:rsid w:val="00942086"/>
    <w:rsid w:val="0094434A"/>
    <w:rsid w:val="009522BD"/>
    <w:rsid w:val="009526C0"/>
    <w:rsid w:val="009614E2"/>
    <w:rsid w:val="00961C45"/>
    <w:rsid w:val="00961E35"/>
    <w:rsid w:val="0096347D"/>
    <w:rsid w:val="00965A99"/>
    <w:rsid w:val="00965BDC"/>
    <w:rsid w:val="00965E6E"/>
    <w:rsid w:val="009723E7"/>
    <w:rsid w:val="00974135"/>
    <w:rsid w:val="009755A5"/>
    <w:rsid w:val="00975F0E"/>
    <w:rsid w:val="00982A2E"/>
    <w:rsid w:val="00983FCB"/>
    <w:rsid w:val="00985058"/>
    <w:rsid w:val="009960AA"/>
    <w:rsid w:val="00997024"/>
    <w:rsid w:val="00997ABB"/>
    <w:rsid w:val="009A0B54"/>
    <w:rsid w:val="009B079D"/>
    <w:rsid w:val="009B1FC1"/>
    <w:rsid w:val="009C2EAA"/>
    <w:rsid w:val="009C4521"/>
    <w:rsid w:val="009C48FC"/>
    <w:rsid w:val="009C63E6"/>
    <w:rsid w:val="009D4077"/>
    <w:rsid w:val="009D44FC"/>
    <w:rsid w:val="009D7345"/>
    <w:rsid w:val="009D753D"/>
    <w:rsid w:val="009E051D"/>
    <w:rsid w:val="009E14F0"/>
    <w:rsid w:val="009E692C"/>
    <w:rsid w:val="009F082E"/>
    <w:rsid w:val="009F1DF8"/>
    <w:rsid w:val="009F3661"/>
    <w:rsid w:val="009F72FB"/>
    <w:rsid w:val="009F7B85"/>
    <w:rsid w:val="00A004A8"/>
    <w:rsid w:val="00A013D3"/>
    <w:rsid w:val="00A06105"/>
    <w:rsid w:val="00A0687D"/>
    <w:rsid w:val="00A11797"/>
    <w:rsid w:val="00A1590C"/>
    <w:rsid w:val="00A22F97"/>
    <w:rsid w:val="00A24274"/>
    <w:rsid w:val="00A34096"/>
    <w:rsid w:val="00A372E4"/>
    <w:rsid w:val="00A4372F"/>
    <w:rsid w:val="00A465E3"/>
    <w:rsid w:val="00A5022C"/>
    <w:rsid w:val="00A5026F"/>
    <w:rsid w:val="00A52815"/>
    <w:rsid w:val="00A529EA"/>
    <w:rsid w:val="00A54253"/>
    <w:rsid w:val="00A54E9D"/>
    <w:rsid w:val="00A571EA"/>
    <w:rsid w:val="00A6196F"/>
    <w:rsid w:val="00A629DF"/>
    <w:rsid w:val="00A66063"/>
    <w:rsid w:val="00A72B32"/>
    <w:rsid w:val="00A8036C"/>
    <w:rsid w:val="00A865EF"/>
    <w:rsid w:val="00A94CD5"/>
    <w:rsid w:val="00AA44D7"/>
    <w:rsid w:val="00AA4E90"/>
    <w:rsid w:val="00AB1411"/>
    <w:rsid w:val="00AB2E25"/>
    <w:rsid w:val="00AD211E"/>
    <w:rsid w:val="00AD3C37"/>
    <w:rsid w:val="00AD67D5"/>
    <w:rsid w:val="00AD7309"/>
    <w:rsid w:val="00AE51DB"/>
    <w:rsid w:val="00AE6758"/>
    <w:rsid w:val="00AE75DD"/>
    <w:rsid w:val="00AE7A91"/>
    <w:rsid w:val="00AF152C"/>
    <w:rsid w:val="00AF2F98"/>
    <w:rsid w:val="00AF4FBB"/>
    <w:rsid w:val="00B011AC"/>
    <w:rsid w:val="00B11F19"/>
    <w:rsid w:val="00B14943"/>
    <w:rsid w:val="00B153C2"/>
    <w:rsid w:val="00B21646"/>
    <w:rsid w:val="00B225B6"/>
    <w:rsid w:val="00B33D08"/>
    <w:rsid w:val="00B36C0E"/>
    <w:rsid w:val="00B42F81"/>
    <w:rsid w:val="00B5046E"/>
    <w:rsid w:val="00B52FAC"/>
    <w:rsid w:val="00B535F1"/>
    <w:rsid w:val="00B53734"/>
    <w:rsid w:val="00B57558"/>
    <w:rsid w:val="00B62A2A"/>
    <w:rsid w:val="00B71F2C"/>
    <w:rsid w:val="00B73C6F"/>
    <w:rsid w:val="00B80521"/>
    <w:rsid w:val="00B83FEC"/>
    <w:rsid w:val="00B863CD"/>
    <w:rsid w:val="00B93826"/>
    <w:rsid w:val="00B938A7"/>
    <w:rsid w:val="00B93CF7"/>
    <w:rsid w:val="00B94F32"/>
    <w:rsid w:val="00B973EE"/>
    <w:rsid w:val="00B97A39"/>
    <w:rsid w:val="00BA1278"/>
    <w:rsid w:val="00BA319F"/>
    <w:rsid w:val="00BA390F"/>
    <w:rsid w:val="00BA62DD"/>
    <w:rsid w:val="00BA6DE3"/>
    <w:rsid w:val="00BA746E"/>
    <w:rsid w:val="00BB0BAA"/>
    <w:rsid w:val="00BB0C69"/>
    <w:rsid w:val="00BB3AAA"/>
    <w:rsid w:val="00BC4ABE"/>
    <w:rsid w:val="00BC4B89"/>
    <w:rsid w:val="00BC5C4D"/>
    <w:rsid w:val="00BC63D3"/>
    <w:rsid w:val="00BD1DBC"/>
    <w:rsid w:val="00BE1051"/>
    <w:rsid w:val="00BE131F"/>
    <w:rsid w:val="00BF2BA6"/>
    <w:rsid w:val="00BF533D"/>
    <w:rsid w:val="00C0497B"/>
    <w:rsid w:val="00C07B21"/>
    <w:rsid w:val="00C122E4"/>
    <w:rsid w:val="00C16195"/>
    <w:rsid w:val="00C20234"/>
    <w:rsid w:val="00C2346A"/>
    <w:rsid w:val="00C26135"/>
    <w:rsid w:val="00C30DD2"/>
    <w:rsid w:val="00C34600"/>
    <w:rsid w:val="00C44F4E"/>
    <w:rsid w:val="00C53769"/>
    <w:rsid w:val="00C73282"/>
    <w:rsid w:val="00C74D5B"/>
    <w:rsid w:val="00C80265"/>
    <w:rsid w:val="00C80E10"/>
    <w:rsid w:val="00C81388"/>
    <w:rsid w:val="00C829C6"/>
    <w:rsid w:val="00C83757"/>
    <w:rsid w:val="00C83E7A"/>
    <w:rsid w:val="00C86C8B"/>
    <w:rsid w:val="00C91D8E"/>
    <w:rsid w:val="00CB0CC0"/>
    <w:rsid w:val="00CB4A0F"/>
    <w:rsid w:val="00CC5E90"/>
    <w:rsid w:val="00CC60C0"/>
    <w:rsid w:val="00CC72D9"/>
    <w:rsid w:val="00CD51ED"/>
    <w:rsid w:val="00CD72F1"/>
    <w:rsid w:val="00CD7E6A"/>
    <w:rsid w:val="00CE20A3"/>
    <w:rsid w:val="00CE3D23"/>
    <w:rsid w:val="00CE520B"/>
    <w:rsid w:val="00CE75AC"/>
    <w:rsid w:val="00CF43EA"/>
    <w:rsid w:val="00CF6EB4"/>
    <w:rsid w:val="00D04D5A"/>
    <w:rsid w:val="00D120F8"/>
    <w:rsid w:val="00D12C02"/>
    <w:rsid w:val="00D17BBF"/>
    <w:rsid w:val="00D26461"/>
    <w:rsid w:val="00D2771B"/>
    <w:rsid w:val="00D37CA6"/>
    <w:rsid w:val="00D469D8"/>
    <w:rsid w:val="00D479CC"/>
    <w:rsid w:val="00D52B74"/>
    <w:rsid w:val="00D55FAB"/>
    <w:rsid w:val="00D651F4"/>
    <w:rsid w:val="00D71A4F"/>
    <w:rsid w:val="00D729FA"/>
    <w:rsid w:val="00D74433"/>
    <w:rsid w:val="00D75914"/>
    <w:rsid w:val="00D76844"/>
    <w:rsid w:val="00D77393"/>
    <w:rsid w:val="00D81D80"/>
    <w:rsid w:val="00D8542D"/>
    <w:rsid w:val="00D85D1A"/>
    <w:rsid w:val="00D90660"/>
    <w:rsid w:val="00D91B4E"/>
    <w:rsid w:val="00D92C6E"/>
    <w:rsid w:val="00D96407"/>
    <w:rsid w:val="00DA6EFC"/>
    <w:rsid w:val="00DB0DED"/>
    <w:rsid w:val="00DB1E27"/>
    <w:rsid w:val="00DB283A"/>
    <w:rsid w:val="00DC014D"/>
    <w:rsid w:val="00DC1DC8"/>
    <w:rsid w:val="00DC397C"/>
    <w:rsid w:val="00DC4912"/>
    <w:rsid w:val="00DC7EC3"/>
    <w:rsid w:val="00DD2081"/>
    <w:rsid w:val="00DD44F6"/>
    <w:rsid w:val="00DE16E3"/>
    <w:rsid w:val="00DE2AC3"/>
    <w:rsid w:val="00DE32EE"/>
    <w:rsid w:val="00DE5D59"/>
    <w:rsid w:val="00DE623C"/>
    <w:rsid w:val="00DF6190"/>
    <w:rsid w:val="00E017A7"/>
    <w:rsid w:val="00E03F8D"/>
    <w:rsid w:val="00E06D21"/>
    <w:rsid w:val="00E10439"/>
    <w:rsid w:val="00E10C62"/>
    <w:rsid w:val="00E14D94"/>
    <w:rsid w:val="00E166FC"/>
    <w:rsid w:val="00E21161"/>
    <w:rsid w:val="00E22A18"/>
    <w:rsid w:val="00E25444"/>
    <w:rsid w:val="00E25900"/>
    <w:rsid w:val="00E270C3"/>
    <w:rsid w:val="00E354A3"/>
    <w:rsid w:val="00E44BF6"/>
    <w:rsid w:val="00E45D83"/>
    <w:rsid w:val="00E47867"/>
    <w:rsid w:val="00E54134"/>
    <w:rsid w:val="00E5567F"/>
    <w:rsid w:val="00E556A1"/>
    <w:rsid w:val="00E57756"/>
    <w:rsid w:val="00E5786C"/>
    <w:rsid w:val="00E57C8F"/>
    <w:rsid w:val="00E63ED4"/>
    <w:rsid w:val="00E674E5"/>
    <w:rsid w:val="00E72A0D"/>
    <w:rsid w:val="00E75490"/>
    <w:rsid w:val="00E75E22"/>
    <w:rsid w:val="00E806E9"/>
    <w:rsid w:val="00E83EC5"/>
    <w:rsid w:val="00E85492"/>
    <w:rsid w:val="00E85CDC"/>
    <w:rsid w:val="00E957BC"/>
    <w:rsid w:val="00EA1362"/>
    <w:rsid w:val="00EA30A3"/>
    <w:rsid w:val="00EA7A2E"/>
    <w:rsid w:val="00EB051E"/>
    <w:rsid w:val="00EB2745"/>
    <w:rsid w:val="00EB5CE6"/>
    <w:rsid w:val="00EB6DE4"/>
    <w:rsid w:val="00EC29A7"/>
    <w:rsid w:val="00EC3DB8"/>
    <w:rsid w:val="00EC491C"/>
    <w:rsid w:val="00ED0BA2"/>
    <w:rsid w:val="00ED5C66"/>
    <w:rsid w:val="00ED60E6"/>
    <w:rsid w:val="00ED7FC5"/>
    <w:rsid w:val="00EE00A0"/>
    <w:rsid w:val="00EE06DB"/>
    <w:rsid w:val="00EE1BC7"/>
    <w:rsid w:val="00EE341D"/>
    <w:rsid w:val="00EE6D1D"/>
    <w:rsid w:val="00EF246C"/>
    <w:rsid w:val="00EF2856"/>
    <w:rsid w:val="00EF4E86"/>
    <w:rsid w:val="00F04877"/>
    <w:rsid w:val="00F058EA"/>
    <w:rsid w:val="00F1059D"/>
    <w:rsid w:val="00F114BC"/>
    <w:rsid w:val="00F12190"/>
    <w:rsid w:val="00F134A6"/>
    <w:rsid w:val="00F20337"/>
    <w:rsid w:val="00F25E9C"/>
    <w:rsid w:val="00F33036"/>
    <w:rsid w:val="00F42A7A"/>
    <w:rsid w:val="00F44394"/>
    <w:rsid w:val="00F449BF"/>
    <w:rsid w:val="00F4526C"/>
    <w:rsid w:val="00F45D9E"/>
    <w:rsid w:val="00F46CE3"/>
    <w:rsid w:val="00F479F2"/>
    <w:rsid w:val="00F53457"/>
    <w:rsid w:val="00F56322"/>
    <w:rsid w:val="00F651F3"/>
    <w:rsid w:val="00F67529"/>
    <w:rsid w:val="00F675B4"/>
    <w:rsid w:val="00F732CD"/>
    <w:rsid w:val="00F751B9"/>
    <w:rsid w:val="00F75CC4"/>
    <w:rsid w:val="00F824C0"/>
    <w:rsid w:val="00F870BD"/>
    <w:rsid w:val="00F9423E"/>
    <w:rsid w:val="00FA134D"/>
    <w:rsid w:val="00FA20E0"/>
    <w:rsid w:val="00FA57DC"/>
    <w:rsid w:val="00FA602A"/>
    <w:rsid w:val="00FA693C"/>
    <w:rsid w:val="00FB0730"/>
    <w:rsid w:val="00FB11D1"/>
    <w:rsid w:val="00FB23BD"/>
    <w:rsid w:val="00FB309B"/>
    <w:rsid w:val="00FB7D6E"/>
    <w:rsid w:val="00FC2691"/>
    <w:rsid w:val="00FD7812"/>
    <w:rsid w:val="00FE0570"/>
    <w:rsid w:val="00FE11BF"/>
    <w:rsid w:val="00FE13BF"/>
    <w:rsid w:val="00FF03FE"/>
    <w:rsid w:val="00FF2D2B"/>
    <w:rsid w:val="00FF63DE"/>
    <w:rsid w:val="00FF7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3793"/>
    <o:shapelayout v:ext="edit">
      <o:idmap v:ext="edit" data="1"/>
    </o:shapelayout>
  </w:shapeDefaults>
  <w:decimalSymbol w:val="."/>
  <w:listSeparator w:val=","/>
  <w14:docId w14:val="4673A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417C"/>
    <w:pPr>
      <w:spacing w:before="120" w:after="120"/>
    </w:pPr>
    <w:rPr>
      <w:rFonts w:ascii="Arial" w:eastAsia="Times New Roman" w:hAnsi="Arial" w:cs="Times New Roman"/>
      <w:color w:val="53565A"/>
      <w:sz w:val="20"/>
      <w:szCs w:val="20"/>
    </w:rPr>
  </w:style>
  <w:style w:type="paragraph" w:styleId="Heading1">
    <w:name w:val="heading 1"/>
    <w:basedOn w:val="Normal"/>
    <w:next w:val="bodyCopy"/>
    <w:link w:val="Heading1Char"/>
    <w:uiPriority w:val="1"/>
    <w:qFormat/>
    <w:rsid w:val="00037D6D"/>
    <w:pPr>
      <w:keepNext/>
      <w:keepLines/>
      <w:numPr>
        <w:numId w:val="8"/>
      </w:numPr>
      <w:spacing w:before="520" w:after="480"/>
      <w:outlineLvl w:val="0"/>
    </w:pPr>
    <w:rPr>
      <w:b/>
      <w:bCs/>
      <w:color w:val="064EA8"/>
      <w:sz w:val="34"/>
      <w:szCs w:val="32"/>
    </w:rPr>
  </w:style>
  <w:style w:type="paragraph" w:styleId="Heading2">
    <w:name w:val="heading 2"/>
    <w:basedOn w:val="Normal"/>
    <w:next w:val="bodyCopy"/>
    <w:link w:val="Heading2Char"/>
    <w:uiPriority w:val="9"/>
    <w:qFormat/>
    <w:rsid w:val="00D12C02"/>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uiPriority w:val="9"/>
    <w:qFormat/>
    <w:rsid w:val="00FB0730"/>
    <w:pPr>
      <w:keepNext/>
      <w:keepLines/>
      <w:numPr>
        <w:ilvl w:val="2"/>
        <w:numId w:val="8"/>
      </w:numPr>
      <w:spacing w:before="320" w:after="160"/>
      <w:outlineLvl w:val="2"/>
    </w:pPr>
    <w:rPr>
      <w:rFonts w:ascii="Arial Bold" w:hAnsi="Arial Bold"/>
      <w:b/>
      <w:bCs/>
      <w:color w:val="064EA8"/>
      <w:sz w:val="22"/>
    </w:rPr>
  </w:style>
  <w:style w:type="paragraph" w:styleId="Heading4">
    <w:name w:val="heading 4"/>
    <w:basedOn w:val="Heading3"/>
    <w:next w:val="bodyCopy"/>
    <w:link w:val="Heading4Char"/>
    <w:uiPriority w:val="9"/>
    <w:unhideWhenUsed/>
    <w:rsid w:val="001A5DDB"/>
    <w:pPr>
      <w:numPr>
        <w:ilvl w:val="3"/>
      </w:numPr>
      <w:spacing w:before="280" w:after="0"/>
      <w:outlineLvl w:val="3"/>
    </w:pPr>
    <w:rPr>
      <w:rFonts w:ascii="Arial" w:eastAsiaTheme="majorEastAsia" w:hAnsi="Arial" w:cstheme="majorBidi"/>
      <w:b w:val="0"/>
      <w:bCs w:val="0"/>
      <w:iCs/>
      <w:color w:val="000000" w:themeColor="text1"/>
    </w:rPr>
  </w:style>
  <w:style w:type="paragraph" w:styleId="Heading5">
    <w:name w:val="heading 5"/>
    <w:basedOn w:val="Normal"/>
    <w:next w:val="bodyCopy"/>
    <w:link w:val="Heading5Char"/>
    <w:uiPriority w:val="9"/>
    <w:unhideWhenUsed/>
    <w:rsid w:val="00E47867"/>
    <w:pPr>
      <w:keepNext/>
      <w:keepLines/>
      <w:spacing w:before="280" w:after="0"/>
      <w:outlineLvl w:val="4"/>
    </w:pPr>
    <w:rPr>
      <w:rFonts w:eastAsiaTheme="majorEastAsia" w:cstheme="majorBidi"/>
      <w: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7D6D"/>
    <w:rPr>
      <w:rFonts w:ascii="Arial" w:eastAsia="Times New Roman" w:hAnsi="Arial" w:cs="Times New Roman"/>
      <w:b/>
      <w:bCs/>
      <w:color w:val="064EA8"/>
      <w:sz w:val="34"/>
      <w:szCs w:val="32"/>
    </w:rPr>
  </w:style>
  <w:style w:type="character" w:customStyle="1" w:styleId="Heading2Char">
    <w:name w:val="Heading 2 Char"/>
    <w:basedOn w:val="DefaultParagraphFont"/>
    <w:link w:val="Heading2"/>
    <w:uiPriority w:val="9"/>
    <w:rsid w:val="00D12C02"/>
    <w:rPr>
      <w:rFonts w:ascii="Arial" w:eastAsia="Times New Roman" w:hAnsi="Arial" w:cs="Times New Roman"/>
      <w:bCs/>
      <w:color w:val="064EA8"/>
      <w:sz w:val="28"/>
      <w:szCs w:val="26"/>
    </w:rPr>
  </w:style>
  <w:style w:type="character" w:customStyle="1" w:styleId="Heading3Char">
    <w:name w:val="Heading 3 Char"/>
    <w:basedOn w:val="DefaultParagraphFont"/>
    <w:link w:val="Heading3"/>
    <w:uiPriority w:val="9"/>
    <w:rsid w:val="00FB0730"/>
    <w:rPr>
      <w:rFonts w:ascii="Arial Bold" w:eastAsia="Times New Roman" w:hAnsi="Arial Bold"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FE11BF"/>
  </w:style>
  <w:style w:type="paragraph" w:customStyle="1" w:styleId="bulletL1">
    <w:name w:val="# bullet L1"/>
    <w:basedOn w:val="Normal"/>
    <w:rsid w:val="00EA7A2E"/>
    <w:pPr>
      <w:numPr>
        <w:numId w:val="5"/>
      </w:numPr>
      <w:spacing w:before="0" w:after="60"/>
    </w:pPr>
  </w:style>
  <w:style w:type="paragraph" w:customStyle="1" w:styleId="bulletL2">
    <w:name w:val="# bullet L2"/>
    <w:basedOn w:val="Normal"/>
    <w:rsid w:val="00EA7A2E"/>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nhideWhenUsed/>
    <w:rsid w:val="00135B6F"/>
  </w:style>
  <w:style w:type="character" w:customStyle="1" w:styleId="Heading4Char">
    <w:name w:val="Heading 4 Char"/>
    <w:basedOn w:val="DefaultParagraphFont"/>
    <w:link w:val="Heading4"/>
    <w:uiPriority w:val="9"/>
    <w:rsid w:val="001A5DDB"/>
    <w:rPr>
      <w:rFonts w:ascii="Arial" w:eastAsiaTheme="majorEastAsia" w:hAnsi="Arial" w:cstheme="majorBidi"/>
      <w:iCs/>
      <w:color w:val="000000" w:themeColor="text1"/>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9C48FC"/>
    <w:pPr>
      <w:spacing w:before="0" w:after="400"/>
    </w:pPr>
    <w:rPr>
      <w:b/>
      <w:caps/>
      <w:sz w:val="36"/>
    </w:rPr>
  </w:style>
  <w:style w:type="paragraph" w:styleId="TOCHeading">
    <w:name w:val="TOC Heading"/>
    <w:basedOn w:val="Heading1"/>
    <w:next w:val="Normal"/>
    <w:uiPriority w:val="39"/>
    <w:unhideWhenUsed/>
    <w:qFormat/>
    <w:rsid w:val="00440DF0"/>
    <w:pPr>
      <w:numPr>
        <w:numId w:val="0"/>
      </w:numPr>
      <w:spacing w:before="480" w:after="0"/>
      <w:outlineLvl w:val="9"/>
    </w:pPr>
    <w:rPr>
      <w:rFonts w:asciiTheme="majorHAnsi" w:eastAsiaTheme="majorEastAsia" w:hAnsiTheme="majorHAnsi" w:cstheme="majorBidi"/>
      <w:b w:val="0"/>
      <w:color w:val="365F91" w:themeColor="accent1" w:themeShade="BF"/>
      <w:sz w:val="28"/>
      <w:szCs w:val="28"/>
      <w:lang w:val="en-US" w:eastAsia="ja-JP"/>
    </w:rPr>
  </w:style>
  <w:style w:type="character" w:customStyle="1" w:styleId="appendicesChar">
    <w:name w:val="# appendices Char"/>
    <w:basedOn w:val="DefaultParagraphFont"/>
    <w:link w:val="appendices"/>
    <w:rsid w:val="009C48FC"/>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E47867"/>
    <w:rPr>
      <w:rFonts w:ascii="Arial" w:eastAsiaTheme="majorEastAsia" w:hAnsi="Arial" w:cstheme="majorBidi"/>
      <w:i/>
      <w:color w:val="000000" w:themeColor="text1"/>
      <w:sz w:val="20"/>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20"/>
      <w:szCs w:val="20"/>
    </w:rPr>
  </w:style>
  <w:style w:type="paragraph" w:customStyle="1" w:styleId="contentfiguresheading">
    <w:name w:val="# content/figures heading"/>
    <w:basedOn w:val="Normal"/>
    <w:link w:val="contentfiguresheadingChar"/>
    <w:qFormat/>
    <w:rsid w:val="006058EA"/>
    <w:pPr>
      <w:spacing w:before="0" w:after="400"/>
    </w:pPr>
    <w:rPr>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6058EA"/>
    <w:rPr>
      <w:rFonts w:ascii="Arial" w:eastAsia="Times New Roman" w:hAnsi="Arial" w:cs="Times New Roman"/>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010204"/>
    <w:pPr>
      <w:spacing w:after="200"/>
    </w:pPr>
    <w:rPr>
      <w:bCs/>
      <w:sz w:val="18"/>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B80521"/>
    <w:pPr>
      <w:tabs>
        <w:tab w:val="left" w:pos="600"/>
        <w:tab w:val="right" w:leader="dot" w:pos="9016"/>
      </w:tabs>
      <w:spacing w:after="100"/>
      <w:ind w:left="142"/>
    </w:pPr>
  </w:style>
  <w:style w:type="paragraph" w:styleId="TOC3">
    <w:name w:val="toc 3"/>
    <w:basedOn w:val="Normal"/>
    <w:next w:val="Normal"/>
    <w:autoRedefine/>
    <w:uiPriority w:val="39"/>
    <w:unhideWhenUsed/>
    <w:rsid w:val="00EE341D"/>
    <w:pPr>
      <w:tabs>
        <w:tab w:val="right" w:leader="dot" w:pos="9016"/>
      </w:tabs>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CD51ED"/>
    <w:pPr>
      <w:spacing w:before="0" w:after="0"/>
      <w:jc w:val="center"/>
    </w:pPr>
  </w:style>
  <w:style w:type="paragraph" w:customStyle="1" w:styleId="covertitle">
    <w:name w:val="# cover title"/>
    <w:basedOn w:val="Normal"/>
    <w:next w:val="Normal"/>
    <w:qFormat/>
    <w:rsid w:val="00F20337"/>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1"/>
    <w:qFormat/>
    <w:rsid w:val="00DC7EC3"/>
    <w:pPr>
      <w:keepNext/>
      <w:numPr>
        <w:numId w:val="17"/>
      </w:numPr>
      <w:spacing w:before="0"/>
      <w:ind w:left="1434" w:hanging="357"/>
    </w:pPr>
    <w:rPr>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F20337"/>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EA7A2E"/>
    <w:pPr>
      <w:keepNext/>
      <w:spacing w:before="240"/>
    </w:pPr>
    <w:rPr>
      <w:rFonts w:cs="Arial"/>
      <w:b/>
      <w:color w:val="064EA8"/>
      <w:szCs w:val="18"/>
      <w:lang w:eastAsia="en-AU"/>
    </w:rPr>
  </w:style>
  <w:style w:type="paragraph" w:customStyle="1" w:styleId="tabletitles">
    <w:name w:val="# table titles"/>
    <w:basedOn w:val="Normal"/>
    <w:qFormat/>
    <w:rsid w:val="00EA7A2E"/>
    <w:pPr>
      <w:spacing w:before="60" w:after="60"/>
    </w:pPr>
    <w:rPr>
      <w:rFonts w:cs="Arial"/>
      <w:b/>
      <w:color w:val="FFFFFF"/>
      <w:lang w:eastAsia="en-AU"/>
    </w:rPr>
  </w:style>
  <w:style w:type="paragraph" w:customStyle="1" w:styleId="tabletext">
    <w:name w:val="# table text"/>
    <w:basedOn w:val="Normal"/>
    <w:qFormat/>
    <w:rsid w:val="00EA7A2E"/>
    <w:pPr>
      <w:spacing w:before="60" w:after="60"/>
    </w:pPr>
    <w:rPr>
      <w:rFonts w:cs="Arial"/>
      <w:szCs w:val="18"/>
      <w:lang w:eastAsia="en-AU"/>
    </w:rPr>
  </w:style>
  <w:style w:type="paragraph" w:customStyle="1" w:styleId="Style1">
    <w:name w:val="Style1"/>
    <w:link w:val="Style1Char"/>
    <w:qFormat/>
    <w:rsid w:val="00C20234"/>
    <w:pPr>
      <w:widowControl w:val="0"/>
      <w:spacing w:after="120"/>
    </w:pPr>
    <w:rPr>
      <w:rFonts w:ascii="Arial" w:eastAsia="Times New Roman" w:hAnsi="Arial" w:cs="Times New Roman"/>
      <w:i/>
      <w:color w:val="53565A"/>
      <w:sz w:val="18"/>
      <w:szCs w:val="20"/>
    </w:rPr>
  </w:style>
  <w:style w:type="character" w:customStyle="1" w:styleId="Style1Char">
    <w:name w:val="Style1 Char"/>
    <w:basedOn w:val="DefaultParagraphFont"/>
    <w:link w:val="Style1"/>
    <w:rsid w:val="00C20234"/>
    <w:rPr>
      <w:rFonts w:ascii="Arial" w:eastAsia="Times New Roman" w:hAnsi="Arial" w:cs="Times New Roman"/>
      <w:i/>
      <w:color w:val="53565A"/>
      <w:sz w:val="18"/>
      <w:szCs w:val="20"/>
    </w:rPr>
  </w:style>
  <w:style w:type="character" w:styleId="CommentReference">
    <w:name w:val="annotation reference"/>
    <w:basedOn w:val="DefaultParagraphFont"/>
    <w:uiPriority w:val="99"/>
    <w:semiHidden/>
    <w:unhideWhenUsed/>
    <w:rsid w:val="002900E3"/>
    <w:rPr>
      <w:sz w:val="16"/>
      <w:szCs w:val="16"/>
    </w:rPr>
  </w:style>
  <w:style w:type="paragraph" w:styleId="CommentText">
    <w:name w:val="annotation text"/>
    <w:basedOn w:val="Normal"/>
    <w:link w:val="CommentTextChar"/>
    <w:uiPriority w:val="99"/>
    <w:semiHidden/>
    <w:unhideWhenUsed/>
    <w:rsid w:val="002900E3"/>
  </w:style>
  <w:style w:type="character" w:customStyle="1" w:styleId="CommentTextChar">
    <w:name w:val="Comment Text Char"/>
    <w:basedOn w:val="DefaultParagraphFont"/>
    <w:link w:val="CommentText"/>
    <w:uiPriority w:val="99"/>
    <w:semiHidden/>
    <w:rsid w:val="002900E3"/>
    <w:rPr>
      <w:rFonts w:ascii="Arial" w:eastAsia="Times New Roman" w:hAnsi="Arial" w:cs="Times New Roman"/>
      <w:color w:val="53565A"/>
      <w:sz w:val="20"/>
      <w:szCs w:val="20"/>
    </w:rPr>
  </w:style>
  <w:style w:type="paragraph" w:styleId="CommentSubject">
    <w:name w:val="annotation subject"/>
    <w:basedOn w:val="CommentText"/>
    <w:next w:val="CommentText"/>
    <w:link w:val="CommentSubjectChar"/>
    <w:uiPriority w:val="99"/>
    <w:semiHidden/>
    <w:unhideWhenUsed/>
    <w:rsid w:val="002900E3"/>
    <w:rPr>
      <w:b/>
      <w:bCs/>
    </w:rPr>
  </w:style>
  <w:style w:type="character" w:customStyle="1" w:styleId="CommentSubjectChar">
    <w:name w:val="Comment Subject Char"/>
    <w:basedOn w:val="CommentTextChar"/>
    <w:link w:val="CommentSubject"/>
    <w:uiPriority w:val="99"/>
    <w:semiHidden/>
    <w:rsid w:val="002900E3"/>
    <w:rPr>
      <w:rFonts w:ascii="Arial" w:eastAsia="Times New Roman" w:hAnsi="Arial" w:cs="Times New Roman"/>
      <w:b/>
      <w:bCs/>
      <w:color w:val="53565A"/>
      <w:sz w:val="20"/>
      <w:szCs w:val="20"/>
    </w:rPr>
  </w:style>
  <w:style w:type="paragraph" w:customStyle="1" w:styleId="address">
    <w:name w:val="# address"/>
    <w:basedOn w:val="Normal"/>
    <w:qFormat/>
    <w:rsid w:val="00BA746E"/>
    <w:pPr>
      <w:spacing w:before="0" w:after="0" w:line="240" w:lineRule="exact"/>
      <w:jc w:val="right"/>
    </w:pPr>
    <w:rPr>
      <w:rFonts w:ascii="Times New Roman" w:eastAsiaTheme="minorHAnsi" w:hAnsi="Times New Roman"/>
      <w:color w:val="274172"/>
      <w:w w:val="96"/>
      <w:szCs w:val="24"/>
    </w:rPr>
  </w:style>
  <w:style w:type="paragraph" w:styleId="IntenseQuote">
    <w:name w:val="Intense Quote"/>
    <w:basedOn w:val="Normal"/>
    <w:next w:val="Normal"/>
    <w:link w:val="IntenseQuoteChar"/>
    <w:uiPriority w:val="30"/>
    <w:qFormat/>
    <w:rsid w:val="00E5775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57756"/>
    <w:rPr>
      <w:rFonts w:ascii="Arial" w:eastAsia="Times New Roman" w:hAnsi="Arial" w:cs="Times New Roman"/>
      <w:b/>
      <w:bCs/>
      <w:i/>
      <w:iCs/>
      <w:color w:val="4F81BD" w:themeColor="accent1"/>
      <w:sz w:val="18"/>
      <w:szCs w:val="20"/>
    </w:rPr>
  </w:style>
  <w:style w:type="character" w:customStyle="1" w:styleId="UnresolvedMention1">
    <w:name w:val="Unresolved Mention1"/>
    <w:basedOn w:val="DefaultParagraphFont"/>
    <w:uiPriority w:val="99"/>
    <w:semiHidden/>
    <w:unhideWhenUsed/>
    <w:rsid w:val="008E12F5"/>
    <w:rPr>
      <w:color w:val="808080"/>
      <w:shd w:val="clear" w:color="auto" w:fill="E6E6E6"/>
    </w:rPr>
  </w:style>
  <w:style w:type="paragraph" w:customStyle="1" w:styleId="Num1">
    <w:name w:val="Num1"/>
    <w:basedOn w:val="Normal"/>
    <w:rsid w:val="0018740E"/>
    <w:pPr>
      <w:numPr>
        <w:numId w:val="48"/>
      </w:numPr>
      <w:spacing w:before="100" w:after="100" w:line="260" w:lineRule="atLeast"/>
    </w:pPr>
    <w:rPr>
      <w:rFonts w:ascii="Calibri" w:hAnsi="Calibri" w:cs="Calibri"/>
      <w:color w:val="auto"/>
      <w:sz w:val="22"/>
      <w:szCs w:val="22"/>
      <w:lang w:eastAsia="en-AU"/>
    </w:rPr>
  </w:style>
  <w:style w:type="paragraph" w:customStyle="1" w:styleId="Num2">
    <w:name w:val="Num2"/>
    <w:basedOn w:val="Normal"/>
    <w:rsid w:val="0018740E"/>
    <w:pPr>
      <w:numPr>
        <w:ilvl w:val="1"/>
        <w:numId w:val="48"/>
      </w:numPr>
      <w:spacing w:before="100" w:after="100" w:line="260" w:lineRule="atLeast"/>
    </w:pPr>
    <w:rPr>
      <w:rFonts w:ascii="Calibri" w:hAnsi="Calibri" w:cs="Calibri"/>
      <w:color w:val="auto"/>
      <w:sz w:val="22"/>
      <w:szCs w:val="22"/>
      <w:lang w:eastAsia="en-AU"/>
    </w:rPr>
  </w:style>
  <w:style w:type="paragraph" w:customStyle="1" w:styleId="Num3">
    <w:name w:val="Num3"/>
    <w:basedOn w:val="Normal"/>
    <w:rsid w:val="0018740E"/>
    <w:pPr>
      <w:numPr>
        <w:ilvl w:val="2"/>
        <w:numId w:val="48"/>
      </w:numPr>
      <w:spacing w:before="100" w:after="100" w:line="260" w:lineRule="atLeast"/>
    </w:pPr>
    <w:rPr>
      <w:rFonts w:ascii="Calibri" w:hAnsi="Calibri" w:cs="Calibri"/>
      <w:color w:val="auto"/>
      <w:sz w:val="22"/>
      <w:szCs w:val="22"/>
      <w:lang w:eastAsia="en-AU"/>
    </w:rPr>
  </w:style>
  <w:style w:type="table" w:customStyle="1" w:styleId="BlockListing">
    <w:name w:val="Block Listing"/>
    <w:basedOn w:val="TableNormal"/>
    <w:uiPriority w:val="99"/>
    <w:rsid w:val="000608F9"/>
    <w:pPr>
      <w:spacing w:after="0" w:line="240" w:lineRule="auto"/>
    </w:pPr>
    <w:rPr>
      <w:rFonts w:ascii="Arial" w:eastAsia="Times New Roman" w:hAnsi="Arial"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Pr>
  </w:style>
  <w:style w:type="table" w:customStyle="1" w:styleId="TableGrid1">
    <w:name w:val="Table Grid1"/>
    <w:basedOn w:val="TableNormal"/>
    <w:next w:val="TableGrid"/>
    <w:semiHidden/>
    <w:rsid w:val="00CD51ED"/>
    <w:pPr>
      <w:spacing w:after="0" w:line="240" w:lineRule="auto"/>
    </w:pPr>
    <w:rPr>
      <w:rFonts w:ascii="Calibri" w:eastAsia="Times New Roman" w:hAnsi="Calibri" w:cs="Times New Roman"/>
      <w:sz w:val="20"/>
      <w:szCs w:val="20"/>
      <w:lang w:eastAsia="en-AU"/>
    </w:rPr>
    <w:tblPr>
      <w:tblStyleRowBandSize w:val="1"/>
      <w:tblStyleColBandSize w:val="1"/>
      <w:tblInd w:w="29" w:type="dxa"/>
      <w:tblBorders>
        <w:top w:val="single" w:sz="6" w:space="0" w:color="660B68"/>
        <w:bottom w:val="single" w:sz="6" w:space="0" w:color="660B68"/>
        <w:insideH w:val="single" w:sz="6" w:space="0" w:color="660B68"/>
      </w:tblBorders>
      <w:tblCellMar>
        <w:left w:w="43" w:type="dxa"/>
        <w:right w:w="43" w:type="dxa"/>
      </w:tblCellMar>
    </w:tblPr>
    <w:trPr>
      <w:cantSplit/>
    </w:trPr>
    <w:tcPr>
      <w:shd w:val="clear" w:color="auto" w:fill="FFFFFF" w:themeFill="background1"/>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tcBorders>
          <w:top w:val="single" w:sz="6" w:space="0" w:color="660B68"/>
          <w:left w:val="single" w:sz="6" w:space="0" w:color="660B68"/>
          <w:bottom w:val="single" w:sz="6" w:space="0" w:color="660B68"/>
          <w:right w:val="single" w:sz="6" w:space="0" w:color="660B68"/>
        </w:tcBorders>
        <w:shd w:val="clear" w:color="auto" w:fill="660B68"/>
      </w:tcPr>
    </w:tblStylePr>
    <w:tblStylePr w:type="firstCol">
      <w:rPr>
        <w:color w:val="4C4C4C"/>
      </w:rPr>
      <w:tblPr/>
      <w:tcPr>
        <w:shd w:val="clear" w:color="auto" w:fill="FFFFFF" w:themeFill="background1"/>
      </w:tcPr>
    </w:tblStylePr>
    <w:tblStylePr w:type="band2Horz">
      <w:tblPr/>
      <w:tcPr>
        <w:shd w:val="clear" w:color="auto" w:fill="FFFFFF" w:themeFill="background1"/>
      </w:tcPr>
    </w:tblStylePr>
  </w:style>
  <w:style w:type="paragraph" w:customStyle="1" w:styleId="Spacer">
    <w:name w:val="Spacer"/>
    <w:basedOn w:val="Normal"/>
    <w:uiPriority w:val="13"/>
    <w:qFormat/>
    <w:rsid w:val="00CD51ED"/>
    <w:pPr>
      <w:spacing w:before="0" w:after="0" w:line="120" w:lineRule="atLeast"/>
    </w:pPr>
    <w:rPr>
      <w:rFonts w:ascii="Calibri" w:hAnsi="Calibri" w:cs="Calibri"/>
      <w:color w:val="auto"/>
      <w:sz w:val="12"/>
      <w:szCs w:val="22"/>
      <w:lang w:eastAsia="en-AU"/>
    </w:rPr>
  </w:style>
  <w:style w:type="numbering" w:styleId="ArticleSection">
    <w:name w:val="Outline List 3"/>
    <w:basedOn w:val="NoList"/>
    <w:uiPriority w:val="99"/>
    <w:semiHidden/>
    <w:unhideWhenUsed/>
    <w:rsid w:val="00CD51ED"/>
    <w:pPr>
      <w:numPr>
        <w:numId w:val="56"/>
      </w:numPr>
    </w:pPr>
  </w:style>
  <w:style w:type="paragraph" w:customStyle="1" w:styleId="Attachment1">
    <w:name w:val="Attachment 1"/>
    <w:next w:val="Normal"/>
    <w:uiPriority w:val="19"/>
    <w:semiHidden/>
    <w:qFormat/>
    <w:rsid w:val="00CD51ED"/>
    <w:pPr>
      <w:pageBreakBefore/>
      <w:numPr>
        <w:numId w:val="49"/>
      </w:numPr>
      <w:pBdr>
        <w:bottom w:val="single" w:sz="4" w:space="1" w:color="404040"/>
      </w:pBdr>
      <w:spacing w:before="400" w:after="1200" w:line="240" w:lineRule="auto"/>
    </w:pPr>
    <w:rPr>
      <w:rFonts w:ascii="Calibri" w:eastAsia="Times New Roman" w:hAnsi="Calibri" w:cs="Calibri"/>
      <w:color w:val="404040"/>
      <w:kern w:val="28"/>
      <w:sz w:val="40"/>
    </w:rPr>
  </w:style>
  <w:style w:type="table" w:customStyle="1" w:styleId="Responsetable">
    <w:name w:val="Response table"/>
    <w:basedOn w:val="TableGrid"/>
    <w:uiPriority w:val="99"/>
    <w:rsid w:val="00CD51ED"/>
    <w:pPr>
      <w:spacing w:after="200"/>
    </w:pPr>
    <w:rPr>
      <w:rFonts w:ascii="Calibri" w:eastAsia="Times New Roman" w:hAnsi="Calibri" w:cs="Times New Roman"/>
      <w:sz w:val="20"/>
      <w:szCs w:val="20"/>
      <w:lang w:eastAsia="en-AU"/>
    </w:rPr>
    <w:tblPr>
      <w:tblStyleRowBandSize w:val="1"/>
      <w:tblStyleColBandSize w:val="1"/>
      <w:tblInd w:w="29" w:type="dxa"/>
      <w:tblBorders>
        <w:top w:val="single" w:sz="6" w:space="0" w:color="660B68"/>
        <w:left w:val="none" w:sz="0" w:space="0" w:color="auto"/>
        <w:bottom w:val="single" w:sz="6" w:space="0" w:color="660B68"/>
        <w:right w:val="none" w:sz="0" w:space="0" w:color="auto"/>
        <w:insideH w:val="single" w:sz="6" w:space="0" w:color="660B68"/>
        <w:insideV w:val="none" w:sz="0" w:space="0" w:color="auto"/>
      </w:tblBorders>
      <w:tblCellMar>
        <w:left w:w="43" w:type="dxa"/>
        <w:right w:w="43" w:type="dxa"/>
      </w:tblCellMar>
    </w:tblPr>
    <w:trPr>
      <w:cantSplit/>
    </w:trPr>
    <w:tcPr>
      <w:shd w:val="clear" w:color="auto" w:fill="FFFFFF" w:themeFill="background1"/>
    </w:tcPr>
    <w:tblStylePr w:type="firstRow">
      <w:pPr>
        <w:wordWrap/>
        <w:spacing w:beforeLines="0" w:before="0" w:beforeAutospacing="0" w:afterLines="0" w:after="200" w:afterAutospacing="0" w:line="240" w:lineRule="auto"/>
        <w:ind w:leftChars="0" w:left="0" w:rightChars="0" w:right="0" w:firstLineChars="0" w:firstLine="0"/>
        <w:contextualSpacing w:val="0"/>
        <w:jc w:val="left"/>
      </w:pPr>
      <w:rPr>
        <w:rFonts w:ascii="Calibri" w:hAnsi="Calibri"/>
        <w:b w:val="0"/>
        <w:i w:val="0"/>
        <w:caps w:val="0"/>
        <w:smallCaps w:val="0"/>
        <w:strike w:val="0"/>
        <w:dstrike w:val="0"/>
        <w:vanish w:val="0"/>
        <w:color w:val="auto"/>
        <w:sz w:val="20"/>
        <w:u w:val="none"/>
        <w:vertAlign w:val="baseline"/>
      </w:rPr>
      <w:tblPr/>
      <w:trPr>
        <w:cantSplit w:val="0"/>
      </w:trPr>
      <w:tcPr>
        <w:tcBorders>
          <w:top w:val="nil"/>
          <w:left w:val="nil"/>
          <w:bottom w:val="nil"/>
          <w:right w:val="nil"/>
          <w:insideH w:val="nil"/>
          <w:insideV w:val="nil"/>
          <w:tl2br w:val="nil"/>
          <w:tr2bl w:val="nil"/>
        </w:tcBorders>
        <w:shd w:val="clear" w:color="auto" w:fill="660B68"/>
      </w:tcPr>
    </w:tblStylePr>
    <w:tblStylePr w:type="firstCol">
      <w:pPr>
        <w:wordWrap/>
        <w:spacing w:afterLines="0" w:after="200" w:afterAutospacing="0" w:line="240" w:lineRule="auto"/>
      </w:pPr>
      <w:rPr>
        <w:rFonts w:ascii="Calibri" w:hAnsi="Calibri"/>
        <w:b w:val="0"/>
        <w:i w:val="0"/>
        <w:color w:val="auto"/>
        <w:kern w:val="0"/>
        <w:sz w:val="20"/>
      </w:rPr>
      <w:tblPr/>
      <w:tcPr>
        <w:shd w:val="clear" w:color="auto" w:fill="FFFFFF" w:themeFill="background1"/>
      </w:tcPr>
    </w:tblStylePr>
    <w:tblStylePr w:type="band1Horz">
      <w:pPr>
        <w:wordWrap/>
        <w:spacing w:afterLines="0" w:after="200" w:afterAutospacing="0" w:line="240" w:lineRule="auto"/>
        <w:contextualSpacing w:val="0"/>
      </w:pPr>
      <w:rPr>
        <w:rFonts w:ascii="Calibri" w:hAnsi="Calibri"/>
        <w:sz w:val="20"/>
      </w:rPr>
    </w:tblStylePr>
    <w:tblStylePr w:type="band2Horz">
      <w:tblPr/>
      <w:tcPr>
        <w:shd w:val="clear" w:color="auto" w:fill="FFFFFF" w:themeFill="background1"/>
      </w:tcPr>
    </w:tblStylePr>
  </w:style>
  <w:style w:type="table" w:customStyle="1" w:styleId="Response">
    <w:name w:val="Response"/>
    <w:basedOn w:val="TableGrid"/>
    <w:uiPriority w:val="99"/>
    <w:rsid w:val="00CD51ED"/>
    <w:pPr>
      <w:spacing w:after="200" w:line="252" w:lineRule="auto"/>
    </w:pPr>
    <w:rPr>
      <w:rFonts w:ascii="Calibri" w:eastAsia="Times New Roman" w:hAnsi="Calibri" w:cs="Times New Roman"/>
      <w:sz w:val="20"/>
      <w:szCs w:val="20"/>
      <w:lang w:eastAsia="en-AU"/>
    </w:rPr>
    <w:tblPr>
      <w:tblStyleRowBandSize w:val="1"/>
      <w:tblStyleColBandSize w:val="1"/>
      <w:tblInd w:w="29" w:type="dxa"/>
      <w:tblBorders>
        <w:top w:val="single" w:sz="6" w:space="0" w:color="660B68"/>
        <w:left w:val="none" w:sz="0" w:space="0" w:color="auto"/>
        <w:bottom w:val="single" w:sz="6" w:space="0" w:color="660B68"/>
        <w:right w:val="none" w:sz="0" w:space="0" w:color="auto"/>
        <w:insideH w:val="single" w:sz="6" w:space="0" w:color="660B68"/>
        <w:insideV w:val="none" w:sz="0" w:space="0" w:color="auto"/>
      </w:tblBorders>
      <w:tblCellMar>
        <w:left w:w="43" w:type="dxa"/>
        <w:right w:w="4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0"/>
        <w:u w:val="none"/>
        <w:vertAlign w:val="baseline"/>
      </w:rPr>
      <w:tblPr/>
      <w:tcPr>
        <w:tcBorders>
          <w:top w:val="nil"/>
          <w:left w:val="nil"/>
          <w:bottom w:val="nil"/>
          <w:right w:val="nil"/>
          <w:insideH w:val="nil"/>
          <w:insideV w:val="nil"/>
          <w:tl2br w:val="nil"/>
          <w:tr2bl w:val="nil"/>
        </w:tcBorders>
        <w:shd w:val="clear" w:color="auto" w:fill="FFFFFF" w:themeFill="background1"/>
      </w:tcPr>
    </w:tblStylePr>
    <w:tblStylePr w:type="firstCol">
      <w:rPr>
        <w:color w:val="4C4C4C"/>
      </w:rPr>
      <w:tblPr/>
      <w:tcPr>
        <w:shd w:val="clear" w:color="auto" w:fill="FFFFFF" w:themeFill="background1"/>
      </w:tcPr>
    </w:tblStylePr>
    <w:tblStylePr w:type="band2Horz">
      <w:tblPr/>
      <w:tcPr>
        <w:shd w:val="clear" w:color="auto" w:fill="FFFFFF" w:themeFill="background1"/>
      </w:tcPr>
    </w:tblStylePr>
  </w:style>
  <w:style w:type="table" w:customStyle="1" w:styleId="Signaturetable">
    <w:name w:val="Signature table"/>
    <w:basedOn w:val="TableNormal"/>
    <w:uiPriority w:val="99"/>
    <w:rsid w:val="00CD51ED"/>
    <w:pPr>
      <w:spacing w:before="200" w:after="0" w:line="240" w:lineRule="auto"/>
    </w:pPr>
    <w:rPr>
      <w:rFonts w:ascii="Calibri" w:eastAsia="Times New Roman" w:hAnsi="Calibri" w:cs="Times New Roman"/>
      <w:sz w:val="20"/>
      <w:szCs w:val="20"/>
      <w:lang w:eastAsia="en-AU"/>
    </w:rPr>
    <w:tblPr>
      <w:tblStyleRowBandSize w:val="1"/>
      <w:tblStyleColBandSize w:val="1"/>
    </w:tblPr>
    <w:trPr>
      <w:cantSplit/>
    </w:trPr>
    <w:tcPr>
      <w:shd w:val="clear" w:color="auto" w:fill="auto"/>
    </w:tcPr>
    <w:tblStylePr w:type="firstCol">
      <w:pPr>
        <w:wordWrap/>
        <w:spacing w:beforeLines="0" w:before="80" w:beforeAutospacing="0" w:afterLines="0" w:after="80" w:afterAutospacing="0"/>
      </w:pPr>
      <w:rPr>
        <w:rFonts w:ascii="Calibri" w:hAnsi="Calibri"/>
        <w:b/>
        <w:color w:val="660B68"/>
        <w:sz w:val="32"/>
      </w:rPr>
      <w:tblPr/>
      <w:tcPr>
        <w:tcBorders>
          <w:top w:val="nil"/>
          <w:left w:val="nil"/>
          <w:bottom w:val="nil"/>
          <w:right w:val="nil"/>
          <w:insideH w:val="nil"/>
          <w:insideV w:val="nil"/>
          <w:tl2br w:val="nil"/>
          <w:tr2bl w:val="nil"/>
        </w:tcBorders>
        <w:shd w:val="clear" w:color="auto" w:fill="auto"/>
      </w:tcPr>
    </w:tblStylePr>
    <w:tblStylePr w:type="lastCol">
      <w:tblPr/>
      <w:tcPr>
        <w:tcBorders>
          <w:top w:val="dotted" w:sz="4" w:space="0" w:color="auto"/>
          <w:left w:val="nil"/>
          <w:bottom w:val="dotted" w:sz="4" w:space="0" w:color="auto"/>
          <w:right w:val="nil"/>
          <w:insideH w:val="nil"/>
          <w:insideV w:val="nil"/>
          <w:tl2br w:val="nil"/>
          <w:tr2bl w:val="nil"/>
        </w:tcBorders>
      </w:tcPr>
    </w:tblStylePr>
    <w:tblStylePr w:type="band1Vert">
      <w:rPr>
        <w:rFonts w:ascii="Calibri" w:hAnsi="Calibri"/>
        <w:color w:val="7030A0"/>
        <w:sz w:val="32"/>
      </w:rPr>
    </w:tblStylePr>
    <w:tblStylePr w:type="band1Horz">
      <w:tblPr/>
      <w:tcPr>
        <w:tcBorders>
          <w:top w:val="nil"/>
          <w:left w:val="nil"/>
          <w:bottom w:val="dotted" w:sz="4" w:space="0" w:color="auto"/>
          <w:right w:val="nil"/>
          <w:insideH w:val="nil"/>
          <w:insideV w:val="nil"/>
          <w:tl2br w:val="nil"/>
          <w:tr2bl w:val="nil"/>
        </w:tcBorders>
      </w:tcPr>
    </w:tblStylePr>
    <w:tblStylePr w:type="band2Horz">
      <w:tblPr/>
      <w:tcPr>
        <w:tcBorders>
          <w:top w:val="nil"/>
          <w:left w:val="nil"/>
          <w:bottom w:val="dotted" w:sz="4" w:space="0" w:color="auto"/>
          <w:right w:val="nil"/>
          <w:insideH w:val="nil"/>
          <w:insideV w:val="nil"/>
          <w:tl2br w:val="nil"/>
          <w:tr2bl w:val="nil"/>
        </w:tcBorders>
      </w:tcPr>
    </w:tblStylePr>
  </w:style>
  <w:style w:type="table" w:customStyle="1" w:styleId="Responsetable2">
    <w:name w:val="Response table2"/>
    <w:basedOn w:val="TableGrid"/>
    <w:uiPriority w:val="99"/>
    <w:rsid w:val="00CD51ED"/>
    <w:pPr>
      <w:spacing w:after="200"/>
    </w:pPr>
    <w:rPr>
      <w:rFonts w:ascii="Calibri" w:eastAsia="Times New Roman" w:hAnsi="Calibri" w:cs="Times New Roman"/>
      <w:sz w:val="20"/>
      <w:szCs w:val="20"/>
      <w:lang w:eastAsia="en-AU"/>
    </w:rPr>
    <w:tblPr>
      <w:tblStyleRowBandSize w:val="1"/>
      <w:tblStyleColBandSize w:val="1"/>
      <w:tblInd w:w="29" w:type="dxa"/>
      <w:tblBorders>
        <w:top w:val="single" w:sz="6" w:space="0" w:color="660B68"/>
        <w:left w:val="none" w:sz="0" w:space="0" w:color="auto"/>
        <w:bottom w:val="single" w:sz="6" w:space="0" w:color="660B68"/>
        <w:right w:val="none" w:sz="0" w:space="0" w:color="auto"/>
        <w:insideH w:val="single" w:sz="6" w:space="0" w:color="660B68"/>
        <w:insideV w:val="none" w:sz="0" w:space="0" w:color="auto"/>
      </w:tblBorders>
      <w:tblCellMar>
        <w:left w:w="43" w:type="dxa"/>
        <w:right w:w="43" w:type="dxa"/>
      </w:tblCellMar>
    </w:tblPr>
    <w:trPr>
      <w:cantSplit/>
    </w:trPr>
    <w:tcPr>
      <w:shd w:val="clear" w:color="auto" w:fill="FFFFFF" w:themeFill="background1"/>
    </w:tcPr>
    <w:tblStylePr w:type="firstRow">
      <w:pPr>
        <w:wordWrap/>
        <w:spacing w:beforeLines="0" w:before="0" w:beforeAutospacing="0" w:afterLines="0" w:after="200" w:afterAutospacing="0" w:line="240" w:lineRule="auto"/>
        <w:ind w:leftChars="0" w:left="0" w:rightChars="0" w:right="0" w:firstLineChars="0" w:firstLine="0"/>
        <w:contextualSpacing w:val="0"/>
        <w:jc w:val="left"/>
      </w:pPr>
      <w:rPr>
        <w:rFonts w:ascii="Calibri" w:hAnsi="Calibri"/>
        <w:b w:val="0"/>
        <w:i w:val="0"/>
        <w:caps w:val="0"/>
        <w:smallCaps w:val="0"/>
        <w:strike w:val="0"/>
        <w:dstrike w:val="0"/>
        <w:vanish w:val="0"/>
        <w:color w:val="auto"/>
        <w:sz w:val="20"/>
        <w:u w:val="none"/>
        <w:vertAlign w:val="baseline"/>
      </w:rPr>
      <w:tblPr/>
      <w:trPr>
        <w:cantSplit w:val="0"/>
      </w:trPr>
      <w:tcPr>
        <w:tcBorders>
          <w:top w:val="nil"/>
          <w:left w:val="nil"/>
          <w:bottom w:val="nil"/>
          <w:right w:val="nil"/>
          <w:insideH w:val="nil"/>
          <w:insideV w:val="nil"/>
          <w:tl2br w:val="nil"/>
          <w:tr2bl w:val="nil"/>
        </w:tcBorders>
        <w:shd w:val="clear" w:color="auto" w:fill="660B68"/>
      </w:tcPr>
    </w:tblStylePr>
    <w:tblStylePr w:type="firstCol">
      <w:pPr>
        <w:wordWrap/>
        <w:spacing w:afterLines="0" w:after="200" w:afterAutospacing="0" w:line="240" w:lineRule="auto"/>
      </w:pPr>
      <w:rPr>
        <w:rFonts w:ascii="Calibri" w:hAnsi="Calibri"/>
        <w:b w:val="0"/>
        <w:i w:val="0"/>
        <w:color w:val="auto"/>
        <w:kern w:val="0"/>
        <w:sz w:val="20"/>
      </w:rPr>
      <w:tblPr/>
      <w:tcPr>
        <w:shd w:val="clear" w:color="auto" w:fill="FFFFFF"/>
      </w:tcPr>
    </w:tblStylePr>
    <w:tblStylePr w:type="band1Horz">
      <w:pPr>
        <w:wordWrap/>
        <w:spacing w:afterLines="0" w:after="200" w:afterAutospacing="0" w:line="240" w:lineRule="auto"/>
        <w:contextualSpacing w:val="0"/>
      </w:pPr>
      <w:rPr>
        <w:rFonts w:ascii="Calibri" w:hAnsi="Calibri"/>
        <w:sz w:val="20"/>
      </w:rPr>
    </w:tblStylePr>
    <w:tblStylePr w:type="band2Horz">
      <w:tblPr/>
      <w:tcPr>
        <w:shd w:val="clear" w:color="auto" w:fill="FFFFFF"/>
      </w:tcPr>
    </w:tblStylePr>
  </w:style>
  <w:style w:type="table" w:customStyle="1" w:styleId="Signaturetable1">
    <w:name w:val="Signature table1"/>
    <w:basedOn w:val="TableNormal"/>
    <w:uiPriority w:val="99"/>
    <w:rsid w:val="00CD51ED"/>
    <w:pPr>
      <w:spacing w:before="200" w:after="0" w:line="240" w:lineRule="auto"/>
    </w:pPr>
    <w:rPr>
      <w:rFonts w:ascii="Calibri" w:eastAsia="Times New Roman" w:hAnsi="Calibri" w:cs="Times New Roman"/>
      <w:sz w:val="20"/>
      <w:szCs w:val="20"/>
      <w:lang w:eastAsia="en-AU"/>
    </w:rPr>
    <w:tblPr>
      <w:tblStyleRowBandSize w:val="1"/>
      <w:tblStyleColBandSize w:val="1"/>
    </w:tblPr>
    <w:trPr>
      <w:cantSplit/>
    </w:trPr>
    <w:tcPr>
      <w:shd w:val="clear" w:color="auto" w:fill="auto"/>
    </w:tcPr>
    <w:tblStylePr w:type="firstCol">
      <w:pPr>
        <w:wordWrap/>
        <w:spacing w:beforeLines="0" w:before="80" w:beforeAutospacing="0" w:afterLines="0" w:after="80" w:afterAutospacing="0"/>
      </w:pPr>
      <w:rPr>
        <w:rFonts w:ascii="Calibri" w:hAnsi="Calibri"/>
        <w:b/>
        <w:color w:val="660B68"/>
        <w:sz w:val="32"/>
      </w:rPr>
      <w:tblPr/>
      <w:tcPr>
        <w:tcBorders>
          <w:top w:val="nil"/>
          <w:left w:val="nil"/>
          <w:bottom w:val="nil"/>
          <w:right w:val="nil"/>
          <w:insideH w:val="nil"/>
          <w:insideV w:val="nil"/>
          <w:tl2br w:val="nil"/>
          <w:tr2bl w:val="nil"/>
        </w:tcBorders>
        <w:shd w:val="clear" w:color="auto" w:fill="auto"/>
      </w:tcPr>
    </w:tblStylePr>
    <w:tblStylePr w:type="lastCol">
      <w:tblPr/>
      <w:tcPr>
        <w:tcBorders>
          <w:top w:val="dotted" w:sz="4" w:space="0" w:color="auto"/>
          <w:left w:val="nil"/>
          <w:bottom w:val="dotted" w:sz="4" w:space="0" w:color="auto"/>
          <w:right w:val="nil"/>
          <w:insideH w:val="nil"/>
          <w:insideV w:val="nil"/>
          <w:tl2br w:val="nil"/>
          <w:tr2bl w:val="nil"/>
        </w:tcBorders>
      </w:tcPr>
    </w:tblStylePr>
    <w:tblStylePr w:type="band1Vert">
      <w:rPr>
        <w:rFonts w:ascii="Calibri" w:hAnsi="Calibri"/>
        <w:color w:val="7030A0"/>
        <w:sz w:val="32"/>
      </w:rPr>
    </w:tblStylePr>
    <w:tblStylePr w:type="band1Horz">
      <w:tblPr/>
      <w:tcPr>
        <w:tcBorders>
          <w:top w:val="nil"/>
          <w:left w:val="nil"/>
          <w:bottom w:val="dotted" w:sz="4" w:space="0" w:color="auto"/>
          <w:right w:val="nil"/>
          <w:insideH w:val="nil"/>
          <w:insideV w:val="nil"/>
          <w:tl2br w:val="nil"/>
          <w:tr2bl w:val="nil"/>
        </w:tcBorders>
      </w:tcPr>
    </w:tblStylePr>
    <w:tblStylePr w:type="band2Horz">
      <w:tblPr/>
      <w:tcPr>
        <w:tcBorders>
          <w:top w:val="nil"/>
          <w:left w:val="nil"/>
          <w:bottom w:val="dotted" w:sz="4" w:space="0" w:color="auto"/>
          <w:right w:val="nil"/>
          <w:insideH w:val="nil"/>
          <w:insideV w:val="nil"/>
          <w:tl2br w:val="nil"/>
          <w:tr2bl w:val="nil"/>
        </w:tcBorders>
      </w:tcPr>
    </w:tblStylePr>
  </w:style>
  <w:style w:type="table" w:customStyle="1" w:styleId="Gridtable-noheader1">
    <w:name w:val="Grid table - no header1"/>
    <w:basedOn w:val="TableNormal"/>
    <w:uiPriority w:val="99"/>
    <w:rsid w:val="00CD51ED"/>
    <w:pPr>
      <w:spacing w:after="0" w:line="240" w:lineRule="auto"/>
    </w:pPr>
    <w:rPr>
      <w:rFonts w:ascii="Arial" w:eastAsia="Times New Roman" w:hAnsi="Arial" w:cs="Times New Roman"/>
      <w:sz w:val="20"/>
      <w:szCs w:val="20"/>
      <w:lang w:eastAsia="en-AU"/>
    </w:rPr>
    <w:tblPr>
      <w:tblBorders>
        <w:top w:val="single" w:sz="8" w:space="0" w:color="auto"/>
        <w:left w:val="single" w:sz="8" w:space="0" w:color="auto"/>
        <w:bottom w:val="single" w:sz="8" w:space="0" w:color="auto"/>
        <w:right w:val="single" w:sz="8" w:space="0" w:color="auto"/>
        <w:insideH w:val="single" w:sz="8" w:space="0" w:color="BFBFBF"/>
        <w:insideV w:val="single" w:sz="8" w:space="0" w:color="BFBFBF"/>
      </w:tblBorders>
      <w:tblCellMar>
        <w:left w:w="57" w:type="dxa"/>
        <w:right w:w="57" w:type="dxa"/>
      </w:tblCellMar>
    </w:tblPr>
    <w:tblStylePr w:type="firstCol">
      <w:rPr>
        <w:b w:val="0"/>
      </w:rPr>
    </w:tblStylePr>
  </w:style>
  <w:style w:type="table" w:customStyle="1" w:styleId="Responsetable11">
    <w:name w:val="Response table11"/>
    <w:basedOn w:val="TableGrid"/>
    <w:uiPriority w:val="99"/>
    <w:rsid w:val="00CD51ED"/>
    <w:pPr>
      <w:spacing w:after="200"/>
    </w:pPr>
    <w:rPr>
      <w:rFonts w:ascii="Calibri" w:eastAsia="Times New Roman" w:hAnsi="Calibri" w:cs="Times New Roman"/>
      <w:sz w:val="20"/>
      <w:szCs w:val="20"/>
      <w:lang w:eastAsia="en-AU"/>
    </w:rPr>
    <w:tblPr>
      <w:tblStyleRowBandSize w:val="1"/>
      <w:tblStyleColBandSize w:val="1"/>
      <w:tblInd w:w="29" w:type="dxa"/>
      <w:tblBorders>
        <w:top w:val="single" w:sz="6" w:space="0" w:color="660B68"/>
        <w:left w:val="none" w:sz="0" w:space="0" w:color="auto"/>
        <w:bottom w:val="single" w:sz="6" w:space="0" w:color="660B68"/>
        <w:right w:val="none" w:sz="0" w:space="0" w:color="auto"/>
        <w:insideH w:val="single" w:sz="6" w:space="0" w:color="660B68"/>
        <w:insideV w:val="none" w:sz="0" w:space="0" w:color="auto"/>
      </w:tblBorders>
      <w:tblCellMar>
        <w:left w:w="43" w:type="dxa"/>
        <w:right w:w="43" w:type="dxa"/>
      </w:tblCellMar>
    </w:tblPr>
    <w:trPr>
      <w:cantSplit/>
    </w:trPr>
    <w:tcPr>
      <w:shd w:val="clear" w:color="auto" w:fill="FFFFFF" w:themeFill="background1"/>
    </w:tcPr>
    <w:tblStylePr w:type="firstRow">
      <w:pPr>
        <w:wordWrap/>
        <w:spacing w:beforeLines="0" w:before="0" w:beforeAutospacing="0" w:afterLines="0" w:after="200" w:afterAutospacing="0" w:line="240" w:lineRule="auto"/>
        <w:ind w:leftChars="0" w:left="0" w:rightChars="0" w:right="0" w:firstLineChars="0" w:firstLine="0"/>
        <w:contextualSpacing w:val="0"/>
        <w:jc w:val="left"/>
      </w:pPr>
      <w:rPr>
        <w:rFonts w:ascii="Calibri" w:hAnsi="Calibri"/>
        <w:b w:val="0"/>
        <w:i w:val="0"/>
        <w:caps w:val="0"/>
        <w:smallCaps w:val="0"/>
        <w:strike w:val="0"/>
        <w:dstrike w:val="0"/>
        <w:vanish w:val="0"/>
        <w:color w:val="auto"/>
        <w:sz w:val="20"/>
        <w:u w:val="none"/>
        <w:vertAlign w:val="baseline"/>
      </w:rPr>
      <w:tblPr/>
      <w:trPr>
        <w:cantSplit w:val="0"/>
      </w:trPr>
      <w:tcPr>
        <w:tcBorders>
          <w:top w:val="nil"/>
          <w:left w:val="nil"/>
          <w:bottom w:val="nil"/>
          <w:right w:val="nil"/>
          <w:insideH w:val="nil"/>
          <w:insideV w:val="nil"/>
          <w:tl2br w:val="nil"/>
          <w:tr2bl w:val="nil"/>
        </w:tcBorders>
        <w:shd w:val="clear" w:color="auto" w:fill="660B68"/>
      </w:tcPr>
    </w:tblStylePr>
    <w:tblStylePr w:type="firstCol">
      <w:pPr>
        <w:wordWrap/>
        <w:spacing w:afterLines="0" w:after="200" w:afterAutospacing="0" w:line="240" w:lineRule="auto"/>
      </w:pPr>
      <w:rPr>
        <w:rFonts w:ascii="Calibri" w:hAnsi="Calibri"/>
        <w:b w:val="0"/>
        <w:i w:val="0"/>
        <w:color w:val="auto"/>
        <w:kern w:val="0"/>
        <w:sz w:val="20"/>
      </w:rPr>
      <w:tblPr/>
      <w:tcPr>
        <w:shd w:val="clear" w:color="auto" w:fill="FFFFFF"/>
      </w:tcPr>
    </w:tblStylePr>
    <w:tblStylePr w:type="band1Horz">
      <w:pPr>
        <w:wordWrap/>
        <w:spacing w:afterLines="0" w:after="200" w:afterAutospacing="0" w:line="240" w:lineRule="auto"/>
        <w:contextualSpacing w:val="0"/>
      </w:pPr>
      <w:rPr>
        <w:rFonts w:ascii="Calibri" w:hAnsi="Calibri"/>
        <w:sz w:val="20"/>
      </w:rPr>
    </w:tblStylePr>
    <w:tblStylePr w:type="band2Horz">
      <w:tblPr/>
      <w:tcPr>
        <w:shd w:val="clear" w:color="auto" w:fill="FFFFFF"/>
      </w:tcPr>
    </w:tblStylePr>
  </w:style>
  <w:style w:type="paragraph" w:customStyle="1" w:styleId="bodycopy0">
    <w:name w:val="body copy"/>
    <w:basedOn w:val="Title"/>
    <w:link w:val="bodycopyChar"/>
    <w:qFormat/>
    <w:rsid w:val="0067577D"/>
    <w:pPr>
      <w:spacing w:after="180" w:line="240" w:lineRule="exact"/>
      <w:contextualSpacing w:val="0"/>
    </w:pPr>
    <w:rPr>
      <w:rFonts w:ascii="Arial" w:eastAsia="Times New Roman" w:hAnsi="Arial" w:cs="Arial"/>
      <w:color w:val="000000"/>
      <w:spacing w:val="0"/>
      <w:kern w:val="0"/>
      <w:sz w:val="18"/>
      <w:szCs w:val="18"/>
    </w:rPr>
  </w:style>
  <w:style w:type="character" w:customStyle="1" w:styleId="bodycopyChar">
    <w:name w:val="body copy Char"/>
    <w:link w:val="bodycopy0"/>
    <w:rsid w:val="0067577D"/>
    <w:rPr>
      <w:rFonts w:ascii="Arial" w:eastAsia="Times New Roman" w:hAnsi="Arial" w:cs="Arial"/>
      <w:color w:val="000000"/>
      <w:sz w:val="18"/>
      <w:szCs w:val="18"/>
    </w:rPr>
  </w:style>
  <w:style w:type="paragraph" w:styleId="Title">
    <w:name w:val="Title"/>
    <w:basedOn w:val="Normal"/>
    <w:next w:val="Normal"/>
    <w:link w:val="TitleChar"/>
    <w:uiPriority w:val="10"/>
    <w:qFormat/>
    <w:rsid w:val="0067577D"/>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7577D"/>
    <w:rPr>
      <w:rFonts w:asciiTheme="majorHAnsi" w:eastAsiaTheme="majorEastAsia" w:hAnsiTheme="majorHAnsi" w:cstheme="majorBidi"/>
      <w:spacing w:val="-10"/>
      <w:kern w:val="28"/>
      <w:sz w:val="56"/>
      <w:szCs w:val="56"/>
    </w:rPr>
  </w:style>
  <w:style w:type="paragraph" w:customStyle="1" w:styleId="Appendixheader2">
    <w:name w:val="Appendix header 2"/>
    <w:basedOn w:val="Heading2"/>
    <w:qFormat/>
    <w:rsid w:val="009D7345"/>
    <w:pPr>
      <w:numPr>
        <w:ilvl w:val="0"/>
        <w:numId w:val="55"/>
      </w:numPr>
    </w:pPr>
    <w:rPr>
      <w:rFonts w:cs="Arial"/>
      <w:szCs w:val="28"/>
      <w:lang w:eastAsia="en-AU"/>
    </w:rPr>
  </w:style>
  <w:style w:type="paragraph" w:styleId="BodyText">
    <w:name w:val="Body Text"/>
    <w:basedOn w:val="Normal"/>
    <w:link w:val="BodyTextChar"/>
    <w:uiPriority w:val="1"/>
    <w:qFormat/>
    <w:rsid w:val="00774C45"/>
    <w:pPr>
      <w:widowControl w:val="0"/>
      <w:autoSpaceDE w:val="0"/>
      <w:autoSpaceDN w:val="0"/>
      <w:spacing w:before="0" w:after="0" w:line="240" w:lineRule="auto"/>
    </w:pPr>
    <w:rPr>
      <w:rFonts w:ascii="Times New Roman" w:hAnsi="Times New Roman"/>
      <w:color w:val="auto"/>
      <w:sz w:val="22"/>
      <w:szCs w:val="22"/>
      <w:lang w:val="en-US"/>
    </w:rPr>
  </w:style>
  <w:style w:type="character" w:customStyle="1" w:styleId="BodyTextChar">
    <w:name w:val="Body Text Char"/>
    <w:basedOn w:val="DefaultParagraphFont"/>
    <w:link w:val="BodyText"/>
    <w:uiPriority w:val="1"/>
    <w:rsid w:val="00774C45"/>
    <w:rPr>
      <w:rFonts w:ascii="Times New Roman" w:eastAsia="Times New Roman" w:hAnsi="Times New Roman" w:cs="Times New Roman"/>
      <w:lang w:val="en-US"/>
    </w:rPr>
  </w:style>
  <w:style w:type="paragraph" w:customStyle="1" w:styleId="bodycopy1">
    <w:name w:val="# body copy"/>
    <w:basedOn w:val="Normal"/>
    <w:qFormat/>
    <w:rsid w:val="000568E0"/>
    <w:pPr>
      <w:spacing w:before="0" w:line="240" w:lineRule="auto"/>
    </w:pPr>
    <w:rPr>
      <w:rFonts w:cs="Arial"/>
      <w:lang w:eastAsia="en-AU"/>
    </w:rPr>
  </w:style>
  <w:style w:type="paragraph" w:styleId="Revision">
    <w:name w:val="Revision"/>
    <w:hidden/>
    <w:uiPriority w:val="99"/>
    <w:semiHidden/>
    <w:rsid w:val="00853FDD"/>
    <w:pPr>
      <w:spacing w:after="0" w:line="240" w:lineRule="auto"/>
    </w:pPr>
    <w:rPr>
      <w:rFonts w:ascii="Arial" w:eastAsia="Times New Roman" w:hAnsi="Arial" w:cs="Times New Roman"/>
      <w:color w:val="53565A"/>
      <w:sz w:val="20"/>
      <w:szCs w:val="20"/>
    </w:rPr>
  </w:style>
  <w:style w:type="table" w:customStyle="1" w:styleId="TableGrid2">
    <w:name w:val="Table Grid2"/>
    <w:basedOn w:val="TableNormal"/>
    <w:next w:val="TableGrid"/>
    <w:rsid w:val="00A5022C"/>
    <w:pPr>
      <w:spacing w:after="0" w:line="240" w:lineRule="auto"/>
    </w:pPr>
    <w:rPr>
      <w:rFonts w:ascii="Calibri" w:eastAsia="Times New Roman" w:hAnsi="Calibri" w:cs="Times New Roman"/>
      <w:sz w:val="20"/>
      <w:szCs w:val="20"/>
      <w:lang w:eastAsia="en-AU"/>
    </w:rPr>
    <w:tblPr>
      <w:tblStyleRowBandSize w:val="1"/>
      <w:tblStyleColBandSize w:val="1"/>
      <w:tblInd w:w="29" w:type="dxa"/>
      <w:tblBorders>
        <w:top w:val="single" w:sz="6" w:space="0" w:color="660B68"/>
        <w:bottom w:val="single" w:sz="6" w:space="0" w:color="660B68"/>
        <w:insideH w:val="single" w:sz="6" w:space="0" w:color="660B68"/>
      </w:tblBorders>
      <w:tblCellMar>
        <w:left w:w="43" w:type="dxa"/>
        <w:right w:w="43" w:type="dxa"/>
      </w:tblCellMar>
    </w:tblPr>
    <w:trPr>
      <w:cantSplit/>
    </w:trPr>
    <w:tcPr>
      <w:shd w:val="clear" w:color="auto" w:fill="FFFFFF" w:themeFill="background1"/>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tcBorders>
          <w:top w:val="single" w:sz="6" w:space="0" w:color="660B68"/>
          <w:left w:val="single" w:sz="6" w:space="0" w:color="660B68"/>
          <w:bottom w:val="single" w:sz="6" w:space="0" w:color="660B68"/>
          <w:right w:val="single" w:sz="6" w:space="0" w:color="660B68"/>
        </w:tcBorders>
        <w:shd w:val="clear" w:color="auto" w:fill="660B68"/>
      </w:tcPr>
    </w:tblStylePr>
    <w:tblStylePr w:type="firstCol">
      <w:rPr>
        <w:color w:val="4C4C4C"/>
      </w:rPr>
      <w:tblPr/>
      <w:tcPr>
        <w:shd w:val="clear" w:color="auto" w:fill="FFFFFF" w:themeFill="background1"/>
      </w:tcPr>
    </w:tblStylePr>
    <w:tblStylePr w:type="band2Horz">
      <w:tblPr/>
      <w:tcPr>
        <w:shd w:val="clear" w:color="auto" w:fill="FFFFFF" w:themeFill="background1"/>
      </w:tcPr>
    </w:tblStylePr>
  </w:style>
  <w:style w:type="character" w:customStyle="1" w:styleId="productdescription1">
    <w:name w:val="productdescription1"/>
    <w:basedOn w:val="DefaultParagraphFont"/>
    <w:rsid w:val="000E1324"/>
    <w:rPr>
      <w:rFonts w:ascii="Verdana" w:hAnsi="Verdana" w:hint="default"/>
      <w:sz w:val="18"/>
      <w:szCs w:val="18"/>
    </w:rPr>
  </w:style>
  <w:style w:type="paragraph" w:customStyle="1" w:styleId="Default">
    <w:name w:val="Default"/>
    <w:rsid w:val="00EA1362"/>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basedOn w:val="DefaultParagraphFont"/>
    <w:uiPriority w:val="99"/>
    <w:semiHidden/>
    <w:unhideWhenUsed/>
    <w:rsid w:val="00CB0CC0"/>
    <w:rPr>
      <w:vertAlign w:val="superscript"/>
    </w:rPr>
  </w:style>
  <w:style w:type="paragraph" w:customStyle="1" w:styleId="TableBullet">
    <w:name w:val="Table Bullet"/>
    <w:basedOn w:val="Normal"/>
    <w:qFormat/>
    <w:rsid w:val="00013F24"/>
    <w:pPr>
      <w:spacing w:before="0" w:line="240" w:lineRule="auto"/>
      <w:ind w:left="346" w:hanging="346"/>
    </w:pPr>
    <w:rPr>
      <w:rFonts w:eastAsia="MS Mincho" w:cs="Arial"/>
      <w:color w:val="auto"/>
      <w:spacing w:val="-4"/>
      <w:szCs w:val="24"/>
      <w:lang w:val="en-US"/>
    </w:rPr>
  </w:style>
  <w:style w:type="paragraph" w:customStyle="1" w:styleId="TableParagraph">
    <w:name w:val="Table Paragraph"/>
    <w:basedOn w:val="Normal"/>
    <w:uiPriority w:val="1"/>
    <w:qFormat/>
    <w:rsid w:val="007A5398"/>
    <w:pPr>
      <w:autoSpaceDE w:val="0"/>
      <w:autoSpaceDN w:val="0"/>
      <w:adjustRightInd w:val="0"/>
      <w:spacing w:before="0" w:after="0" w:line="240" w:lineRule="auto"/>
    </w:pPr>
    <w:rPr>
      <w:rFonts w:ascii="Times New Roman" w:eastAsiaTheme="minorHAnsi" w:hAnsi="Times New Roman"/>
      <w:color w:val="auto"/>
      <w:sz w:val="24"/>
      <w:szCs w:val="24"/>
    </w:rPr>
  </w:style>
  <w:style w:type="paragraph" w:customStyle="1" w:styleId="references">
    <w:name w:val="references"/>
    <w:basedOn w:val="Normal"/>
    <w:qFormat/>
    <w:rsid w:val="00817436"/>
    <w:pPr>
      <w:spacing w:before="0"/>
    </w:pPr>
    <w:rPr>
      <w:rFonts w:cs="Arial"/>
      <w:color w:val="auto"/>
      <w:sz w:val="18"/>
      <w:szCs w:val="18"/>
      <w:lang w:val="en-GB" w:eastAsia="en-AU"/>
    </w:rPr>
  </w:style>
  <w:style w:type="character" w:styleId="Emphasis">
    <w:name w:val="Emphasis"/>
    <w:basedOn w:val="DefaultParagraphFont"/>
    <w:uiPriority w:val="20"/>
    <w:qFormat/>
    <w:rsid w:val="00DC014D"/>
    <w:rPr>
      <w:i/>
      <w:iCs/>
    </w:rPr>
  </w:style>
  <w:style w:type="character" w:customStyle="1" w:styleId="UnresolvedMention2">
    <w:name w:val="Unresolved Mention2"/>
    <w:basedOn w:val="DefaultParagraphFont"/>
    <w:uiPriority w:val="99"/>
    <w:semiHidden/>
    <w:unhideWhenUsed/>
    <w:rsid w:val="0040610A"/>
    <w:rPr>
      <w:color w:val="808080"/>
      <w:shd w:val="clear" w:color="auto" w:fill="E6E6E6"/>
    </w:rPr>
  </w:style>
  <w:style w:type="character" w:styleId="UnresolvedMention">
    <w:name w:val="Unresolved Mention"/>
    <w:basedOn w:val="DefaultParagraphFont"/>
    <w:uiPriority w:val="99"/>
    <w:semiHidden/>
    <w:unhideWhenUsed/>
    <w:rsid w:val="001735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29145">
      <w:bodyDiv w:val="1"/>
      <w:marLeft w:val="0"/>
      <w:marRight w:val="0"/>
      <w:marTop w:val="0"/>
      <w:marBottom w:val="0"/>
      <w:divBdr>
        <w:top w:val="none" w:sz="0" w:space="0" w:color="auto"/>
        <w:left w:val="none" w:sz="0" w:space="0" w:color="auto"/>
        <w:bottom w:val="none" w:sz="0" w:space="0" w:color="auto"/>
        <w:right w:val="none" w:sz="0" w:space="0" w:color="auto"/>
      </w:divBdr>
    </w:div>
    <w:div w:id="319886602">
      <w:bodyDiv w:val="1"/>
      <w:marLeft w:val="0"/>
      <w:marRight w:val="0"/>
      <w:marTop w:val="0"/>
      <w:marBottom w:val="0"/>
      <w:divBdr>
        <w:top w:val="none" w:sz="0" w:space="0" w:color="auto"/>
        <w:left w:val="none" w:sz="0" w:space="0" w:color="auto"/>
        <w:bottom w:val="none" w:sz="0" w:space="0" w:color="auto"/>
        <w:right w:val="none" w:sz="0" w:space="0" w:color="auto"/>
      </w:divBdr>
    </w:div>
    <w:div w:id="354120472">
      <w:bodyDiv w:val="1"/>
      <w:marLeft w:val="0"/>
      <w:marRight w:val="0"/>
      <w:marTop w:val="0"/>
      <w:marBottom w:val="0"/>
      <w:divBdr>
        <w:top w:val="none" w:sz="0" w:space="0" w:color="auto"/>
        <w:left w:val="none" w:sz="0" w:space="0" w:color="auto"/>
        <w:bottom w:val="none" w:sz="0" w:space="0" w:color="auto"/>
        <w:right w:val="none" w:sz="0" w:space="0" w:color="auto"/>
      </w:divBdr>
      <w:divsChild>
        <w:div w:id="1852724194">
          <w:marLeft w:val="0"/>
          <w:marRight w:val="0"/>
          <w:marTop w:val="0"/>
          <w:marBottom w:val="0"/>
          <w:divBdr>
            <w:top w:val="none" w:sz="0" w:space="0" w:color="auto"/>
            <w:left w:val="none" w:sz="0" w:space="0" w:color="auto"/>
            <w:bottom w:val="none" w:sz="0" w:space="0" w:color="auto"/>
            <w:right w:val="none" w:sz="0" w:space="0" w:color="auto"/>
          </w:divBdr>
          <w:divsChild>
            <w:div w:id="396130008">
              <w:marLeft w:val="0"/>
              <w:marRight w:val="0"/>
              <w:marTop w:val="0"/>
              <w:marBottom w:val="0"/>
              <w:divBdr>
                <w:top w:val="none" w:sz="0" w:space="0" w:color="auto"/>
                <w:left w:val="none" w:sz="0" w:space="0" w:color="auto"/>
                <w:bottom w:val="none" w:sz="0" w:space="0" w:color="auto"/>
                <w:right w:val="none" w:sz="0" w:space="0" w:color="auto"/>
              </w:divBdr>
              <w:divsChild>
                <w:div w:id="590748231">
                  <w:marLeft w:val="0"/>
                  <w:marRight w:val="0"/>
                  <w:marTop w:val="0"/>
                  <w:marBottom w:val="0"/>
                  <w:divBdr>
                    <w:top w:val="none" w:sz="0" w:space="0" w:color="auto"/>
                    <w:left w:val="none" w:sz="0" w:space="0" w:color="auto"/>
                    <w:bottom w:val="none" w:sz="0" w:space="0" w:color="auto"/>
                    <w:right w:val="none" w:sz="0" w:space="0" w:color="auto"/>
                  </w:divBdr>
                  <w:divsChild>
                    <w:div w:id="777213215">
                      <w:marLeft w:val="0"/>
                      <w:marRight w:val="0"/>
                      <w:marTop w:val="45"/>
                      <w:marBottom w:val="0"/>
                      <w:divBdr>
                        <w:top w:val="none" w:sz="0" w:space="0" w:color="auto"/>
                        <w:left w:val="none" w:sz="0" w:space="0" w:color="auto"/>
                        <w:bottom w:val="none" w:sz="0" w:space="0" w:color="auto"/>
                        <w:right w:val="none" w:sz="0" w:space="0" w:color="auto"/>
                      </w:divBdr>
                      <w:divsChild>
                        <w:div w:id="1777599012">
                          <w:marLeft w:val="0"/>
                          <w:marRight w:val="0"/>
                          <w:marTop w:val="0"/>
                          <w:marBottom w:val="0"/>
                          <w:divBdr>
                            <w:top w:val="none" w:sz="0" w:space="0" w:color="auto"/>
                            <w:left w:val="none" w:sz="0" w:space="0" w:color="auto"/>
                            <w:bottom w:val="none" w:sz="0" w:space="0" w:color="auto"/>
                            <w:right w:val="none" w:sz="0" w:space="0" w:color="auto"/>
                          </w:divBdr>
                          <w:divsChild>
                            <w:div w:id="330910785">
                              <w:marLeft w:val="2070"/>
                              <w:marRight w:val="3960"/>
                              <w:marTop w:val="0"/>
                              <w:marBottom w:val="0"/>
                              <w:divBdr>
                                <w:top w:val="none" w:sz="0" w:space="0" w:color="auto"/>
                                <w:left w:val="none" w:sz="0" w:space="0" w:color="auto"/>
                                <w:bottom w:val="none" w:sz="0" w:space="0" w:color="auto"/>
                                <w:right w:val="none" w:sz="0" w:space="0" w:color="auto"/>
                              </w:divBdr>
                              <w:divsChild>
                                <w:div w:id="346713656">
                                  <w:marLeft w:val="0"/>
                                  <w:marRight w:val="0"/>
                                  <w:marTop w:val="0"/>
                                  <w:marBottom w:val="0"/>
                                  <w:divBdr>
                                    <w:top w:val="none" w:sz="0" w:space="0" w:color="auto"/>
                                    <w:left w:val="none" w:sz="0" w:space="0" w:color="auto"/>
                                    <w:bottom w:val="none" w:sz="0" w:space="0" w:color="auto"/>
                                    <w:right w:val="none" w:sz="0" w:space="0" w:color="auto"/>
                                  </w:divBdr>
                                  <w:divsChild>
                                    <w:div w:id="1097291999">
                                      <w:marLeft w:val="0"/>
                                      <w:marRight w:val="0"/>
                                      <w:marTop w:val="0"/>
                                      <w:marBottom w:val="0"/>
                                      <w:divBdr>
                                        <w:top w:val="none" w:sz="0" w:space="0" w:color="auto"/>
                                        <w:left w:val="none" w:sz="0" w:space="0" w:color="auto"/>
                                        <w:bottom w:val="none" w:sz="0" w:space="0" w:color="auto"/>
                                        <w:right w:val="none" w:sz="0" w:space="0" w:color="auto"/>
                                      </w:divBdr>
                                      <w:divsChild>
                                        <w:div w:id="1694765139">
                                          <w:marLeft w:val="0"/>
                                          <w:marRight w:val="0"/>
                                          <w:marTop w:val="0"/>
                                          <w:marBottom w:val="0"/>
                                          <w:divBdr>
                                            <w:top w:val="none" w:sz="0" w:space="0" w:color="auto"/>
                                            <w:left w:val="none" w:sz="0" w:space="0" w:color="auto"/>
                                            <w:bottom w:val="none" w:sz="0" w:space="0" w:color="auto"/>
                                            <w:right w:val="none" w:sz="0" w:space="0" w:color="auto"/>
                                          </w:divBdr>
                                          <w:divsChild>
                                            <w:div w:id="1935170239">
                                              <w:marLeft w:val="0"/>
                                              <w:marRight w:val="0"/>
                                              <w:marTop w:val="90"/>
                                              <w:marBottom w:val="0"/>
                                              <w:divBdr>
                                                <w:top w:val="none" w:sz="0" w:space="0" w:color="auto"/>
                                                <w:left w:val="none" w:sz="0" w:space="0" w:color="auto"/>
                                                <w:bottom w:val="none" w:sz="0" w:space="0" w:color="auto"/>
                                                <w:right w:val="none" w:sz="0" w:space="0" w:color="auto"/>
                                              </w:divBdr>
                                              <w:divsChild>
                                                <w:div w:id="928126553">
                                                  <w:marLeft w:val="0"/>
                                                  <w:marRight w:val="0"/>
                                                  <w:marTop w:val="0"/>
                                                  <w:marBottom w:val="0"/>
                                                  <w:divBdr>
                                                    <w:top w:val="none" w:sz="0" w:space="0" w:color="auto"/>
                                                    <w:left w:val="none" w:sz="0" w:space="0" w:color="auto"/>
                                                    <w:bottom w:val="none" w:sz="0" w:space="0" w:color="auto"/>
                                                    <w:right w:val="none" w:sz="0" w:space="0" w:color="auto"/>
                                                  </w:divBdr>
                                                  <w:divsChild>
                                                    <w:div w:id="421688303">
                                                      <w:marLeft w:val="0"/>
                                                      <w:marRight w:val="0"/>
                                                      <w:marTop w:val="0"/>
                                                      <w:marBottom w:val="0"/>
                                                      <w:divBdr>
                                                        <w:top w:val="none" w:sz="0" w:space="0" w:color="auto"/>
                                                        <w:left w:val="none" w:sz="0" w:space="0" w:color="auto"/>
                                                        <w:bottom w:val="none" w:sz="0" w:space="0" w:color="auto"/>
                                                        <w:right w:val="none" w:sz="0" w:space="0" w:color="auto"/>
                                                      </w:divBdr>
                                                      <w:divsChild>
                                                        <w:div w:id="597520396">
                                                          <w:marLeft w:val="0"/>
                                                          <w:marRight w:val="0"/>
                                                          <w:marTop w:val="0"/>
                                                          <w:marBottom w:val="390"/>
                                                          <w:divBdr>
                                                            <w:top w:val="none" w:sz="0" w:space="0" w:color="auto"/>
                                                            <w:left w:val="none" w:sz="0" w:space="0" w:color="auto"/>
                                                            <w:bottom w:val="none" w:sz="0" w:space="0" w:color="auto"/>
                                                            <w:right w:val="none" w:sz="0" w:space="0" w:color="auto"/>
                                                          </w:divBdr>
                                                          <w:divsChild>
                                                            <w:div w:id="19622867">
                                                              <w:marLeft w:val="0"/>
                                                              <w:marRight w:val="0"/>
                                                              <w:marTop w:val="0"/>
                                                              <w:marBottom w:val="0"/>
                                                              <w:divBdr>
                                                                <w:top w:val="none" w:sz="0" w:space="0" w:color="auto"/>
                                                                <w:left w:val="none" w:sz="0" w:space="0" w:color="auto"/>
                                                                <w:bottom w:val="none" w:sz="0" w:space="0" w:color="auto"/>
                                                                <w:right w:val="none" w:sz="0" w:space="0" w:color="auto"/>
                                                              </w:divBdr>
                                                              <w:divsChild>
                                                                <w:div w:id="1651472019">
                                                                  <w:marLeft w:val="0"/>
                                                                  <w:marRight w:val="0"/>
                                                                  <w:marTop w:val="0"/>
                                                                  <w:marBottom w:val="0"/>
                                                                  <w:divBdr>
                                                                    <w:top w:val="none" w:sz="0" w:space="0" w:color="auto"/>
                                                                    <w:left w:val="none" w:sz="0" w:space="0" w:color="auto"/>
                                                                    <w:bottom w:val="none" w:sz="0" w:space="0" w:color="auto"/>
                                                                    <w:right w:val="none" w:sz="0" w:space="0" w:color="auto"/>
                                                                  </w:divBdr>
                                                                  <w:divsChild>
                                                                    <w:div w:id="90275618">
                                                                      <w:marLeft w:val="0"/>
                                                                      <w:marRight w:val="0"/>
                                                                      <w:marTop w:val="0"/>
                                                                      <w:marBottom w:val="0"/>
                                                                      <w:divBdr>
                                                                        <w:top w:val="none" w:sz="0" w:space="0" w:color="auto"/>
                                                                        <w:left w:val="none" w:sz="0" w:space="0" w:color="auto"/>
                                                                        <w:bottom w:val="none" w:sz="0" w:space="0" w:color="auto"/>
                                                                        <w:right w:val="none" w:sz="0" w:space="0" w:color="auto"/>
                                                                      </w:divBdr>
                                                                      <w:divsChild>
                                                                        <w:div w:id="140117439">
                                                                          <w:marLeft w:val="0"/>
                                                                          <w:marRight w:val="0"/>
                                                                          <w:marTop w:val="0"/>
                                                                          <w:marBottom w:val="0"/>
                                                                          <w:divBdr>
                                                                            <w:top w:val="none" w:sz="0" w:space="0" w:color="auto"/>
                                                                            <w:left w:val="none" w:sz="0" w:space="0" w:color="auto"/>
                                                                            <w:bottom w:val="none" w:sz="0" w:space="0" w:color="auto"/>
                                                                            <w:right w:val="none" w:sz="0" w:space="0" w:color="auto"/>
                                                                          </w:divBdr>
                                                                          <w:divsChild>
                                                                            <w:div w:id="627470988">
                                                                              <w:marLeft w:val="0"/>
                                                                              <w:marRight w:val="0"/>
                                                                              <w:marTop w:val="0"/>
                                                                              <w:marBottom w:val="0"/>
                                                                              <w:divBdr>
                                                                                <w:top w:val="none" w:sz="0" w:space="0" w:color="auto"/>
                                                                                <w:left w:val="none" w:sz="0" w:space="0" w:color="auto"/>
                                                                                <w:bottom w:val="none" w:sz="0" w:space="0" w:color="auto"/>
                                                                                <w:right w:val="none" w:sz="0" w:space="0" w:color="auto"/>
                                                                              </w:divBdr>
                                                                              <w:divsChild>
                                                                                <w:div w:id="4783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380182">
      <w:bodyDiv w:val="1"/>
      <w:marLeft w:val="0"/>
      <w:marRight w:val="0"/>
      <w:marTop w:val="0"/>
      <w:marBottom w:val="0"/>
      <w:divBdr>
        <w:top w:val="none" w:sz="0" w:space="0" w:color="auto"/>
        <w:left w:val="none" w:sz="0" w:space="0" w:color="auto"/>
        <w:bottom w:val="none" w:sz="0" w:space="0" w:color="auto"/>
        <w:right w:val="none" w:sz="0" w:space="0" w:color="auto"/>
      </w:divBdr>
    </w:div>
    <w:div w:id="531190103">
      <w:bodyDiv w:val="1"/>
      <w:marLeft w:val="0"/>
      <w:marRight w:val="0"/>
      <w:marTop w:val="0"/>
      <w:marBottom w:val="0"/>
      <w:divBdr>
        <w:top w:val="none" w:sz="0" w:space="0" w:color="auto"/>
        <w:left w:val="none" w:sz="0" w:space="0" w:color="auto"/>
        <w:bottom w:val="none" w:sz="0" w:space="0" w:color="auto"/>
        <w:right w:val="none" w:sz="0" w:space="0" w:color="auto"/>
      </w:divBdr>
    </w:div>
    <w:div w:id="889729036">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737699350">
      <w:bodyDiv w:val="1"/>
      <w:marLeft w:val="0"/>
      <w:marRight w:val="0"/>
      <w:marTop w:val="0"/>
      <w:marBottom w:val="0"/>
      <w:divBdr>
        <w:top w:val="none" w:sz="0" w:space="0" w:color="auto"/>
        <w:left w:val="none" w:sz="0" w:space="0" w:color="auto"/>
        <w:bottom w:val="none" w:sz="0" w:space="0" w:color="auto"/>
        <w:right w:val="none" w:sz="0" w:space="0" w:color="auto"/>
      </w:divBdr>
    </w:div>
    <w:div w:id="200416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geology.data.vic.gov.au/energy/index.html" TargetMode="External"/><Relationship Id="rId39" Type="http://schemas.openxmlformats.org/officeDocument/2006/relationships/hyperlink" Target="http://www.petroleum-acreage.gov.au/2017/geology/otway-basin/inner-otway-basin"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vfa.vic.gov.au/"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arthresources.vic.gov.au/home/2018-acreage-release" TargetMode="External"/><Relationship Id="rId25" Type="http://schemas.openxmlformats.org/officeDocument/2006/relationships/hyperlink" Target="http://earthresources.vic.gov.au/earth-resources/maps-reports-and-data/geovic" TargetMode="External"/><Relationship Id="rId33" Type="http://schemas.openxmlformats.org/officeDocument/2006/relationships/hyperlink" Target="http://earthresources.efirst.com.au/" TargetMode="External"/><Relationship Id="rId38" Type="http://schemas.openxmlformats.org/officeDocument/2006/relationships/hyperlink" Target="https://transportsafety.vic.gov.au/maritime-safety" TargetMode="External"/><Relationship Id="rId2" Type="http://schemas.openxmlformats.org/officeDocument/2006/relationships/numbering" Target="numbering.xml"/><Relationship Id="rId16" Type="http://schemas.openxmlformats.org/officeDocument/2006/relationships/hyperlink" Target="http://earthresources.vic.gov.au/home/2018-acreage-release" TargetMode="External"/><Relationship Id="rId20" Type="http://schemas.openxmlformats.org/officeDocument/2006/relationships/image" Target="media/image7.png"/><Relationship Id="rId29" Type="http://schemas.openxmlformats.org/officeDocument/2006/relationships/hyperlink" Target="http://www.geoscience.gov.au/gadd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ga.gov.au/nopims" TargetMode="External"/><Relationship Id="rId32" Type="http://schemas.openxmlformats.org/officeDocument/2006/relationships/hyperlink" Target="https://data.gov.au/dataset/gravity-anomaly-grid-of-the-australian-region-2009/resource/29994acd-8e66-4be0-aff9-6b53e478c428" TargetMode="External"/><Relationship Id="rId37" Type="http://schemas.openxmlformats.org/officeDocument/2006/relationships/hyperlink" Target="https://applications.vic.gov.au/apps/achris/public/public-registry/home" TargetMode="External"/><Relationship Id="rId40" Type="http://schemas.openxmlformats.org/officeDocument/2006/relationships/hyperlink" Target="http://www.petroleum-acreage.gov.au/2017/geology/otway-basin/inner-otway-basi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yperlink" Target="http://www.geoscience.gov.au/gadds" TargetMode="External"/><Relationship Id="rId36" Type="http://schemas.openxmlformats.org/officeDocument/2006/relationships/hyperlink" Target="file:///C:\Users\vic7n5y\TRIM\Offline%20Records%20(A1)\Victorian%20Gas%20Program%20VGP%20-%20Offshore%20studies%20-%20Victorian%20~%20Projects%20-%20Planning(3)\Aboriginal%20Victoria" TargetMode="External"/><Relationship Id="rId10" Type="http://schemas.openxmlformats.org/officeDocument/2006/relationships/image" Target="media/image3.jpg"/><Relationship Id="rId19" Type="http://schemas.openxmlformats.org/officeDocument/2006/relationships/image" Target="media/image6.png"/><Relationship Id="rId31" Type="http://schemas.openxmlformats.org/officeDocument/2006/relationships/hyperlink" Target="http://earthresources.vic.gov.au/earth-resources/maps-reports-and-dat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yperlink" Target="http://geology.data.vic.gov.au/energy/index.html" TargetMode="External"/><Relationship Id="rId30" Type="http://schemas.openxmlformats.org/officeDocument/2006/relationships/hyperlink" Target="https://data.gov.au/dataset/gravity-anomaly-grid-of-the-australian-region-2009/resource/29994acd-8e66-4be0-aff9-6b53e478c428" TargetMode="External"/><Relationship Id="rId35" Type="http://schemas.openxmlformats.org/officeDocument/2006/relationships/hyperlink" Target="http://earthresources.vic.gov.au/earth-resources-regulation/licensing-and-approvals/minerals/get-a-licence/native-title-act" TargetMode="Externa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6D684-F13A-47D9-8C81-A54430FC7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13089</Words>
  <Characters>74612</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2018-05-14T05:43:00Z</dcterms:created>
  <dcterms:modified xsi:type="dcterms:W3CDTF">2018-05-14T05:43:00Z</dcterms:modified>
</cp:coreProperties>
</file>