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297C" w14:textId="77777777" w:rsidR="00224457" w:rsidRPr="000A1932" w:rsidRDefault="00224457" w:rsidP="003B7342">
      <w:pPr>
        <w:rPr>
          <w:rFonts w:ascii="Calibri" w:hAnsi="Calibri" w:cs="Calibri"/>
          <w:szCs w:val="24"/>
        </w:rPr>
      </w:pPr>
      <w:bookmarkStart w:id="0" w:name="_GoBack"/>
      <w:bookmarkEnd w:id="0"/>
    </w:p>
    <w:p w14:paraId="15AE6918" w14:textId="77777777" w:rsidR="00513C8B" w:rsidRPr="000A1932" w:rsidRDefault="00513C8B" w:rsidP="003B7342">
      <w:pPr>
        <w:ind w:firstLine="6521"/>
        <w:rPr>
          <w:rFonts w:ascii="Calibri" w:hAnsi="Calibri" w:cs="Calibri"/>
          <w:szCs w:val="24"/>
        </w:rPr>
      </w:pPr>
    </w:p>
    <w:p w14:paraId="5F0278B0" w14:textId="77777777" w:rsidR="005025BB" w:rsidRDefault="005025BB" w:rsidP="003B7342">
      <w:pPr>
        <w:tabs>
          <w:tab w:val="left" w:pos="6804"/>
        </w:tabs>
        <w:rPr>
          <w:rFonts w:ascii="Calibri" w:hAnsi="Calibri" w:cs="Calibri"/>
          <w:spacing w:val="10"/>
          <w:szCs w:val="24"/>
        </w:rPr>
      </w:pPr>
    </w:p>
    <w:p w14:paraId="7CDCCFE6" w14:textId="77777777" w:rsidR="005025BB" w:rsidRDefault="005025BB" w:rsidP="003B7342">
      <w:pPr>
        <w:tabs>
          <w:tab w:val="left" w:pos="6804"/>
        </w:tabs>
        <w:rPr>
          <w:rFonts w:ascii="Calibri" w:hAnsi="Calibri" w:cs="Calibri"/>
          <w:spacing w:val="10"/>
          <w:szCs w:val="24"/>
        </w:rPr>
        <w:sectPr w:rsidR="005025BB" w:rsidSect="005025BB">
          <w:headerReference w:type="default" r:id="rId7"/>
          <w:footerReference w:type="default" r:id="rId8"/>
          <w:pgSz w:w="11907" w:h="16840" w:code="9"/>
          <w:pgMar w:top="1843" w:right="1412" w:bottom="1140" w:left="1701" w:header="567" w:footer="1307" w:gutter="0"/>
          <w:paperSrc w:first="15" w:other="15"/>
          <w:cols w:space="720"/>
        </w:sectPr>
      </w:pPr>
    </w:p>
    <w:p w14:paraId="3E20B433" w14:textId="77777777" w:rsidR="005025BB" w:rsidRDefault="005025BB" w:rsidP="003B7342">
      <w:pPr>
        <w:tabs>
          <w:tab w:val="left" w:pos="6804"/>
        </w:tabs>
        <w:rPr>
          <w:rFonts w:ascii="Calibri" w:hAnsi="Calibri" w:cs="Calibri"/>
          <w:spacing w:val="10"/>
          <w:szCs w:val="24"/>
        </w:rPr>
      </w:pPr>
    </w:p>
    <w:p w14:paraId="07ADD5EF" w14:textId="77777777" w:rsidR="005025BB" w:rsidRDefault="005025BB" w:rsidP="003B7342">
      <w:pPr>
        <w:tabs>
          <w:tab w:val="left" w:pos="6804"/>
        </w:tabs>
        <w:rPr>
          <w:rFonts w:ascii="Calibri" w:hAnsi="Calibri" w:cs="Calibri"/>
          <w:spacing w:val="10"/>
          <w:szCs w:val="24"/>
        </w:rPr>
      </w:pPr>
    </w:p>
    <w:p w14:paraId="32F4D74A" w14:textId="77777777" w:rsidR="003B120F" w:rsidRPr="000A1932" w:rsidRDefault="003B120F" w:rsidP="003B120F">
      <w:pPr>
        <w:tabs>
          <w:tab w:val="left" w:pos="6804"/>
        </w:tabs>
        <w:rPr>
          <w:rFonts w:ascii="Calibri" w:hAnsi="Calibri" w:cs="Calibri"/>
          <w:szCs w:val="24"/>
        </w:rPr>
      </w:pPr>
      <w:r w:rsidRPr="000A1932">
        <w:rPr>
          <w:rFonts w:ascii="Calibri" w:hAnsi="Calibri" w:cs="Calibri"/>
          <w:spacing w:val="10"/>
          <w:szCs w:val="24"/>
        </w:rPr>
        <w:t xml:space="preserve">Ref: </w:t>
      </w:r>
      <w:r>
        <w:rPr>
          <w:rFonts w:ascii="Calibri" w:hAnsi="Calibri" w:cs="Calibri"/>
          <w:spacing w:val="10"/>
          <w:szCs w:val="24"/>
        </w:rPr>
        <w:t>BMIN18002266</w:t>
      </w:r>
      <w:r w:rsidRPr="000A1932">
        <w:rPr>
          <w:rFonts w:ascii="Calibri" w:hAnsi="Calibri" w:cs="Calibri"/>
          <w:szCs w:val="24"/>
        </w:rPr>
        <w:t>R</w:t>
      </w:r>
    </w:p>
    <w:p w14:paraId="75F404D3" w14:textId="77777777" w:rsidR="003B120F" w:rsidRPr="000A1932" w:rsidRDefault="003B120F" w:rsidP="003B120F">
      <w:pPr>
        <w:rPr>
          <w:rFonts w:ascii="Calibri" w:hAnsi="Calibri" w:cs="Calibri"/>
          <w:szCs w:val="24"/>
        </w:rPr>
      </w:pPr>
    </w:p>
    <w:p w14:paraId="2D6A15C7" w14:textId="77777777" w:rsidR="003B120F" w:rsidRPr="000A1932" w:rsidRDefault="003B120F" w:rsidP="003B120F">
      <w:pPr>
        <w:rPr>
          <w:rFonts w:ascii="Calibri" w:hAnsi="Calibri" w:cs="Calibri"/>
          <w:szCs w:val="24"/>
        </w:rPr>
      </w:pPr>
    </w:p>
    <w:p w14:paraId="59D24856" w14:textId="77777777" w:rsidR="003B120F" w:rsidRPr="000A1932" w:rsidRDefault="003B120F" w:rsidP="003B120F">
      <w:pPr>
        <w:rPr>
          <w:rFonts w:ascii="Calibri" w:hAnsi="Calibri" w:cs="Calibri"/>
          <w:szCs w:val="24"/>
        </w:rPr>
      </w:pPr>
    </w:p>
    <w:p w14:paraId="732DEB4C" w14:textId="77777777" w:rsidR="003B120F" w:rsidRPr="000A1932" w:rsidRDefault="003B120F" w:rsidP="003B120F">
      <w:pPr>
        <w:rPr>
          <w:rFonts w:ascii="Calibri" w:hAnsi="Calibri" w:cs="Calibri"/>
          <w:szCs w:val="24"/>
        </w:rPr>
      </w:pPr>
      <w:r>
        <w:rPr>
          <w:rFonts w:ascii="Calibri" w:hAnsi="Calibri" w:cs="Calibri"/>
          <w:szCs w:val="24"/>
        </w:rPr>
        <w:t xml:space="preserve">Mr </w:t>
      </w:r>
      <w:r w:rsidRPr="002442AC">
        <w:rPr>
          <w:rFonts w:ascii="Calibri" w:hAnsi="Calibri" w:cs="Calibri"/>
          <w:szCs w:val="24"/>
        </w:rPr>
        <w:t>Richard Bolt</w:t>
      </w:r>
    </w:p>
    <w:p w14:paraId="43A8BD91" w14:textId="77777777" w:rsidR="003B120F" w:rsidRPr="000A1932" w:rsidRDefault="003B120F" w:rsidP="003B120F">
      <w:pPr>
        <w:rPr>
          <w:rFonts w:ascii="Calibri" w:hAnsi="Calibri" w:cs="Calibri"/>
          <w:szCs w:val="24"/>
        </w:rPr>
      </w:pPr>
      <w:r>
        <w:rPr>
          <w:rFonts w:ascii="Calibri" w:hAnsi="Calibri" w:cs="Calibri"/>
          <w:szCs w:val="24"/>
        </w:rPr>
        <w:t>Secretary</w:t>
      </w:r>
    </w:p>
    <w:p w14:paraId="3B7D405D" w14:textId="77777777" w:rsidR="003B120F" w:rsidRPr="000A1932" w:rsidRDefault="003B120F" w:rsidP="003B120F">
      <w:pPr>
        <w:rPr>
          <w:rFonts w:ascii="Calibri" w:hAnsi="Calibri" w:cs="Calibri"/>
          <w:szCs w:val="24"/>
        </w:rPr>
      </w:pPr>
      <w:r w:rsidRPr="002442AC">
        <w:rPr>
          <w:rFonts w:ascii="Calibri" w:hAnsi="Calibri" w:cs="Calibri"/>
          <w:szCs w:val="24"/>
        </w:rPr>
        <w:t>Department of Economic Development, Jobs, Transport and Resources</w:t>
      </w:r>
    </w:p>
    <w:p w14:paraId="4F1AFDB6" w14:textId="77777777" w:rsidR="003B120F" w:rsidRPr="002442AC" w:rsidRDefault="003B120F" w:rsidP="003B120F">
      <w:pPr>
        <w:rPr>
          <w:rFonts w:ascii="Calibri" w:hAnsi="Calibri" w:cs="Calibri"/>
          <w:szCs w:val="24"/>
        </w:rPr>
      </w:pPr>
      <w:r w:rsidRPr="002442AC">
        <w:rPr>
          <w:rFonts w:ascii="Calibri" w:hAnsi="Calibri" w:cs="Calibri"/>
          <w:szCs w:val="24"/>
        </w:rPr>
        <w:t>GPO Box 4509</w:t>
      </w:r>
    </w:p>
    <w:p w14:paraId="5984055C" w14:textId="77777777" w:rsidR="003B120F" w:rsidRPr="000A1932" w:rsidRDefault="003B120F" w:rsidP="003B120F">
      <w:pPr>
        <w:rPr>
          <w:rFonts w:ascii="Calibri" w:hAnsi="Calibri" w:cs="Calibri"/>
          <w:szCs w:val="24"/>
        </w:rPr>
      </w:pPr>
      <w:r w:rsidRPr="002442AC">
        <w:rPr>
          <w:rFonts w:ascii="Calibri" w:hAnsi="Calibri" w:cs="Calibri"/>
          <w:szCs w:val="24"/>
        </w:rPr>
        <w:t>MELBOURNE</w:t>
      </w:r>
      <w:r>
        <w:rPr>
          <w:rFonts w:ascii="Calibri" w:hAnsi="Calibri" w:cs="Calibri"/>
          <w:szCs w:val="24"/>
        </w:rPr>
        <w:t xml:space="preserve">  VIC </w:t>
      </w:r>
      <w:r w:rsidRPr="002442AC">
        <w:rPr>
          <w:rFonts w:ascii="Calibri" w:hAnsi="Calibri" w:cs="Calibri"/>
          <w:szCs w:val="24"/>
        </w:rPr>
        <w:t xml:space="preserve"> 3001</w:t>
      </w:r>
    </w:p>
    <w:p w14:paraId="38CE76E2" w14:textId="77777777" w:rsidR="003B120F" w:rsidRPr="00766D50" w:rsidRDefault="003B120F" w:rsidP="003B120F">
      <w:pPr>
        <w:rPr>
          <w:rFonts w:ascii="Calibri" w:eastAsia="Calibri" w:hAnsi="Calibri" w:cs="Calibri"/>
          <w:color w:val="0000FF"/>
          <w:szCs w:val="24"/>
        </w:rPr>
      </w:pPr>
    </w:p>
    <w:p w14:paraId="63B39B7C" w14:textId="77777777" w:rsidR="003B120F" w:rsidRPr="000A1932" w:rsidRDefault="003B120F" w:rsidP="003B120F">
      <w:pPr>
        <w:rPr>
          <w:rFonts w:ascii="Calibri" w:hAnsi="Calibri" w:cs="Calibri"/>
          <w:szCs w:val="24"/>
        </w:rPr>
      </w:pPr>
    </w:p>
    <w:p w14:paraId="7C60C6A6" w14:textId="77777777" w:rsidR="003B120F" w:rsidRPr="000A1932" w:rsidRDefault="003B120F" w:rsidP="003B120F">
      <w:pPr>
        <w:rPr>
          <w:rFonts w:ascii="Calibri" w:hAnsi="Calibri" w:cs="Calibri"/>
          <w:szCs w:val="24"/>
        </w:rPr>
      </w:pPr>
    </w:p>
    <w:p w14:paraId="27B1D002" w14:textId="77777777" w:rsidR="00393FEA" w:rsidRPr="000A1932" w:rsidRDefault="00393FEA" w:rsidP="00393FEA">
      <w:pPr>
        <w:rPr>
          <w:rFonts w:ascii="Calibri" w:hAnsi="Calibri" w:cs="Calibri"/>
          <w:szCs w:val="24"/>
        </w:rPr>
      </w:pPr>
      <w:r>
        <w:rPr>
          <w:rFonts w:ascii="Calibri" w:hAnsi="Calibri" w:cs="Calibri"/>
          <w:szCs w:val="24"/>
        </w:rPr>
        <w:t>Dear Mr Bolt</w:t>
      </w:r>
    </w:p>
    <w:p w14:paraId="6B85A062" w14:textId="77777777" w:rsidR="00393FEA" w:rsidRDefault="00393FEA" w:rsidP="00393FEA">
      <w:pPr>
        <w:rPr>
          <w:rFonts w:ascii="Calibri" w:hAnsi="Calibri" w:cs="Calibri"/>
          <w:szCs w:val="24"/>
        </w:rPr>
      </w:pPr>
    </w:p>
    <w:p w14:paraId="0066D0A2" w14:textId="77777777" w:rsidR="00393FEA" w:rsidRPr="002442AC" w:rsidRDefault="00393FEA" w:rsidP="00393FEA">
      <w:pPr>
        <w:spacing w:after="200"/>
        <w:rPr>
          <w:rFonts w:ascii="Calibri" w:hAnsi="Calibri" w:cs="Calibri"/>
          <w:szCs w:val="24"/>
        </w:rPr>
      </w:pPr>
      <w:r w:rsidRPr="002442AC">
        <w:rPr>
          <w:rFonts w:ascii="Calibri" w:hAnsi="Calibri" w:cs="Calibri"/>
          <w:b/>
          <w:szCs w:val="24"/>
        </w:rPr>
        <w:t>STATEMENT OF EXPECTATIONS FOR EARTH RESOURCES REGULATION</w:t>
      </w:r>
    </w:p>
    <w:p w14:paraId="035E823D" w14:textId="77777777" w:rsidR="00393FEA" w:rsidRDefault="00393FEA" w:rsidP="00393FEA">
      <w:pPr>
        <w:rPr>
          <w:rFonts w:ascii="Calibri" w:hAnsi="Calibri" w:cs="Calibri"/>
          <w:szCs w:val="24"/>
        </w:rPr>
      </w:pPr>
      <w:r w:rsidRPr="002442AC">
        <w:rPr>
          <w:rFonts w:ascii="Calibri" w:hAnsi="Calibri" w:cs="Calibri"/>
          <w:szCs w:val="24"/>
        </w:rPr>
        <w:t>I am writing to provide you with my Statement of Expectations for Earth Resources Regulation</w:t>
      </w:r>
      <w:r w:rsidR="00A32ABA">
        <w:rPr>
          <w:rFonts w:ascii="Calibri" w:hAnsi="Calibri" w:cs="Calibri"/>
          <w:szCs w:val="24"/>
        </w:rPr>
        <w:t xml:space="preserve"> from now</w:t>
      </w:r>
      <w:r>
        <w:rPr>
          <w:rFonts w:ascii="Calibri" w:hAnsi="Calibri" w:cs="Calibri"/>
          <w:szCs w:val="24"/>
        </w:rPr>
        <w:t xml:space="preserve"> </w:t>
      </w:r>
      <w:r w:rsidR="000F19ED">
        <w:rPr>
          <w:rFonts w:ascii="Calibri" w:hAnsi="Calibri" w:cs="Calibri"/>
          <w:szCs w:val="24"/>
        </w:rPr>
        <w:t>until</w:t>
      </w:r>
      <w:r>
        <w:rPr>
          <w:rFonts w:ascii="Calibri" w:hAnsi="Calibri" w:cs="Calibri"/>
          <w:szCs w:val="24"/>
        </w:rPr>
        <w:t xml:space="preserve"> 30 June 2020, superseding all prior Statements</w:t>
      </w:r>
      <w:r w:rsidRPr="002442AC">
        <w:rPr>
          <w:rFonts w:ascii="Calibri" w:hAnsi="Calibri" w:cs="Calibri"/>
          <w:szCs w:val="24"/>
        </w:rPr>
        <w:t>.</w:t>
      </w:r>
    </w:p>
    <w:p w14:paraId="5BB71828" w14:textId="77777777" w:rsidR="00393FEA" w:rsidRDefault="00393FEA" w:rsidP="00393FEA">
      <w:pPr>
        <w:rPr>
          <w:rFonts w:ascii="Calibri" w:hAnsi="Calibri" w:cs="Calibri"/>
          <w:szCs w:val="24"/>
        </w:rPr>
      </w:pPr>
    </w:p>
    <w:p w14:paraId="1A268F03" w14:textId="77777777" w:rsidR="00393FEA" w:rsidRPr="002442AC" w:rsidRDefault="00393FEA" w:rsidP="00393FEA">
      <w:pPr>
        <w:rPr>
          <w:rFonts w:ascii="Calibri" w:hAnsi="Calibri" w:cs="Calibri"/>
          <w:szCs w:val="24"/>
        </w:rPr>
      </w:pPr>
      <w:r w:rsidRPr="002442AC">
        <w:rPr>
          <w:rFonts w:ascii="Calibri" w:hAnsi="Calibri" w:cs="Calibri"/>
          <w:szCs w:val="24"/>
        </w:rPr>
        <w:t>Victoria’s regulators are required to implement the Statement of Expectations Framework to embed operational excellence by regulators in the task of administrating and enforcing regulation, and in improving their performance.</w:t>
      </w:r>
    </w:p>
    <w:p w14:paraId="54491691" w14:textId="77777777" w:rsidR="00393FEA" w:rsidRPr="002442AC" w:rsidRDefault="00393FEA" w:rsidP="00393FEA">
      <w:pPr>
        <w:rPr>
          <w:rFonts w:ascii="Calibri" w:hAnsi="Calibri" w:cs="Calibri"/>
          <w:szCs w:val="24"/>
        </w:rPr>
      </w:pPr>
    </w:p>
    <w:p w14:paraId="12F3A686" w14:textId="77777777" w:rsidR="00393FEA" w:rsidRPr="002442AC" w:rsidRDefault="00393FEA" w:rsidP="00393FEA">
      <w:pPr>
        <w:rPr>
          <w:rFonts w:ascii="Calibri" w:hAnsi="Calibri" w:cs="Calibri"/>
          <w:color w:val="000000"/>
          <w:szCs w:val="24"/>
        </w:rPr>
      </w:pPr>
      <w:r w:rsidRPr="002442AC">
        <w:rPr>
          <w:rFonts w:ascii="Calibri" w:hAnsi="Calibri" w:cs="Calibri"/>
          <w:color w:val="000000"/>
          <w:szCs w:val="24"/>
        </w:rPr>
        <w:t>The Government is committed to improving the wellbeing and prosperity of all Victorians. Achieving this outcome requires action from all parts of government, working in partnership with industries and communities to grow the economy and create meaningful jobs, while reducing disadvantage and barriers to work.</w:t>
      </w:r>
    </w:p>
    <w:p w14:paraId="28482119" w14:textId="77777777" w:rsidR="00393FEA" w:rsidRPr="002442AC" w:rsidRDefault="00393FEA" w:rsidP="00393FEA">
      <w:pPr>
        <w:rPr>
          <w:rFonts w:ascii="Calibri" w:hAnsi="Calibri" w:cs="Calibri"/>
          <w:color w:val="000000"/>
          <w:szCs w:val="24"/>
        </w:rPr>
      </w:pPr>
    </w:p>
    <w:p w14:paraId="722A7B52" w14:textId="77777777" w:rsidR="00393FEA" w:rsidRPr="002442AC" w:rsidRDefault="00393FEA" w:rsidP="00393FEA">
      <w:pPr>
        <w:rPr>
          <w:rFonts w:ascii="Calibri" w:hAnsi="Calibri" w:cs="Calibri"/>
          <w:color w:val="000000"/>
          <w:szCs w:val="24"/>
        </w:rPr>
      </w:pPr>
      <w:r w:rsidRPr="002442AC">
        <w:rPr>
          <w:rFonts w:ascii="Calibri" w:hAnsi="Calibri" w:cs="Calibri"/>
          <w:color w:val="000000"/>
          <w:szCs w:val="24"/>
        </w:rPr>
        <w:t>Victoria’s earth resources sector contributes significantly to our economy and provides thousands of jobs in regional Victoria and the outer suburbs of Melbourne. Looking to the future, a modern regulator is critical to ensuring Victoria’s earth resources sector can deliver the construction materials needed to build roads, houses and other major infrastructure required to support our growing population.</w:t>
      </w:r>
    </w:p>
    <w:p w14:paraId="62C9DE51" w14:textId="77777777" w:rsidR="00393FEA" w:rsidRPr="002442AC" w:rsidRDefault="00393FEA" w:rsidP="00393FEA">
      <w:pPr>
        <w:rPr>
          <w:rFonts w:ascii="Calibri" w:hAnsi="Calibri" w:cs="Calibri"/>
          <w:color w:val="000000"/>
          <w:szCs w:val="24"/>
        </w:rPr>
      </w:pPr>
    </w:p>
    <w:p w14:paraId="7562A80F" w14:textId="77777777" w:rsidR="00393FEA" w:rsidRPr="002442AC" w:rsidRDefault="00393FEA" w:rsidP="00393FEA">
      <w:pPr>
        <w:rPr>
          <w:rFonts w:ascii="Calibri" w:hAnsi="Calibri" w:cs="Calibri"/>
          <w:szCs w:val="24"/>
        </w:rPr>
      </w:pPr>
      <w:r w:rsidRPr="002442AC">
        <w:rPr>
          <w:rFonts w:ascii="Calibri" w:hAnsi="Calibri" w:cs="Calibri"/>
          <w:color w:val="000000"/>
          <w:szCs w:val="24"/>
        </w:rPr>
        <w:t xml:space="preserve">A </w:t>
      </w:r>
      <w:bookmarkStart w:id="1" w:name="_Hlk517971041"/>
      <w:r w:rsidRPr="002442AC">
        <w:rPr>
          <w:rFonts w:ascii="Calibri" w:hAnsi="Calibri" w:cs="Calibri"/>
          <w:color w:val="000000"/>
          <w:szCs w:val="24"/>
        </w:rPr>
        <w:t>modern, proportionate</w:t>
      </w:r>
      <w:r>
        <w:rPr>
          <w:rFonts w:ascii="Calibri" w:hAnsi="Calibri" w:cs="Calibri"/>
          <w:color w:val="000000"/>
          <w:szCs w:val="24"/>
        </w:rPr>
        <w:t xml:space="preserve"> and robust</w:t>
      </w:r>
      <w:r w:rsidRPr="002442AC">
        <w:rPr>
          <w:rFonts w:ascii="Calibri" w:hAnsi="Calibri" w:cs="Calibri"/>
          <w:szCs w:val="24"/>
        </w:rPr>
        <w:t xml:space="preserve"> </w:t>
      </w:r>
      <w:bookmarkEnd w:id="1"/>
      <w:r w:rsidRPr="002442AC">
        <w:rPr>
          <w:rFonts w:ascii="Calibri" w:hAnsi="Calibri" w:cs="Calibri"/>
          <w:szCs w:val="24"/>
        </w:rPr>
        <w:t xml:space="preserve">regulator is crucial to realising the benefits this sector generates for Victorian communities, while ensuring that resource projects are </w:t>
      </w:r>
      <w:r>
        <w:rPr>
          <w:rFonts w:ascii="Calibri" w:hAnsi="Calibri" w:cs="Calibri"/>
          <w:szCs w:val="24"/>
        </w:rPr>
        <w:t xml:space="preserve">safe, </w:t>
      </w:r>
      <w:r w:rsidRPr="002442AC">
        <w:rPr>
          <w:rFonts w:ascii="Calibri" w:hAnsi="Calibri" w:cs="Calibri"/>
          <w:szCs w:val="24"/>
        </w:rPr>
        <w:t xml:space="preserve">sustainable and operate in a way that does not pose </w:t>
      </w:r>
      <w:r>
        <w:rPr>
          <w:rFonts w:ascii="Calibri" w:hAnsi="Calibri" w:cs="Calibri"/>
          <w:szCs w:val="24"/>
        </w:rPr>
        <w:t xml:space="preserve">social, </w:t>
      </w:r>
      <w:r w:rsidRPr="002442AC">
        <w:rPr>
          <w:rFonts w:ascii="Calibri" w:hAnsi="Calibri" w:cs="Calibri"/>
          <w:szCs w:val="24"/>
        </w:rPr>
        <w:t>environmental or public health risks.</w:t>
      </w:r>
    </w:p>
    <w:p w14:paraId="64D63119" w14:textId="77777777" w:rsidR="00393FEA" w:rsidRPr="002442AC" w:rsidRDefault="00393FEA" w:rsidP="00393FEA">
      <w:pPr>
        <w:rPr>
          <w:rFonts w:ascii="Calibri" w:hAnsi="Calibri" w:cs="Calibri"/>
          <w:szCs w:val="24"/>
        </w:rPr>
      </w:pPr>
    </w:p>
    <w:p w14:paraId="08266A6C" w14:textId="77777777" w:rsidR="00393FEA" w:rsidRPr="002442AC" w:rsidRDefault="00393FEA" w:rsidP="00393FEA">
      <w:pPr>
        <w:rPr>
          <w:rFonts w:ascii="Calibri" w:hAnsi="Calibri" w:cs="Calibri"/>
          <w:szCs w:val="24"/>
        </w:rPr>
      </w:pPr>
      <w:r>
        <w:rPr>
          <w:rFonts w:ascii="Calibri" w:hAnsi="Calibri" w:cs="Calibri"/>
          <w:szCs w:val="24"/>
        </w:rPr>
        <w:br w:type="column"/>
      </w:r>
      <w:r w:rsidRPr="002442AC">
        <w:rPr>
          <w:rFonts w:ascii="Calibri" w:hAnsi="Calibri" w:cs="Calibri"/>
          <w:szCs w:val="24"/>
        </w:rPr>
        <w:lastRenderedPageBreak/>
        <w:t>As Minister for Resources, I am responsible for administering the following legislation and associated regulations that affect businesses and the broader Victorian community:</w:t>
      </w:r>
    </w:p>
    <w:p w14:paraId="44CD58A6" w14:textId="77777777" w:rsidR="00393FEA" w:rsidRPr="002442AC" w:rsidRDefault="00393FEA" w:rsidP="00393FEA">
      <w:pPr>
        <w:rPr>
          <w:rFonts w:ascii="Calibri" w:hAnsi="Calibri" w:cs="Calibri"/>
          <w:szCs w:val="24"/>
        </w:rPr>
      </w:pPr>
    </w:p>
    <w:p w14:paraId="14CEA09D" w14:textId="77777777" w:rsidR="00393FEA" w:rsidRPr="002442AC" w:rsidRDefault="00393FEA" w:rsidP="00393FEA">
      <w:pPr>
        <w:pStyle w:val="Bullet1"/>
        <w:numPr>
          <w:ilvl w:val="0"/>
          <w:numId w:val="4"/>
        </w:numPr>
        <w:tabs>
          <w:tab w:val="left" w:pos="709"/>
        </w:tabs>
        <w:spacing w:before="0"/>
        <w:ind w:left="709" w:hanging="284"/>
        <w:rPr>
          <w:i/>
          <w:sz w:val="24"/>
          <w:szCs w:val="24"/>
        </w:rPr>
      </w:pPr>
      <w:r w:rsidRPr="002442AC">
        <w:rPr>
          <w:i/>
          <w:sz w:val="24"/>
          <w:szCs w:val="24"/>
        </w:rPr>
        <w:t>Mineral Resources (Sustainable Development) Act 1990</w:t>
      </w:r>
      <w:r>
        <w:rPr>
          <w:i/>
          <w:sz w:val="24"/>
          <w:szCs w:val="24"/>
        </w:rPr>
        <w:t xml:space="preserve"> (MRSDA)</w:t>
      </w:r>
    </w:p>
    <w:p w14:paraId="55F46560" w14:textId="77777777" w:rsidR="00393FEA" w:rsidRPr="002442AC" w:rsidRDefault="00393FEA" w:rsidP="00393FEA">
      <w:pPr>
        <w:pStyle w:val="Bullet1"/>
        <w:numPr>
          <w:ilvl w:val="0"/>
          <w:numId w:val="4"/>
        </w:numPr>
        <w:tabs>
          <w:tab w:val="left" w:pos="709"/>
        </w:tabs>
        <w:ind w:left="709" w:hanging="283"/>
        <w:rPr>
          <w:i/>
          <w:sz w:val="24"/>
          <w:szCs w:val="24"/>
        </w:rPr>
      </w:pPr>
      <w:r w:rsidRPr="002442AC">
        <w:rPr>
          <w:i/>
          <w:sz w:val="24"/>
          <w:szCs w:val="24"/>
        </w:rPr>
        <w:t>Petroleum Act 1998</w:t>
      </w:r>
    </w:p>
    <w:p w14:paraId="1BE1F283" w14:textId="77777777" w:rsidR="00393FEA" w:rsidRPr="002442AC" w:rsidRDefault="00393FEA" w:rsidP="00393FEA">
      <w:pPr>
        <w:pStyle w:val="Bullet1"/>
        <w:numPr>
          <w:ilvl w:val="0"/>
          <w:numId w:val="4"/>
        </w:numPr>
        <w:tabs>
          <w:tab w:val="left" w:pos="709"/>
        </w:tabs>
        <w:ind w:left="709" w:hanging="283"/>
        <w:rPr>
          <w:i/>
          <w:sz w:val="24"/>
          <w:szCs w:val="24"/>
        </w:rPr>
      </w:pPr>
      <w:r w:rsidRPr="002442AC">
        <w:rPr>
          <w:i/>
          <w:sz w:val="24"/>
          <w:szCs w:val="24"/>
        </w:rPr>
        <w:t>Offshore Petroleum and Greenhouse Gas Storage Act 2010</w:t>
      </w:r>
    </w:p>
    <w:p w14:paraId="46214EE0" w14:textId="77777777" w:rsidR="00393FEA" w:rsidRPr="002442AC" w:rsidRDefault="00393FEA" w:rsidP="00393FEA">
      <w:pPr>
        <w:pStyle w:val="Bullet1"/>
        <w:numPr>
          <w:ilvl w:val="0"/>
          <w:numId w:val="4"/>
        </w:numPr>
        <w:tabs>
          <w:tab w:val="left" w:pos="709"/>
        </w:tabs>
        <w:ind w:left="709" w:hanging="283"/>
        <w:rPr>
          <w:i/>
          <w:sz w:val="24"/>
          <w:szCs w:val="24"/>
        </w:rPr>
      </w:pPr>
      <w:r w:rsidRPr="002442AC">
        <w:rPr>
          <w:i/>
          <w:sz w:val="24"/>
          <w:szCs w:val="24"/>
        </w:rPr>
        <w:t>Geothermal Energy Resources Act 2005</w:t>
      </w:r>
    </w:p>
    <w:p w14:paraId="06DBC590" w14:textId="77777777" w:rsidR="00393FEA" w:rsidRPr="002442AC" w:rsidRDefault="00393FEA" w:rsidP="00393FEA">
      <w:pPr>
        <w:pStyle w:val="Bullet1"/>
        <w:numPr>
          <w:ilvl w:val="0"/>
          <w:numId w:val="4"/>
        </w:numPr>
        <w:tabs>
          <w:tab w:val="left" w:pos="709"/>
        </w:tabs>
        <w:ind w:left="709" w:hanging="283"/>
        <w:rPr>
          <w:i/>
          <w:sz w:val="24"/>
          <w:szCs w:val="24"/>
        </w:rPr>
      </w:pPr>
      <w:r w:rsidRPr="002442AC">
        <w:rPr>
          <w:i/>
          <w:sz w:val="24"/>
          <w:szCs w:val="24"/>
        </w:rPr>
        <w:t>Greenhouse Gas Geological Sequestration Act 2008</w:t>
      </w:r>
    </w:p>
    <w:p w14:paraId="3836E527" w14:textId="77777777" w:rsidR="00393FEA" w:rsidRPr="002442AC" w:rsidRDefault="00393FEA" w:rsidP="00393FEA">
      <w:pPr>
        <w:pStyle w:val="Bullet1"/>
        <w:numPr>
          <w:ilvl w:val="0"/>
          <w:numId w:val="4"/>
        </w:numPr>
        <w:tabs>
          <w:tab w:val="left" w:pos="709"/>
        </w:tabs>
        <w:ind w:left="709" w:hanging="283"/>
        <w:rPr>
          <w:i/>
          <w:sz w:val="24"/>
          <w:szCs w:val="24"/>
        </w:rPr>
      </w:pPr>
      <w:r w:rsidRPr="002442AC">
        <w:rPr>
          <w:i/>
          <w:sz w:val="24"/>
          <w:szCs w:val="24"/>
        </w:rPr>
        <w:t>Mines (Aluminium Agreement) Act 1961</w:t>
      </w:r>
    </w:p>
    <w:p w14:paraId="2D01D9B8" w14:textId="77777777" w:rsidR="00393FEA" w:rsidRPr="002442AC" w:rsidRDefault="00393FEA" w:rsidP="00393FEA">
      <w:pPr>
        <w:pStyle w:val="Bullet1"/>
        <w:numPr>
          <w:ilvl w:val="0"/>
          <w:numId w:val="4"/>
        </w:numPr>
        <w:tabs>
          <w:tab w:val="left" w:pos="709"/>
        </w:tabs>
        <w:spacing w:after="0"/>
        <w:ind w:left="709" w:hanging="284"/>
        <w:rPr>
          <w:i/>
          <w:sz w:val="24"/>
          <w:szCs w:val="24"/>
        </w:rPr>
      </w:pPr>
      <w:r w:rsidRPr="002442AC">
        <w:rPr>
          <w:i/>
          <w:sz w:val="24"/>
          <w:szCs w:val="24"/>
        </w:rPr>
        <w:t>Underseas Mineral Resources Act 1963</w:t>
      </w:r>
    </w:p>
    <w:p w14:paraId="3B0A256F" w14:textId="77777777" w:rsidR="00393FEA" w:rsidRPr="002442AC" w:rsidRDefault="00393FEA" w:rsidP="00393FEA">
      <w:pPr>
        <w:pStyle w:val="Bullet1"/>
        <w:numPr>
          <w:ilvl w:val="0"/>
          <w:numId w:val="4"/>
        </w:numPr>
        <w:tabs>
          <w:tab w:val="left" w:pos="709"/>
        </w:tabs>
        <w:spacing w:after="0"/>
        <w:ind w:left="709" w:hanging="284"/>
        <w:rPr>
          <w:i/>
          <w:sz w:val="24"/>
          <w:szCs w:val="24"/>
        </w:rPr>
      </w:pPr>
      <w:r w:rsidRPr="002442AC">
        <w:rPr>
          <w:i/>
          <w:sz w:val="24"/>
          <w:szCs w:val="24"/>
        </w:rPr>
        <w:t>Extractive In</w:t>
      </w:r>
      <w:r>
        <w:rPr>
          <w:i/>
          <w:sz w:val="24"/>
          <w:szCs w:val="24"/>
        </w:rPr>
        <w:t>dustries (Lysterfield) Act 1986</w:t>
      </w:r>
    </w:p>
    <w:p w14:paraId="0F4AF901" w14:textId="77777777" w:rsidR="00393FEA" w:rsidRPr="002442AC" w:rsidRDefault="00393FEA" w:rsidP="00393FEA">
      <w:pPr>
        <w:shd w:val="clear" w:color="auto" w:fill="FFFFFF"/>
        <w:rPr>
          <w:rFonts w:ascii="Calibri" w:hAnsi="Calibri" w:cs="Calibri"/>
          <w:szCs w:val="24"/>
        </w:rPr>
      </w:pPr>
    </w:p>
    <w:p w14:paraId="4A3F617F" w14:textId="77777777" w:rsidR="00393FEA" w:rsidRPr="002442AC" w:rsidRDefault="00393FEA" w:rsidP="00393FEA">
      <w:pPr>
        <w:shd w:val="clear" w:color="auto" w:fill="FFFFFF"/>
        <w:rPr>
          <w:rFonts w:ascii="Calibri" w:hAnsi="Calibri" w:cs="Calibri"/>
          <w:szCs w:val="24"/>
        </w:rPr>
      </w:pPr>
      <w:r w:rsidRPr="002442AC">
        <w:rPr>
          <w:rFonts w:ascii="Calibri" w:hAnsi="Calibri" w:cs="Calibri"/>
          <w:szCs w:val="24"/>
        </w:rPr>
        <w:t>This Statement should be read within the context of the objectives, obligations and functions outlined in these Acts as amended.</w:t>
      </w:r>
    </w:p>
    <w:p w14:paraId="7C8C1F92" w14:textId="77777777" w:rsidR="00393FEA" w:rsidRPr="002442AC" w:rsidRDefault="00393FEA" w:rsidP="00393FEA">
      <w:pPr>
        <w:shd w:val="clear" w:color="auto" w:fill="FFFFFF"/>
        <w:rPr>
          <w:rFonts w:ascii="Calibri" w:hAnsi="Calibri" w:cs="Calibri"/>
          <w:szCs w:val="24"/>
        </w:rPr>
      </w:pPr>
    </w:p>
    <w:p w14:paraId="26A42D76" w14:textId="77777777" w:rsidR="00393FEA" w:rsidRPr="002442AC" w:rsidRDefault="00393FEA" w:rsidP="00393FEA">
      <w:pPr>
        <w:spacing w:after="200"/>
        <w:rPr>
          <w:rFonts w:ascii="Calibri" w:hAnsi="Calibri" w:cs="Calibri"/>
          <w:szCs w:val="24"/>
        </w:rPr>
      </w:pPr>
      <w:r w:rsidRPr="002442AC">
        <w:rPr>
          <w:rFonts w:ascii="Calibri" w:hAnsi="Calibri" w:cs="Calibri"/>
          <w:b/>
          <w:szCs w:val="24"/>
        </w:rPr>
        <w:t>Purpose</w:t>
      </w:r>
    </w:p>
    <w:p w14:paraId="0370C071" w14:textId="77777777" w:rsidR="00393FEA" w:rsidRPr="002442AC" w:rsidRDefault="00393FEA" w:rsidP="00393FEA">
      <w:pPr>
        <w:rPr>
          <w:rFonts w:ascii="Calibri" w:hAnsi="Calibri" w:cs="Calibri"/>
          <w:color w:val="000000"/>
          <w:szCs w:val="24"/>
        </w:rPr>
      </w:pPr>
      <w:r w:rsidRPr="002442AC">
        <w:rPr>
          <w:rFonts w:ascii="Calibri" w:hAnsi="Calibri" w:cs="Calibri"/>
          <w:szCs w:val="24"/>
        </w:rPr>
        <w:t xml:space="preserve">This Statement sets out my expectations of the contribution of Earth Resources Regulation to the Government’s program to reduce regulatory burden and improve regulatory practice. </w:t>
      </w:r>
      <w:r w:rsidRPr="002442AC">
        <w:rPr>
          <w:rFonts w:ascii="Calibri" w:hAnsi="Calibri" w:cs="Calibri"/>
          <w:color w:val="000000"/>
          <w:szCs w:val="24"/>
        </w:rPr>
        <w:t xml:space="preserve">This Statement of Expectations identifies the key areas of governance and operational performance where there are opportunities for Earth Resources Regulation to improve regulatory practice. </w:t>
      </w:r>
    </w:p>
    <w:p w14:paraId="179367D9" w14:textId="77777777" w:rsidR="00393FEA" w:rsidRPr="002442AC" w:rsidRDefault="00393FEA" w:rsidP="00393FEA">
      <w:pPr>
        <w:rPr>
          <w:rFonts w:ascii="Calibri" w:hAnsi="Calibri" w:cs="Calibri"/>
          <w:szCs w:val="24"/>
        </w:rPr>
      </w:pPr>
    </w:p>
    <w:p w14:paraId="0D03BD89" w14:textId="77777777" w:rsidR="00393FEA" w:rsidRPr="00946D9B" w:rsidRDefault="00393FEA" w:rsidP="00393FEA">
      <w:pPr>
        <w:spacing w:after="200"/>
        <w:rPr>
          <w:rFonts w:ascii="Calibri" w:hAnsi="Calibri" w:cs="Calibri"/>
          <w:b/>
          <w:szCs w:val="24"/>
        </w:rPr>
      </w:pPr>
      <w:r w:rsidRPr="00946D9B">
        <w:rPr>
          <w:rFonts w:ascii="Calibri" w:hAnsi="Calibri" w:cs="Calibri"/>
          <w:b/>
          <w:i/>
          <w:szCs w:val="24"/>
        </w:rPr>
        <w:t>Getting the Groundwork Right: Better regulation of mines and quarries</w:t>
      </w:r>
    </w:p>
    <w:p w14:paraId="638AF21B" w14:textId="77777777" w:rsidR="00393FEA" w:rsidRDefault="007B7B76" w:rsidP="00393FEA">
      <w:pPr>
        <w:spacing w:after="200"/>
        <w:rPr>
          <w:rFonts w:ascii="Calibri" w:hAnsi="Calibri" w:cs="Calibri"/>
          <w:szCs w:val="24"/>
        </w:rPr>
      </w:pPr>
      <w:r>
        <w:rPr>
          <w:rFonts w:ascii="Calibri" w:hAnsi="Calibri" w:cs="Calibri"/>
          <w:szCs w:val="24"/>
        </w:rPr>
        <w:t>Th</w:t>
      </w:r>
      <w:r w:rsidR="00D8157C">
        <w:rPr>
          <w:rFonts w:ascii="Calibri" w:hAnsi="Calibri" w:cs="Calibri"/>
          <w:szCs w:val="24"/>
        </w:rPr>
        <w:t>e</w:t>
      </w:r>
      <w:r>
        <w:rPr>
          <w:rFonts w:ascii="Calibri" w:hAnsi="Calibri" w:cs="Calibri"/>
          <w:szCs w:val="24"/>
        </w:rPr>
        <w:t xml:space="preserve"> Government approved a detailed Implementation Plan in response to t</w:t>
      </w:r>
      <w:r w:rsidR="00393FEA" w:rsidRPr="002442AC">
        <w:rPr>
          <w:rFonts w:ascii="Calibri" w:hAnsi="Calibri" w:cs="Calibri"/>
          <w:szCs w:val="24"/>
        </w:rPr>
        <w:t>he Commissioner for Better Regulation</w:t>
      </w:r>
      <w:r w:rsidR="006A2CFD">
        <w:rPr>
          <w:rFonts w:ascii="Calibri" w:hAnsi="Calibri" w:cs="Calibri"/>
          <w:szCs w:val="24"/>
        </w:rPr>
        <w:t>’s</w:t>
      </w:r>
      <w:r w:rsidR="00393FEA" w:rsidRPr="002442AC">
        <w:rPr>
          <w:rFonts w:ascii="Calibri" w:hAnsi="Calibri" w:cs="Calibri"/>
          <w:szCs w:val="24"/>
        </w:rPr>
        <w:t xml:space="preserve"> investigation into the operation of the regulatory system, </w:t>
      </w:r>
      <w:r w:rsidR="00393FEA" w:rsidRPr="002442AC">
        <w:rPr>
          <w:rFonts w:ascii="Calibri" w:hAnsi="Calibri" w:cs="Calibri"/>
          <w:i/>
          <w:szCs w:val="24"/>
        </w:rPr>
        <w:t>Getting the Groundwork Right: Better regulation of mines and quarries</w:t>
      </w:r>
      <w:r w:rsidR="00393FEA">
        <w:rPr>
          <w:rFonts w:ascii="Calibri" w:hAnsi="Calibri" w:cs="Calibri"/>
          <w:i/>
          <w:szCs w:val="24"/>
        </w:rPr>
        <w:t xml:space="preserve"> </w:t>
      </w:r>
      <w:r w:rsidR="00393FEA">
        <w:rPr>
          <w:rFonts w:ascii="Calibri" w:hAnsi="Calibri" w:cs="Calibri"/>
          <w:szCs w:val="24"/>
        </w:rPr>
        <w:t>(‘the Report’)</w:t>
      </w:r>
      <w:r w:rsidR="00393FEA" w:rsidRPr="002442AC">
        <w:rPr>
          <w:rFonts w:ascii="Calibri" w:hAnsi="Calibri" w:cs="Calibri"/>
          <w:szCs w:val="24"/>
        </w:rPr>
        <w:t>.</w:t>
      </w:r>
    </w:p>
    <w:p w14:paraId="6476DEA2" w14:textId="77777777" w:rsidR="00393FEA" w:rsidRDefault="00393FEA" w:rsidP="00393FEA">
      <w:pPr>
        <w:spacing w:after="200"/>
        <w:rPr>
          <w:rFonts w:ascii="Calibri" w:hAnsi="Calibri" w:cs="Calibri"/>
          <w:szCs w:val="24"/>
        </w:rPr>
      </w:pPr>
      <w:r>
        <w:rPr>
          <w:rFonts w:ascii="Calibri" w:hAnsi="Calibri" w:cs="Calibri"/>
          <w:szCs w:val="24"/>
        </w:rPr>
        <w:t xml:space="preserve">The </w:t>
      </w:r>
      <w:r w:rsidR="006A2CFD">
        <w:rPr>
          <w:rFonts w:ascii="Calibri" w:hAnsi="Calibri" w:cs="Calibri"/>
          <w:szCs w:val="24"/>
        </w:rPr>
        <w:t>Implementation Plan</w:t>
      </w:r>
      <w:r>
        <w:rPr>
          <w:rFonts w:ascii="Calibri" w:hAnsi="Calibri" w:cs="Calibri"/>
          <w:szCs w:val="24"/>
        </w:rPr>
        <w:t xml:space="preserve"> </w:t>
      </w:r>
      <w:r w:rsidR="006A2CFD">
        <w:rPr>
          <w:rFonts w:ascii="Calibri" w:hAnsi="Calibri" w:cs="Calibri"/>
          <w:szCs w:val="24"/>
        </w:rPr>
        <w:t xml:space="preserve">specifies </w:t>
      </w:r>
      <w:r>
        <w:rPr>
          <w:rFonts w:ascii="Calibri" w:hAnsi="Calibri" w:cs="Calibri"/>
          <w:szCs w:val="24"/>
        </w:rPr>
        <w:t>a range of recommendations and actions, some of which Earth Resources Regulation leads and others where Earth Resources Regulation supports</w:t>
      </w:r>
      <w:r w:rsidR="002C0F9A">
        <w:rPr>
          <w:rFonts w:ascii="Calibri" w:hAnsi="Calibri" w:cs="Calibri"/>
          <w:szCs w:val="24"/>
        </w:rPr>
        <w:t xml:space="preserve"> the Department’s policy areas.</w:t>
      </w:r>
    </w:p>
    <w:p w14:paraId="3F47CB1D" w14:textId="77777777" w:rsidR="00393FEA" w:rsidRDefault="00393FEA" w:rsidP="00393FEA">
      <w:pPr>
        <w:spacing w:after="200"/>
        <w:rPr>
          <w:rFonts w:ascii="Calibri" w:hAnsi="Calibri" w:cs="Calibri"/>
          <w:szCs w:val="24"/>
        </w:rPr>
      </w:pPr>
      <w:r>
        <w:rPr>
          <w:rFonts w:ascii="Calibri" w:hAnsi="Calibri" w:cs="Calibri"/>
          <w:szCs w:val="24"/>
        </w:rPr>
        <w:t xml:space="preserve">I expect Earth Resources Regulation to play its role in leading and supporting the implementation in accordance with </w:t>
      </w:r>
      <w:r w:rsidRPr="002442AC">
        <w:rPr>
          <w:rFonts w:ascii="Calibri" w:hAnsi="Calibri" w:cs="Calibri"/>
          <w:szCs w:val="24"/>
        </w:rPr>
        <w:t xml:space="preserve">the details and timeframes </w:t>
      </w:r>
      <w:r>
        <w:rPr>
          <w:rFonts w:ascii="Calibri" w:hAnsi="Calibri" w:cs="Calibri"/>
          <w:szCs w:val="24"/>
        </w:rPr>
        <w:t xml:space="preserve">in the publicly released </w:t>
      </w:r>
      <w:r w:rsidRPr="002442AC">
        <w:rPr>
          <w:rFonts w:ascii="Calibri" w:hAnsi="Calibri" w:cs="Calibri"/>
          <w:szCs w:val="24"/>
        </w:rPr>
        <w:t>Implementation Plan</w:t>
      </w:r>
      <w:r w:rsidR="006A2CFD">
        <w:rPr>
          <w:rFonts w:ascii="Calibri" w:hAnsi="Calibri" w:cs="Calibri"/>
          <w:szCs w:val="24"/>
        </w:rPr>
        <w:t>.</w:t>
      </w:r>
    </w:p>
    <w:p w14:paraId="4047DE58" w14:textId="77777777" w:rsidR="00393FEA" w:rsidRDefault="00393FEA" w:rsidP="00393FEA">
      <w:pPr>
        <w:spacing w:after="200"/>
        <w:rPr>
          <w:rFonts w:ascii="Calibri" w:hAnsi="Calibri" w:cs="Calibri"/>
          <w:szCs w:val="24"/>
        </w:rPr>
      </w:pPr>
      <w:r>
        <w:rPr>
          <w:rFonts w:ascii="Calibri" w:hAnsi="Calibri" w:cs="Calibri"/>
          <w:szCs w:val="24"/>
        </w:rPr>
        <w:t>I expect Earth Resources Regulation to draw upon the shared services of the Department to meet its objectives and satisfy its obligations in a timely and cost-effective manner.</w:t>
      </w:r>
    </w:p>
    <w:p w14:paraId="2029A266" w14:textId="77777777" w:rsidR="00393FEA" w:rsidRDefault="00393FEA" w:rsidP="00393FEA">
      <w:pPr>
        <w:spacing w:after="200"/>
        <w:rPr>
          <w:rFonts w:ascii="Calibri" w:hAnsi="Calibri" w:cs="Calibri"/>
          <w:szCs w:val="24"/>
        </w:rPr>
      </w:pPr>
      <w:r>
        <w:rPr>
          <w:rFonts w:ascii="Calibri" w:hAnsi="Calibri" w:cs="Calibri"/>
          <w:szCs w:val="24"/>
        </w:rPr>
        <w:lastRenderedPageBreak/>
        <w:t xml:space="preserve">I have also developed </w:t>
      </w:r>
      <w:r w:rsidR="005C70B5">
        <w:rPr>
          <w:rFonts w:ascii="Calibri" w:hAnsi="Calibri" w:cs="Calibri"/>
          <w:szCs w:val="24"/>
        </w:rPr>
        <w:t>fourteen</w:t>
      </w:r>
      <w:r>
        <w:rPr>
          <w:rFonts w:ascii="Calibri" w:hAnsi="Calibri" w:cs="Calibri"/>
          <w:szCs w:val="24"/>
        </w:rPr>
        <w:t xml:space="preserve"> specific expectations with strong consideration of the actions and recommendations contained in the </w:t>
      </w:r>
      <w:r w:rsidR="006A2CFD">
        <w:rPr>
          <w:rFonts w:ascii="Calibri" w:hAnsi="Calibri" w:cs="Calibri"/>
          <w:szCs w:val="24"/>
        </w:rPr>
        <w:t>Implementation</w:t>
      </w:r>
      <w:r>
        <w:rPr>
          <w:rFonts w:ascii="Calibri" w:hAnsi="Calibri" w:cs="Calibri"/>
          <w:szCs w:val="24"/>
        </w:rPr>
        <w:t xml:space="preserve"> Plan. My expectations are set out in </w:t>
      </w:r>
      <w:r w:rsidRPr="001C75F0">
        <w:rPr>
          <w:rFonts w:ascii="Calibri" w:hAnsi="Calibri" w:cs="Calibri"/>
          <w:b/>
          <w:szCs w:val="24"/>
        </w:rPr>
        <w:t>Table 1</w:t>
      </w:r>
      <w:r>
        <w:rPr>
          <w:rFonts w:ascii="Calibri" w:hAnsi="Calibri" w:cs="Calibri"/>
          <w:szCs w:val="24"/>
        </w:rPr>
        <w:t xml:space="preserve"> and relate to three broad areas:</w:t>
      </w:r>
    </w:p>
    <w:p w14:paraId="7847E104" w14:textId="77777777" w:rsidR="00393FEA" w:rsidRDefault="00393FEA" w:rsidP="00393FEA">
      <w:pPr>
        <w:numPr>
          <w:ilvl w:val="0"/>
          <w:numId w:val="14"/>
        </w:numPr>
        <w:ind w:left="714" w:hanging="357"/>
        <w:rPr>
          <w:rFonts w:ascii="Calibri" w:hAnsi="Calibri" w:cs="Calibri"/>
          <w:szCs w:val="24"/>
        </w:rPr>
      </w:pPr>
      <w:r>
        <w:rPr>
          <w:rFonts w:ascii="Calibri" w:hAnsi="Calibri" w:cs="Calibri"/>
          <w:szCs w:val="24"/>
        </w:rPr>
        <w:t>Guidance, processes and procedures;</w:t>
      </w:r>
    </w:p>
    <w:p w14:paraId="78905EF8" w14:textId="77777777" w:rsidR="00393FEA" w:rsidRDefault="00393FEA" w:rsidP="00393FEA">
      <w:pPr>
        <w:numPr>
          <w:ilvl w:val="0"/>
          <w:numId w:val="14"/>
        </w:numPr>
        <w:ind w:left="714" w:hanging="357"/>
        <w:rPr>
          <w:rFonts w:ascii="Calibri" w:hAnsi="Calibri" w:cs="Calibri"/>
          <w:szCs w:val="24"/>
        </w:rPr>
      </w:pPr>
      <w:r>
        <w:rPr>
          <w:rFonts w:ascii="Calibri" w:hAnsi="Calibri" w:cs="Calibri"/>
          <w:szCs w:val="24"/>
        </w:rPr>
        <w:t>Staff training; and</w:t>
      </w:r>
    </w:p>
    <w:p w14:paraId="55984E7F" w14:textId="77777777" w:rsidR="00393FEA" w:rsidRDefault="00393FEA" w:rsidP="00393FEA">
      <w:pPr>
        <w:numPr>
          <w:ilvl w:val="0"/>
          <w:numId w:val="14"/>
        </w:numPr>
        <w:ind w:left="714" w:hanging="357"/>
        <w:rPr>
          <w:rFonts w:ascii="Calibri" w:hAnsi="Calibri" w:cs="Calibri"/>
          <w:szCs w:val="24"/>
        </w:rPr>
      </w:pPr>
      <w:r>
        <w:rPr>
          <w:rFonts w:ascii="Calibri" w:hAnsi="Calibri" w:cs="Calibri"/>
          <w:szCs w:val="24"/>
        </w:rPr>
        <w:t>ICT systems.</w:t>
      </w:r>
    </w:p>
    <w:p w14:paraId="4F084876" w14:textId="77777777" w:rsidR="00393FEA" w:rsidRPr="00946D9B" w:rsidRDefault="00393FEA" w:rsidP="00393FEA">
      <w:pPr>
        <w:spacing w:before="120" w:after="120"/>
        <w:rPr>
          <w:rFonts w:ascii="Calibri" w:hAnsi="Calibri" w:cs="Calibri"/>
          <w:b/>
          <w:szCs w:val="24"/>
        </w:rPr>
      </w:pPr>
      <w:r w:rsidRPr="00946D9B">
        <w:rPr>
          <w:rFonts w:ascii="Calibri" w:hAnsi="Calibri" w:cs="Calibri"/>
          <w:b/>
          <w:szCs w:val="24"/>
        </w:rPr>
        <w:t>Table 1: Ministerial expectations</w:t>
      </w:r>
      <w:r>
        <w:rPr>
          <w:rFonts w:ascii="Calibri" w:hAnsi="Calibri" w:cs="Calibri"/>
          <w:b/>
          <w:szCs w:val="24"/>
        </w:rPr>
        <w:t xml:space="preserve"> for Earth Resources Regulation</w:t>
      </w:r>
      <w:r w:rsidRPr="00946D9B">
        <w:rPr>
          <w:rFonts w:ascii="Calibri" w:hAnsi="Calibri" w:cs="Calibri"/>
          <w:b/>
          <w:szCs w:val="24"/>
        </w:rPr>
        <w:t xml:space="preserve"> cross-referenced against the </w:t>
      </w:r>
      <w:r w:rsidRPr="00946D9B">
        <w:rPr>
          <w:rFonts w:ascii="Calibri" w:hAnsi="Calibri" w:cs="Calibri"/>
          <w:b/>
          <w:i/>
          <w:szCs w:val="24"/>
        </w:rPr>
        <w:t>Getting the Groundwork Right: Better regulation of mines and quarries</w:t>
      </w:r>
      <w:r w:rsidRPr="00946D9B">
        <w:rPr>
          <w:rFonts w:ascii="Calibri" w:hAnsi="Calibri" w:cs="Calibri"/>
          <w:b/>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33"/>
        <w:gridCol w:w="2988"/>
      </w:tblGrid>
      <w:tr w:rsidR="00393FEA" w:rsidRPr="00946D9B" w14:paraId="1308ACFB" w14:textId="77777777" w:rsidTr="00E83500">
        <w:trPr>
          <w:cantSplit/>
          <w:tblHeader/>
        </w:trPr>
        <w:tc>
          <w:tcPr>
            <w:tcW w:w="3085" w:type="dxa"/>
            <w:shd w:val="clear" w:color="auto" w:fill="AEAAAA"/>
          </w:tcPr>
          <w:p w14:paraId="0BD0A70B" w14:textId="77777777" w:rsidR="00393FEA" w:rsidRPr="00946D9B" w:rsidRDefault="00393FEA" w:rsidP="00E83500">
            <w:pPr>
              <w:spacing w:before="120" w:after="120"/>
              <w:jc w:val="center"/>
              <w:rPr>
                <w:rFonts w:ascii="Calibri" w:hAnsi="Calibri" w:cs="Calibri"/>
                <w:b/>
                <w:szCs w:val="24"/>
              </w:rPr>
            </w:pPr>
            <w:bookmarkStart w:id="2" w:name="_Hlk519601095"/>
            <w:r w:rsidRPr="00946D9B">
              <w:rPr>
                <w:rFonts w:ascii="Calibri" w:hAnsi="Calibri" w:cs="Calibri"/>
                <w:b/>
                <w:szCs w:val="24"/>
              </w:rPr>
              <w:t>Report source</w:t>
            </w:r>
          </w:p>
        </w:tc>
        <w:tc>
          <w:tcPr>
            <w:tcW w:w="3533" w:type="dxa"/>
            <w:shd w:val="clear" w:color="auto" w:fill="AEAAAA"/>
          </w:tcPr>
          <w:p w14:paraId="5EA5121B" w14:textId="77777777" w:rsidR="00393FEA" w:rsidRPr="00946D9B" w:rsidRDefault="00393FEA" w:rsidP="00E83500">
            <w:pPr>
              <w:spacing w:before="120" w:after="120"/>
              <w:jc w:val="center"/>
              <w:rPr>
                <w:rFonts w:ascii="Calibri" w:hAnsi="Calibri" w:cs="Calibri"/>
                <w:b/>
                <w:szCs w:val="24"/>
              </w:rPr>
            </w:pPr>
            <w:r w:rsidRPr="00946D9B">
              <w:rPr>
                <w:rFonts w:ascii="Calibri" w:hAnsi="Calibri" w:cs="Calibri"/>
                <w:b/>
                <w:szCs w:val="24"/>
              </w:rPr>
              <w:t>Expectation</w:t>
            </w:r>
          </w:p>
        </w:tc>
        <w:tc>
          <w:tcPr>
            <w:tcW w:w="2988" w:type="dxa"/>
            <w:shd w:val="clear" w:color="auto" w:fill="AEAAAA"/>
          </w:tcPr>
          <w:p w14:paraId="7DB49017" w14:textId="77777777" w:rsidR="00393FEA" w:rsidRPr="00946D9B" w:rsidRDefault="00393FEA" w:rsidP="00E83500">
            <w:pPr>
              <w:spacing w:before="120" w:after="120"/>
              <w:jc w:val="center"/>
              <w:rPr>
                <w:rFonts w:ascii="Calibri" w:hAnsi="Calibri" w:cs="Calibri"/>
                <w:b/>
                <w:szCs w:val="24"/>
              </w:rPr>
            </w:pPr>
            <w:r w:rsidRPr="00946D9B">
              <w:rPr>
                <w:rFonts w:ascii="Calibri" w:hAnsi="Calibri" w:cs="Calibri"/>
                <w:b/>
                <w:szCs w:val="24"/>
              </w:rPr>
              <w:t>Completion date</w:t>
            </w:r>
          </w:p>
        </w:tc>
      </w:tr>
      <w:tr w:rsidR="00393FEA" w:rsidRPr="0077071F" w14:paraId="23D5A183" w14:textId="77777777" w:rsidTr="00E83500">
        <w:trPr>
          <w:cantSplit/>
        </w:trPr>
        <w:tc>
          <w:tcPr>
            <w:tcW w:w="9606" w:type="dxa"/>
            <w:gridSpan w:val="3"/>
            <w:shd w:val="clear" w:color="auto" w:fill="A6A6A6"/>
          </w:tcPr>
          <w:p w14:paraId="4EE0DEF1" w14:textId="77777777" w:rsidR="00393FEA" w:rsidRPr="00126768" w:rsidRDefault="00393FEA" w:rsidP="00E83500">
            <w:pPr>
              <w:spacing w:before="120" w:after="120"/>
              <w:rPr>
                <w:rFonts w:ascii="Calibri" w:hAnsi="Calibri" w:cs="Calibri"/>
                <w:b/>
                <w:szCs w:val="24"/>
              </w:rPr>
            </w:pPr>
            <w:r>
              <w:rPr>
                <w:rFonts w:ascii="Calibri" w:hAnsi="Calibri" w:cs="Calibri"/>
                <w:b/>
                <w:szCs w:val="24"/>
              </w:rPr>
              <w:t>Streamlined approvals pathways</w:t>
            </w:r>
          </w:p>
        </w:tc>
      </w:tr>
      <w:tr w:rsidR="00393FEA" w:rsidRPr="00946D9B" w14:paraId="407CB460" w14:textId="77777777" w:rsidTr="00E83500">
        <w:trPr>
          <w:cantSplit/>
        </w:trPr>
        <w:tc>
          <w:tcPr>
            <w:tcW w:w="9606" w:type="dxa"/>
            <w:gridSpan w:val="3"/>
            <w:shd w:val="clear" w:color="auto" w:fill="auto"/>
          </w:tcPr>
          <w:p w14:paraId="55A1EFE3" w14:textId="77777777" w:rsidR="00393FEA" w:rsidRPr="00E83500" w:rsidRDefault="00393FEA" w:rsidP="00E83500">
            <w:pPr>
              <w:spacing w:before="120" w:after="120"/>
              <w:rPr>
                <w:rFonts w:ascii="Calibri" w:hAnsi="Calibri" w:cs="Calibri"/>
                <w:szCs w:val="24"/>
              </w:rPr>
            </w:pPr>
            <w:r w:rsidRPr="00E83500">
              <w:rPr>
                <w:rFonts w:ascii="Calibri" w:hAnsi="Calibri" w:cs="Calibri"/>
                <w:b/>
                <w:szCs w:val="24"/>
              </w:rPr>
              <w:t>Stage 1</w:t>
            </w:r>
          </w:p>
        </w:tc>
      </w:tr>
      <w:tr w:rsidR="00393FEA" w:rsidRPr="00946D9B" w14:paraId="4CB0CCDB" w14:textId="77777777" w:rsidTr="00E83500">
        <w:trPr>
          <w:cantSplit/>
        </w:trPr>
        <w:tc>
          <w:tcPr>
            <w:tcW w:w="3085" w:type="dxa"/>
          </w:tcPr>
          <w:p w14:paraId="0B20A9B5" w14:textId="77777777" w:rsidR="00393FEA" w:rsidRPr="00EF42CD" w:rsidRDefault="00393FEA" w:rsidP="00E83500">
            <w:pPr>
              <w:pStyle w:val="Boxcolourtext"/>
              <w:spacing w:before="120" w:after="120"/>
              <w:rPr>
                <w:rFonts w:cs="Calibri"/>
                <w:b/>
                <w:color w:val="auto"/>
                <w:sz w:val="24"/>
                <w:szCs w:val="24"/>
                <w:lang w:eastAsia="en-US"/>
              </w:rPr>
            </w:pPr>
            <w:r w:rsidRPr="00E7508E">
              <w:rPr>
                <w:rFonts w:cs="Calibri"/>
                <w:b/>
                <w:color w:val="auto"/>
                <w:sz w:val="24"/>
                <w:szCs w:val="24"/>
                <w:lang w:eastAsia="en-US"/>
              </w:rPr>
              <w:t>Recommendation</w:t>
            </w:r>
            <w:r w:rsidRPr="00EF42CD">
              <w:rPr>
                <w:rFonts w:cs="Calibri"/>
                <w:b/>
                <w:color w:val="auto"/>
                <w:sz w:val="24"/>
                <w:szCs w:val="24"/>
                <w:lang w:eastAsia="en-US"/>
              </w:rPr>
              <w:t xml:space="preserve"> 1</w:t>
            </w:r>
            <w:r w:rsidR="0088224A">
              <w:rPr>
                <w:rFonts w:cs="Calibri"/>
                <w:b/>
                <w:color w:val="auto"/>
                <w:sz w:val="24"/>
                <w:szCs w:val="24"/>
                <w:lang w:eastAsia="en-US"/>
              </w:rPr>
              <w:t>, Action </w:t>
            </w:r>
            <w:r w:rsidRPr="00EF42CD">
              <w:rPr>
                <w:rFonts w:cs="Calibri"/>
                <w:b/>
                <w:color w:val="auto"/>
                <w:sz w:val="24"/>
                <w:szCs w:val="24"/>
                <w:lang w:eastAsia="en-US"/>
              </w:rPr>
              <w:t>5</w:t>
            </w:r>
          </w:p>
        </w:tc>
        <w:tc>
          <w:tcPr>
            <w:tcW w:w="3533" w:type="dxa"/>
          </w:tcPr>
          <w:p w14:paraId="7F1B4EA1" w14:textId="77777777" w:rsidR="00393FEA" w:rsidRDefault="00393FEA" w:rsidP="00E83500">
            <w:pPr>
              <w:pStyle w:val="Boxcolourtext"/>
              <w:spacing w:before="120" w:after="120"/>
              <w:rPr>
                <w:rFonts w:cs="Calibri"/>
                <w:color w:val="auto"/>
                <w:sz w:val="24"/>
                <w:szCs w:val="24"/>
                <w:lang w:eastAsia="en-US"/>
              </w:rPr>
            </w:pPr>
            <w:r>
              <w:rPr>
                <w:rFonts w:cs="Calibri"/>
                <w:color w:val="auto"/>
                <w:sz w:val="24"/>
                <w:szCs w:val="24"/>
                <w:lang w:eastAsia="en-US"/>
              </w:rPr>
              <w:t>Publish Statement of Operating Change for the extractives industry</w:t>
            </w:r>
          </w:p>
          <w:p w14:paraId="55A47A70" w14:textId="77777777" w:rsidR="00393FEA" w:rsidRPr="00946D9B" w:rsidRDefault="00393FEA" w:rsidP="00E83500">
            <w:pPr>
              <w:pStyle w:val="Boxcolourtext"/>
              <w:spacing w:before="120" w:after="120"/>
              <w:rPr>
                <w:rFonts w:cs="Calibri"/>
                <w:color w:val="auto"/>
                <w:sz w:val="24"/>
                <w:szCs w:val="24"/>
                <w:lang w:eastAsia="en-US"/>
              </w:rPr>
            </w:pPr>
            <w:r>
              <w:rPr>
                <w:rFonts w:cs="Calibri"/>
                <w:color w:val="auto"/>
                <w:sz w:val="24"/>
                <w:szCs w:val="24"/>
                <w:lang w:eastAsia="en-US"/>
              </w:rPr>
              <w:t xml:space="preserve">Publish Statement of Operating </w:t>
            </w:r>
            <w:r w:rsidR="00693E70">
              <w:rPr>
                <w:rFonts w:cs="Calibri"/>
                <w:color w:val="auto"/>
                <w:sz w:val="24"/>
                <w:szCs w:val="24"/>
                <w:lang w:eastAsia="en-US"/>
              </w:rPr>
              <w:t>C</w:t>
            </w:r>
            <w:r>
              <w:rPr>
                <w:rFonts w:cs="Calibri"/>
                <w:color w:val="auto"/>
                <w:sz w:val="24"/>
                <w:szCs w:val="24"/>
                <w:lang w:eastAsia="en-US"/>
              </w:rPr>
              <w:t>hange for the mining industry</w:t>
            </w:r>
          </w:p>
        </w:tc>
        <w:tc>
          <w:tcPr>
            <w:tcW w:w="2988" w:type="dxa"/>
            <w:shd w:val="clear" w:color="auto" w:fill="FFFFFF"/>
          </w:tcPr>
          <w:p w14:paraId="21F9EF95" w14:textId="77777777" w:rsidR="00393FEA" w:rsidRDefault="00393FEA" w:rsidP="00E83500">
            <w:pPr>
              <w:spacing w:before="120" w:after="120"/>
              <w:rPr>
                <w:rFonts w:ascii="Calibri" w:hAnsi="Calibri" w:cs="Calibri"/>
                <w:szCs w:val="24"/>
              </w:rPr>
            </w:pPr>
            <w:r>
              <w:rPr>
                <w:rFonts w:ascii="Calibri" w:hAnsi="Calibri" w:cs="Calibri"/>
                <w:szCs w:val="24"/>
              </w:rPr>
              <w:t>By 31 July 2018</w:t>
            </w:r>
          </w:p>
          <w:p w14:paraId="0C68F941" w14:textId="77777777" w:rsidR="00393FEA" w:rsidRPr="002C0F9A" w:rsidRDefault="00393FEA" w:rsidP="00E83500">
            <w:pPr>
              <w:spacing w:before="120" w:after="120"/>
              <w:rPr>
                <w:rFonts w:ascii="Calibri" w:hAnsi="Calibri" w:cs="Calibri"/>
                <w:sz w:val="32"/>
                <w:szCs w:val="24"/>
              </w:rPr>
            </w:pPr>
          </w:p>
          <w:p w14:paraId="322EE916" w14:textId="77777777" w:rsidR="00393FEA" w:rsidRDefault="00393FEA" w:rsidP="00E83500">
            <w:pPr>
              <w:spacing w:before="120" w:after="120"/>
              <w:rPr>
                <w:rFonts w:ascii="Calibri" w:hAnsi="Calibri" w:cs="Calibri"/>
                <w:szCs w:val="24"/>
              </w:rPr>
            </w:pPr>
            <w:r>
              <w:rPr>
                <w:rFonts w:ascii="Calibri" w:hAnsi="Calibri" w:cs="Calibri"/>
                <w:szCs w:val="24"/>
              </w:rPr>
              <w:t>By 31 August 2018</w:t>
            </w:r>
          </w:p>
        </w:tc>
      </w:tr>
      <w:tr w:rsidR="00393FEA" w:rsidRPr="00946D9B" w14:paraId="065DAB2F" w14:textId="77777777" w:rsidTr="00E83500">
        <w:trPr>
          <w:cantSplit/>
        </w:trPr>
        <w:tc>
          <w:tcPr>
            <w:tcW w:w="3085" w:type="dxa"/>
          </w:tcPr>
          <w:p w14:paraId="35AFBB8F" w14:textId="77777777" w:rsidR="00393FEA" w:rsidRPr="00CD1762" w:rsidRDefault="00393FEA" w:rsidP="00E83500">
            <w:pPr>
              <w:pStyle w:val="Boxcolourtext"/>
              <w:spacing w:before="120" w:after="120"/>
              <w:rPr>
                <w:rFonts w:cs="Calibri"/>
                <w:b/>
                <w:color w:val="auto"/>
                <w:sz w:val="24"/>
                <w:szCs w:val="24"/>
                <w:lang w:eastAsia="en-US"/>
              </w:rPr>
            </w:pPr>
            <w:r w:rsidRPr="00E7508E">
              <w:rPr>
                <w:rFonts w:cs="Calibri"/>
                <w:b/>
                <w:color w:val="auto"/>
                <w:sz w:val="24"/>
                <w:szCs w:val="24"/>
                <w:lang w:eastAsia="en-US"/>
              </w:rPr>
              <w:t>Action 6</w:t>
            </w:r>
          </w:p>
        </w:tc>
        <w:tc>
          <w:tcPr>
            <w:tcW w:w="3533" w:type="dxa"/>
          </w:tcPr>
          <w:p w14:paraId="31BB3A29" w14:textId="77777777" w:rsidR="00393FEA" w:rsidRDefault="00393FEA" w:rsidP="00E83500">
            <w:pPr>
              <w:pStyle w:val="Boxcolourtext"/>
              <w:spacing w:before="120" w:after="120"/>
              <w:rPr>
                <w:rFonts w:cs="Calibri"/>
                <w:color w:val="auto"/>
                <w:sz w:val="24"/>
                <w:szCs w:val="24"/>
                <w:lang w:eastAsia="en-US"/>
              </w:rPr>
            </w:pPr>
            <w:r>
              <w:rPr>
                <w:rFonts w:cs="Calibri"/>
                <w:color w:val="auto"/>
                <w:sz w:val="24"/>
                <w:szCs w:val="24"/>
                <w:lang w:eastAsia="en-US"/>
              </w:rPr>
              <w:t>Develop and socialise with industry and co</w:t>
            </w:r>
            <w:r>
              <w:rPr>
                <w:rFonts w:cs="Calibri"/>
                <w:color w:val="auto"/>
                <w:sz w:val="24"/>
                <w:szCs w:val="24"/>
                <w:lang w:eastAsia="en-US"/>
              </w:rPr>
              <w:noBreakHyphen/>
              <w:t>regulators a new risk matrix to sup</w:t>
            </w:r>
            <w:r w:rsidR="00693E70">
              <w:rPr>
                <w:rFonts w:cs="Calibri"/>
                <w:color w:val="auto"/>
                <w:sz w:val="24"/>
                <w:szCs w:val="24"/>
                <w:lang w:eastAsia="en-US"/>
              </w:rPr>
              <w:t>port regulatory decision making</w:t>
            </w:r>
          </w:p>
          <w:p w14:paraId="76B30F3B" w14:textId="77777777" w:rsidR="00393FEA" w:rsidRDefault="00E518BB" w:rsidP="00E83500">
            <w:pPr>
              <w:pStyle w:val="Boxcolourtext"/>
              <w:spacing w:before="120" w:after="120"/>
              <w:rPr>
                <w:rFonts w:cs="Calibri"/>
                <w:sz w:val="24"/>
                <w:szCs w:val="24"/>
              </w:rPr>
            </w:pPr>
            <w:r>
              <w:rPr>
                <w:rFonts w:cs="Calibri"/>
                <w:color w:val="auto"/>
                <w:sz w:val="24"/>
                <w:szCs w:val="24"/>
                <w:lang w:eastAsia="en-US"/>
              </w:rPr>
              <w:t>Complete</w:t>
            </w:r>
            <w:r w:rsidR="00393FEA">
              <w:rPr>
                <w:rFonts w:cs="Calibri"/>
                <w:color w:val="auto"/>
                <w:sz w:val="24"/>
                <w:szCs w:val="24"/>
                <w:lang w:eastAsia="en-US"/>
              </w:rPr>
              <w:t xml:space="preserve"> draft </w:t>
            </w:r>
            <w:r w:rsidR="00693E70" w:rsidRPr="00946D9B">
              <w:rPr>
                <w:rFonts w:cs="Calibri"/>
                <w:color w:val="auto"/>
                <w:sz w:val="24"/>
                <w:szCs w:val="24"/>
                <w:lang w:eastAsia="en-US"/>
              </w:rPr>
              <w:t xml:space="preserve">Standard Risk Management </w:t>
            </w:r>
            <w:r>
              <w:rPr>
                <w:rFonts w:cs="Calibri"/>
                <w:color w:val="auto"/>
                <w:sz w:val="24"/>
                <w:szCs w:val="24"/>
                <w:lang w:eastAsia="en-US"/>
              </w:rPr>
              <w:t>Standard Control templates</w:t>
            </w:r>
            <w:r w:rsidR="00693E70" w:rsidRPr="00946D9B">
              <w:rPr>
                <w:rFonts w:cs="Calibri"/>
                <w:color w:val="auto"/>
                <w:sz w:val="24"/>
                <w:szCs w:val="24"/>
                <w:lang w:eastAsia="en-US"/>
              </w:rPr>
              <w:t xml:space="preserve"> </w:t>
            </w:r>
            <w:r w:rsidR="00393FEA" w:rsidRPr="00946D9B">
              <w:rPr>
                <w:rFonts w:cs="Calibri"/>
                <w:color w:val="auto"/>
                <w:sz w:val="24"/>
                <w:szCs w:val="24"/>
                <w:lang w:eastAsia="en-US"/>
              </w:rPr>
              <w:t>for extractives</w:t>
            </w:r>
            <w:r w:rsidR="004A3859">
              <w:rPr>
                <w:rFonts w:cs="Calibri"/>
                <w:color w:val="auto"/>
                <w:sz w:val="24"/>
                <w:szCs w:val="24"/>
                <w:lang w:eastAsia="en-US"/>
              </w:rPr>
              <w:t xml:space="preserve"> and minerals</w:t>
            </w:r>
          </w:p>
          <w:p w14:paraId="4E5C508E" w14:textId="77777777" w:rsidR="00393FEA" w:rsidRPr="00946D9B" w:rsidRDefault="004A3859" w:rsidP="00E83500">
            <w:pPr>
              <w:pStyle w:val="Boxcolourtext"/>
              <w:spacing w:before="120" w:after="120"/>
              <w:rPr>
                <w:rFonts w:cs="Calibri"/>
                <w:color w:val="auto"/>
                <w:sz w:val="24"/>
                <w:szCs w:val="24"/>
              </w:rPr>
            </w:pPr>
            <w:r>
              <w:rPr>
                <w:rFonts w:cs="Calibri"/>
                <w:color w:val="auto"/>
                <w:sz w:val="24"/>
                <w:szCs w:val="24"/>
              </w:rPr>
              <w:t>Release</w:t>
            </w:r>
            <w:r w:rsidR="00393FEA">
              <w:rPr>
                <w:rFonts w:cs="Calibri"/>
                <w:color w:val="auto"/>
                <w:sz w:val="24"/>
                <w:szCs w:val="24"/>
              </w:rPr>
              <w:t xml:space="preserve"> final Standard Risk Management Plans</w:t>
            </w:r>
            <w:r w:rsidR="00E518BB">
              <w:rPr>
                <w:rFonts w:cs="Calibri"/>
                <w:color w:val="auto"/>
                <w:sz w:val="24"/>
                <w:szCs w:val="24"/>
              </w:rPr>
              <w:t xml:space="preserve"> Standard Control templates</w:t>
            </w:r>
            <w:r w:rsidR="006A2CFD">
              <w:rPr>
                <w:rFonts w:cs="Calibri"/>
                <w:color w:val="auto"/>
                <w:sz w:val="24"/>
                <w:szCs w:val="24"/>
              </w:rPr>
              <w:t xml:space="preserve"> </w:t>
            </w:r>
            <w:r w:rsidR="006A2CFD" w:rsidRPr="00946D9B">
              <w:rPr>
                <w:rFonts w:cs="Calibri"/>
                <w:color w:val="auto"/>
                <w:sz w:val="24"/>
                <w:szCs w:val="24"/>
                <w:lang w:eastAsia="en-US"/>
              </w:rPr>
              <w:t xml:space="preserve">for extractives and </w:t>
            </w:r>
            <w:r w:rsidR="006A2CFD">
              <w:rPr>
                <w:rFonts w:cs="Calibri"/>
                <w:color w:val="auto"/>
                <w:sz w:val="24"/>
                <w:szCs w:val="24"/>
                <w:lang w:eastAsia="en-US"/>
              </w:rPr>
              <w:t>minerals</w:t>
            </w:r>
          </w:p>
        </w:tc>
        <w:tc>
          <w:tcPr>
            <w:tcW w:w="2988" w:type="dxa"/>
            <w:shd w:val="clear" w:color="auto" w:fill="FFFFFF"/>
          </w:tcPr>
          <w:p w14:paraId="468B36D2" w14:textId="77777777" w:rsidR="00393FEA" w:rsidRDefault="00393FEA" w:rsidP="00E83500">
            <w:pPr>
              <w:spacing w:before="120" w:after="120"/>
              <w:rPr>
                <w:rFonts w:ascii="Calibri" w:hAnsi="Calibri" w:cs="Calibri"/>
                <w:szCs w:val="24"/>
              </w:rPr>
            </w:pPr>
            <w:r>
              <w:rPr>
                <w:rFonts w:ascii="Calibri" w:hAnsi="Calibri" w:cs="Calibri"/>
                <w:szCs w:val="24"/>
              </w:rPr>
              <w:t>By 31 July 2018</w:t>
            </w:r>
          </w:p>
          <w:p w14:paraId="65C2EAF5" w14:textId="77777777" w:rsidR="00393FEA" w:rsidRPr="002C0F9A" w:rsidRDefault="00393FEA" w:rsidP="00E83500">
            <w:pPr>
              <w:spacing w:before="120" w:after="120"/>
              <w:rPr>
                <w:rFonts w:ascii="Calibri" w:hAnsi="Calibri" w:cs="Calibri"/>
                <w:sz w:val="56"/>
                <w:szCs w:val="24"/>
              </w:rPr>
            </w:pPr>
          </w:p>
          <w:p w14:paraId="01BC9C96" w14:textId="77777777" w:rsidR="00393FEA" w:rsidRDefault="002C0F9A" w:rsidP="00E83500">
            <w:pPr>
              <w:spacing w:before="120" w:after="120"/>
              <w:rPr>
                <w:rFonts w:ascii="Calibri" w:hAnsi="Calibri" w:cs="Calibri"/>
                <w:szCs w:val="24"/>
              </w:rPr>
            </w:pPr>
            <w:r>
              <w:rPr>
                <w:rFonts w:ascii="Calibri" w:hAnsi="Calibri" w:cs="Calibri"/>
                <w:szCs w:val="24"/>
              </w:rPr>
              <w:t>B</w:t>
            </w:r>
            <w:r w:rsidR="00393FEA">
              <w:rPr>
                <w:rFonts w:ascii="Calibri" w:hAnsi="Calibri" w:cs="Calibri"/>
                <w:szCs w:val="24"/>
              </w:rPr>
              <w:t xml:space="preserve">y 31 </w:t>
            </w:r>
            <w:r w:rsidR="00AF059F">
              <w:rPr>
                <w:rFonts w:ascii="Calibri" w:hAnsi="Calibri" w:cs="Calibri"/>
                <w:szCs w:val="24"/>
              </w:rPr>
              <w:t>July</w:t>
            </w:r>
            <w:r w:rsidR="00393FEA">
              <w:rPr>
                <w:rFonts w:ascii="Calibri" w:hAnsi="Calibri" w:cs="Calibri"/>
                <w:szCs w:val="24"/>
              </w:rPr>
              <w:t xml:space="preserve"> 2018</w:t>
            </w:r>
          </w:p>
          <w:p w14:paraId="3BCFE954" w14:textId="77777777" w:rsidR="00393FEA" w:rsidRDefault="00393FEA" w:rsidP="00E83500">
            <w:pPr>
              <w:spacing w:before="120" w:after="120"/>
              <w:rPr>
                <w:rFonts w:ascii="Calibri" w:hAnsi="Calibri" w:cs="Calibri"/>
                <w:szCs w:val="24"/>
              </w:rPr>
            </w:pPr>
          </w:p>
          <w:p w14:paraId="32371642" w14:textId="77777777" w:rsidR="00393FEA" w:rsidRPr="00946D9B" w:rsidRDefault="00393FEA" w:rsidP="00E83500">
            <w:pPr>
              <w:spacing w:before="120" w:after="120"/>
              <w:rPr>
                <w:rFonts w:ascii="Calibri" w:hAnsi="Calibri" w:cs="Calibri"/>
                <w:szCs w:val="24"/>
              </w:rPr>
            </w:pPr>
            <w:r>
              <w:rPr>
                <w:rFonts w:ascii="Calibri" w:hAnsi="Calibri" w:cs="Calibri"/>
                <w:szCs w:val="24"/>
              </w:rPr>
              <w:t>By 31 January 201</w:t>
            </w:r>
            <w:r w:rsidR="009F0F39">
              <w:rPr>
                <w:rFonts w:ascii="Calibri" w:hAnsi="Calibri" w:cs="Calibri"/>
                <w:szCs w:val="24"/>
              </w:rPr>
              <w:t>9</w:t>
            </w:r>
          </w:p>
        </w:tc>
      </w:tr>
      <w:tr w:rsidR="00204F08" w:rsidRPr="00946D9B" w14:paraId="1DF57D3F" w14:textId="77777777" w:rsidTr="00E83500">
        <w:trPr>
          <w:cantSplit/>
        </w:trPr>
        <w:tc>
          <w:tcPr>
            <w:tcW w:w="9606" w:type="dxa"/>
            <w:gridSpan w:val="3"/>
          </w:tcPr>
          <w:p w14:paraId="527CEF4F" w14:textId="77777777" w:rsidR="00204F08" w:rsidRPr="00E83500" w:rsidRDefault="00204F08" w:rsidP="00204F08">
            <w:pPr>
              <w:spacing w:before="120" w:after="120"/>
              <w:rPr>
                <w:rFonts w:ascii="Calibri" w:hAnsi="Calibri" w:cs="Calibri"/>
                <w:szCs w:val="24"/>
              </w:rPr>
            </w:pPr>
            <w:r w:rsidRPr="00E83500">
              <w:rPr>
                <w:rFonts w:ascii="Calibri" w:hAnsi="Calibri" w:cs="Calibri"/>
                <w:b/>
                <w:szCs w:val="24"/>
              </w:rPr>
              <w:t>Stage 2</w:t>
            </w:r>
          </w:p>
        </w:tc>
      </w:tr>
      <w:tr w:rsidR="00204F08" w:rsidRPr="00946D9B" w14:paraId="572D6D3C" w14:textId="77777777" w:rsidTr="00E83500">
        <w:trPr>
          <w:cantSplit/>
        </w:trPr>
        <w:tc>
          <w:tcPr>
            <w:tcW w:w="3085" w:type="dxa"/>
            <w:tcBorders>
              <w:top w:val="single" w:sz="4" w:space="0" w:color="auto"/>
              <w:left w:val="single" w:sz="4" w:space="0" w:color="auto"/>
              <w:bottom w:val="single" w:sz="4" w:space="0" w:color="auto"/>
              <w:right w:val="single" w:sz="4" w:space="0" w:color="auto"/>
            </w:tcBorders>
          </w:tcPr>
          <w:p w14:paraId="6DD2A1AA" w14:textId="77777777" w:rsidR="00204F08" w:rsidRPr="00946D9B" w:rsidRDefault="00204F08" w:rsidP="00204F08">
            <w:pPr>
              <w:pStyle w:val="Boxcolourtext"/>
              <w:spacing w:before="120" w:after="120"/>
              <w:rPr>
                <w:rFonts w:cs="Calibri"/>
                <w:b/>
                <w:color w:val="auto"/>
                <w:sz w:val="24"/>
                <w:szCs w:val="24"/>
                <w:lang w:eastAsia="en-US"/>
              </w:rPr>
            </w:pPr>
            <w:r w:rsidRPr="00EF42CD">
              <w:rPr>
                <w:rFonts w:cs="Calibri"/>
                <w:b/>
                <w:color w:val="auto"/>
                <w:sz w:val="24"/>
                <w:szCs w:val="24"/>
                <w:lang w:eastAsia="en-US"/>
              </w:rPr>
              <w:t>Action 7</w:t>
            </w:r>
          </w:p>
        </w:tc>
        <w:tc>
          <w:tcPr>
            <w:tcW w:w="3533" w:type="dxa"/>
            <w:tcBorders>
              <w:top w:val="single" w:sz="4" w:space="0" w:color="auto"/>
              <w:left w:val="single" w:sz="4" w:space="0" w:color="auto"/>
              <w:bottom w:val="single" w:sz="4" w:space="0" w:color="auto"/>
              <w:right w:val="single" w:sz="4" w:space="0" w:color="auto"/>
            </w:tcBorders>
          </w:tcPr>
          <w:p w14:paraId="4490F769" w14:textId="77777777" w:rsidR="00204F08" w:rsidRPr="00946D9B" w:rsidRDefault="00204F08" w:rsidP="00204F08">
            <w:pPr>
              <w:pStyle w:val="Boxcolourtext"/>
              <w:spacing w:before="120" w:after="120"/>
              <w:rPr>
                <w:rFonts w:cs="Calibri"/>
                <w:color w:val="auto"/>
                <w:sz w:val="24"/>
                <w:szCs w:val="24"/>
                <w:lang w:eastAsia="en-US"/>
              </w:rPr>
            </w:pPr>
            <w:r w:rsidRPr="00946D9B">
              <w:rPr>
                <w:rFonts w:cs="Calibri"/>
                <w:color w:val="auto"/>
                <w:sz w:val="24"/>
                <w:szCs w:val="24"/>
                <w:lang w:eastAsia="en-US"/>
              </w:rPr>
              <w:t>Review and amend the standard licence and work authority conditions to ensure enforceability and provide certainty to industry</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8704C57" w14:textId="77777777" w:rsidR="00204F08" w:rsidRPr="00946D9B" w:rsidRDefault="00204F08" w:rsidP="00204F08">
            <w:pPr>
              <w:spacing w:before="120" w:after="120"/>
              <w:rPr>
                <w:rFonts w:ascii="Calibri" w:hAnsi="Calibri" w:cs="Calibri"/>
                <w:szCs w:val="24"/>
              </w:rPr>
            </w:pPr>
            <w:r>
              <w:rPr>
                <w:rFonts w:ascii="Calibri" w:hAnsi="Calibri" w:cs="Calibri"/>
                <w:szCs w:val="24"/>
              </w:rPr>
              <w:t>By 31 December 2018</w:t>
            </w:r>
          </w:p>
        </w:tc>
      </w:tr>
      <w:tr w:rsidR="00204F08" w:rsidRPr="00946D9B" w14:paraId="1DA66E19" w14:textId="77777777" w:rsidTr="00E83500">
        <w:trPr>
          <w:cantSplit/>
        </w:trPr>
        <w:tc>
          <w:tcPr>
            <w:tcW w:w="3085" w:type="dxa"/>
            <w:tcBorders>
              <w:top w:val="single" w:sz="4" w:space="0" w:color="auto"/>
              <w:left w:val="single" w:sz="4" w:space="0" w:color="auto"/>
              <w:bottom w:val="single" w:sz="4" w:space="0" w:color="auto"/>
              <w:right w:val="single" w:sz="4" w:space="0" w:color="auto"/>
            </w:tcBorders>
          </w:tcPr>
          <w:p w14:paraId="04C48984" w14:textId="77777777" w:rsidR="00204F08" w:rsidRPr="00946D9B" w:rsidRDefault="00204F08" w:rsidP="00204F08">
            <w:pPr>
              <w:pStyle w:val="Boxcolourtext"/>
              <w:spacing w:before="120" w:after="120"/>
              <w:rPr>
                <w:rFonts w:cs="Calibri"/>
                <w:b/>
                <w:color w:val="auto"/>
                <w:sz w:val="24"/>
                <w:szCs w:val="24"/>
                <w:lang w:eastAsia="en-US"/>
              </w:rPr>
            </w:pPr>
            <w:r>
              <w:rPr>
                <w:rFonts w:cs="Calibri"/>
                <w:b/>
                <w:color w:val="auto"/>
                <w:sz w:val="24"/>
                <w:szCs w:val="24"/>
                <w:lang w:eastAsia="en-US"/>
              </w:rPr>
              <w:lastRenderedPageBreak/>
              <w:t>Action 7</w:t>
            </w:r>
          </w:p>
        </w:tc>
        <w:tc>
          <w:tcPr>
            <w:tcW w:w="3533" w:type="dxa"/>
            <w:tcBorders>
              <w:top w:val="single" w:sz="4" w:space="0" w:color="auto"/>
              <w:left w:val="single" w:sz="4" w:space="0" w:color="auto"/>
              <w:bottom w:val="single" w:sz="4" w:space="0" w:color="auto"/>
              <w:right w:val="single" w:sz="4" w:space="0" w:color="auto"/>
            </w:tcBorders>
          </w:tcPr>
          <w:p w14:paraId="02DC43F4" w14:textId="77777777" w:rsidR="00204F08" w:rsidRDefault="00204F08" w:rsidP="00204F08">
            <w:pPr>
              <w:pStyle w:val="Boxcolourtext"/>
              <w:spacing w:before="120" w:after="120"/>
              <w:rPr>
                <w:rFonts w:cs="Calibri"/>
                <w:color w:val="auto"/>
                <w:sz w:val="24"/>
                <w:szCs w:val="24"/>
                <w:lang w:eastAsia="en-US"/>
              </w:rPr>
            </w:pPr>
            <w:r>
              <w:rPr>
                <w:rFonts w:cs="Calibri"/>
                <w:color w:val="auto"/>
                <w:sz w:val="24"/>
                <w:szCs w:val="24"/>
                <w:lang w:eastAsia="en-US"/>
              </w:rPr>
              <w:t>Undertake a review of all existing codes of practices to support the delivery of a new regulatory mode</w:t>
            </w:r>
            <w:r w:rsidR="00693E70">
              <w:rPr>
                <w:rFonts w:cs="Calibri"/>
                <w:color w:val="auto"/>
                <w:sz w:val="24"/>
                <w:szCs w:val="24"/>
                <w:lang w:eastAsia="en-US"/>
              </w:rPr>
              <w:t xml:space="preserve">l for </w:t>
            </w:r>
            <w:r w:rsidR="002335CB">
              <w:rPr>
                <w:rFonts w:cs="Calibri"/>
                <w:color w:val="auto"/>
                <w:sz w:val="24"/>
                <w:szCs w:val="24"/>
                <w:lang w:eastAsia="en-US"/>
              </w:rPr>
              <w:t>extractive and mineral resources</w:t>
            </w:r>
            <w:r w:rsidR="00693E70">
              <w:rPr>
                <w:rFonts w:cs="Calibri"/>
                <w:color w:val="auto"/>
                <w:sz w:val="24"/>
                <w:szCs w:val="24"/>
                <w:lang w:eastAsia="en-US"/>
              </w:rPr>
              <w:t xml:space="preserve"> approvals</w:t>
            </w:r>
          </w:p>
          <w:p w14:paraId="5727A78E" w14:textId="77777777" w:rsidR="00204F08" w:rsidRPr="00A514A2" w:rsidRDefault="00204F08" w:rsidP="00204F08">
            <w:pPr>
              <w:pStyle w:val="Boxcolourtext"/>
              <w:spacing w:before="120" w:after="120"/>
              <w:rPr>
                <w:rFonts w:cs="Calibri"/>
                <w:color w:val="auto"/>
                <w:sz w:val="24"/>
                <w:szCs w:val="24"/>
                <w:lang w:eastAsia="en-US"/>
              </w:rPr>
            </w:pP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753CA1B" w14:textId="77777777" w:rsidR="00204F08" w:rsidRDefault="00204F08" w:rsidP="00204F08">
            <w:pPr>
              <w:spacing w:before="120" w:after="120"/>
              <w:rPr>
                <w:rFonts w:ascii="Calibri" w:hAnsi="Calibri" w:cs="Calibri"/>
                <w:szCs w:val="24"/>
              </w:rPr>
            </w:pPr>
            <w:r>
              <w:rPr>
                <w:rFonts w:ascii="Calibri" w:hAnsi="Calibri" w:cs="Calibri"/>
                <w:szCs w:val="24"/>
              </w:rPr>
              <w:t>By 31 December 2018</w:t>
            </w:r>
          </w:p>
          <w:p w14:paraId="547D3E48" w14:textId="77777777" w:rsidR="00204F08" w:rsidRPr="00A514A2" w:rsidRDefault="00204F08" w:rsidP="00204F08">
            <w:pPr>
              <w:spacing w:before="120" w:after="120"/>
              <w:rPr>
                <w:rFonts w:ascii="Calibri" w:hAnsi="Calibri" w:cs="Calibri"/>
                <w:szCs w:val="24"/>
              </w:rPr>
            </w:pPr>
          </w:p>
          <w:p w14:paraId="63CB2D24" w14:textId="77777777" w:rsidR="00204F08" w:rsidRPr="00A514A2" w:rsidRDefault="00204F08" w:rsidP="00204F08">
            <w:pPr>
              <w:spacing w:before="120" w:after="120"/>
              <w:rPr>
                <w:rFonts w:ascii="Calibri" w:hAnsi="Calibri" w:cs="Calibri"/>
                <w:szCs w:val="24"/>
              </w:rPr>
            </w:pPr>
          </w:p>
          <w:p w14:paraId="048FA7E1" w14:textId="77777777" w:rsidR="00204F08" w:rsidRPr="00A514A2" w:rsidRDefault="00204F08" w:rsidP="00204F08">
            <w:pPr>
              <w:spacing w:before="120" w:after="120"/>
              <w:rPr>
                <w:rFonts w:ascii="Calibri" w:hAnsi="Calibri" w:cs="Calibri"/>
                <w:szCs w:val="24"/>
              </w:rPr>
            </w:pPr>
          </w:p>
          <w:p w14:paraId="16282880" w14:textId="77777777" w:rsidR="00204F08" w:rsidRPr="00946D9B" w:rsidRDefault="00204F08" w:rsidP="00204F08">
            <w:pPr>
              <w:spacing w:before="120" w:after="120"/>
              <w:rPr>
                <w:rFonts w:ascii="Calibri" w:hAnsi="Calibri" w:cs="Calibri"/>
                <w:szCs w:val="24"/>
              </w:rPr>
            </w:pPr>
          </w:p>
        </w:tc>
      </w:tr>
      <w:tr w:rsidR="00204F08" w:rsidRPr="00946D9B" w14:paraId="1624094F" w14:textId="77777777" w:rsidTr="00E83500">
        <w:trPr>
          <w:cantSplit/>
        </w:trPr>
        <w:tc>
          <w:tcPr>
            <w:tcW w:w="3085" w:type="dxa"/>
            <w:tcBorders>
              <w:top w:val="single" w:sz="4" w:space="0" w:color="auto"/>
              <w:left w:val="single" w:sz="4" w:space="0" w:color="auto"/>
              <w:bottom w:val="single" w:sz="4" w:space="0" w:color="auto"/>
              <w:right w:val="single" w:sz="4" w:space="0" w:color="auto"/>
            </w:tcBorders>
          </w:tcPr>
          <w:p w14:paraId="14DA8662" w14:textId="77777777" w:rsidR="00204F08" w:rsidRDefault="00204F08" w:rsidP="00204F08">
            <w:pPr>
              <w:pStyle w:val="Boxcolourtext"/>
              <w:spacing w:before="120" w:after="120"/>
              <w:rPr>
                <w:rFonts w:cs="Calibri"/>
                <w:b/>
                <w:color w:val="auto"/>
                <w:sz w:val="24"/>
                <w:szCs w:val="24"/>
                <w:lang w:eastAsia="en-US"/>
              </w:rPr>
            </w:pPr>
            <w:r>
              <w:rPr>
                <w:rFonts w:cs="Calibri"/>
                <w:b/>
                <w:color w:val="auto"/>
                <w:sz w:val="24"/>
                <w:szCs w:val="24"/>
                <w:lang w:eastAsia="en-US"/>
              </w:rPr>
              <w:t>Recommendation 2</w:t>
            </w:r>
          </w:p>
        </w:tc>
        <w:tc>
          <w:tcPr>
            <w:tcW w:w="3533" w:type="dxa"/>
            <w:tcBorders>
              <w:top w:val="single" w:sz="4" w:space="0" w:color="auto"/>
              <w:left w:val="single" w:sz="4" w:space="0" w:color="auto"/>
              <w:bottom w:val="single" w:sz="4" w:space="0" w:color="auto"/>
              <w:right w:val="single" w:sz="4" w:space="0" w:color="auto"/>
            </w:tcBorders>
          </w:tcPr>
          <w:p w14:paraId="1E621427" w14:textId="77777777" w:rsidR="00204F08" w:rsidRDefault="00204F08" w:rsidP="00204F08">
            <w:pPr>
              <w:pStyle w:val="Boxcolourtext"/>
              <w:spacing w:before="120" w:after="120"/>
              <w:rPr>
                <w:rFonts w:cs="Calibri"/>
                <w:color w:val="auto"/>
                <w:sz w:val="24"/>
                <w:szCs w:val="24"/>
                <w:lang w:eastAsia="en-US"/>
              </w:rPr>
            </w:pPr>
            <w:r>
              <w:rPr>
                <w:rFonts w:cs="Calibri"/>
                <w:color w:val="auto"/>
                <w:sz w:val="24"/>
                <w:szCs w:val="24"/>
                <w:lang w:eastAsia="en-US"/>
              </w:rPr>
              <w:t>Publish a new code</w:t>
            </w:r>
            <w:r w:rsidRPr="00946D9B">
              <w:rPr>
                <w:rFonts w:cs="Calibri"/>
                <w:color w:val="auto"/>
                <w:sz w:val="24"/>
                <w:szCs w:val="24"/>
                <w:lang w:eastAsia="en-US"/>
              </w:rPr>
              <w:t xml:space="preserve"> of practice under Part 8A of the MRSDA to reinforce the standard risk management plans</w:t>
            </w:r>
            <w:r w:rsidR="002A7C11">
              <w:rPr>
                <w:rFonts w:cs="Calibri"/>
                <w:color w:val="auto"/>
                <w:sz w:val="24"/>
                <w:szCs w:val="24"/>
                <w:lang w:eastAsia="en-US"/>
              </w:rPr>
              <w:t xml:space="preserve"> for extractive and mineral resources</w:t>
            </w:r>
          </w:p>
          <w:p w14:paraId="33ABD8A3" w14:textId="77777777" w:rsidR="00204F08" w:rsidRDefault="00204F08" w:rsidP="00204F08">
            <w:pPr>
              <w:pStyle w:val="Boxcolourtext"/>
              <w:spacing w:before="120" w:after="120"/>
              <w:rPr>
                <w:rFonts w:cs="Calibri"/>
                <w:color w:val="auto"/>
                <w:sz w:val="24"/>
                <w:szCs w:val="24"/>
                <w:lang w:eastAsia="en-US"/>
              </w:rPr>
            </w:pP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2A2AF18" w14:textId="77777777" w:rsidR="00204F08" w:rsidRDefault="00204F08" w:rsidP="00204F08">
            <w:pPr>
              <w:spacing w:before="120" w:after="120"/>
              <w:rPr>
                <w:rFonts w:ascii="Calibri" w:hAnsi="Calibri" w:cs="Calibri"/>
                <w:szCs w:val="24"/>
              </w:rPr>
            </w:pPr>
            <w:r>
              <w:rPr>
                <w:rFonts w:ascii="Calibri" w:hAnsi="Calibri" w:cs="Calibri"/>
                <w:szCs w:val="24"/>
              </w:rPr>
              <w:t>By 30 June</w:t>
            </w:r>
            <w:r w:rsidR="009F0F39">
              <w:rPr>
                <w:rFonts w:ascii="Calibri" w:hAnsi="Calibri" w:cs="Calibri"/>
                <w:szCs w:val="24"/>
              </w:rPr>
              <w:t xml:space="preserve"> </w:t>
            </w:r>
            <w:r w:rsidRPr="00946D9B">
              <w:rPr>
                <w:rFonts w:ascii="Calibri" w:hAnsi="Calibri" w:cs="Calibri"/>
                <w:szCs w:val="24"/>
              </w:rPr>
              <w:t>2019</w:t>
            </w:r>
          </w:p>
        </w:tc>
      </w:tr>
      <w:tr w:rsidR="00367D29" w:rsidRPr="00367D29" w14:paraId="7E809B22" w14:textId="77777777" w:rsidTr="00E83500">
        <w:trPr>
          <w:cantSplit/>
        </w:trPr>
        <w:tc>
          <w:tcPr>
            <w:tcW w:w="3085" w:type="dxa"/>
            <w:tcBorders>
              <w:top w:val="single" w:sz="4" w:space="0" w:color="auto"/>
              <w:left w:val="single" w:sz="4" w:space="0" w:color="auto"/>
              <w:bottom w:val="single" w:sz="4" w:space="0" w:color="auto"/>
              <w:right w:val="single" w:sz="4" w:space="0" w:color="auto"/>
            </w:tcBorders>
          </w:tcPr>
          <w:p w14:paraId="7F85CA27" w14:textId="77777777" w:rsidR="00367D29" w:rsidRPr="00367D29" w:rsidRDefault="00367D29" w:rsidP="00367D29">
            <w:pPr>
              <w:pStyle w:val="Boxcolourtext"/>
              <w:spacing w:before="120" w:after="120"/>
              <w:rPr>
                <w:rFonts w:cs="Calibri"/>
                <w:b/>
                <w:color w:val="auto"/>
                <w:sz w:val="24"/>
                <w:szCs w:val="24"/>
                <w:lang w:eastAsia="en-US"/>
              </w:rPr>
            </w:pPr>
            <w:r w:rsidRPr="00367D29">
              <w:rPr>
                <w:rFonts w:cs="Calibri"/>
                <w:b/>
                <w:color w:val="auto"/>
                <w:sz w:val="24"/>
                <w:szCs w:val="24"/>
                <w:lang w:eastAsia="en-US"/>
              </w:rPr>
              <w:t>Action 8</w:t>
            </w:r>
          </w:p>
        </w:tc>
        <w:tc>
          <w:tcPr>
            <w:tcW w:w="3533" w:type="dxa"/>
            <w:tcBorders>
              <w:top w:val="single" w:sz="4" w:space="0" w:color="auto"/>
              <w:left w:val="single" w:sz="4" w:space="0" w:color="auto"/>
              <w:bottom w:val="single" w:sz="4" w:space="0" w:color="auto"/>
              <w:right w:val="single" w:sz="4" w:space="0" w:color="auto"/>
            </w:tcBorders>
          </w:tcPr>
          <w:p w14:paraId="4AA92BAF" w14:textId="77777777" w:rsidR="00367D29" w:rsidRPr="00367D29" w:rsidRDefault="00367D29" w:rsidP="00367D29">
            <w:pPr>
              <w:pStyle w:val="Boxcolourtext"/>
              <w:spacing w:before="120" w:after="120"/>
              <w:rPr>
                <w:rFonts w:cs="Calibri"/>
                <w:color w:val="auto"/>
                <w:sz w:val="24"/>
                <w:szCs w:val="24"/>
                <w:lang w:eastAsia="en-US"/>
              </w:rPr>
            </w:pPr>
            <w:r w:rsidRPr="00367D29">
              <w:rPr>
                <w:rFonts w:cs="Calibri"/>
                <w:color w:val="auto"/>
                <w:sz w:val="24"/>
                <w:szCs w:val="24"/>
                <w:lang w:eastAsia="en-US"/>
              </w:rPr>
              <w:t>Continue to provide case management for strategically significant and complex earth resources projects</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6FDB99B" w14:textId="77777777" w:rsidR="00367D29" w:rsidRPr="00367D29" w:rsidRDefault="00367D29" w:rsidP="00367D29">
            <w:pPr>
              <w:spacing w:before="120" w:after="120"/>
              <w:rPr>
                <w:rFonts w:ascii="Calibri" w:hAnsi="Calibri" w:cs="Calibri"/>
                <w:szCs w:val="24"/>
              </w:rPr>
            </w:pPr>
            <w:r w:rsidRPr="00367D29">
              <w:rPr>
                <w:rFonts w:ascii="Calibri" w:hAnsi="Calibri" w:cs="Calibri"/>
                <w:szCs w:val="24"/>
              </w:rPr>
              <w:t>Ongoing</w:t>
            </w:r>
          </w:p>
          <w:p w14:paraId="5EC651C3" w14:textId="77777777" w:rsidR="00367D29" w:rsidRPr="00367D29" w:rsidRDefault="00367D29" w:rsidP="00367D29">
            <w:pPr>
              <w:spacing w:before="120" w:after="120"/>
              <w:rPr>
                <w:rFonts w:ascii="Calibri" w:hAnsi="Calibri" w:cs="Calibri"/>
                <w:szCs w:val="24"/>
              </w:rPr>
            </w:pPr>
          </w:p>
          <w:p w14:paraId="793B999A" w14:textId="77777777" w:rsidR="00367D29" w:rsidRPr="00367D29" w:rsidRDefault="00367D29" w:rsidP="00367D29">
            <w:pPr>
              <w:spacing w:before="120" w:after="120"/>
              <w:rPr>
                <w:rFonts w:ascii="Calibri" w:hAnsi="Calibri" w:cs="Calibri"/>
                <w:szCs w:val="24"/>
              </w:rPr>
            </w:pPr>
          </w:p>
        </w:tc>
      </w:tr>
      <w:tr w:rsidR="00367D29" w:rsidRPr="00E7508E" w14:paraId="09A5103C" w14:textId="77777777" w:rsidTr="00E83500">
        <w:trPr>
          <w:cantSplit/>
        </w:trPr>
        <w:tc>
          <w:tcPr>
            <w:tcW w:w="9606" w:type="dxa"/>
            <w:gridSpan w:val="3"/>
            <w:shd w:val="clear" w:color="auto" w:fill="A6A6A6"/>
          </w:tcPr>
          <w:p w14:paraId="26CC60AA" w14:textId="77777777" w:rsidR="00367D29" w:rsidRPr="00E7508E" w:rsidRDefault="00367D29" w:rsidP="00367D29">
            <w:pPr>
              <w:spacing w:before="120" w:after="120"/>
              <w:rPr>
                <w:rFonts w:ascii="Calibri" w:hAnsi="Calibri" w:cs="Calibri"/>
                <w:b/>
                <w:szCs w:val="24"/>
              </w:rPr>
            </w:pPr>
            <w:r w:rsidRPr="00E7508E">
              <w:rPr>
                <w:rFonts w:ascii="Calibri" w:hAnsi="Calibri" w:cs="Calibri"/>
                <w:b/>
                <w:szCs w:val="24"/>
              </w:rPr>
              <w:t xml:space="preserve">Develop guidance, processes and procedures </w:t>
            </w:r>
          </w:p>
        </w:tc>
      </w:tr>
      <w:tr w:rsidR="00367D29" w:rsidRPr="00946D9B" w14:paraId="71D9E574" w14:textId="77777777" w:rsidTr="00C83A30">
        <w:trPr>
          <w:cantSplit/>
          <w:trHeight w:val="4479"/>
        </w:trPr>
        <w:tc>
          <w:tcPr>
            <w:tcW w:w="3085" w:type="dxa"/>
          </w:tcPr>
          <w:p w14:paraId="1C6C834C" w14:textId="77777777" w:rsidR="00367D29" w:rsidRPr="00CD1762" w:rsidRDefault="00367D29" w:rsidP="00367D29">
            <w:pPr>
              <w:pStyle w:val="Boxcolourtext"/>
              <w:spacing w:before="120" w:after="120"/>
              <w:rPr>
                <w:rFonts w:cs="Calibri"/>
                <w:b/>
                <w:color w:val="auto"/>
                <w:sz w:val="24"/>
                <w:szCs w:val="24"/>
                <w:lang w:eastAsia="en-US"/>
              </w:rPr>
            </w:pPr>
            <w:r>
              <w:rPr>
                <w:rFonts w:cs="Calibri"/>
                <w:b/>
                <w:color w:val="auto"/>
                <w:sz w:val="24"/>
                <w:szCs w:val="24"/>
                <w:lang w:eastAsia="en-US"/>
              </w:rPr>
              <w:t>Recommendation 1, Actions 5, 6 &amp; 10</w:t>
            </w:r>
          </w:p>
        </w:tc>
        <w:tc>
          <w:tcPr>
            <w:tcW w:w="3533" w:type="dxa"/>
          </w:tcPr>
          <w:p w14:paraId="09F5C89D"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Consult on draft guidance material and training for industry, co-regulators, local government and ERR to operationalise the Statements of Operating Change and draft Standard Risk Management Plans</w:t>
            </w:r>
            <w:r w:rsidR="002A7C11">
              <w:rPr>
                <w:rFonts w:cs="Calibri"/>
                <w:color w:val="auto"/>
                <w:sz w:val="24"/>
                <w:szCs w:val="24"/>
                <w:lang w:eastAsia="en-US"/>
              </w:rPr>
              <w:t xml:space="preserve"> for extractive and mineral resources</w:t>
            </w:r>
          </w:p>
          <w:p w14:paraId="351DE5E2"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Finalise guidance material for industry, co regulators, local government and ERR following implementation of the streamlined approvals pathway</w:t>
            </w:r>
            <w:r w:rsidR="002A7C11">
              <w:rPr>
                <w:rFonts w:cs="Calibri"/>
                <w:color w:val="auto"/>
                <w:sz w:val="24"/>
                <w:szCs w:val="24"/>
                <w:lang w:eastAsia="en-US"/>
              </w:rPr>
              <w:t>s for extractive and mineral resources</w:t>
            </w:r>
          </w:p>
        </w:tc>
        <w:tc>
          <w:tcPr>
            <w:tcW w:w="2988" w:type="dxa"/>
            <w:shd w:val="clear" w:color="auto" w:fill="FFFFFF"/>
          </w:tcPr>
          <w:p w14:paraId="5708E771" w14:textId="77777777" w:rsidR="00367D29" w:rsidRDefault="00367D29" w:rsidP="00367D29">
            <w:pPr>
              <w:spacing w:before="120" w:after="120"/>
              <w:rPr>
                <w:rFonts w:ascii="Calibri" w:hAnsi="Calibri" w:cs="Calibri"/>
                <w:szCs w:val="24"/>
              </w:rPr>
            </w:pPr>
            <w:r>
              <w:rPr>
                <w:rFonts w:ascii="Calibri" w:hAnsi="Calibri" w:cs="Calibri"/>
                <w:szCs w:val="24"/>
              </w:rPr>
              <w:t>By 30 September 2018</w:t>
            </w:r>
          </w:p>
          <w:p w14:paraId="0BA3B9D0" w14:textId="77777777" w:rsidR="00367D29" w:rsidRDefault="00367D29" w:rsidP="00367D29">
            <w:pPr>
              <w:spacing w:before="120" w:after="120"/>
              <w:rPr>
                <w:rFonts w:ascii="Calibri" w:hAnsi="Calibri" w:cs="Calibri"/>
                <w:szCs w:val="24"/>
              </w:rPr>
            </w:pPr>
          </w:p>
          <w:p w14:paraId="231C1949" w14:textId="77777777" w:rsidR="00367D29" w:rsidRPr="00367D29" w:rsidRDefault="00367D29" w:rsidP="00367D29">
            <w:pPr>
              <w:spacing w:before="120" w:after="120"/>
              <w:rPr>
                <w:rFonts w:ascii="Calibri" w:hAnsi="Calibri" w:cs="Calibri"/>
                <w:sz w:val="16"/>
                <w:szCs w:val="24"/>
              </w:rPr>
            </w:pPr>
          </w:p>
          <w:p w14:paraId="0802CC41" w14:textId="77777777" w:rsidR="00367D29" w:rsidRDefault="00367D29" w:rsidP="00367D29">
            <w:pPr>
              <w:spacing w:before="120" w:after="120"/>
              <w:rPr>
                <w:rFonts w:ascii="Calibri" w:hAnsi="Calibri" w:cs="Calibri"/>
                <w:szCs w:val="24"/>
              </w:rPr>
            </w:pPr>
          </w:p>
          <w:p w14:paraId="6E629F12" w14:textId="77777777" w:rsidR="0018188E" w:rsidRDefault="0018188E" w:rsidP="00367D29">
            <w:pPr>
              <w:spacing w:before="120" w:after="120"/>
              <w:rPr>
                <w:rFonts w:ascii="Calibri" w:hAnsi="Calibri" w:cs="Calibri"/>
                <w:szCs w:val="24"/>
              </w:rPr>
            </w:pPr>
          </w:p>
          <w:p w14:paraId="587D5DFD" w14:textId="77777777" w:rsidR="00367D29" w:rsidRPr="00367D29" w:rsidRDefault="00367D29" w:rsidP="00367D29">
            <w:pPr>
              <w:spacing w:before="120" w:after="120"/>
              <w:rPr>
                <w:rFonts w:ascii="Calibri" w:hAnsi="Calibri" w:cs="Calibri"/>
                <w:sz w:val="16"/>
                <w:szCs w:val="24"/>
              </w:rPr>
            </w:pPr>
          </w:p>
          <w:p w14:paraId="5C8B94D7" w14:textId="77777777" w:rsidR="00367D29" w:rsidRDefault="00367D29" w:rsidP="00367D29">
            <w:pPr>
              <w:spacing w:before="120" w:after="120"/>
              <w:rPr>
                <w:rFonts w:ascii="Calibri" w:hAnsi="Calibri" w:cs="Calibri"/>
                <w:szCs w:val="24"/>
              </w:rPr>
            </w:pPr>
            <w:r>
              <w:rPr>
                <w:rFonts w:ascii="Calibri" w:hAnsi="Calibri" w:cs="Calibri"/>
                <w:szCs w:val="24"/>
              </w:rPr>
              <w:t>By 28 February 2019</w:t>
            </w:r>
          </w:p>
        </w:tc>
      </w:tr>
      <w:tr w:rsidR="00367D29" w:rsidRPr="00946D9B" w14:paraId="6F337F2C" w14:textId="77777777" w:rsidTr="00E83500">
        <w:trPr>
          <w:cantSplit/>
          <w:trHeight w:val="70"/>
        </w:trPr>
        <w:tc>
          <w:tcPr>
            <w:tcW w:w="3085" w:type="dxa"/>
          </w:tcPr>
          <w:p w14:paraId="4F447BD1" w14:textId="77777777" w:rsidR="00367D29" w:rsidRPr="00946D9B" w:rsidRDefault="00367D29" w:rsidP="00367D29">
            <w:pPr>
              <w:pStyle w:val="Boxcolourtext"/>
              <w:spacing w:before="120" w:after="120"/>
              <w:rPr>
                <w:rFonts w:cs="Calibri"/>
                <w:b/>
                <w:color w:val="auto"/>
                <w:sz w:val="24"/>
                <w:szCs w:val="24"/>
                <w:lang w:eastAsia="en-US"/>
              </w:rPr>
            </w:pPr>
            <w:r w:rsidRPr="008D7738">
              <w:rPr>
                <w:rFonts w:cs="Calibri"/>
                <w:b/>
                <w:color w:val="auto"/>
                <w:sz w:val="24"/>
                <w:szCs w:val="24"/>
                <w:lang w:eastAsia="en-US"/>
              </w:rPr>
              <w:lastRenderedPageBreak/>
              <w:t>Action 3</w:t>
            </w:r>
          </w:p>
        </w:tc>
        <w:tc>
          <w:tcPr>
            <w:tcW w:w="3533" w:type="dxa"/>
          </w:tcPr>
          <w:p w14:paraId="114ED154"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 xml:space="preserve">Distribution of </w:t>
            </w:r>
            <w:r w:rsidR="00E518BB">
              <w:rPr>
                <w:rFonts w:cs="Calibri"/>
                <w:color w:val="auto"/>
                <w:sz w:val="24"/>
                <w:szCs w:val="24"/>
                <w:lang w:eastAsia="en-US"/>
              </w:rPr>
              <w:t>a summary of relevant</w:t>
            </w:r>
            <w:r>
              <w:rPr>
                <w:rFonts w:cs="Calibri"/>
                <w:color w:val="auto"/>
                <w:sz w:val="24"/>
                <w:szCs w:val="24"/>
                <w:lang w:eastAsia="en-US"/>
              </w:rPr>
              <w:t xml:space="preserve"> </w:t>
            </w:r>
            <w:r w:rsidRPr="00946D9B">
              <w:rPr>
                <w:rFonts w:cs="Calibri"/>
                <w:color w:val="auto"/>
                <w:sz w:val="24"/>
                <w:szCs w:val="24"/>
                <w:lang w:eastAsia="en-US"/>
              </w:rPr>
              <w:t>Standard Operating Procedures (SOPs)</w:t>
            </w:r>
            <w:r w:rsidR="00E518BB">
              <w:rPr>
                <w:rFonts w:cs="Calibri"/>
                <w:color w:val="auto"/>
                <w:sz w:val="24"/>
                <w:szCs w:val="24"/>
                <w:lang w:eastAsia="en-US"/>
              </w:rPr>
              <w:t xml:space="preserve"> process maps</w:t>
            </w:r>
            <w:r>
              <w:rPr>
                <w:rFonts w:cs="Calibri"/>
                <w:color w:val="auto"/>
                <w:sz w:val="24"/>
                <w:szCs w:val="24"/>
                <w:lang w:eastAsia="en-US"/>
              </w:rPr>
              <w:t xml:space="preserve"> for feedback from industry and co</w:t>
            </w:r>
            <w:r>
              <w:rPr>
                <w:rFonts w:cs="Calibri"/>
                <w:color w:val="auto"/>
                <w:sz w:val="24"/>
                <w:szCs w:val="24"/>
                <w:lang w:eastAsia="en-US"/>
              </w:rPr>
              <w:noBreakHyphen/>
              <w:t>regulators</w:t>
            </w:r>
            <w:r w:rsidR="002A7C11">
              <w:rPr>
                <w:rFonts w:cs="Calibri"/>
                <w:color w:val="auto"/>
                <w:sz w:val="24"/>
                <w:szCs w:val="24"/>
                <w:lang w:eastAsia="en-US"/>
              </w:rPr>
              <w:t xml:space="preserve"> for the assessment of extractive and mineral resources applications</w:t>
            </w:r>
          </w:p>
          <w:p w14:paraId="17C1332C" w14:textId="77777777" w:rsidR="00367D29" w:rsidRPr="00C9031E" w:rsidRDefault="00367D29" w:rsidP="00367D29">
            <w:pPr>
              <w:pStyle w:val="Boxcolourtext"/>
              <w:spacing w:before="120" w:after="120"/>
              <w:rPr>
                <w:rFonts w:cs="Calibri"/>
                <w:color w:val="auto"/>
                <w:sz w:val="24"/>
                <w:szCs w:val="24"/>
              </w:rPr>
            </w:pPr>
            <w:r>
              <w:rPr>
                <w:rFonts w:cs="Calibri"/>
                <w:color w:val="auto"/>
                <w:sz w:val="24"/>
                <w:szCs w:val="24"/>
                <w:lang w:eastAsia="en-US"/>
              </w:rPr>
              <w:t xml:space="preserve">Commence implementation of </w:t>
            </w:r>
            <w:r w:rsidR="00442BE2">
              <w:rPr>
                <w:rFonts w:cs="Calibri"/>
                <w:color w:val="auto"/>
                <w:sz w:val="24"/>
                <w:szCs w:val="24"/>
                <w:lang w:eastAsia="en-US"/>
              </w:rPr>
              <w:t xml:space="preserve">these </w:t>
            </w:r>
            <w:r>
              <w:rPr>
                <w:rFonts w:cs="Calibri"/>
                <w:color w:val="auto"/>
                <w:sz w:val="24"/>
                <w:szCs w:val="24"/>
                <w:lang w:eastAsia="en-US"/>
              </w:rPr>
              <w:t>new SOPs as business</w:t>
            </w:r>
            <w:r>
              <w:rPr>
                <w:rFonts w:cs="Calibri"/>
                <w:color w:val="auto"/>
                <w:sz w:val="24"/>
                <w:szCs w:val="24"/>
                <w:lang w:eastAsia="en-US"/>
              </w:rPr>
              <w:noBreakHyphen/>
              <w:t>as</w:t>
            </w:r>
            <w:r>
              <w:rPr>
                <w:rFonts w:cs="Calibri"/>
                <w:color w:val="auto"/>
                <w:sz w:val="24"/>
                <w:szCs w:val="24"/>
                <w:lang w:eastAsia="en-US"/>
              </w:rPr>
              <w:noBreakHyphen/>
              <w:t>usual processes for ERR</w:t>
            </w:r>
          </w:p>
        </w:tc>
        <w:tc>
          <w:tcPr>
            <w:tcW w:w="2988" w:type="dxa"/>
            <w:shd w:val="clear" w:color="auto" w:fill="FFFFFF"/>
          </w:tcPr>
          <w:p w14:paraId="69D4E68A" w14:textId="77777777" w:rsidR="00367D29" w:rsidRDefault="00367D29" w:rsidP="00367D29">
            <w:pPr>
              <w:spacing w:before="120" w:after="120"/>
              <w:rPr>
                <w:rFonts w:ascii="Calibri" w:hAnsi="Calibri" w:cs="Calibri"/>
                <w:szCs w:val="24"/>
              </w:rPr>
            </w:pPr>
            <w:r>
              <w:rPr>
                <w:rFonts w:ascii="Calibri" w:hAnsi="Calibri" w:cs="Calibri"/>
                <w:szCs w:val="24"/>
              </w:rPr>
              <w:t>By 30 October 2018</w:t>
            </w:r>
          </w:p>
          <w:p w14:paraId="279D27E2" w14:textId="77777777" w:rsidR="00367D29" w:rsidRPr="0097217D" w:rsidRDefault="00367D29" w:rsidP="00367D29">
            <w:pPr>
              <w:spacing w:before="120" w:after="120"/>
              <w:rPr>
                <w:rFonts w:ascii="Calibri" w:hAnsi="Calibri" w:cs="Calibri"/>
                <w:sz w:val="8"/>
                <w:szCs w:val="24"/>
              </w:rPr>
            </w:pPr>
          </w:p>
          <w:p w14:paraId="530FC438" w14:textId="77777777" w:rsidR="00367D29" w:rsidRDefault="00367D29" w:rsidP="00AA4618">
            <w:pPr>
              <w:spacing w:before="120" w:after="120"/>
              <w:rPr>
                <w:rFonts w:ascii="Calibri" w:hAnsi="Calibri" w:cs="Calibri"/>
                <w:szCs w:val="24"/>
              </w:rPr>
            </w:pPr>
          </w:p>
          <w:p w14:paraId="1EE77E40" w14:textId="77777777" w:rsidR="00AA4618" w:rsidRPr="002A7C11" w:rsidRDefault="00AA4618" w:rsidP="002A7C11">
            <w:pPr>
              <w:spacing w:before="120" w:after="120"/>
              <w:rPr>
                <w:rFonts w:ascii="Calibri" w:hAnsi="Calibri" w:cs="Calibri"/>
                <w:sz w:val="40"/>
                <w:szCs w:val="24"/>
              </w:rPr>
            </w:pPr>
          </w:p>
          <w:p w14:paraId="31E311ED" w14:textId="77777777" w:rsidR="00AA4618" w:rsidRPr="00946D9B" w:rsidRDefault="00367D29" w:rsidP="00367D29">
            <w:pPr>
              <w:spacing w:before="120" w:after="120"/>
              <w:rPr>
                <w:rFonts w:ascii="Calibri" w:hAnsi="Calibri" w:cs="Calibri"/>
                <w:szCs w:val="24"/>
              </w:rPr>
            </w:pPr>
            <w:r>
              <w:rPr>
                <w:rFonts w:ascii="Calibri" w:hAnsi="Calibri" w:cs="Calibri"/>
                <w:szCs w:val="24"/>
              </w:rPr>
              <w:t xml:space="preserve">By </w:t>
            </w:r>
            <w:r w:rsidR="00D11C0B">
              <w:rPr>
                <w:rFonts w:ascii="Calibri" w:hAnsi="Calibri" w:cs="Calibri"/>
                <w:szCs w:val="24"/>
              </w:rPr>
              <w:t>30 June</w:t>
            </w:r>
            <w:r>
              <w:rPr>
                <w:rFonts w:ascii="Calibri" w:hAnsi="Calibri" w:cs="Calibri"/>
                <w:szCs w:val="24"/>
              </w:rPr>
              <w:t xml:space="preserve"> </w:t>
            </w:r>
            <w:r w:rsidRPr="00946D9B">
              <w:rPr>
                <w:rFonts w:ascii="Calibri" w:hAnsi="Calibri" w:cs="Calibri"/>
                <w:szCs w:val="24"/>
              </w:rPr>
              <w:t>2019</w:t>
            </w:r>
          </w:p>
        </w:tc>
      </w:tr>
      <w:tr w:rsidR="00367D29" w:rsidRPr="00946D9B" w14:paraId="6AC0E28D" w14:textId="77777777" w:rsidTr="00E83500">
        <w:trPr>
          <w:cantSplit/>
          <w:trHeight w:val="511"/>
        </w:trPr>
        <w:tc>
          <w:tcPr>
            <w:tcW w:w="9606" w:type="dxa"/>
            <w:gridSpan w:val="3"/>
            <w:shd w:val="clear" w:color="auto" w:fill="A6A6A6"/>
          </w:tcPr>
          <w:p w14:paraId="25A29F2A" w14:textId="77777777" w:rsidR="00367D29" w:rsidRPr="00946D9B" w:rsidRDefault="00367D29" w:rsidP="00367D29">
            <w:pPr>
              <w:spacing w:before="120" w:after="120"/>
              <w:rPr>
                <w:rFonts w:ascii="Calibri" w:hAnsi="Calibri" w:cs="Calibri"/>
                <w:b/>
                <w:szCs w:val="24"/>
              </w:rPr>
            </w:pPr>
            <w:r w:rsidRPr="00946D9B">
              <w:rPr>
                <w:rFonts w:ascii="Calibri" w:hAnsi="Calibri" w:cs="Calibri"/>
                <w:b/>
                <w:szCs w:val="24"/>
              </w:rPr>
              <w:t>Staff Training</w:t>
            </w:r>
          </w:p>
        </w:tc>
      </w:tr>
      <w:tr w:rsidR="00367D29" w:rsidRPr="00946D9B" w14:paraId="423B7742" w14:textId="77777777" w:rsidTr="00E83500">
        <w:trPr>
          <w:cantSplit/>
          <w:trHeight w:val="485"/>
        </w:trPr>
        <w:tc>
          <w:tcPr>
            <w:tcW w:w="3085" w:type="dxa"/>
          </w:tcPr>
          <w:p w14:paraId="04C02254" w14:textId="77777777" w:rsidR="00367D29" w:rsidRPr="00946D9B" w:rsidRDefault="00367D29" w:rsidP="00367D29">
            <w:pPr>
              <w:pStyle w:val="Boxcolourtext"/>
              <w:spacing w:before="120" w:after="120"/>
              <w:rPr>
                <w:rFonts w:cs="Calibri"/>
                <w:b/>
                <w:color w:val="auto"/>
                <w:sz w:val="24"/>
                <w:szCs w:val="24"/>
                <w:lang w:eastAsia="en-US"/>
              </w:rPr>
            </w:pPr>
            <w:r w:rsidRPr="00EF42CD">
              <w:rPr>
                <w:rFonts w:cs="Calibri"/>
                <w:b/>
                <w:color w:val="auto"/>
                <w:sz w:val="24"/>
                <w:szCs w:val="24"/>
                <w:lang w:eastAsia="en-US"/>
              </w:rPr>
              <w:t>Recommendation 7</w:t>
            </w:r>
          </w:p>
        </w:tc>
        <w:tc>
          <w:tcPr>
            <w:tcW w:w="3533" w:type="dxa"/>
          </w:tcPr>
          <w:p w14:paraId="59F1A198" w14:textId="77777777" w:rsidR="00367D29" w:rsidRPr="00946D9B"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Continue to provide</w:t>
            </w:r>
            <w:r w:rsidRPr="00946D9B">
              <w:rPr>
                <w:rFonts w:cs="Calibri"/>
                <w:color w:val="auto"/>
                <w:sz w:val="24"/>
                <w:szCs w:val="24"/>
                <w:lang w:eastAsia="en-US"/>
              </w:rPr>
              <w:t xml:space="preserve"> options for joint interdepartmental training and secondment programs</w:t>
            </w:r>
          </w:p>
        </w:tc>
        <w:tc>
          <w:tcPr>
            <w:tcW w:w="2988" w:type="dxa"/>
            <w:shd w:val="clear" w:color="auto" w:fill="FFFFFF"/>
          </w:tcPr>
          <w:p w14:paraId="25D11D16" w14:textId="77777777" w:rsidR="00367D29" w:rsidRDefault="00367D29" w:rsidP="00367D29">
            <w:pPr>
              <w:spacing w:before="120" w:after="120"/>
              <w:rPr>
                <w:rFonts w:ascii="Calibri" w:hAnsi="Calibri" w:cs="Calibri"/>
                <w:szCs w:val="24"/>
              </w:rPr>
            </w:pPr>
            <w:r>
              <w:rPr>
                <w:rFonts w:ascii="Calibri" w:hAnsi="Calibri" w:cs="Calibri"/>
                <w:szCs w:val="24"/>
              </w:rPr>
              <w:t>Ongoing</w:t>
            </w:r>
          </w:p>
          <w:p w14:paraId="625598CD" w14:textId="77777777" w:rsidR="00AA4618" w:rsidRDefault="00AA4618" w:rsidP="00AA4618">
            <w:pPr>
              <w:spacing w:before="120" w:after="120"/>
              <w:rPr>
                <w:rFonts w:ascii="Calibri" w:hAnsi="Calibri" w:cs="Calibri"/>
                <w:szCs w:val="24"/>
              </w:rPr>
            </w:pPr>
          </w:p>
          <w:p w14:paraId="08D3D914" w14:textId="77777777" w:rsidR="00AA4618" w:rsidRPr="00946D9B" w:rsidRDefault="00AA4618" w:rsidP="00AA4618">
            <w:pPr>
              <w:spacing w:before="120" w:after="120"/>
              <w:rPr>
                <w:rFonts w:ascii="Calibri" w:hAnsi="Calibri" w:cs="Calibri"/>
                <w:szCs w:val="24"/>
              </w:rPr>
            </w:pPr>
          </w:p>
        </w:tc>
      </w:tr>
      <w:tr w:rsidR="00367D29" w:rsidRPr="00946D9B" w14:paraId="308D5052" w14:textId="77777777" w:rsidTr="00E83500">
        <w:trPr>
          <w:cantSplit/>
          <w:trHeight w:val="493"/>
        </w:trPr>
        <w:tc>
          <w:tcPr>
            <w:tcW w:w="3085" w:type="dxa"/>
          </w:tcPr>
          <w:p w14:paraId="7E5AF225" w14:textId="77777777" w:rsidR="00367D29" w:rsidRPr="00946D9B" w:rsidRDefault="00367D29" w:rsidP="00367D29">
            <w:pPr>
              <w:pStyle w:val="Boxcolourtext"/>
              <w:spacing w:before="120" w:after="120"/>
              <w:rPr>
                <w:rFonts w:cs="Calibri"/>
                <w:b/>
                <w:color w:val="auto"/>
                <w:sz w:val="24"/>
                <w:szCs w:val="24"/>
                <w:lang w:eastAsia="en-US"/>
              </w:rPr>
            </w:pPr>
            <w:r w:rsidRPr="00EF42CD">
              <w:rPr>
                <w:rFonts w:cs="Calibri"/>
                <w:b/>
                <w:color w:val="auto"/>
                <w:sz w:val="24"/>
                <w:szCs w:val="24"/>
                <w:lang w:eastAsia="en-US"/>
              </w:rPr>
              <w:t>Action 12</w:t>
            </w:r>
          </w:p>
        </w:tc>
        <w:tc>
          <w:tcPr>
            <w:tcW w:w="3533" w:type="dxa"/>
          </w:tcPr>
          <w:p w14:paraId="0208671D" w14:textId="77777777" w:rsidR="00367D29" w:rsidRPr="00946D9B" w:rsidRDefault="00367D29" w:rsidP="00367D29">
            <w:pPr>
              <w:pStyle w:val="Boxcolourtext"/>
              <w:spacing w:before="120" w:after="120"/>
              <w:rPr>
                <w:rFonts w:cs="Calibri"/>
                <w:sz w:val="24"/>
                <w:szCs w:val="24"/>
              </w:rPr>
            </w:pPr>
            <w:r>
              <w:rPr>
                <w:rFonts w:cs="Calibri"/>
                <w:color w:val="auto"/>
                <w:sz w:val="24"/>
                <w:szCs w:val="24"/>
                <w:lang w:eastAsia="en-US"/>
              </w:rPr>
              <w:t>Continue to s</w:t>
            </w:r>
            <w:r w:rsidRPr="00946D9B">
              <w:rPr>
                <w:rFonts w:cs="Calibri"/>
                <w:color w:val="auto"/>
                <w:sz w:val="24"/>
                <w:szCs w:val="24"/>
                <w:lang w:eastAsia="en-US"/>
              </w:rPr>
              <w:t>ustain an internship program</w:t>
            </w:r>
          </w:p>
        </w:tc>
        <w:tc>
          <w:tcPr>
            <w:tcW w:w="2988" w:type="dxa"/>
            <w:shd w:val="clear" w:color="auto" w:fill="FFFFFF"/>
          </w:tcPr>
          <w:p w14:paraId="176865C8" w14:textId="77777777" w:rsidR="00367D29" w:rsidRDefault="00367D29" w:rsidP="00367D29">
            <w:pPr>
              <w:spacing w:before="120" w:after="120"/>
              <w:rPr>
                <w:rFonts w:ascii="Calibri" w:hAnsi="Calibri" w:cs="Calibri"/>
                <w:szCs w:val="24"/>
              </w:rPr>
            </w:pPr>
            <w:r w:rsidRPr="00946D9B">
              <w:rPr>
                <w:rFonts w:ascii="Calibri" w:hAnsi="Calibri" w:cs="Calibri"/>
                <w:szCs w:val="24"/>
              </w:rPr>
              <w:t>Ongoing</w:t>
            </w:r>
          </w:p>
          <w:p w14:paraId="1B155D83" w14:textId="77777777" w:rsidR="00AA4618" w:rsidRDefault="00AA4618" w:rsidP="00AA4618">
            <w:pPr>
              <w:spacing w:before="120" w:after="120"/>
              <w:rPr>
                <w:rFonts w:ascii="Calibri" w:hAnsi="Calibri" w:cs="Calibri"/>
                <w:szCs w:val="24"/>
              </w:rPr>
            </w:pPr>
          </w:p>
          <w:p w14:paraId="1DB12962" w14:textId="77777777" w:rsidR="00AA4618" w:rsidRPr="00946D9B" w:rsidRDefault="00AA4618" w:rsidP="00AA4618">
            <w:pPr>
              <w:spacing w:before="120" w:after="120"/>
              <w:rPr>
                <w:rFonts w:ascii="Calibri" w:hAnsi="Calibri" w:cs="Calibri"/>
                <w:szCs w:val="24"/>
              </w:rPr>
            </w:pPr>
          </w:p>
        </w:tc>
      </w:tr>
      <w:tr w:rsidR="00367D29" w:rsidRPr="00946D9B" w14:paraId="15AB1465" w14:textId="77777777" w:rsidTr="00E83500">
        <w:trPr>
          <w:cantSplit/>
          <w:trHeight w:val="144"/>
        </w:trPr>
        <w:tc>
          <w:tcPr>
            <w:tcW w:w="3085" w:type="dxa"/>
          </w:tcPr>
          <w:p w14:paraId="384F2AB6" w14:textId="77777777" w:rsidR="00367D29" w:rsidRPr="00946D9B" w:rsidRDefault="00367D29" w:rsidP="00367D29">
            <w:pPr>
              <w:pStyle w:val="Boxcolourtext"/>
              <w:spacing w:before="120" w:after="120"/>
              <w:rPr>
                <w:rFonts w:cs="Calibri"/>
                <w:b/>
                <w:color w:val="auto"/>
                <w:sz w:val="24"/>
                <w:szCs w:val="24"/>
                <w:lang w:eastAsia="en-US"/>
              </w:rPr>
            </w:pPr>
            <w:r w:rsidRPr="00EF42CD">
              <w:rPr>
                <w:rFonts w:cs="Calibri"/>
                <w:b/>
                <w:color w:val="auto"/>
                <w:sz w:val="24"/>
                <w:szCs w:val="24"/>
                <w:lang w:eastAsia="en-US"/>
              </w:rPr>
              <w:t>Recommendation 8</w:t>
            </w:r>
          </w:p>
        </w:tc>
        <w:tc>
          <w:tcPr>
            <w:tcW w:w="3533" w:type="dxa"/>
          </w:tcPr>
          <w:p w14:paraId="5026688D" w14:textId="77777777" w:rsidR="00367D29" w:rsidRDefault="00367D29" w:rsidP="00367D29">
            <w:pPr>
              <w:pStyle w:val="Boxcolourtext"/>
              <w:spacing w:before="120" w:after="120"/>
              <w:rPr>
                <w:rFonts w:cs="Calibri"/>
                <w:b/>
                <w:i/>
                <w:color w:val="auto"/>
                <w:sz w:val="24"/>
                <w:szCs w:val="24"/>
                <w:lang w:eastAsia="en-US"/>
              </w:rPr>
            </w:pPr>
            <w:r>
              <w:rPr>
                <w:rFonts w:cs="Calibri"/>
                <w:color w:val="auto"/>
                <w:sz w:val="24"/>
                <w:szCs w:val="24"/>
                <w:lang w:eastAsia="en-US"/>
              </w:rPr>
              <w:t>Implement a new tailored induction program for all new ERR staff</w:t>
            </w:r>
          </w:p>
          <w:p w14:paraId="6C85BA4B" w14:textId="77777777" w:rsidR="00367D29" w:rsidRPr="00DB41BD" w:rsidRDefault="00367D29" w:rsidP="00367D29">
            <w:pPr>
              <w:pStyle w:val="Boxcolourtext"/>
              <w:spacing w:before="120" w:after="120"/>
              <w:rPr>
                <w:rFonts w:cs="Calibri"/>
                <w:color w:val="auto"/>
                <w:sz w:val="24"/>
                <w:szCs w:val="24"/>
                <w:lang w:eastAsia="en-US"/>
              </w:rPr>
            </w:pPr>
            <w:r w:rsidRPr="00E7508E">
              <w:rPr>
                <w:rFonts w:cs="Calibri"/>
                <w:color w:val="auto"/>
                <w:sz w:val="24"/>
                <w:szCs w:val="24"/>
                <w:lang w:eastAsia="en-US"/>
              </w:rPr>
              <w:t xml:space="preserve">Complete Stage 1 of ERR capability review </w:t>
            </w:r>
            <w:r>
              <w:rPr>
                <w:rFonts w:cs="Calibri"/>
                <w:color w:val="auto"/>
                <w:sz w:val="24"/>
                <w:szCs w:val="24"/>
                <w:lang w:eastAsia="en-US"/>
              </w:rPr>
              <w:t>– establish baseline capability</w:t>
            </w:r>
          </w:p>
          <w:p w14:paraId="6148BD9D"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Complete Stage 2 of ERR capability review -implementation of capability framework</w:t>
            </w:r>
          </w:p>
          <w:p w14:paraId="3E9F1F4E" w14:textId="77777777" w:rsidR="00367D29" w:rsidRPr="00946D9B" w:rsidRDefault="00367D29" w:rsidP="00367D29">
            <w:pPr>
              <w:pStyle w:val="Boxcolourtext"/>
              <w:spacing w:before="120" w:after="120"/>
              <w:rPr>
                <w:rFonts w:cs="Calibri"/>
                <w:b/>
                <w:color w:val="auto"/>
                <w:sz w:val="24"/>
                <w:szCs w:val="24"/>
                <w:lang w:eastAsia="en-US"/>
              </w:rPr>
            </w:pPr>
            <w:r>
              <w:rPr>
                <w:rFonts w:cs="Calibri"/>
                <w:color w:val="auto"/>
                <w:sz w:val="24"/>
                <w:szCs w:val="24"/>
                <w:lang w:eastAsia="en-US"/>
              </w:rPr>
              <w:t xml:space="preserve">Complete Authorised Officer Training for all </w:t>
            </w:r>
            <w:r w:rsidR="002A7C11">
              <w:rPr>
                <w:rFonts w:cs="Calibri"/>
                <w:color w:val="auto"/>
                <w:sz w:val="24"/>
                <w:szCs w:val="24"/>
                <w:lang w:eastAsia="en-US"/>
              </w:rPr>
              <w:t xml:space="preserve">current </w:t>
            </w:r>
            <w:r>
              <w:rPr>
                <w:rFonts w:cs="Calibri"/>
                <w:color w:val="auto"/>
                <w:sz w:val="24"/>
                <w:szCs w:val="24"/>
                <w:lang w:eastAsia="en-US"/>
              </w:rPr>
              <w:t xml:space="preserve">ERR </w:t>
            </w:r>
            <w:r w:rsidR="002A7C11">
              <w:rPr>
                <w:rFonts w:cs="Calibri"/>
                <w:color w:val="auto"/>
                <w:sz w:val="24"/>
                <w:szCs w:val="24"/>
                <w:lang w:eastAsia="en-US"/>
              </w:rPr>
              <w:t>Inspectors</w:t>
            </w:r>
          </w:p>
        </w:tc>
        <w:tc>
          <w:tcPr>
            <w:tcW w:w="2988" w:type="dxa"/>
            <w:shd w:val="clear" w:color="auto" w:fill="FFFFFF"/>
          </w:tcPr>
          <w:p w14:paraId="7980C30E" w14:textId="77777777" w:rsidR="00367D29" w:rsidRDefault="00367D29" w:rsidP="00367D29">
            <w:pPr>
              <w:spacing w:before="120" w:after="120"/>
              <w:rPr>
                <w:rFonts w:ascii="Calibri" w:hAnsi="Calibri" w:cs="Calibri"/>
                <w:szCs w:val="24"/>
              </w:rPr>
            </w:pPr>
            <w:r>
              <w:rPr>
                <w:rFonts w:ascii="Calibri" w:hAnsi="Calibri" w:cs="Calibri"/>
                <w:szCs w:val="24"/>
              </w:rPr>
              <w:t>By 31 July 2018</w:t>
            </w:r>
          </w:p>
          <w:p w14:paraId="5BC7FA7A" w14:textId="77777777" w:rsidR="00367D29" w:rsidRDefault="00367D29" w:rsidP="00367D29">
            <w:pPr>
              <w:spacing w:before="120" w:after="120"/>
              <w:rPr>
                <w:rFonts w:ascii="Calibri" w:hAnsi="Calibri" w:cs="Calibri"/>
                <w:szCs w:val="24"/>
              </w:rPr>
            </w:pPr>
          </w:p>
          <w:p w14:paraId="21E1070B" w14:textId="77777777" w:rsidR="00367D29" w:rsidRDefault="00367D29" w:rsidP="00367D29">
            <w:pPr>
              <w:spacing w:before="120" w:after="120"/>
              <w:rPr>
                <w:rFonts w:ascii="Calibri" w:hAnsi="Calibri" w:cs="Calibri"/>
                <w:szCs w:val="24"/>
              </w:rPr>
            </w:pPr>
            <w:r w:rsidRPr="004D0111">
              <w:rPr>
                <w:rFonts w:ascii="Calibri" w:hAnsi="Calibri" w:cs="Calibri"/>
                <w:szCs w:val="24"/>
              </w:rPr>
              <w:t xml:space="preserve">By </w:t>
            </w:r>
            <w:r>
              <w:rPr>
                <w:rFonts w:ascii="Calibri" w:hAnsi="Calibri" w:cs="Calibri"/>
                <w:szCs w:val="24"/>
              </w:rPr>
              <w:t>30 September</w:t>
            </w:r>
            <w:r w:rsidRPr="004D0111">
              <w:rPr>
                <w:rFonts w:ascii="Calibri" w:hAnsi="Calibri" w:cs="Calibri"/>
                <w:szCs w:val="24"/>
              </w:rPr>
              <w:t xml:space="preserve"> 2018</w:t>
            </w:r>
          </w:p>
          <w:p w14:paraId="50D7F9FA" w14:textId="77777777" w:rsidR="00367D29" w:rsidRPr="000F19ED" w:rsidRDefault="00367D29" w:rsidP="00367D29">
            <w:pPr>
              <w:spacing w:before="120" w:after="120"/>
              <w:rPr>
                <w:rFonts w:ascii="Calibri" w:hAnsi="Calibri" w:cs="Calibri"/>
                <w:sz w:val="36"/>
                <w:szCs w:val="24"/>
              </w:rPr>
            </w:pPr>
          </w:p>
          <w:p w14:paraId="089DC284" w14:textId="77777777" w:rsidR="00367D29" w:rsidRDefault="00367D29" w:rsidP="00367D29">
            <w:pPr>
              <w:spacing w:before="120" w:after="120"/>
              <w:rPr>
                <w:rFonts w:ascii="Calibri" w:hAnsi="Calibri" w:cs="Calibri"/>
                <w:szCs w:val="24"/>
              </w:rPr>
            </w:pPr>
            <w:r>
              <w:rPr>
                <w:rFonts w:ascii="Calibri" w:hAnsi="Calibri" w:cs="Calibri"/>
                <w:szCs w:val="24"/>
              </w:rPr>
              <w:t>By 31 March 2019</w:t>
            </w:r>
          </w:p>
          <w:p w14:paraId="273BFB80" w14:textId="77777777" w:rsidR="00367D29" w:rsidRDefault="00367D29" w:rsidP="00367D29">
            <w:pPr>
              <w:spacing w:before="120" w:after="120"/>
              <w:rPr>
                <w:rFonts w:ascii="Calibri" w:hAnsi="Calibri" w:cs="Calibri"/>
                <w:szCs w:val="24"/>
              </w:rPr>
            </w:pPr>
          </w:p>
          <w:p w14:paraId="432C2428" w14:textId="77777777" w:rsidR="00367D29" w:rsidRDefault="00367D29" w:rsidP="00367D29">
            <w:pPr>
              <w:spacing w:before="120" w:after="120"/>
              <w:rPr>
                <w:rFonts w:ascii="Calibri" w:hAnsi="Calibri" w:cs="Calibri"/>
                <w:szCs w:val="24"/>
              </w:rPr>
            </w:pPr>
          </w:p>
          <w:p w14:paraId="0F73F763" w14:textId="77777777" w:rsidR="002A7C11" w:rsidRDefault="00367D29" w:rsidP="00367D29">
            <w:pPr>
              <w:spacing w:before="120" w:after="120"/>
              <w:rPr>
                <w:rFonts w:ascii="Calibri" w:hAnsi="Calibri" w:cs="Calibri"/>
                <w:szCs w:val="24"/>
              </w:rPr>
            </w:pPr>
            <w:r>
              <w:rPr>
                <w:rFonts w:ascii="Calibri" w:hAnsi="Calibri" w:cs="Calibri"/>
                <w:szCs w:val="24"/>
              </w:rPr>
              <w:t>By 31 December 2018</w:t>
            </w:r>
            <w:r w:rsidR="002A7C11">
              <w:rPr>
                <w:rFonts w:ascii="Calibri" w:hAnsi="Calibri" w:cs="Calibri"/>
                <w:szCs w:val="24"/>
              </w:rPr>
              <w:t xml:space="preserve"> (ongoing thereafter)</w:t>
            </w:r>
          </w:p>
          <w:p w14:paraId="6EE6572C" w14:textId="77777777" w:rsidR="00367D29" w:rsidRPr="00946D9B" w:rsidRDefault="00367D29" w:rsidP="00367D29">
            <w:pPr>
              <w:spacing w:before="120" w:after="120"/>
              <w:rPr>
                <w:rFonts w:ascii="Calibri" w:hAnsi="Calibri" w:cs="Calibri"/>
                <w:szCs w:val="24"/>
              </w:rPr>
            </w:pPr>
          </w:p>
        </w:tc>
      </w:tr>
      <w:tr w:rsidR="00367D29" w:rsidRPr="00946D9B" w14:paraId="53CE2C7F" w14:textId="77777777" w:rsidTr="00E83500">
        <w:trPr>
          <w:cantSplit/>
          <w:trHeight w:val="560"/>
        </w:trPr>
        <w:tc>
          <w:tcPr>
            <w:tcW w:w="9606" w:type="dxa"/>
            <w:gridSpan w:val="3"/>
            <w:shd w:val="clear" w:color="auto" w:fill="D9D9D9"/>
          </w:tcPr>
          <w:p w14:paraId="5F3A1F43" w14:textId="77777777" w:rsidR="00367D29" w:rsidRPr="00946D9B" w:rsidRDefault="00367D29" w:rsidP="00367D29">
            <w:pPr>
              <w:spacing w:before="120" w:after="120"/>
              <w:rPr>
                <w:rFonts w:cs="Calibri"/>
                <w:szCs w:val="24"/>
              </w:rPr>
            </w:pPr>
            <w:r w:rsidRPr="00946D9B">
              <w:rPr>
                <w:rFonts w:ascii="Calibri" w:hAnsi="Calibri" w:cs="Calibri"/>
                <w:b/>
                <w:szCs w:val="24"/>
              </w:rPr>
              <w:lastRenderedPageBreak/>
              <w:t>ICT systems</w:t>
            </w:r>
          </w:p>
        </w:tc>
      </w:tr>
      <w:tr w:rsidR="00367D29" w:rsidRPr="00946D9B" w14:paraId="05F931CB" w14:textId="77777777" w:rsidTr="00E83500">
        <w:trPr>
          <w:cantSplit/>
          <w:trHeight w:val="732"/>
        </w:trPr>
        <w:tc>
          <w:tcPr>
            <w:tcW w:w="3085" w:type="dxa"/>
          </w:tcPr>
          <w:p w14:paraId="278DF834" w14:textId="77777777" w:rsidR="00367D29" w:rsidRPr="00946D9B" w:rsidRDefault="00367D29" w:rsidP="00367D29">
            <w:pPr>
              <w:pStyle w:val="Boxcolourtext"/>
              <w:spacing w:before="120" w:after="120"/>
              <w:rPr>
                <w:rFonts w:cs="Calibri"/>
                <w:b/>
                <w:color w:val="auto"/>
                <w:sz w:val="24"/>
                <w:szCs w:val="24"/>
                <w:lang w:eastAsia="en-US"/>
              </w:rPr>
            </w:pPr>
            <w:r w:rsidRPr="00EF42CD">
              <w:rPr>
                <w:rFonts w:cs="Calibri"/>
                <w:b/>
                <w:color w:val="auto"/>
                <w:sz w:val="24"/>
                <w:szCs w:val="24"/>
                <w:lang w:eastAsia="en-US"/>
              </w:rPr>
              <w:t>Action 13</w:t>
            </w:r>
          </w:p>
        </w:tc>
        <w:tc>
          <w:tcPr>
            <w:tcW w:w="3533" w:type="dxa"/>
          </w:tcPr>
          <w:p w14:paraId="0C77A43B" w14:textId="77777777" w:rsidR="00367D29" w:rsidRPr="00E83500" w:rsidRDefault="00367D29" w:rsidP="00367D29">
            <w:pPr>
              <w:rPr>
                <w:rFonts w:ascii="Calibri" w:hAnsi="Calibri" w:cs="Calibri"/>
                <w:bCs/>
              </w:rPr>
            </w:pPr>
            <w:r w:rsidRPr="00E83500">
              <w:rPr>
                <w:rFonts w:ascii="Calibri" w:hAnsi="Calibri" w:cs="Calibri"/>
                <w:b/>
                <w:bCs/>
              </w:rPr>
              <w:t xml:space="preserve">Deliver Resource Rights Allocation Management (RRAM) Quick Wins project </w:t>
            </w:r>
            <w:r w:rsidRPr="00E83500">
              <w:rPr>
                <w:rFonts w:ascii="Calibri" w:hAnsi="Calibri" w:cs="Calibri"/>
                <w:bCs/>
              </w:rPr>
              <w:t>(short term project)</w:t>
            </w:r>
          </w:p>
          <w:p w14:paraId="64E42DE5" w14:textId="77777777" w:rsidR="00367D29" w:rsidRPr="00E83500" w:rsidRDefault="00367D29" w:rsidP="00367D29">
            <w:pPr>
              <w:rPr>
                <w:rFonts w:ascii="Calibri" w:hAnsi="Calibri" w:cs="Calibri"/>
                <w:b/>
                <w:bCs/>
              </w:rPr>
            </w:pPr>
          </w:p>
          <w:p w14:paraId="20C18874" w14:textId="77777777" w:rsidR="00367D29" w:rsidRPr="00E83500" w:rsidRDefault="00367D29" w:rsidP="00367D29">
            <w:pPr>
              <w:rPr>
                <w:rFonts w:ascii="Calibri" w:hAnsi="Calibri" w:cs="Calibri"/>
                <w:sz w:val="22"/>
              </w:rPr>
            </w:pPr>
            <w:r w:rsidRPr="00E83500">
              <w:rPr>
                <w:rFonts w:ascii="Calibri" w:hAnsi="Calibri" w:cs="Calibri"/>
              </w:rPr>
              <w:t>Industry Stakeholder workshop</w:t>
            </w:r>
          </w:p>
          <w:p w14:paraId="3B9C90F3" w14:textId="77777777" w:rsidR="00367D29" w:rsidRPr="00E83500" w:rsidRDefault="00367D29" w:rsidP="00367D29">
            <w:pPr>
              <w:ind w:left="360"/>
              <w:rPr>
                <w:rFonts w:ascii="Calibri" w:hAnsi="Calibri" w:cs="Calibri"/>
              </w:rPr>
            </w:pPr>
          </w:p>
          <w:p w14:paraId="007186B5" w14:textId="77777777" w:rsidR="00367D29" w:rsidRPr="00E83500" w:rsidRDefault="00367D29" w:rsidP="00367D29">
            <w:pPr>
              <w:rPr>
                <w:rFonts w:ascii="Calibri" w:hAnsi="Calibri" w:cs="Calibri"/>
              </w:rPr>
            </w:pPr>
            <w:r w:rsidRPr="00E83500">
              <w:rPr>
                <w:rFonts w:ascii="Calibri" w:hAnsi="Calibri" w:cs="Calibri"/>
              </w:rPr>
              <w:t>Prioritised catalogue of changes</w:t>
            </w:r>
          </w:p>
          <w:p w14:paraId="1E498BB9" w14:textId="77777777" w:rsidR="00367D29" w:rsidRPr="00E83500" w:rsidRDefault="00367D29" w:rsidP="00367D29">
            <w:pPr>
              <w:ind w:left="360"/>
              <w:rPr>
                <w:rFonts w:ascii="Calibri" w:hAnsi="Calibri" w:cs="Calibri"/>
              </w:rPr>
            </w:pPr>
          </w:p>
          <w:p w14:paraId="0681F401" w14:textId="77777777" w:rsidR="00367D29" w:rsidRPr="00E83500" w:rsidRDefault="00367D29" w:rsidP="00367D29">
            <w:pPr>
              <w:rPr>
                <w:rFonts w:ascii="Calibri" w:hAnsi="Calibri" w:cs="Calibri"/>
              </w:rPr>
            </w:pPr>
            <w:r w:rsidRPr="00E83500">
              <w:rPr>
                <w:rFonts w:ascii="Calibri" w:hAnsi="Calibri" w:cs="Calibri"/>
              </w:rPr>
              <w:t>Plan to roll out changes</w:t>
            </w:r>
          </w:p>
          <w:p w14:paraId="427A8764" w14:textId="77777777" w:rsidR="00367D29" w:rsidRPr="00E83500" w:rsidRDefault="00367D29" w:rsidP="00367D29">
            <w:pPr>
              <w:ind w:left="360"/>
              <w:rPr>
                <w:rFonts w:ascii="Calibri" w:hAnsi="Calibri" w:cs="Calibri"/>
              </w:rPr>
            </w:pPr>
          </w:p>
          <w:p w14:paraId="71A8F249" w14:textId="77777777" w:rsidR="00367D29" w:rsidRPr="00E77DBA" w:rsidRDefault="00367D29" w:rsidP="00367D29">
            <w:pPr>
              <w:rPr>
                <w:rFonts w:ascii="Calibri" w:hAnsi="Calibri" w:cs="Calibri"/>
              </w:rPr>
            </w:pPr>
            <w:r>
              <w:rPr>
                <w:rFonts w:ascii="Calibri" w:hAnsi="Calibri" w:cs="Calibri"/>
              </w:rPr>
              <w:t>Iterative rollout of i</w:t>
            </w:r>
            <w:r w:rsidRPr="00E83500">
              <w:rPr>
                <w:rFonts w:ascii="Calibri" w:hAnsi="Calibri" w:cs="Calibri"/>
              </w:rPr>
              <w:t>mmediate changes</w:t>
            </w:r>
          </w:p>
        </w:tc>
        <w:tc>
          <w:tcPr>
            <w:tcW w:w="2988" w:type="dxa"/>
            <w:shd w:val="clear" w:color="auto" w:fill="FFFFFF"/>
          </w:tcPr>
          <w:p w14:paraId="7963D2B4" w14:textId="77777777" w:rsidR="00367D29" w:rsidRDefault="00367D29" w:rsidP="00367D29">
            <w:pPr>
              <w:pStyle w:val="Boxcolourtext"/>
              <w:spacing w:before="120" w:after="120"/>
              <w:rPr>
                <w:rFonts w:cs="Calibri"/>
                <w:color w:val="auto"/>
                <w:sz w:val="40"/>
                <w:szCs w:val="24"/>
                <w:lang w:eastAsia="en-US"/>
              </w:rPr>
            </w:pPr>
          </w:p>
          <w:p w14:paraId="05972AB8" w14:textId="77777777" w:rsidR="00367D29" w:rsidRPr="00EF29FF" w:rsidRDefault="00367D29" w:rsidP="00367D29">
            <w:pPr>
              <w:pStyle w:val="Boxcolourtext"/>
              <w:spacing w:before="120" w:after="120"/>
              <w:rPr>
                <w:rFonts w:cs="Calibri"/>
                <w:color w:val="auto"/>
                <w:sz w:val="24"/>
                <w:szCs w:val="24"/>
                <w:lang w:eastAsia="en-US"/>
              </w:rPr>
            </w:pPr>
          </w:p>
          <w:p w14:paraId="134E9AE8"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31 July 2018</w:t>
            </w:r>
          </w:p>
          <w:p w14:paraId="49996363"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31 August 2018</w:t>
            </w:r>
          </w:p>
          <w:p w14:paraId="1C86B425"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30 September 2018</w:t>
            </w:r>
          </w:p>
          <w:p w14:paraId="76B9A77C" w14:textId="77777777" w:rsidR="00367D29" w:rsidRPr="002C0F9A" w:rsidRDefault="00367D29" w:rsidP="00367D29">
            <w:pPr>
              <w:pStyle w:val="Boxcolourtext"/>
              <w:spacing w:before="120" w:after="120"/>
              <w:rPr>
                <w:rFonts w:cs="Calibri"/>
                <w:color w:val="auto"/>
                <w:sz w:val="2"/>
                <w:szCs w:val="24"/>
                <w:lang w:eastAsia="en-US"/>
              </w:rPr>
            </w:pPr>
          </w:p>
          <w:p w14:paraId="4B5B3B27" w14:textId="77777777" w:rsidR="00367D29" w:rsidRPr="00946D9B"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31 October 2018</w:t>
            </w:r>
          </w:p>
        </w:tc>
      </w:tr>
      <w:tr w:rsidR="00367D29" w:rsidRPr="00946D9B" w14:paraId="56773FC8" w14:textId="77777777" w:rsidTr="00E83500">
        <w:trPr>
          <w:cantSplit/>
          <w:trHeight w:val="511"/>
        </w:trPr>
        <w:tc>
          <w:tcPr>
            <w:tcW w:w="3085" w:type="dxa"/>
          </w:tcPr>
          <w:p w14:paraId="43F7FE6E" w14:textId="77777777" w:rsidR="00367D29" w:rsidRPr="00946D9B" w:rsidRDefault="00367D29" w:rsidP="00367D29">
            <w:pPr>
              <w:pStyle w:val="Boxcolourtext"/>
              <w:spacing w:before="120" w:after="120"/>
              <w:rPr>
                <w:rFonts w:cs="Calibri"/>
                <w:b/>
                <w:color w:val="auto"/>
                <w:sz w:val="24"/>
                <w:szCs w:val="24"/>
                <w:lang w:eastAsia="en-US"/>
              </w:rPr>
            </w:pPr>
            <w:bookmarkStart w:id="3" w:name="_Hlk519767474"/>
            <w:r w:rsidRPr="00EF42CD">
              <w:rPr>
                <w:rFonts w:cs="Calibri"/>
                <w:b/>
                <w:color w:val="auto"/>
                <w:sz w:val="24"/>
                <w:szCs w:val="24"/>
                <w:lang w:eastAsia="en-US"/>
              </w:rPr>
              <w:t>Action 13</w:t>
            </w:r>
          </w:p>
        </w:tc>
        <w:tc>
          <w:tcPr>
            <w:tcW w:w="3533" w:type="dxa"/>
          </w:tcPr>
          <w:p w14:paraId="1BE898F5" w14:textId="77777777" w:rsidR="00367D29" w:rsidRPr="00E83500" w:rsidRDefault="00367D29" w:rsidP="00367D29">
            <w:pPr>
              <w:rPr>
                <w:rFonts w:ascii="Calibri" w:hAnsi="Calibri" w:cs="Calibri"/>
                <w:bCs/>
              </w:rPr>
            </w:pPr>
            <w:r w:rsidRPr="00E83500">
              <w:rPr>
                <w:rFonts w:ascii="Calibri" w:hAnsi="Calibri" w:cs="Calibri"/>
                <w:b/>
                <w:bCs/>
              </w:rPr>
              <w:t xml:space="preserve">Deliver the RRAM Enhancement project </w:t>
            </w:r>
            <w:r w:rsidRPr="00E83500">
              <w:rPr>
                <w:rFonts w:ascii="Calibri" w:hAnsi="Calibri" w:cs="Calibri"/>
                <w:bCs/>
              </w:rPr>
              <w:t>(medium term project)</w:t>
            </w:r>
          </w:p>
          <w:p w14:paraId="45409E0F" w14:textId="77777777" w:rsidR="00367D29" w:rsidRPr="00E83500" w:rsidRDefault="00367D29" w:rsidP="00367D29">
            <w:pPr>
              <w:rPr>
                <w:rFonts w:ascii="Calibri" w:hAnsi="Calibri" w:cs="Calibri"/>
                <w:b/>
                <w:bCs/>
                <w:sz w:val="22"/>
              </w:rPr>
            </w:pPr>
          </w:p>
          <w:p w14:paraId="5AFC81FC" w14:textId="77777777" w:rsidR="00367D29" w:rsidRPr="00E83500" w:rsidRDefault="00367D29" w:rsidP="00367D29">
            <w:pPr>
              <w:rPr>
                <w:rFonts w:ascii="Calibri" w:hAnsi="Calibri" w:cs="Calibri"/>
              </w:rPr>
            </w:pPr>
            <w:r w:rsidRPr="00E83500">
              <w:rPr>
                <w:rFonts w:ascii="Calibri" w:hAnsi="Calibri" w:cs="Calibri"/>
              </w:rPr>
              <w:t>Business Solution document including:</w:t>
            </w:r>
          </w:p>
          <w:p w14:paraId="241386E7" w14:textId="77777777" w:rsidR="00367D29" w:rsidRPr="00E83500" w:rsidRDefault="00367D29" w:rsidP="00367D29">
            <w:pPr>
              <w:ind w:left="313"/>
              <w:rPr>
                <w:rFonts w:ascii="Calibri" w:hAnsi="Calibri" w:cs="Calibri"/>
              </w:rPr>
            </w:pPr>
            <w:r w:rsidRPr="00E83500">
              <w:rPr>
                <w:rFonts w:ascii="Calibri" w:hAnsi="Calibri" w:cs="Calibri"/>
              </w:rPr>
              <w:t>Business process</w:t>
            </w:r>
          </w:p>
          <w:p w14:paraId="1C2B040B" w14:textId="77777777" w:rsidR="00367D29" w:rsidRPr="00E83500" w:rsidRDefault="00367D29" w:rsidP="00367D29">
            <w:pPr>
              <w:ind w:left="313"/>
              <w:rPr>
                <w:rFonts w:ascii="Calibri" w:hAnsi="Calibri" w:cs="Calibri"/>
              </w:rPr>
            </w:pPr>
            <w:r w:rsidRPr="00E83500">
              <w:rPr>
                <w:rFonts w:ascii="Calibri" w:hAnsi="Calibri" w:cs="Calibri"/>
              </w:rPr>
              <w:t>Data Architecture</w:t>
            </w:r>
          </w:p>
          <w:p w14:paraId="3946CF59" w14:textId="77777777" w:rsidR="00367D29" w:rsidRPr="00E83500" w:rsidRDefault="00367D29" w:rsidP="00367D29">
            <w:pPr>
              <w:ind w:left="313"/>
              <w:rPr>
                <w:rFonts w:ascii="Calibri" w:hAnsi="Calibri" w:cs="Calibri"/>
              </w:rPr>
            </w:pPr>
            <w:r w:rsidRPr="00E83500">
              <w:rPr>
                <w:rFonts w:ascii="Calibri" w:hAnsi="Calibri" w:cs="Calibri"/>
              </w:rPr>
              <w:t>Business Requirements</w:t>
            </w:r>
          </w:p>
          <w:p w14:paraId="6C8D4965" w14:textId="77777777" w:rsidR="00367D29" w:rsidRPr="00E83500" w:rsidRDefault="00367D29" w:rsidP="00367D29">
            <w:pPr>
              <w:rPr>
                <w:rFonts w:ascii="Calibri" w:hAnsi="Calibri" w:cs="Calibri"/>
              </w:rPr>
            </w:pPr>
          </w:p>
          <w:p w14:paraId="03458D26" w14:textId="77777777" w:rsidR="00367D29" w:rsidRDefault="00367D29" w:rsidP="00367D29">
            <w:pPr>
              <w:rPr>
                <w:rFonts w:ascii="Calibri" w:hAnsi="Calibri" w:cs="Calibri"/>
              </w:rPr>
            </w:pPr>
            <w:r w:rsidRPr="00E83500">
              <w:rPr>
                <w:rFonts w:ascii="Calibri" w:hAnsi="Calibri" w:cs="Calibri"/>
              </w:rPr>
              <w:t>RRAM Implementation Plan</w:t>
            </w:r>
          </w:p>
          <w:p w14:paraId="1E449C2F" w14:textId="77777777" w:rsidR="00367D29" w:rsidRDefault="00367D29" w:rsidP="00367D29">
            <w:pPr>
              <w:rPr>
                <w:rFonts w:ascii="Calibri" w:hAnsi="Calibri" w:cs="Calibri"/>
              </w:rPr>
            </w:pPr>
          </w:p>
          <w:p w14:paraId="49288574" w14:textId="77777777" w:rsidR="00367D29" w:rsidRDefault="00367D29" w:rsidP="00367D29">
            <w:pPr>
              <w:rPr>
                <w:rFonts w:cs="Calibri"/>
                <w:szCs w:val="24"/>
              </w:rPr>
            </w:pPr>
            <w:r w:rsidRPr="00E83500">
              <w:rPr>
                <w:rFonts w:ascii="Calibri" w:hAnsi="Calibri" w:cs="Calibri"/>
              </w:rPr>
              <w:t>RRAM Enhancements rolled out iteratively from October 2018</w:t>
            </w:r>
          </w:p>
        </w:tc>
        <w:tc>
          <w:tcPr>
            <w:tcW w:w="2988" w:type="dxa"/>
            <w:shd w:val="clear" w:color="auto" w:fill="FFFFFF"/>
          </w:tcPr>
          <w:p w14:paraId="32947D78" w14:textId="77777777" w:rsidR="00D11C0B" w:rsidRDefault="00D11C0B" w:rsidP="00367D29">
            <w:pPr>
              <w:pStyle w:val="Boxcolourtext"/>
              <w:spacing w:before="120" w:after="120"/>
              <w:rPr>
                <w:rFonts w:cs="Calibri"/>
                <w:color w:val="auto"/>
                <w:sz w:val="24"/>
                <w:szCs w:val="24"/>
                <w:lang w:eastAsia="en-US"/>
              </w:rPr>
            </w:pPr>
          </w:p>
          <w:p w14:paraId="059E45A1" w14:textId="77777777" w:rsidR="00D11C0B" w:rsidRPr="00D11C0B" w:rsidRDefault="00D11C0B" w:rsidP="00367D29">
            <w:pPr>
              <w:pStyle w:val="Boxcolourtext"/>
              <w:spacing w:before="120" w:after="120"/>
              <w:rPr>
                <w:rFonts w:cs="Calibri"/>
                <w:color w:val="auto"/>
                <w:sz w:val="16"/>
                <w:szCs w:val="24"/>
                <w:lang w:eastAsia="en-US"/>
              </w:rPr>
            </w:pPr>
          </w:p>
          <w:p w14:paraId="23E1ED95"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30 September 2018</w:t>
            </w:r>
          </w:p>
          <w:p w14:paraId="2D643A88" w14:textId="77777777" w:rsidR="00367D29" w:rsidRPr="00D11C0B" w:rsidRDefault="00367D29" w:rsidP="00367D29">
            <w:pPr>
              <w:pStyle w:val="Boxcolourtext"/>
              <w:spacing w:before="120" w:after="120"/>
              <w:rPr>
                <w:rFonts w:cs="Calibri"/>
                <w:color w:val="auto"/>
                <w:sz w:val="52"/>
                <w:szCs w:val="24"/>
                <w:lang w:eastAsia="en-US"/>
              </w:rPr>
            </w:pPr>
          </w:p>
          <w:p w14:paraId="79263F3B"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By 31 October 2018</w:t>
            </w:r>
          </w:p>
          <w:p w14:paraId="4B54B3BE" w14:textId="77777777" w:rsidR="00367D29" w:rsidRPr="00EF29FF" w:rsidRDefault="00367D29" w:rsidP="00367D29">
            <w:pPr>
              <w:pStyle w:val="Boxcolourtext"/>
              <w:spacing w:before="120" w:after="120"/>
              <w:rPr>
                <w:rFonts w:cs="Calibri"/>
                <w:color w:val="auto"/>
                <w:sz w:val="2"/>
                <w:szCs w:val="24"/>
                <w:lang w:eastAsia="en-US"/>
              </w:rPr>
            </w:pPr>
          </w:p>
          <w:p w14:paraId="0B805CDD" w14:textId="77777777" w:rsidR="00367D29" w:rsidRDefault="00367D29" w:rsidP="00367D29">
            <w:pPr>
              <w:pStyle w:val="Boxcolourtext"/>
              <w:spacing w:before="120" w:after="120"/>
              <w:rPr>
                <w:rFonts w:cs="Calibri"/>
                <w:color w:val="auto"/>
                <w:sz w:val="24"/>
                <w:szCs w:val="24"/>
                <w:lang w:eastAsia="en-US"/>
              </w:rPr>
            </w:pPr>
            <w:r>
              <w:rPr>
                <w:rFonts w:cs="Calibri"/>
                <w:color w:val="auto"/>
                <w:sz w:val="24"/>
                <w:szCs w:val="24"/>
                <w:lang w:eastAsia="en-US"/>
              </w:rPr>
              <w:t xml:space="preserve">By 30 </w:t>
            </w:r>
            <w:r w:rsidRPr="00CA5993">
              <w:rPr>
                <w:rFonts w:cs="Calibri"/>
                <w:color w:val="auto"/>
                <w:sz w:val="24"/>
                <w:szCs w:val="24"/>
                <w:lang w:eastAsia="en-US"/>
              </w:rPr>
              <w:t>June 2019</w:t>
            </w:r>
          </w:p>
        </w:tc>
      </w:tr>
      <w:tr w:rsidR="00367D29" w:rsidRPr="00946D9B" w14:paraId="01253D7B" w14:textId="77777777" w:rsidTr="00E83500">
        <w:trPr>
          <w:cantSplit/>
          <w:trHeight w:val="511"/>
        </w:trPr>
        <w:tc>
          <w:tcPr>
            <w:tcW w:w="3085" w:type="dxa"/>
          </w:tcPr>
          <w:p w14:paraId="37D6D005" w14:textId="77777777" w:rsidR="00367D29" w:rsidRPr="00024BE3" w:rsidRDefault="00367D29" w:rsidP="00367D29">
            <w:pPr>
              <w:pStyle w:val="Boxcolourtext"/>
              <w:spacing w:before="120" w:after="120"/>
              <w:rPr>
                <w:rFonts w:cs="Calibri"/>
                <w:b/>
                <w:color w:val="auto"/>
                <w:sz w:val="24"/>
                <w:szCs w:val="24"/>
                <w:lang w:eastAsia="en-US"/>
              </w:rPr>
            </w:pPr>
            <w:bookmarkStart w:id="4" w:name="_Hlk519767356"/>
            <w:bookmarkEnd w:id="3"/>
            <w:r w:rsidRPr="00024BE3">
              <w:rPr>
                <w:rFonts w:cs="Calibri"/>
                <w:b/>
                <w:color w:val="auto"/>
                <w:sz w:val="24"/>
                <w:szCs w:val="24"/>
                <w:lang w:eastAsia="en-US"/>
              </w:rPr>
              <w:lastRenderedPageBreak/>
              <w:t>Recommendation 10</w:t>
            </w:r>
          </w:p>
        </w:tc>
        <w:tc>
          <w:tcPr>
            <w:tcW w:w="3533" w:type="dxa"/>
          </w:tcPr>
          <w:p w14:paraId="46F72D07" w14:textId="77777777" w:rsidR="00367D29" w:rsidRPr="00CD0029" w:rsidRDefault="00367D29" w:rsidP="00367D29">
            <w:pPr>
              <w:pStyle w:val="Boxcolourtext"/>
              <w:spacing w:before="120" w:after="120"/>
              <w:rPr>
                <w:rFonts w:cs="Calibri"/>
                <w:color w:val="000000"/>
                <w:sz w:val="24"/>
                <w:szCs w:val="24"/>
                <w:lang w:eastAsia="en-US"/>
              </w:rPr>
            </w:pPr>
            <w:r w:rsidRPr="00CD0029">
              <w:rPr>
                <w:rFonts w:cs="Calibri"/>
                <w:b/>
                <w:color w:val="000000"/>
                <w:sz w:val="24"/>
                <w:szCs w:val="24"/>
                <w:lang w:eastAsia="en-US"/>
              </w:rPr>
              <w:t>Update the Earth Resources website</w:t>
            </w:r>
            <w:r w:rsidRPr="00CD0029">
              <w:rPr>
                <w:rFonts w:cs="Calibri"/>
                <w:color w:val="000000"/>
                <w:sz w:val="24"/>
                <w:szCs w:val="24"/>
                <w:lang w:eastAsia="en-US"/>
              </w:rPr>
              <w:t xml:space="preserve"> to improve provision of information in a usable format for industry, referral authorities and the community</w:t>
            </w:r>
          </w:p>
          <w:p w14:paraId="13873DE3"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Website redevelopment project plan</w:t>
            </w:r>
          </w:p>
          <w:p w14:paraId="465DE6DC"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Proposed technical implementation of the website</w:t>
            </w:r>
          </w:p>
          <w:p w14:paraId="1B6E6502"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Proposed website design determined</w:t>
            </w:r>
          </w:p>
          <w:p w14:paraId="7525C475"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Stakeholder Reference Group consulted on proposed redevelopment</w:t>
            </w:r>
          </w:p>
          <w:p w14:paraId="44EEA853"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Technical implementation and testing and content review and migration</w:t>
            </w:r>
          </w:p>
          <w:p w14:paraId="12BC60AE" w14:textId="77777777" w:rsidR="00D11C0B" w:rsidRPr="00CD0029" w:rsidRDefault="00024BE3" w:rsidP="00024BE3">
            <w:pPr>
              <w:pStyle w:val="Boxcolourtext"/>
              <w:spacing w:before="120" w:after="120"/>
              <w:rPr>
                <w:rFonts w:cs="Calibri"/>
                <w:color w:val="000000"/>
                <w:sz w:val="24"/>
                <w:szCs w:val="24"/>
                <w:lang w:eastAsia="en-US"/>
              </w:rPr>
            </w:pPr>
            <w:r w:rsidRPr="00CD0029">
              <w:rPr>
                <w:color w:val="000000"/>
                <w:sz w:val="24"/>
                <w:szCs w:val="24"/>
              </w:rPr>
              <w:t>Website goes live</w:t>
            </w:r>
          </w:p>
        </w:tc>
        <w:tc>
          <w:tcPr>
            <w:tcW w:w="2988" w:type="dxa"/>
            <w:shd w:val="clear" w:color="auto" w:fill="FFFFFF"/>
          </w:tcPr>
          <w:p w14:paraId="5FD5B599" w14:textId="77777777" w:rsidR="004755B9" w:rsidRPr="00CD0029" w:rsidRDefault="004755B9" w:rsidP="004755B9">
            <w:pPr>
              <w:pStyle w:val="Boxcolourtext"/>
              <w:spacing w:before="120" w:after="120"/>
              <w:rPr>
                <w:color w:val="000000"/>
                <w:sz w:val="24"/>
                <w:szCs w:val="24"/>
                <w:lang w:eastAsia="en-US"/>
              </w:rPr>
            </w:pPr>
          </w:p>
          <w:p w14:paraId="24A485E0" w14:textId="77777777" w:rsidR="004755B9" w:rsidRPr="00CD0029" w:rsidRDefault="004755B9" w:rsidP="004755B9">
            <w:pPr>
              <w:pStyle w:val="Boxcolourtext"/>
              <w:spacing w:before="120" w:after="120"/>
              <w:rPr>
                <w:color w:val="000000"/>
                <w:sz w:val="24"/>
                <w:szCs w:val="24"/>
                <w:lang w:eastAsia="en-US"/>
              </w:rPr>
            </w:pPr>
          </w:p>
          <w:p w14:paraId="56B0AD4D" w14:textId="77777777" w:rsidR="004755B9" w:rsidRPr="00CD0029" w:rsidRDefault="004755B9" w:rsidP="004755B9">
            <w:pPr>
              <w:pStyle w:val="Boxcolourtext"/>
              <w:spacing w:before="120" w:after="120"/>
              <w:rPr>
                <w:color w:val="000000"/>
                <w:sz w:val="36"/>
                <w:szCs w:val="24"/>
                <w:lang w:eastAsia="en-US"/>
              </w:rPr>
            </w:pPr>
          </w:p>
          <w:p w14:paraId="52F55563"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By 31 August 2018</w:t>
            </w:r>
          </w:p>
          <w:p w14:paraId="28D99ED1" w14:textId="77777777" w:rsidR="00024BE3" w:rsidRPr="00CD0029" w:rsidRDefault="00024BE3" w:rsidP="00024BE3">
            <w:pPr>
              <w:pStyle w:val="Boxcolourtext"/>
              <w:spacing w:before="120" w:after="120"/>
              <w:rPr>
                <w:color w:val="000000"/>
                <w:szCs w:val="24"/>
                <w:lang w:eastAsia="en-US"/>
              </w:rPr>
            </w:pPr>
          </w:p>
          <w:p w14:paraId="3FAE8853"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By 31 December 2018</w:t>
            </w:r>
          </w:p>
          <w:p w14:paraId="25B0AE2C" w14:textId="77777777" w:rsidR="00024BE3" w:rsidRPr="00CD0029" w:rsidRDefault="00024BE3" w:rsidP="00024BE3">
            <w:pPr>
              <w:pStyle w:val="Boxcolourtext"/>
              <w:spacing w:before="120" w:after="120"/>
              <w:rPr>
                <w:color w:val="000000"/>
                <w:sz w:val="2"/>
                <w:szCs w:val="24"/>
                <w:lang w:eastAsia="en-US"/>
              </w:rPr>
            </w:pPr>
          </w:p>
          <w:p w14:paraId="0616958B"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By 31 December 2018</w:t>
            </w:r>
          </w:p>
          <w:p w14:paraId="2B73BAE2" w14:textId="77777777" w:rsidR="00024BE3" w:rsidRPr="00CD0029" w:rsidRDefault="00024BE3" w:rsidP="00024BE3">
            <w:pPr>
              <w:pStyle w:val="Boxcolourtext"/>
              <w:spacing w:before="120" w:after="120"/>
              <w:rPr>
                <w:color w:val="000000"/>
                <w:sz w:val="24"/>
                <w:szCs w:val="24"/>
                <w:lang w:eastAsia="en-US"/>
              </w:rPr>
            </w:pPr>
          </w:p>
          <w:p w14:paraId="11D52B39"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By 31 December 2018</w:t>
            </w:r>
          </w:p>
          <w:p w14:paraId="39E7E93F" w14:textId="77777777" w:rsidR="00024BE3" w:rsidRPr="00CD0029" w:rsidRDefault="00024BE3" w:rsidP="00024BE3">
            <w:pPr>
              <w:pStyle w:val="Boxcolourtext"/>
              <w:spacing w:before="120" w:after="120"/>
              <w:rPr>
                <w:color w:val="000000"/>
                <w:sz w:val="2"/>
                <w:szCs w:val="24"/>
                <w:lang w:eastAsia="en-US"/>
              </w:rPr>
            </w:pPr>
          </w:p>
          <w:p w14:paraId="10EBF0EE" w14:textId="77777777" w:rsidR="00024BE3" w:rsidRPr="00CD0029" w:rsidRDefault="00024BE3" w:rsidP="00024BE3">
            <w:pPr>
              <w:pStyle w:val="Boxcolourtext"/>
              <w:spacing w:before="120" w:after="120"/>
              <w:rPr>
                <w:color w:val="000000"/>
                <w:sz w:val="24"/>
                <w:szCs w:val="24"/>
                <w:lang w:eastAsia="en-US"/>
              </w:rPr>
            </w:pPr>
            <w:r w:rsidRPr="00CD0029">
              <w:rPr>
                <w:color w:val="000000"/>
                <w:sz w:val="24"/>
                <w:szCs w:val="24"/>
                <w:lang w:eastAsia="en-US"/>
              </w:rPr>
              <w:t>January to May 2019</w:t>
            </w:r>
          </w:p>
          <w:p w14:paraId="4686822C" w14:textId="77777777" w:rsidR="00024BE3" w:rsidRPr="00CD0029" w:rsidRDefault="00024BE3" w:rsidP="00024BE3">
            <w:pPr>
              <w:pStyle w:val="Boxcolourtext"/>
              <w:spacing w:before="120" w:after="120"/>
              <w:rPr>
                <w:color w:val="000000"/>
                <w:sz w:val="24"/>
                <w:szCs w:val="24"/>
                <w:lang w:eastAsia="en-US"/>
              </w:rPr>
            </w:pPr>
          </w:p>
          <w:p w14:paraId="313CB62A" w14:textId="77777777" w:rsidR="004755B9" w:rsidRPr="00CD0029" w:rsidRDefault="00024BE3" w:rsidP="00024BE3">
            <w:pPr>
              <w:pStyle w:val="Boxcolourtext"/>
              <w:spacing w:before="120" w:after="120"/>
              <w:rPr>
                <w:rFonts w:cs="Calibri"/>
                <w:color w:val="000000"/>
                <w:sz w:val="24"/>
                <w:szCs w:val="24"/>
                <w:lang w:eastAsia="en-US"/>
              </w:rPr>
            </w:pPr>
            <w:r w:rsidRPr="00CD0029">
              <w:rPr>
                <w:color w:val="000000"/>
                <w:sz w:val="24"/>
                <w:szCs w:val="24"/>
              </w:rPr>
              <w:t>By 31 May 2019</w:t>
            </w:r>
          </w:p>
        </w:tc>
      </w:tr>
      <w:bookmarkEnd w:id="2"/>
      <w:bookmarkEnd w:id="4"/>
    </w:tbl>
    <w:p w14:paraId="0CB45175" w14:textId="77777777" w:rsidR="00393FEA" w:rsidRDefault="00393FEA" w:rsidP="00393FEA">
      <w:pPr>
        <w:rPr>
          <w:rFonts w:ascii="Calibri" w:hAnsi="Calibri" w:cs="Calibri"/>
          <w:szCs w:val="24"/>
        </w:rPr>
      </w:pPr>
    </w:p>
    <w:p w14:paraId="7CA5AAB3" w14:textId="77777777" w:rsidR="00393FEA" w:rsidRPr="002442AC" w:rsidRDefault="00393FEA" w:rsidP="00393FEA">
      <w:pPr>
        <w:spacing w:after="200"/>
        <w:rPr>
          <w:rFonts w:ascii="Calibri" w:hAnsi="Calibri" w:cs="Calibri"/>
          <w:szCs w:val="24"/>
        </w:rPr>
      </w:pPr>
      <w:r>
        <w:rPr>
          <w:rFonts w:ascii="Calibri" w:hAnsi="Calibri" w:cs="Calibri"/>
          <w:szCs w:val="24"/>
        </w:rPr>
        <w:t>By meeting my expectations, Earth Resources Regulation will have</w:t>
      </w:r>
      <w:r w:rsidRPr="002442AC">
        <w:rPr>
          <w:rFonts w:ascii="Calibri" w:hAnsi="Calibri" w:cs="Calibri"/>
          <w:szCs w:val="24"/>
        </w:rPr>
        <w:t>:</w:t>
      </w:r>
    </w:p>
    <w:p w14:paraId="7A929F61" w14:textId="77777777" w:rsidR="00393FEA" w:rsidRPr="00CB206B" w:rsidRDefault="00393FEA" w:rsidP="00393FEA">
      <w:pPr>
        <w:numPr>
          <w:ilvl w:val="0"/>
          <w:numId w:val="14"/>
        </w:numPr>
        <w:spacing w:after="200"/>
        <w:rPr>
          <w:rFonts w:ascii="Calibri" w:hAnsi="Calibri" w:cs="Calibri"/>
          <w:szCs w:val="24"/>
        </w:rPr>
      </w:pPr>
      <w:r w:rsidRPr="00CB206B">
        <w:rPr>
          <w:rFonts w:ascii="Calibri" w:hAnsi="Calibri" w:cs="Calibri"/>
          <w:szCs w:val="24"/>
        </w:rPr>
        <w:t>adopt</w:t>
      </w:r>
      <w:r>
        <w:rPr>
          <w:rFonts w:ascii="Calibri" w:hAnsi="Calibri" w:cs="Calibri"/>
          <w:szCs w:val="24"/>
        </w:rPr>
        <w:t>ed</w:t>
      </w:r>
      <w:r w:rsidRPr="00CB206B">
        <w:rPr>
          <w:rFonts w:ascii="Calibri" w:hAnsi="Calibri" w:cs="Calibri"/>
          <w:szCs w:val="24"/>
        </w:rPr>
        <w:t xml:space="preserve"> an outcome</w:t>
      </w:r>
      <w:r>
        <w:rPr>
          <w:rFonts w:ascii="Calibri" w:hAnsi="Calibri" w:cs="Calibri"/>
          <w:szCs w:val="24"/>
        </w:rPr>
        <w:t>-based</w:t>
      </w:r>
      <w:r w:rsidRPr="00CB206B">
        <w:rPr>
          <w:rFonts w:ascii="Calibri" w:hAnsi="Calibri" w:cs="Calibri"/>
          <w:szCs w:val="24"/>
        </w:rPr>
        <w:t xml:space="preserve"> approach to regulation based on recognised performance standards</w:t>
      </w:r>
      <w:r>
        <w:rPr>
          <w:rFonts w:ascii="Calibri" w:hAnsi="Calibri" w:cs="Calibri"/>
          <w:szCs w:val="24"/>
        </w:rPr>
        <w:t xml:space="preserve">, while </w:t>
      </w:r>
      <w:r w:rsidRPr="00CB206B">
        <w:rPr>
          <w:rFonts w:ascii="Calibri" w:hAnsi="Calibri" w:cs="Calibri"/>
          <w:szCs w:val="24"/>
        </w:rPr>
        <w:t>providing greater flexibility for industry to comply with the standards;</w:t>
      </w:r>
    </w:p>
    <w:p w14:paraId="65F948B1" w14:textId="77777777" w:rsidR="00393FEA" w:rsidRDefault="00393FEA" w:rsidP="00393FEA">
      <w:pPr>
        <w:numPr>
          <w:ilvl w:val="0"/>
          <w:numId w:val="14"/>
        </w:numPr>
        <w:spacing w:after="200"/>
        <w:rPr>
          <w:rFonts w:ascii="Calibri" w:hAnsi="Calibri" w:cs="Calibri"/>
          <w:szCs w:val="24"/>
        </w:rPr>
      </w:pPr>
      <w:r>
        <w:rPr>
          <w:rFonts w:ascii="Calibri" w:hAnsi="Calibri" w:cs="Calibri"/>
          <w:szCs w:val="24"/>
        </w:rPr>
        <w:t>e</w:t>
      </w:r>
      <w:r w:rsidRPr="006E7E6D">
        <w:rPr>
          <w:rFonts w:ascii="Calibri" w:hAnsi="Calibri" w:cs="Calibri"/>
          <w:szCs w:val="24"/>
        </w:rPr>
        <w:t>mbed</w:t>
      </w:r>
      <w:r>
        <w:rPr>
          <w:rFonts w:ascii="Calibri" w:hAnsi="Calibri" w:cs="Calibri"/>
          <w:szCs w:val="24"/>
        </w:rPr>
        <w:t>ded</w:t>
      </w:r>
      <w:r w:rsidRPr="006E7E6D">
        <w:rPr>
          <w:rFonts w:ascii="Calibri" w:hAnsi="Calibri" w:cs="Calibri"/>
          <w:szCs w:val="24"/>
        </w:rPr>
        <w:t xml:space="preserve"> stakeholder and community engagement functions as a c</w:t>
      </w:r>
      <w:r>
        <w:rPr>
          <w:rFonts w:ascii="Calibri" w:hAnsi="Calibri" w:cs="Calibri"/>
          <w:szCs w:val="24"/>
        </w:rPr>
        <w:t>ore responsibility of all staff;</w:t>
      </w:r>
    </w:p>
    <w:p w14:paraId="2766A344" w14:textId="77777777" w:rsidR="00393FEA" w:rsidRPr="00CB206B" w:rsidRDefault="00393FEA" w:rsidP="00393FEA">
      <w:pPr>
        <w:numPr>
          <w:ilvl w:val="0"/>
          <w:numId w:val="14"/>
        </w:numPr>
        <w:spacing w:after="200"/>
        <w:rPr>
          <w:rFonts w:ascii="Calibri" w:hAnsi="Calibri" w:cs="Calibri"/>
          <w:szCs w:val="24"/>
        </w:rPr>
      </w:pPr>
      <w:r w:rsidRPr="00CB206B">
        <w:rPr>
          <w:rFonts w:ascii="Calibri" w:hAnsi="Calibri" w:cs="Calibri"/>
          <w:szCs w:val="24"/>
        </w:rPr>
        <w:t>implement</w:t>
      </w:r>
      <w:r>
        <w:rPr>
          <w:rFonts w:ascii="Calibri" w:hAnsi="Calibri" w:cs="Calibri"/>
          <w:szCs w:val="24"/>
        </w:rPr>
        <w:t>ed</w:t>
      </w:r>
      <w:r w:rsidRPr="00CB206B">
        <w:rPr>
          <w:rFonts w:ascii="Calibri" w:hAnsi="Calibri" w:cs="Calibri"/>
          <w:szCs w:val="24"/>
        </w:rPr>
        <w:t xml:space="preserve"> improvements to the regulatory system; and</w:t>
      </w:r>
      <w:r>
        <w:rPr>
          <w:rFonts w:ascii="Calibri" w:hAnsi="Calibri" w:cs="Calibri"/>
          <w:szCs w:val="24"/>
        </w:rPr>
        <w:t>,</w:t>
      </w:r>
    </w:p>
    <w:p w14:paraId="27922FF0" w14:textId="77777777" w:rsidR="00393FEA" w:rsidRPr="00CB206B" w:rsidRDefault="00393FEA" w:rsidP="00393FEA">
      <w:pPr>
        <w:numPr>
          <w:ilvl w:val="0"/>
          <w:numId w:val="14"/>
        </w:numPr>
        <w:spacing w:after="200"/>
        <w:rPr>
          <w:rFonts w:ascii="Calibri" w:hAnsi="Calibri" w:cs="Calibri"/>
          <w:szCs w:val="24"/>
        </w:rPr>
      </w:pPr>
      <w:r w:rsidRPr="00CB206B">
        <w:rPr>
          <w:rFonts w:ascii="Calibri" w:hAnsi="Calibri" w:cs="Calibri"/>
          <w:szCs w:val="24"/>
        </w:rPr>
        <w:t>boost</w:t>
      </w:r>
      <w:r>
        <w:rPr>
          <w:rFonts w:ascii="Calibri" w:hAnsi="Calibri" w:cs="Calibri"/>
          <w:szCs w:val="24"/>
        </w:rPr>
        <w:t>ed its</w:t>
      </w:r>
      <w:r w:rsidRPr="00CB206B">
        <w:rPr>
          <w:rFonts w:ascii="Calibri" w:hAnsi="Calibri" w:cs="Calibri"/>
          <w:szCs w:val="24"/>
        </w:rPr>
        <w:t xml:space="preserve"> technical capability and capacity to assess applications and conduct compliance.</w:t>
      </w:r>
    </w:p>
    <w:p w14:paraId="2E45C190" w14:textId="77777777" w:rsidR="00393FEA" w:rsidRDefault="00393FEA" w:rsidP="00393FEA">
      <w:pPr>
        <w:rPr>
          <w:rFonts w:ascii="Calibri" w:hAnsi="Calibri" w:cs="Calibri"/>
          <w:szCs w:val="24"/>
        </w:rPr>
      </w:pPr>
      <w:r w:rsidRPr="002442AC">
        <w:rPr>
          <w:rFonts w:ascii="Calibri" w:hAnsi="Calibri" w:cs="Calibri"/>
          <w:szCs w:val="24"/>
        </w:rPr>
        <w:t>These measures will improve the regulatory system for the</w:t>
      </w:r>
      <w:r w:rsidR="0007164C">
        <w:rPr>
          <w:rFonts w:ascii="Calibri" w:hAnsi="Calibri" w:cs="Calibri"/>
          <w:szCs w:val="24"/>
        </w:rPr>
        <w:t xml:space="preserve"> minerals</w:t>
      </w:r>
      <w:r w:rsidRPr="002442AC">
        <w:rPr>
          <w:rFonts w:ascii="Calibri" w:hAnsi="Calibri" w:cs="Calibri"/>
          <w:szCs w:val="24"/>
        </w:rPr>
        <w:t xml:space="preserve"> and extractive sector</w:t>
      </w:r>
      <w:r w:rsidR="0007164C">
        <w:rPr>
          <w:rFonts w:ascii="Calibri" w:hAnsi="Calibri" w:cs="Calibri"/>
          <w:szCs w:val="24"/>
        </w:rPr>
        <w:t>s</w:t>
      </w:r>
      <w:r w:rsidRPr="002442AC">
        <w:rPr>
          <w:rFonts w:ascii="Calibri" w:hAnsi="Calibri" w:cs="Calibri"/>
          <w:szCs w:val="24"/>
        </w:rPr>
        <w:t xml:space="preserve"> through simplifying processes while ensuring that regulatory standards are upheld and community expectations are met.</w:t>
      </w:r>
      <w:r>
        <w:rPr>
          <w:rFonts w:ascii="Calibri" w:hAnsi="Calibri" w:cs="Calibri"/>
          <w:szCs w:val="24"/>
        </w:rPr>
        <w:t xml:space="preserve"> </w:t>
      </w:r>
      <w:r w:rsidR="0007164C">
        <w:rPr>
          <w:rFonts w:ascii="Calibri" w:hAnsi="Calibri" w:cs="Calibri"/>
          <w:szCs w:val="24"/>
        </w:rPr>
        <w:t>These measures will also inform any subsequent improvements in regulatory practice, which may be necessary in response to the outcomes of the Victorian Gas Program.</w:t>
      </w:r>
    </w:p>
    <w:p w14:paraId="451F6DB4" w14:textId="77777777" w:rsidR="00393FEA" w:rsidRDefault="00393FEA" w:rsidP="00393FEA">
      <w:pPr>
        <w:rPr>
          <w:rFonts w:ascii="Calibri" w:hAnsi="Calibri" w:cs="Calibri"/>
          <w:szCs w:val="24"/>
        </w:rPr>
      </w:pPr>
    </w:p>
    <w:p w14:paraId="61C07BAA" w14:textId="77777777" w:rsidR="00393FEA" w:rsidRPr="002442AC" w:rsidRDefault="00393FEA" w:rsidP="00393FEA">
      <w:pPr>
        <w:spacing w:after="200"/>
        <w:rPr>
          <w:rFonts w:ascii="Calibri" w:hAnsi="Calibri" w:cs="Calibri"/>
          <w:szCs w:val="24"/>
        </w:rPr>
      </w:pPr>
      <w:r>
        <w:rPr>
          <w:rFonts w:ascii="Calibri" w:hAnsi="Calibri" w:cs="Calibri"/>
          <w:szCs w:val="24"/>
        </w:rPr>
        <w:t xml:space="preserve">As a result, </w:t>
      </w:r>
      <w:r w:rsidRPr="002442AC">
        <w:rPr>
          <w:rFonts w:ascii="Calibri" w:hAnsi="Calibri" w:cs="Calibri"/>
          <w:szCs w:val="24"/>
        </w:rPr>
        <w:t>community confidence</w:t>
      </w:r>
      <w:r>
        <w:rPr>
          <w:rFonts w:ascii="Calibri" w:hAnsi="Calibri" w:cs="Calibri"/>
          <w:szCs w:val="24"/>
        </w:rPr>
        <w:t xml:space="preserve"> will improve, regulatory decision-making will become </w:t>
      </w:r>
      <w:r w:rsidRPr="002442AC">
        <w:rPr>
          <w:rFonts w:ascii="Calibri" w:hAnsi="Calibri" w:cs="Calibri"/>
          <w:szCs w:val="24"/>
        </w:rPr>
        <w:t>clearer and more efficient</w:t>
      </w:r>
      <w:r>
        <w:rPr>
          <w:rFonts w:ascii="Calibri" w:hAnsi="Calibri" w:cs="Calibri"/>
          <w:szCs w:val="24"/>
        </w:rPr>
        <w:t xml:space="preserve">, and industry will be better able to </w:t>
      </w:r>
      <w:r w:rsidRPr="002442AC">
        <w:rPr>
          <w:rFonts w:ascii="Calibri" w:hAnsi="Calibri" w:cs="Calibri"/>
          <w:szCs w:val="24"/>
        </w:rPr>
        <w:t>understand and meet regulatory requirements.</w:t>
      </w:r>
    </w:p>
    <w:p w14:paraId="30550A77" w14:textId="77777777" w:rsidR="00393FEA" w:rsidRPr="002442AC" w:rsidRDefault="00393FEA" w:rsidP="00393FEA">
      <w:pPr>
        <w:rPr>
          <w:rFonts w:ascii="Calibri" w:hAnsi="Calibri" w:cs="Calibri"/>
          <w:szCs w:val="24"/>
        </w:rPr>
      </w:pPr>
      <w:r>
        <w:rPr>
          <w:rFonts w:ascii="Calibri" w:hAnsi="Calibri" w:cs="Calibri"/>
          <w:szCs w:val="24"/>
        </w:rPr>
        <w:t>In undertaking this work, I expect Earth Resources Reg</w:t>
      </w:r>
      <w:r w:rsidR="000F19ED">
        <w:rPr>
          <w:rFonts w:ascii="Calibri" w:hAnsi="Calibri" w:cs="Calibri"/>
          <w:szCs w:val="24"/>
        </w:rPr>
        <w:t xml:space="preserve">ulation </w:t>
      </w:r>
      <w:r w:rsidR="0007164C">
        <w:rPr>
          <w:rFonts w:ascii="Calibri" w:hAnsi="Calibri" w:cs="Calibri"/>
          <w:szCs w:val="24"/>
        </w:rPr>
        <w:t xml:space="preserve">will continue </w:t>
      </w:r>
      <w:r w:rsidR="000F19ED">
        <w:rPr>
          <w:rFonts w:ascii="Calibri" w:hAnsi="Calibri" w:cs="Calibri"/>
          <w:szCs w:val="24"/>
        </w:rPr>
        <w:t>to consult with the</w:t>
      </w:r>
      <w:r w:rsidR="0007164C">
        <w:rPr>
          <w:rFonts w:ascii="Calibri" w:hAnsi="Calibri" w:cs="Calibri"/>
          <w:szCs w:val="24"/>
        </w:rPr>
        <w:t xml:space="preserve"> Commissioner for Better Regulation and the</w:t>
      </w:r>
      <w:r w:rsidR="000F19ED">
        <w:rPr>
          <w:rFonts w:ascii="Calibri" w:hAnsi="Calibri" w:cs="Calibri"/>
          <w:szCs w:val="24"/>
        </w:rPr>
        <w:t xml:space="preserve"> Red </w:t>
      </w:r>
      <w:r>
        <w:rPr>
          <w:rFonts w:ascii="Calibri" w:hAnsi="Calibri" w:cs="Calibri"/>
          <w:szCs w:val="24"/>
        </w:rPr>
        <w:t>Tape Commissioner, business and the broader community as appropriate.</w:t>
      </w:r>
    </w:p>
    <w:p w14:paraId="497F4BAD" w14:textId="77777777" w:rsidR="00393FEA" w:rsidRPr="002442AC" w:rsidRDefault="00393FEA" w:rsidP="00393FEA">
      <w:pPr>
        <w:rPr>
          <w:rFonts w:ascii="Calibri" w:hAnsi="Calibri" w:cs="Calibri"/>
          <w:szCs w:val="24"/>
        </w:rPr>
      </w:pPr>
    </w:p>
    <w:p w14:paraId="3386FA86" w14:textId="77777777" w:rsidR="00393FEA" w:rsidRPr="002442AC" w:rsidRDefault="00393FEA" w:rsidP="00393FEA">
      <w:pPr>
        <w:keepNext/>
        <w:spacing w:after="200"/>
        <w:rPr>
          <w:rFonts w:ascii="Calibri" w:hAnsi="Calibri" w:cs="Calibri"/>
          <w:b/>
          <w:szCs w:val="24"/>
        </w:rPr>
      </w:pPr>
      <w:r w:rsidRPr="002442AC">
        <w:rPr>
          <w:rFonts w:ascii="Calibri" w:hAnsi="Calibri" w:cs="Calibri"/>
          <w:b/>
          <w:szCs w:val="24"/>
        </w:rPr>
        <w:t>Improvements and targets</w:t>
      </w:r>
    </w:p>
    <w:p w14:paraId="5C45B5E1" w14:textId="77777777" w:rsidR="00393FEA" w:rsidRPr="002442AC" w:rsidRDefault="00393FEA" w:rsidP="00393FEA">
      <w:pPr>
        <w:rPr>
          <w:rFonts w:ascii="Calibri" w:hAnsi="Calibri" w:cs="Calibri"/>
          <w:szCs w:val="24"/>
        </w:rPr>
      </w:pPr>
      <w:r w:rsidRPr="002442AC">
        <w:rPr>
          <w:rFonts w:ascii="Calibri" w:hAnsi="Calibri" w:cs="Calibri"/>
          <w:szCs w:val="24"/>
        </w:rPr>
        <w:t>We have a clear and direct way forward to improve Earth Resources Regulation. The activities I expect you to propose and implement will see improvements across all aspects of good regulatory practice and will be critical in implementing the Government’s plan to move Earth Resources Regulation to a more modern, proportionate and robust regulator.</w:t>
      </w:r>
    </w:p>
    <w:p w14:paraId="795F5259" w14:textId="77777777" w:rsidR="00393FEA" w:rsidRPr="002442AC" w:rsidRDefault="00393FEA" w:rsidP="00393FEA">
      <w:pPr>
        <w:rPr>
          <w:rFonts w:ascii="Calibri" w:hAnsi="Calibri" w:cs="Calibri"/>
          <w:szCs w:val="24"/>
        </w:rPr>
      </w:pPr>
    </w:p>
    <w:p w14:paraId="58E729D3" w14:textId="77777777" w:rsidR="00393FEA" w:rsidRPr="002442AC" w:rsidRDefault="00393FEA" w:rsidP="00393FEA">
      <w:pPr>
        <w:rPr>
          <w:rFonts w:ascii="Calibri" w:hAnsi="Calibri" w:cs="Calibri"/>
          <w:szCs w:val="24"/>
        </w:rPr>
      </w:pPr>
      <w:r w:rsidRPr="002442AC">
        <w:rPr>
          <w:rFonts w:ascii="Calibri" w:hAnsi="Calibri" w:cs="Calibri"/>
          <w:szCs w:val="24"/>
        </w:rPr>
        <w:t xml:space="preserve">As such, using the </w:t>
      </w:r>
      <w:r>
        <w:rPr>
          <w:rFonts w:ascii="Calibri" w:hAnsi="Calibri" w:cs="Calibri"/>
          <w:szCs w:val="24"/>
        </w:rPr>
        <w:t>Plan</w:t>
      </w:r>
      <w:r w:rsidRPr="002442AC">
        <w:rPr>
          <w:rFonts w:ascii="Calibri" w:hAnsi="Calibri" w:cs="Calibri"/>
          <w:szCs w:val="24"/>
        </w:rPr>
        <w:t>, I expect both your department and the regulator to implement improvements that are fit for purpose and to report on the effectiveness of reaching the elements of good regulatory practice, such as the examples in the table below.</w:t>
      </w:r>
    </w:p>
    <w:p w14:paraId="373C697B" w14:textId="77777777" w:rsidR="00393FEA" w:rsidRDefault="00393FEA" w:rsidP="00393FEA">
      <w:pPr>
        <w:rPr>
          <w:rFonts w:ascii="Calibri" w:hAnsi="Calibri" w:cs="Calibri"/>
          <w:szCs w:val="24"/>
        </w:rPr>
      </w:pPr>
    </w:p>
    <w:p w14:paraId="23A767C1" w14:textId="77777777" w:rsidR="00393FEA" w:rsidRPr="00946D9B" w:rsidRDefault="00393FEA" w:rsidP="00393FEA">
      <w:pPr>
        <w:rPr>
          <w:rFonts w:ascii="Calibri" w:hAnsi="Calibri" w:cs="Calibri"/>
          <w:b/>
          <w:szCs w:val="24"/>
        </w:rPr>
      </w:pPr>
      <w:r w:rsidRPr="00946D9B">
        <w:rPr>
          <w:rFonts w:ascii="Calibri" w:hAnsi="Calibri" w:cs="Calibri"/>
          <w:b/>
          <w:szCs w:val="24"/>
        </w:rPr>
        <w:t>Table 2: Elements of good regulatory practice and examples of best practices from the Department of Treasury and Finance Statement of Expectations Framework for Regulators</w:t>
      </w:r>
    </w:p>
    <w:p w14:paraId="6844294F" w14:textId="77777777" w:rsidR="00393FEA" w:rsidRPr="002442AC" w:rsidRDefault="00393FEA" w:rsidP="00393FEA">
      <w:pPr>
        <w:rPr>
          <w:rFonts w:ascii="Calibri" w:hAnsi="Calibri" w:cs="Calibr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93FEA" w:rsidRPr="00E11932" w14:paraId="1E74DBB0" w14:textId="77777777" w:rsidTr="00E83500">
        <w:trPr>
          <w:cantSplit/>
          <w:trHeight w:val="396"/>
        </w:trPr>
        <w:tc>
          <w:tcPr>
            <w:tcW w:w="2518" w:type="dxa"/>
            <w:shd w:val="clear" w:color="auto" w:fill="A6A6A6"/>
          </w:tcPr>
          <w:p w14:paraId="19F19F82" w14:textId="77777777" w:rsidR="00393FEA" w:rsidRPr="00946D9B" w:rsidRDefault="00393FEA" w:rsidP="00E83500">
            <w:pPr>
              <w:spacing w:before="120" w:after="120"/>
              <w:jc w:val="center"/>
              <w:rPr>
                <w:rFonts w:ascii="Calibri" w:hAnsi="Calibri" w:cs="Calibri"/>
                <w:b/>
                <w:szCs w:val="24"/>
              </w:rPr>
            </w:pPr>
            <w:r w:rsidRPr="00946D9B">
              <w:rPr>
                <w:rFonts w:ascii="Calibri" w:hAnsi="Calibri" w:cs="Calibri"/>
                <w:b/>
                <w:szCs w:val="24"/>
              </w:rPr>
              <w:t>Elements of good regulatory practice</w:t>
            </w:r>
          </w:p>
        </w:tc>
        <w:tc>
          <w:tcPr>
            <w:tcW w:w="6804" w:type="dxa"/>
            <w:shd w:val="clear" w:color="auto" w:fill="A6A6A6"/>
          </w:tcPr>
          <w:p w14:paraId="6580EF9A" w14:textId="77777777" w:rsidR="00393FEA" w:rsidRPr="00946D9B" w:rsidRDefault="00393FEA" w:rsidP="00E83500">
            <w:pPr>
              <w:spacing w:before="120" w:after="120"/>
              <w:jc w:val="center"/>
              <w:rPr>
                <w:rFonts w:ascii="Calibri" w:hAnsi="Calibri" w:cs="Calibri"/>
                <w:b/>
                <w:szCs w:val="24"/>
              </w:rPr>
            </w:pPr>
            <w:r w:rsidRPr="00946D9B">
              <w:rPr>
                <w:rFonts w:ascii="Calibri" w:hAnsi="Calibri" w:cs="Calibri"/>
                <w:b/>
                <w:szCs w:val="24"/>
              </w:rPr>
              <w:t>Examples of best practices</w:t>
            </w:r>
          </w:p>
        </w:tc>
      </w:tr>
      <w:tr w:rsidR="00393FEA" w:rsidRPr="00946D9B" w14:paraId="16C18052" w14:textId="77777777" w:rsidTr="00E83500">
        <w:trPr>
          <w:cantSplit/>
        </w:trPr>
        <w:tc>
          <w:tcPr>
            <w:tcW w:w="2518" w:type="dxa"/>
            <w:shd w:val="clear" w:color="auto" w:fill="auto"/>
          </w:tcPr>
          <w:p w14:paraId="041CA244"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Timeliness</w:t>
            </w:r>
          </w:p>
        </w:tc>
        <w:tc>
          <w:tcPr>
            <w:tcW w:w="6804" w:type="dxa"/>
            <w:shd w:val="clear" w:color="auto" w:fill="auto"/>
          </w:tcPr>
          <w:p w14:paraId="5989CE70" w14:textId="77777777" w:rsidR="00393FEA" w:rsidRPr="00946D9B" w:rsidRDefault="00393FEA" w:rsidP="00E83500">
            <w:pPr>
              <w:spacing w:before="120" w:after="120"/>
              <w:rPr>
                <w:rFonts w:ascii="Calibri" w:hAnsi="Calibri" w:cs="Calibri"/>
              </w:rPr>
            </w:pPr>
            <w:r w:rsidRPr="00946D9B">
              <w:rPr>
                <w:rFonts w:ascii="Calibri" w:hAnsi="Calibri" w:cs="Calibri"/>
              </w:rPr>
              <w:t>Processes or systems are in place to make it as easy as possible for businesses to complete forms, and the regulator provides clarity about the timing and scope of regulatory processes. The regulator strives for improved e-capability.</w:t>
            </w:r>
          </w:p>
        </w:tc>
      </w:tr>
      <w:tr w:rsidR="00393FEA" w:rsidRPr="00946D9B" w14:paraId="7063A352" w14:textId="77777777" w:rsidTr="00E83500">
        <w:trPr>
          <w:cantSplit/>
        </w:trPr>
        <w:tc>
          <w:tcPr>
            <w:tcW w:w="2518" w:type="dxa"/>
            <w:shd w:val="clear" w:color="auto" w:fill="auto"/>
          </w:tcPr>
          <w:p w14:paraId="18649745"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Outcomes-based regulation</w:t>
            </w:r>
          </w:p>
        </w:tc>
        <w:tc>
          <w:tcPr>
            <w:tcW w:w="6804" w:type="dxa"/>
            <w:shd w:val="clear" w:color="auto" w:fill="auto"/>
          </w:tcPr>
          <w:p w14:paraId="660BDE7F" w14:textId="77777777" w:rsidR="00393FEA" w:rsidRPr="00946D9B" w:rsidRDefault="00393FEA" w:rsidP="00E83500">
            <w:pPr>
              <w:spacing w:before="120" w:after="120"/>
              <w:rPr>
                <w:rFonts w:ascii="Calibri" w:hAnsi="Calibri" w:cs="Calibri"/>
              </w:rPr>
            </w:pPr>
            <w:r w:rsidRPr="00946D9B">
              <w:rPr>
                <w:rFonts w:ascii="Calibri" w:hAnsi="Calibri" w:cs="Calibri"/>
              </w:rPr>
              <w:t>The regulator has an established approach to risk assessment and collects relevant data to inform an outcomes-based approach to regulation. This approach then informs inspection targeting.</w:t>
            </w:r>
          </w:p>
        </w:tc>
      </w:tr>
      <w:tr w:rsidR="00393FEA" w:rsidRPr="00946D9B" w14:paraId="49396D5D" w14:textId="77777777" w:rsidTr="00E83500">
        <w:trPr>
          <w:cantSplit/>
        </w:trPr>
        <w:tc>
          <w:tcPr>
            <w:tcW w:w="2518" w:type="dxa"/>
            <w:shd w:val="clear" w:color="auto" w:fill="auto"/>
          </w:tcPr>
          <w:p w14:paraId="397D844A"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Compliance related assistance and advice</w:t>
            </w:r>
          </w:p>
        </w:tc>
        <w:tc>
          <w:tcPr>
            <w:tcW w:w="6804" w:type="dxa"/>
            <w:shd w:val="clear" w:color="auto" w:fill="auto"/>
          </w:tcPr>
          <w:p w14:paraId="1F48DC55" w14:textId="77777777" w:rsidR="00393FEA" w:rsidRPr="00946D9B" w:rsidRDefault="00393FEA" w:rsidP="00E83500">
            <w:pPr>
              <w:spacing w:before="120" w:after="120"/>
              <w:rPr>
                <w:rFonts w:ascii="Calibri" w:hAnsi="Calibri" w:cs="Calibri"/>
              </w:rPr>
            </w:pPr>
            <w:r w:rsidRPr="00946D9B">
              <w:rPr>
                <w:rFonts w:ascii="Calibri" w:hAnsi="Calibri" w:cs="Calibri"/>
              </w:rPr>
              <w:t>The regulator provides assistance and advice to stakeholders, in a timely fashion, in order to secure compliance across the full range of regulated activities</w:t>
            </w:r>
            <w:r>
              <w:rPr>
                <w:rFonts w:ascii="Calibri" w:hAnsi="Calibri" w:cs="Calibri"/>
              </w:rPr>
              <w:t>.</w:t>
            </w:r>
          </w:p>
        </w:tc>
      </w:tr>
      <w:tr w:rsidR="00393FEA" w:rsidRPr="00946D9B" w14:paraId="641F3F67" w14:textId="77777777" w:rsidTr="00E83500">
        <w:trPr>
          <w:cantSplit/>
        </w:trPr>
        <w:tc>
          <w:tcPr>
            <w:tcW w:w="2518" w:type="dxa"/>
            <w:shd w:val="clear" w:color="auto" w:fill="auto"/>
          </w:tcPr>
          <w:p w14:paraId="3B256360"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Incentive-based regulation</w:t>
            </w:r>
          </w:p>
        </w:tc>
        <w:tc>
          <w:tcPr>
            <w:tcW w:w="6804" w:type="dxa"/>
            <w:shd w:val="clear" w:color="auto" w:fill="auto"/>
          </w:tcPr>
          <w:p w14:paraId="24622481" w14:textId="77777777" w:rsidR="00393FEA" w:rsidRPr="00946D9B" w:rsidRDefault="00393FEA" w:rsidP="00E83500">
            <w:pPr>
              <w:spacing w:before="120" w:after="120"/>
              <w:rPr>
                <w:rFonts w:ascii="Calibri" w:hAnsi="Calibri" w:cs="Calibri"/>
              </w:rPr>
            </w:pPr>
            <w:r w:rsidRPr="00946D9B">
              <w:rPr>
                <w:rFonts w:ascii="Calibri" w:hAnsi="Calibri" w:cs="Calibri"/>
              </w:rPr>
              <w:t>Incentive-based approaches to compliance are considered and adopted where appropriate and the regulator collects relevant data to evaluate outcomes</w:t>
            </w:r>
            <w:r>
              <w:rPr>
                <w:rFonts w:ascii="Calibri" w:hAnsi="Calibri" w:cs="Calibri"/>
              </w:rPr>
              <w:t>.</w:t>
            </w:r>
          </w:p>
        </w:tc>
      </w:tr>
      <w:tr w:rsidR="00393FEA" w:rsidRPr="00946D9B" w14:paraId="10246033" w14:textId="77777777" w:rsidTr="00E83500">
        <w:trPr>
          <w:cantSplit/>
        </w:trPr>
        <w:tc>
          <w:tcPr>
            <w:tcW w:w="2518" w:type="dxa"/>
            <w:shd w:val="clear" w:color="auto" w:fill="auto"/>
          </w:tcPr>
          <w:p w14:paraId="1DD04AC1"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lastRenderedPageBreak/>
              <w:t>Role clarity</w:t>
            </w:r>
          </w:p>
        </w:tc>
        <w:tc>
          <w:tcPr>
            <w:tcW w:w="6804" w:type="dxa"/>
            <w:shd w:val="clear" w:color="auto" w:fill="auto"/>
          </w:tcPr>
          <w:p w14:paraId="5AD09D03" w14:textId="77777777" w:rsidR="00393FEA" w:rsidRPr="00946D9B" w:rsidRDefault="00393FEA" w:rsidP="00E83500">
            <w:pPr>
              <w:spacing w:before="120" w:after="120"/>
              <w:rPr>
                <w:rFonts w:ascii="Calibri" w:hAnsi="Calibri" w:cs="Calibri"/>
              </w:rPr>
            </w:pPr>
            <w:r w:rsidRPr="00946D9B">
              <w:rPr>
                <w:rFonts w:ascii="Calibri" w:hAnsi="Calibri" w:cs="Calibri"/>
              </w:rPr>
              <w:t xml:space="preserve">The regulator provides clarity to its stakeholders on its monitoring and assurance regime and ensures that the regulatory objectives of the legislation are being met by authority holders. </w:t>
            </w:r>
          </w:p>
        </w:tc>
      </w:tr>
      <w:tr w:rsidR="00393FEA" w:rsidRPr="00946D9B" w14:paraId="4905C507" w14:textId="77777777" w:rsidTr="00E83500">
        <w:trPr>
          <w:cantSplit/>
        </w:trPr>
        <w:tc>
          <w:tcPr>
            <w:tcW w:w="2518" w:type="dxa"/>
            <w:shd w:val="clear" w:color="auto" w:fill="auto"/>
          </w:tcPr>
          <w:p w14:paraId="5E8B2B6A"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Cooperation amongst regulators</w:t>
            </w:r>
          </w:p>
        </w:tc>
        <w:tc>
          <w:tcPr>
            <w:tcW w:w="6804" w:type="dxa"/>
            <w:shd w:val="clear" w:color="auto" w:fill="auto"/>
          </w:tcPr>
          <w:p w14:paraId="1C0D65C4" w14:textId="77777777" w:rsidR="00393FEA" w:rsidRPr="00946D9B" w:rsidRDefault="00393FEA" w:rsidP="00E83500">
            <w:pPr>
              <w:spacing w:before="120" w:after="120"/>
              <w:rPr>
                <w:rFonts w:ascii="Calibri" w:hAnsi="Calibri" w:cs="Calibri"/>
              </w:rPr>
            </w:pPr>
            <w:r w:rsidRPr="00946D9B">
              <w:rPr>
                <w:rFonts w:ascii="Calibri" w:hAnsi="Calibri" w:cs="Calibri"/>
              </w:rPr>
              <w:t>The regulator engages and coordinates on a regular basis with other regulators whose regulated parties overlap with their own. Regulatory practices are streamlined between reg</w:t>
            </w:r>
            <w:r w:rsidR="003B32F3">
              <w:rPr>
                <w:rFonts w:ascii="Calibri" w:hAnsi="Calibri" w:cs="Calibri"/>
              </w:rPr>
              <w:t>ulators.</w:t>
            </w:r>
          </w:p>
        </w:tc>
      </w:tr>
      <w:tr w:rsidR="00393FEA" w:rsidRPr="00946D9B" w14:paraId="6FF1A1B8" w14:textId="77777777" w:rsidTr="00E83500">
        <w:trPr>
          <w:cantSplit/>
        </w:trPr>
        <w:tc>
          <w:tcPr>
            <w:tcW w:w="2518" w:type="dxa"/>
            <w:shd w:val="clear" w:color="auto" w:fill="auto"/>
          </w:tcPr>
          <w:p w14:paraId="7D64798D"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Stakeholder consultation and engagement</w:t>
            </w:r>
          </w:p>
        </w:tc>
        <w:tc>
          <w:tcPr>
            <w:tcW w:w="6804" w:type="dxa"/>
            <w:shd w:val="clear" w:color="auto" w:fill="auto"/>
          </w:tcPr>
          <w:p w14:paraId="12981887" w14:textId="77777777" w:rsidR="00393FEA" w:rsidRPr="00946D9B" w:rsidRDefault="00393FEA" w:rsidP="00E83500">
            <w:pPr>
              <w:spacing w:before="120" w:after="120"/>
              <w:rPr>
                <w:rFonts w:ascii="Calibri" w:hAnsi="Calibri" w:cs="Calibri"/>
              </w:rPr>
            </w:pPr>
            <w:r w:rsidRPr="00946D9B">
              <w:rPr>
                <w:rFonts w:ascii="Calibri" w:hAnsi="Calibri" w:cs="Calibri"/>
              </w:rPr>
              <w:t>Forms, data requests and other administrative and compliance processes are regularly reviewed with feedback sought from stakeholders. The regulator routinely involves regulated parties and the community in identifying risk, analysis and evaluation.</w:t>
            </w:r>
          </w:p>
        </w:tc>
      </w:tr>
      <w:tr w:rsidR="00393FEA" w:rsidRPr="00946D9B" w14:paraId="788E16F5" w14:textId="77777777" w:rsidTr="00E83500">
        <w:trPr>
          <w:cantSplit/>
        </w:trPr>
        <w:tc>
          <w:tcPr>
            <w:tcW w:w="2518" w:type="dxa"/>
            <w:tcBorders>
              <w:bottom w:val="single" w:sz="4" w:space="0" w:color="auto"/>
            </w:tcBorders>
            <w:shd w:val="clear" w:color="auto" w:fill="auto"/>
          </w:tcPr>
          <w:p w14:paraId="23D61644"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Accountability and transparency</w:t>
            </w:r>
          </w:p>
        </w:tc>
        <w:tc>
          <w:tcPr>
            <w:tcW w:w="6804" w:type="dxa"/>
            <w:tcBorders>
              <w:bottom w:val="single" w:sz="4" w:space="0" w:color="auto"/>
            </w:tcBorders>
            <w:shd w:val="clear" w:color="auto" w:fill="auto"/>
          </w:tcPr>
          <w:p w14:paraId="67210372" w14:textId="77777777" w:rsidR="00393FEA" w:rsidRPr="00946D9B" w:rsidRDefault="00393FEA" w:rsidP="00E83500">
            <w:pPr>
              <w:spacing w:before="120" w:after="120"/>
              <w:rPr>
                <w:rFonts w:ascii="Calibri" w:hAnsi="Calibri" w:cs="Calibri"/>
              </w:rPr>
            </w:pPr>
            <w:r w:rsidRPr="00946D9B">
              <w:rPr>
                <w:rFonts w:ascii="Calibri" w:hAnsi="Calibri" w:cs="Calibri"/>
              </w:rPr>
              <w:t>The regulator is transparent about how they administer and, where appropriate, how they enforce regulation. The regulator publishes their dispute resolution processes and publishes outcome-focused data on operational performance.</w:t>
            </w:r>
          </w:p>
        </w:tc>
      </w:tr>
      <w:tr w:rsidR="00393FEA" w:rsidRPr="00946D9B" w14:paraId="38E5E008" w14:textId="77777777" w:rsidTr="00E83500">
        <w:trPr>
          <w:cantSplit/>
        </w:trPr>
        <w:tc>
          <w:tcPr>
            <w:tcW w:w="2518" w:type="dxa"/>
            <w:tcBorders>
              <w:bottom w:val="single" w:sz="4" w:space="0" w:color="auto"/>
            </w:tcBorders>
            <w:shd w:val="clear" w:color="auto" w:fill="auto"/>
          </w:tcPr>
          <w:p w14:paraId="7E13C071" w14:textId="77777777" w:rsidR="00393FEA" w:rsidRPr="00946D9B" w:rsidRDefault="00393FEA" w:rsidP="00E83500">
            <w:pPr>
              <w:pStyle w:val="ListParagraph"/>
              <w:numPr>
                <w:ilvl w:val="0"/>
                <w:numId w:val="5"/>
              </w:numPr>
              <w:spacing w:before="120" w:after="120" w:line="240" w:lineRule="auto"/>
              <w:contextualSpacing w:val="0"/>
              <w:rPr>
                <w:rFonts w:cs="Calibri"/>
                <w:sz w:val="24"/>
                <w:szCs w:val="24"/>
              </w:rPr>
            </w:pPr>
            <w:r w:rsidRPr="00946D9B">
              <w:rPr>
                <w:rFonts w:cs="Calibri"/>
                <w:sz w:val="24"/>
                <w:szCs w:val="24"/>
              </w:rPr>
              <w:t>Clear and consistent regulatory activities</w:t>
            </w:r>
          </w:p>
        </w:tc>
        <w:tc>
          <w:tcPr>
            <w:tcW w:w="6804" w:type="dxa"/>
            <w:tcBorders>
              <w:bottom w:val="single" w:sz="4" w:space="0" w:color="auto"/>
            </w:tcBorders>
            <w:shd w:val="clear" w:color="auto" w:fill="auto"/>
          </w:tcPr>
          <w:p w14:paraId="56CAB09A" w14:textId="77777777" w:rsidR="00393FEA" w:rsidRPr="00946D9B" w:rsidRDefault="00393FEA" w:rsidP="00E83500">
            <w:pPr>
              <w:spacing w:before="120" w:after="120"/>
              <w:rPr>
                <w:rFonts w:ascii="Calibri" w:hAnsi="Calibri" w:cs="Calibri"/>
              </w:rPr>
            </w:pPr>
            <w:r w:rsidRPr="00946D9B">
              <w:rPr>
                <w:rFonts w:ascii="Calibri" w:hAnsi="Calibri" w:cs="Calibri"/>
              </w:rPr>
              <w:t>The regulator has documented key administrative and compliance processes and activities and articulates these policies to its stakeholders.</w:t>
            </w:r>
          </w:p>
        </w:tc>
      </w:tr>
    </w:tbl>
    <w:p w14:paraId="65D075CF" w14:textId="77777777" w:rsidR="00393FEA" w:rsidRDefault="00393FEA" w:rsidP="00393FEA">
      <w:pPr>
        <w:spacing w:after="200"/>
        <w:rPr>
          <w:rFonts w:ascii="Calibri" w:hAnsi="Calibri" w:cs="Calibri"/>
          <w:szCs w:val="24"/>
        </w:rPr>
      </w:pPr>
    </w:p>
    <w:p w14:paraId="09447D6A" w14:textId="77777777" w:rsidR="00393FEA" w:rsidRPr="00946D9B" w:rsidRDefault="00393FEA" w:rsidP="00393FEA">
      <w:pPr>
        <w:spacing w:after="200"/>
        <w:rPr>
          <w:rFonts w:ascii="Calibri" w:hAnsi="Calibri" w:cs="Calibri"/>
          <w:b/>
          <w:sz w:val="18"/>
          <w:szCs w:val="24"/>
        </w:rPr>
      </w:pPr>
      <w:r w:rsidRPr="00946D9B">
        <w:rPr>
          <w:rFonts w:ascii="Calibri" w:hAnsi="Calibri" w:cs="Calibri"/>
          <w:b/>
          <w:szCs w:val="24"/>
        </w:rPr>
        <w:t>Evaluation and Reporting</w:t>
      </w:r>
    </w:p>
    <w:p w14:paraId="238BFE9C" w14:textId="77777777" w:rsidR="00393FEA" w:rsidRPr="00946D9B" w:rsidRDefault="00393FEA" w:rsidP="00393FEA">
      <w:pPr>
        <w:rPr>
          <w:rFonts w:ascii="Calibri" w:hAnsi="Calibri" w:cs="Calibri"/>
          <w:color w:val="000000"/>
          <w:szCs w:val="24"/>
        </w:rPr>
      </w:pPr>
      <w:r>
        <w:rPr>
          <w:rFonts w:ascii="Calibri" w:hAnsi="Calibri" w:cs="Calibri"/>
          <w:color w:val="000000"/>
          <w:szCs w:val="24"/>
        </w:rPr>
        <w:t>I expect Earth Resources Regulation to support the Department’s policy area to develop an evaluation</w:t>
      </w:r>
      <w:r w:rsidR="0007164C">
        <w:rPr>
          <w:rFonts w:ascii="Calibri" w:hAnsi="Calibri" w:cs="Calibri"/>
          <w:color w:val="000000"/>
          <w:szCs w:val="24"/>
        </w:rPr>
        <w:t xml:space="preserve"> plan and conduct an</w:t>
      </w:r>
      <w:r w:rsidR="00A62BB5">
        <w:rPr>
          <w:rFonts w:ascii="Calibri" w:hAnsi="Calibri" w:cs="Calibri"/>
          <w:color w:val="000000"/>
          <w:szCs w:val="24"/>
        </w:rPr>
        <w:t xml:space="preserve"> evaluation, in accordance with</w:t>
      </w:r>
      <w:r w:rsidR="0007164C">
        <w:rPr>
          <w:rFonts w:ascii="Calibri" w:hAnsi="Calibri" w:cs="Calibri"/>
          <w:color w:val="000000"/>
          <w:szCs w:val="24"/>
        </w:rPr>
        <w:t xml:space="preserve"> the Department of Treasury and Finance’s </w:t>
      </w:r>
      <w:r w:rsidR="0007164C">
        <w:rPr>
          <w:rFonts w:ascii="Calibri" w:hAnsi="Calibri" w:cs="Calibri"/>
          <w:i/>
          <w:color w:val="000000"/>
          <w:szCs w:val="24"/>
        </w:rPr>
        <w:t>Guidelines for Evaluation of Statements of Expectations for Regulators</w:t>
      </w:r>
      <w:r w:rsidR="0007164C">
        <w:rPr>
          <w:rFonts w:ascii="Calibri" w:hAnsi="Calibri" w:cs="Calibri"/>
          <w:color w:val="000000"/>
          <w:szCs w:val="24"/>
        </w:rPr>
        <w:t>.</w:t>
      </w:r>
    </w:p>
    <w:p w14:paraId="4CB37BDD" w14:textId="77777777" w:rsidR="00393FEA" w:rsidRDefault="00393FEA" w:rsidP="00393FEA">
      <w:pPr>
        <w:rPr>
          <w:rFonts w:ascii="Calibri" w:hAnsi="Calibri" w:cs="Calibri"/>
          <w:color w:val="000000"/>
          <w:szCs w:val="24"/>
        </w:rPr>
      </w:pPr>
    </w:p>
    <w:p w14:paraId="1CA3BB48" w14:textId="77777777" w:rsidR="00393FEA" w:rsidRDefault="00393FEA" w:rsidP="00393FEA">
      <w:pPr>
        <w:rPr>
          <w:rFonts w:ascii="Calibri" w:hAnsi="Calibri" w:cs="Calibri"/>
          <w:color w:val="000000"/>
          <w:szCs w:val="24"/>
        </w:rPr>
      </w:pPr>
      <w:r>
        <w:rPr>
          <w:rFonts w:ascii="Calibri" w:hAnsi="Calibri" w:cs="Calibri"/>
          <w:color w:val="000000"/>
          <w:szCs w:val="24"/>
        </w:rPr>
        <w:t>The evaluation should consider both process and outcome:</w:t>
      </w:r>
    </w:p>
    <w:p w14:paraId="50548582" w14:textId="77777777" w:rsidR="00393FEA" w:rsidRDefault="00393FEA" w:rsidP="00393FEA">
      <w:pPr>
        <w:numPr>
          <w:ilvl w:val="0"/>
          <w:numId w:val="15"/>
        </w:numPr>
        <w:spacing w:before="120" w:after="120"/>
        <w:ind w:left="714" w:hanging="357"/>
        <w:rPr>
          <w:rFonts w:ascii="Calibri" w:hAnsi="Calibri" w:cs="Calibri"/>
          <w:color w:val="000000"/>
          <w:szCs w:val="24"/>
        </w:rPr>
      </w:pPr>
      <w:r w:rsidRPr="00946D9B">
        <w:rPr>
          <w:rFonts w:ascii="Calibri" w:hAnsi="Calibri" w:cs="Calibri"/>
          <w:b/>
          <w:color w:val="000000"/>
          <w:szCs w:val="24"/>
        </w:rPr>
        <w:t>Process</w:t>
      </w:r>
      <w:r>
        <w:rPr>
          <w:rFonts w:ascii="Calibri" w:hAnsi="Calibri" w:cs="Calibri"/>
          <w:b/>
          <w:color w:val="000000"/>
          <w:szCs w:val="24"/>
        </w:rPr>
        <w:t xml:space="preserve"> </w:t>
      </w:r>
      <w:r>
        <w:rPr>
          <w:rFonts w:ascii="Calibri" w:hAnsi="Calibri" w:cs="Calibri"/>
          <w:color w:val="000000"/>
          <w:szCs w:val="24"/>
        </w:rPr>
        <w:t>– how appropriate the process was in developing the Statement of Expectations; the extent to which Earth Resources Regulation delivered on the expected improvements and met the performance targets (including time and budget).</w:t>
      </w:r>
    </w:p>
    <w:p w14:paraId="5592A996" w14:textId="77777777" w:rsidR="00393FEA" w:rsidRDefault="00393FEA" w:rsidP="00393FEA">
      <w:pPr>
        <w:numPr>
          <w:ilvl w:val="0"/>
          <w:numId w:val="15"/>
        </w:numPr>
        <w:spacing w:before="120" w:after="120"/>
        <w:ind w:left="714" w:hanging="357"/>
        <w:rPr>
          <w:rFonts w:ascii="Calibri" w:hAnsi="Calibri" w:cs="Calibri"/>
          <w:color w:val="000000"/>
          <w:szCs w:val="24"/>
        </w:rPr>
      </w:pPr>
      <w:r w:rsidRPr="00946D9B">
        <w:rPr>
          <w:rFonts w:ascii="Calibri" w:hAnsi="Calibri" w:cs="Calibri"/>
          <w:b/>
          <w:color w:val="000000"/>
          <w:szCs w:val="24"/>
        </w:rPr>
        <w:t>Outcome</w:t>
      </w:r>
      <w:r>
        <w:rPr>
          <w:rFonts w:ascii="Calibri" w:hAnsi="Calibri" w:cs="Calibri"/>
          <w:color w:val="000000"/>
          <w:szCs w:val="24"/>
        </w:rPr>
        <w:t xml:space="preserve"> – the extent to which the Statement of Expectations improved Earth Resources Regulation’s administrative and regulatory efficiency and effectiveness.</w:t>
      </w:r>
    </w:p>
    <w:p w14:paraId="7680C5C4" w14:textId="77777777" w:rsidR="00393FEA" w:rsidRDefault="00393FEA" w:rsidP="00393FEA">
      <w:pPr>
        <w:rPr>
          <w:rFonts w:ascii="Calibri" w:hAnsi="Calibri" w:cs="Calibri"/>
          <w:color w:val="000000"/>
          <w:szCs w:val="24"/>
        </w:rPr>
      </w:pPr>
    </w:p>
    <w:p w14:paraId="452FEE15" w14:textId="77777777" w:rsidR="00393FEA" w:rsidRDefault="00393FEA" w:rsidP="00393FEA">
      <w:pPr>
        <w:rPr>
          <w:rFonts w:ascii="Calibri" w:hAnsi="Calibri" w:cs="Calibri"/>
          <w:color w:val="000000"/>
          <w:szCs w:val="24"/>
        </w:rPr>
      </w:pPr>
      <w:r>
        <w:rPr>
          <w:rFonts w:ascii="Calibri" w:hAnsi="Calibri" w:cs="Calibri"/>
          <w:color w:val="000000"/>
          <w:szCs w:val="24"/>
        </w:rPr>
        <w:t xml:space="preserve">While the Department’s policy area will lead the evaluation and produce the evaluation report, it must do so in consultation with </w:t>
      </w:r>
      <w:r w:rsidR="0007164C">
        <w:rPr>
          <w:rFonts w:ascii="Calibri" w:hAnsi="Calibri" w:cs="Calibri"/>
          <w:color w:val="000000"/>
          <w:szCs w:val="24"/>
        </w:rPr>
        <w:t>Earth Resources Regulation</w:t>
      </w:r>
      <w:r>
        <w:rPr>
          <w:rFonts w:ascii="Calibri" w:hAnsi="Calibri" w:cs="Calibri"/>
          <w:color w:val="000000"/>
          <w:szCs w:val="24"/>
        </w:rPr>
        <w:t>. Further, Earth Resources Regulation is responsible for collecting the data and information required to inform the evaluation.</w:t>
      </w:r>
    </w:p>
    <w:p w14:paraId="5ACD7B76" w14:textId="77777777" w:rsidR="00393FEA" w:rsidRDefault="00393FEA" w:rsidP="00393FEA">
      <w:pPr>
        <w:rPr>
          <w:rFonts w:ascii="Calibri" w:hAnsi="Calibri" w:cs="Calibri"/>
          <w:color w:val="000000"/>
          <w:szCs w:val="24"/>
        </w:rPr>
      </w:pPr>
    </w:p>
    <w:p w14:paraId="180643EC" w14:textId="77777777" w:rsidR="00393FEA" w:rsidRDefault="00393FEA" w:rsidP="00393FEA">
      <w:pPr>
        <w:rPr>
          <w:rFonts w:ascii="Calibri" w:hAnsi="Calibri" w:cs="Calibri"/>
          <w:color w:val="000000"/>
          <w:szCs w:val="24"/>
        </w:rPr>
      </w:pPr>
      <w:r>
        <w:rPr>
          <w:rFonts w:ascii="Calibri" w:hAnsi="Calibri" w:cs="Calibri"/>
          <w:color w:val="000000"/>
          <w:szCs w:val="24"/>
        </w:rPr>
        <w:lastRenderedPageBreak/>
        <w:t>The evaluation report must be completed by 31 December 2019 and its findings should inform the development of the Statement of Expectations</w:t>
      </w:r>
      <w:r w:rsidR="000F19ED">
        <w:rPr>
          <w:rFonts w:ascii="Calibri" w:hAnsi="Calibri" w:cs="Calibri"/>
          <w:color w:val="000000"/>
          <w:szCs w:val="24"/>
        </w:rPr>
        <w:t xml:space="preserve"> for the period from July 2020 onwards</w:t>
      </w:r>
      <w:r>
        <w:rPr>
          <w:rFonts w:ascii="Calibri" w:hAnsi="Calibri" w:cs="Calibri"/>
          <w:color w:val="000000"/>
          <w:szCs w:val="24"/>
        </w:rPr>
        <w:t>.</w:t>
      </w:r>
    </w:p>
    <w:p w14:paraId="43687759" w14:textId="77777777" w:rsidR="00393FEA" w:rsidRDefault="00393FEA" w:rsidP="00393FEA">
      <w:pPr>
        <w:rPr>
          <w:rFonts w:ascii="Calibri" w:hAnsi="Calibri" w:cs="Calibri"/>
          <w:color w:val="000000"/>
          <w:szCs w:val="24"/>
        </w:rPr>
      </w:pPr>
    </w:p>
    <w:p w14:paraId="19B7572B" w14:textId="77777777" w:rsidR="00393FEA" w:rsidRPr="009B264A" w:rsidRDefault="00393FEA" w:rsidP="00393FEA">
      <w:pPr>
        <w:rPr>
          <w:rFonts w:ascii="Calibri" w:hAnsi="Calibri" w:cs="Calibri"/>
          <w:color w:val="000000"/>
          <w:szCs w:val="24"/>
        </w:rPr>
      </w:pPr>
      <w:r>
        <w:rPr>
          <w:rFonts w:ascii="Calibri" w:hAnsi="Calibri" w:cs="Calibri"/>
          <w:color w:val="000000"/>
          <w:szCs w:val="24"/>
        </w:rPr>
        <w:t>Progress against regulator</w:t>
      </w:r>
      <w:r w:rsidRPr="009B264A">
        <w:rPr>
          <w:rFonts w:ascii="Calibri" w:hAnsi="Calibri" w:cs="Calibri"/>
          <w:color w:val="000000"/>
          <w:szCs w:val="24"/>
        </w:rPr>
        <w:t xml:space="preserve"> performance targets</w:t>
      </w:r>
      <w:r>
        <w:rPr>
          <w:rFonts w:ascii="Calibri" w:hAnsi="Calibri" w:cs="Calibri"/>
          <w:color w:val="000000"/>
          <w:szCs w:val="24"/>
        </w:rPr>
        <w:t xml:space="preserve"> (in </w:t>
      </w:r>
      <w:r w:rsidRPr="009B264A">
        <w:rPr>
          <w:rFonts w:ascii="Calibri" w:hAnsi="Calibri" w:cs="Calibri"/>
          <w:b/>
          <w:color w:val="000000"/>
          <w:szCs w:val="24"/>
        </w:rPr>
        <w:t xml:space="preserve">Table </w:t>
      </w:r>
      <w:r>
        <w:rPr>
          <w:rFonts w:ascii="Calibri" w:hAnsi="Calibri" w:cs="Calibri"/>
          <w:b/>
          <w:color w:val="000000"/>
          <w:szCs w:val="24"/>
        </w:rPr>
        <w:t>2</w:t>
      </w:r>
      <w:r w:rsidRPr="009B264A">
        <w:rPr>
          <w:rFonts w:ascii="Calibri" w:hAnsi="Calibri" w:cs="Calibri"/>
          <w:b/>
          <w:color w:val="000000"/>
          <w:szCs w:val="24"/>
        </w:rPr>
        <w:t xml:space="preserve"> </w:t>
      </w:r>
      <w:r>
        <w:rPr>
          <w:rFonts w:ascii="Calibri" w:hAnsi="Calibri" w:cs="Calibri"/>
          <w:color w:val="000000"/>
          <w:szCs w:val="24"/>
        </w:rPr>
        <w:t>above)</w:t>
      </w:r>
      <w:r w:rsidRPr="009B264A">
        <w:rPr>
          <w:rFonts w:ascii="Calibri" w:hAnsi="Calibri" w:cs="Calibri"/>
          <w:color w:val="000000"/>
          <w:szCs w:val="24"/>
        </w:rPr>
        <w:t xml:space="preserve"> </w:t>
      </w:r>
      <w:r>
        <w:rPr>
          <w:rFonts w:ascii="Calibri" w:hAnsi="Calibri" w:cs="Calibri"/>
          <w:color w:val="000000"/>
          <w:szCs w:val="24"/>
        </w:rPr>
        <w:t>must be included in annual financial reporting and the following matters must be included in standard annual reporting:</w:t>
      </w:r>
    </w:p>
    <w:p w14:paraId="2997CB30" w14:textId="77777777" w:rsidR="00393FEA" w:rsidRPr="009B264A" w:rsidRDefault="00393FEA" w:rsidP="00393FEA">
      <w:pPr>
        <w:numPr>
          <w:ilvl w:val="0"/>
          <w:numId w:val="17"/>
        </w:numPr>
        <w:rPr>
          <w:rFonts w:ascii="Calibri" w:hAnsi="Calibri" w:cs="Calibri"/>
          <w:color w:val="000000"/>
          <w:szCs w:val="24"/>
        </w:rPr>
      </w:pPr>
      <w:r w:rsidRPr="009B264A">
        <w:rPr>
          <w:rFonts w:ascii="Calibri" w:hAnsi="Calibri" w:cs="Calibri"/>
          <w:color w:val="000000"/>
          <w:szCs w:val="24"/>
        </w:rPr>
        <w:t xml:space="preserve">current baseline levels for </w:t>
      </w:r>
      <w:r>
        <w:rPr>
          <w:rFonts w:ascii="Calibri" w:hAnsi="Calibri" w:cs="Calibri"/>
          <w:color w:val="000000"/>
          <w:szCs w:val="24"/>
        </w:rPr>
        <w:t xml:space="preserve">the regulator </w:t>
      </w:r>
      <w:r w:rsidRPr="009B264A">
        <w:rPr>
          <w:rFonts w:ascii="Calibri" w:hAnsi="Calibri" w:cs="Calibri"/>
          <w:color w:val="000000"/>
          <w:szCs w:val="24"/>
        </w:rPr>
        <w:t>performance targets; and</w:t>
      </w:r>
    </w:p>
    <w:p w14:paraId="3F5ABD9D" w14:textId="77777777" w:rsidR="00393FEA" w:rsidRPr="009B264A" w:rsidRDefault="00393FEA" w:rsidP="00393FEA">
      <w:pPr>
        <w:numPr>
          <w:ilvl w:val="0"/>
          <w:numId w:val="17"/>
        </w:numPr>
        <w:rPr>
          <w:rFonts w:ascii="Calibri" w:hAnsi="Calibri" w:cs="Calibri"/>
          <w:color w:val="000000"/>
          <w:szCs w:val="24"/>
        </w:rPr>
      </w:pPr>
      <w:r w:rsidRPr="009B264A">
        <w:rPr>
          <w:rFonts w:ascii="Calibri" w:hAnsi="Calibri" w:cs="Calibri"/>
          <w:color w:val="000000"/>
          <w:szCs w:val="24"/>
        </w:rPr>
        <w:t>activities to be undertaken to reach the perfor</w:t>
      </w:r>
      <w:r w:rsidR="00EF29FF">
        <w:rPr>
          <w:rFonts w:ascii="Calibri" w:hAnsi="Calibri" w:cs="Calibri"/>
          <w:color w:val="000000"/>
          <w:szCs w:val="24"/>
        </w:rPr>
        <w:t>mance targets and improvements.</w:t>
      </w:r>
    </w:p>
    <w:p w14:paraId="17290D53" w14:textId="77777777" w:rsidR="00393FEA" w:rsidRDefault="00393FEA" w:rsidP="00393FEA">
      <w:pPr>
        <w:spacing w:after="200"/>
        <w:rPr>
          <w:rFonts w:ascii="Calibri" w:hAnsi="Calibri" w:cs="Calibri"/>
          <w:b/>
          <w:szCs w:val="24"/>
        </w:rPr>
      </w:pPr>
    </w:p>
    <w:p w14:paraId="1CF0E21A" w14:textId="77777777" w:rsidR="00393FEA" w:rsidRPr="00946D9B" w:rsidRDefault="00393FEA" w:rsidP="00393FEA">
      <w:pPr>
        <w:spacing w:after="200"/>
        <w:rPr>
          <w:rFonts w:ascii="Calibri" w:hAnsi="Calibri" w:cs="Calibri"/>
          <w:b/>
          <w:szCs w:val="24"/>
        </w:rPr>
      </w:pPr>
      <w:r w:rsidRPr="00946D9B">
        <w:rPr>
          <w:rFonts w:ascii="Calibri" w:hAnsi="Calibri" w:cs="Calibri"/>
          <w:b/>
          <w:szCs w:val="24"/>
        </w:rPr>
        <w:t>Publication</w:t>
      </w:r>
    </w:p>
    <w:p w14:paraId="601EB4B8" w14:textId="77777777" w:rsidR="00393FEA" w:rsidRDefault="00393FEA" w:rsidP="00393FEA">
      <w:pPr>
        <w:rPr>
          <w:rFonts w:ascii="Calibri" w:hAnsi="Calibri" w:cs="Calibri"/>
          <w:color w:val="000000"/>
          <w:szCs w:val="24"/>
        </w:rPr>
      </w:pPr>
      <w:r>
        <w:rPr>
          <w:rFonts w:ascii="Calibri" w:hAnsi="Calibri" w:cs="Calibri"/>
          <w:color w:val="000000"/>
          <w:szCs w:val="24"/>
        </w:rPr>
        <w:t>As soon as practicable, Earth Resources Regulation must publish all documents relating to the Statement of Expectations on its website. This includes:</w:t>
      </w:r>
    </w:p>
    <w:p w14:paraId="1507D64E" w14:textId="77777777" w:rsidR="00393FEA" w:rsidRDefault="00393FEA" w:rsidP="00393FEA">
      <w:pPr>
        <w:numPr>
          <w:ilvl w:val="0"/>
          <w:numId w:val="16"/>
        </w:numPr>
        <w:rPr>
          <w:rFonts w:ascii="Calibri" w:hAnsi="Calibri" w:cs="Calibri"/>
          <w:color w:val="000000"/>
          <w:szCs w:val="24"/>
        </w:rPr>
      </w:pPr>
      <w:r>
        <w:rPr>
          <w:rFonts w:ascii="Calibri" w:hAnsi="Calibri" w:cs="Calibri"/>
          <w:color w:val="000000"/>
          <w:szCs w:val="24"/>
        </w:rPr>
        <w:t>this Statement of Expectations;</w:t>
      </w:r>
    </w:p>
    <w:p w14:paraId="68B5318B" w14:textId="77777777" w:rsidR="00393FEA" w:rsidRDefault="00393FEA" w:rsidP="00393FEA">
      <w:pPr>
        <w:numPr>
          <w:ilvl w:val="0"/>
          <w:numId w:val="16"/>
        </w:numPr>
        <w:rPr>
          <w:rFonts w:ascii="Calibri" w:hAnsi="Calibri" w:cs="Calibri"/>
          <w:color w:val="000000"/>
          <w:szCs w:val="24"/>
        </w:rPr>
      </w:pPr>
      <w:r>
        <w:rPr>
          <w:rFonts w:ascii="Calibri" w:hAnsi="Calibri" w:cs="Calibri"/>
          <w:color w:val="000000"/>
          <w:szCs w:val="24"/>
        </w:rPr>
        <w:t>Earth Resources Regulation’s response to the</w:t>
      </w:r>
      <w:r w:rsidR="00A62BB5">
        <w:rPr>
          <w:rFonts w:ascii="Calibri" w:hAnsi="Calibri" w:cs="Calibri"/>
          <w:color w:val="000000"/>
          <w:szCs w:val="24"/>
        </w:rPr>
        <w:t xml:space="preserve"> Statement of Expectations; and</w:t>
      </w:r>
    </w:p>
    <w:p w14:paraId="0A3A9F14" w14:textId="77777777" w:rsidR="00393FEA" w:rsidRDefault="00393FEA" w:rsidP="00393FEA">
      <w:pPr>
        <w:numPr>
          <w:ilvl w:val="0"/>
          <w:numId w:val="16"/>
        </w:numPr>
        <w:rPr>
          <w:rFonts w:ascii="Calibri" w:hAnsi="Calibri" w:cs="Calibri"/>
          <w:color w:val="000000"/>
          <w:szCs w:val="24"/>
        </w:rPr>
      </w:pPr>
      <w:r>
        <w:rPr>
          <w:rFonts w:ascii="Calibri" w:hAnsi="Calibri" w:cs="Calibri"/>
          <w:color w:val="000000"/>
          <w:szCs w:val="24"/>
        </w:rPr>
        <w:t>the evaluation report.</w:t>
      </w:r>
    </w:p>
    <w:p w14:paraId="05F5863B" w14:textId="77777777" w:rsidR="00393FEA" w:rsidRDefault="00393FEA" w:rsidP="00393FEA">
      <w:pPr>
        <w:rPr>
          <w:rFonts w:ascii="Calibri" w:hAnsi="Calibri" w:cs="Calibri"/>
          <w:color w:val="000000"/>
          <w:szCs w:val="24"/>
        </w:rPr>
      </w:pPr>
    </w:p>
    <w:p w14:paraId="372B2F3F" w14:textId="77777777" w:rsidR="00393FEA" w:rsidRPr="002442AC" w:rsidRDefault="00393FEA" w:rsidP="00393FEA">
      <w:pPr>
        <w:pStyle w:val="Bullet1"/>
        <w:spacing w:after="0"/>
        <w:rPr>
          <w:color w:val="000000"/>
          <w:sz w:val="24"/>
          <w:szCs w:val="24"/>
        </w:rPr>
      </w:pPr>
      <w:r w:rsidRPr="002442AC">
        <w:rPr>
          <w:color w:val="000000"/>
          <w:sz w:val="24"/>
          <w:szCs w:val="24"/>
        </w:rPr>
        <w:t xml:space="preserve">I note that the Commissioner for Better Regulation will review the progress of the </w:t>
      </w:r>
      <w:r>
        <w:rPr>
          <w:color w:val="000000"/>
          <w:sz w:val="24"/>
          <w:szCs w:val="24"/>
        </w:rPr>
        <w:t>Plan</w:t>
      </w:r>
      <w:r w:rsidRPr="002442AC">
        <w:rPr>
          <w:color w:val="000000"/>
          <w:sz w:val="24"/>
          <w:szCs w:val="24"/>
        </w:rPr>
        <w:t xml:space="preserve"> every six months and deliver status updates to the Treasurer.</w:t>
      </w:r>
    </w:p>
    <w:p w14:paraId="0EC04501" w14:textId="77777777" w:rsidR="00393FEA" w:rsidRPr="002442AC" w:rsidRDefault="00393FEA" w:rsidP="00393FEA">
      <w:pPr>
        <w:rPr>
          <w:rFonts w:ascii="Calibri" w:hAnsi="Calibri" w:cs="Calibri"/>
          <w:sz w:val="18"/>
          <w:szCs w:val="24"/>
        </w:rPr>
      </w:pPr>
    </w:p>
    <w:p w14:paraId="0123E4ED" w14:textId="77777777" w:rsidR="00393FEA" w:rsidRDefault="00393FEA" w:rsidP="00393FEA">
      <w:pPr>
        <w:rPr>
          <w:rFonts w:ascii="Calibri" w:hAnsi="Calibri" w:cs="Calibri"/>
          <w:szCs w:val="24"/>
        </w:rPr>
      </w:pPr>
      <w:r w:rsidRPr="002442AC">
        <w:rPr>
          <w:rFonts w:ascii="Calibri" w:hAnsi="Calibri" w:cs="Calibri"/>
          <w:szCs w:val="24"/>
        </w:rPr>
        <w:t>I look forward to seeing Earth Resources Regulation continuously working towards achieving best practice in the administration and enforcement of regulation.</w:t>
      </w:r>
    </w:p>
    <w:p w14:paraId="5911F5FE" w14:textId="77777777" w:rsidR="00393FEA" w:rsidRDefault="00393FEA" w:rsidP="00393FEA">
      <w:pPr>
        <w:rPr>
          <w:rFonts w:ascii="Calibri" w:hAnsi="Calibri" w:cs="Calibri"/>
          <w:szCs w:val="24"/>
        </w:rPr>
      </w:pPr>
    </w:p>
    <w:p w14:paraId="2116FD53" w14:textId="77777777" w:rsidR="00393FEA" w:rsidRPr="002442AC" w:rsidRDefault="00393FEA" w:rsidP="00393FEA">
      <w:pPr>
        <w:rPr>
          <w:rFonts w:ascii="Calibri" w:hAnsi="Calibri" w:cs="Calibri"/>
          <w:szCs w:val="24"/>
        </w:rPr>
      </w:pPr>
      <w:r w:rsidRPr="002442AC">
        <w:rPr>
          <w:rFonts w:ascii="Calibri" w:hAnsi="Calibri" w:cs="Calibri"/>
          <w:szCs w:val="24"/>
        </w:rPr>
        <w:t>Yours sincerely</w:t>
      </w:r>
    </w:p>
    <w:p w14:paraId="0A011540" w14:textId="77777777" w:rsidR="00393FEA" w:rsidRPr="000A1932" w:rsidRDefault="00393FEA" w:rsidP="00393FEA">
      <w:pPr>
        <w:rPr>
          <w:rFonts w:ascii="Calibri" w:hAnsi="Calibri" w:cs="Calibri"/>
          <w:szCs w:val="24"/>
        </w:rPr>
      </w:pPr>
    </w:p>
    <w:p w14:paraId="6698DF49" w14:textId="77777777" w:rsidR="00393FEA" w:rsidRPr="000A1932" w:rsidRDefault="00393FEA" w:rsidP="00393FEA">
      <w:pPr>
        <w:rPr>
          <w:rFonts w:ascii="Calibri" w:hAnsi="Calibri" w:cs="Calibri"/>
          <w:szCs w:val="24"/>
        </w:rPr>
      </w:pPr>
    </w:p>
    <w:p w14:paraId="11BAE5B7" w14:textId="77777777" w:rsidR="00393FEA" w:rsidRPr="000A1932" w:rsidRDefault="00393FEA" w:rsidP="00393FEA">
      <w:pPr>
        <w:rPr>
          <w:rFonts w:ascii="Calibri" w:hAnsi="Calibri" w:cs="Calibri"/>
          <w:szCs w:val="24"/>
        </w:rPr>
      </w:pPr>
    </w:p>
    <w:p w14:paraId="4A0B4A10" w14:textId="77777777" w:rsidR="00393FEA" w:rsidRPr="000A1932" w:rsidRDefault="00393FEA" w:rsidP="00612CE8">
      <w:pPr>
        <w:jc w:val="center"/>
        <w:rPr>
          <w:rFonts w:ascii="Calibri" w:hAnsi="Calibri" w:cs="Calibri"/>
          <w:szCs w:val="24"/>
        </w:rPr>
      </w:pPr>
    </w:p>
    <w:p w14:paraId="2E252493" w14:textId="77777777" w:rsidR="00393FEA" w:rsidRPr="000A1932" w:rsidRDefault="00393FEA" w:rsidP="00393FEA">
      <w:pPr>
        <w:rPr>
          <w:rFonts w:ascii="Calibri" w:hAnsi="Calibri" w:cs="Calibri"/>
          <w:b/>
          <w:bCs/>
          <w:color w:val="000000"/>
          <w:szCs w:val="24"/>
          <w:lang w:eastAsia="en-AU"/>
        </w:rPr>
      </w:pPr>
      <w:r>
        <w:rPr>
          <w:rFonts w:ascii="Calibri" w:hAnsi="Calibri" w:cs="Calibri"/>
          <w:b/>
          <w:szCs w:val="24"/>
        </w:rPr>
        <w:t>TIM PALLAS MP</w:t>
      </w:r>
    </w:p>
    <w:p w14:paraId="61F8F04B" w14:textId="77777777" w:rsidR="00393FEA" w:rsidRDefault="00393FEA" w:rsidP="00393FEA">
      <w:pPr>
        <w:rPr>
          <w:rFonts w:ascii="Calibri" w:hAnsi="Calibri" w:cs="Calibri"/>
          <w:szCs w:val="24"/>
        </w:rPr>
      </w:pPr>
      <w:r>
        <w:rPr>
          <w:rFonts w:ascii="Calibri" w:hAnsi="Calibri" w:cs="Calibri"/>
          <w:szCs w:val="24"/>
        </w:rPr>
        <w:t>Minister for Resources</w:t>
      </w:r>
    </w:p>
    <w:p w14:paraId="262765BC" w14:textId="77777777" w:rsidR="00393FEA" w:rsidRPr="000A1932" w:rsidRDefault="00393FEA" w:rsidP="00393FEA">
      <w:pPr>
        <w:rPr>
          <w:rFonts w:ascii="Calibri" w:hAnsi="Calibri" w:cs="Calibri"/>
          <w:bCs/>
          <w:color w:val="000000"/>
          <w:szCs w:val="24"/>
          <w:lang w:eastAsia="en-AU"/>
        </w:rPr>
      </w:pPr>
      <w:r>
        <w:rPr>
          <w:rFonts w:ascii="Calibri" w:hAnsi="Calibri" w:cs="Calibri"/>
          <w:szCs w:val="24"/>
        </w:rPr>
        <w:t>Treasurer</w:t>
      </w:r>
    </w:p>
    <w:p w14:paraId="507693C5" w14:textId="77777777" w:rsidR="00A9194C" w:rsidRPr="000A1932" w:rsidRDefault="00A9194C" w:rsidP="003B120F">
      <w:pPr>
        <w:tabs>
          <w:tab w:val="left" w:pos="6804"/>
        </w:tabs>
        <w:rPr>
          <w:rFonts w:ascii="Calibri" w:hAnsi="Calibri" w:cs="Calibri"/>
          <w:bCs/>
          <w:color w:val="000000"/>
          <w:szCs w:val="24"/>
          <w:lang w:eastAsia="en-AU"/>
        </w:rPr>
      </w:pPr>
    </w:p>
    <w:sectPr w:rsidR="00A9194C" w:rsidRPr="000A1932" w:rsidSect="009D5AFA">
      <w:headerReference w:type="default" r:id="rId9"/>
      <w:footerReference w:type="default" r:id="rId10"/>
      <w:type w:val="continuous"/>
      <w:pgSz w:w="11907" w:h="16840" w:code="9"/>
      <w:pgMar w:top="1843" w:right="1412" w:bottom="1140" w:left="1701" w:header="567" w:footer="1303"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E20F" w14:textId="77777777" w:rsidR="0077723B" w:rsidRDefault="0077723B">
      <w:r>
        <w:separator/>
      </w:r>
    </w:p>
  </w:endnote>
  <w:endnote w:type="continuationSeparator" w:id="0">
    <w:p w14:paraId="6962D648" w14:textId="77777777" w:rsidR="0077723B" w:rsidRDefault="0077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D98B" w14:textId="77777777" w:rsidR="005025BB" w:rsidRDefault="00DB1215">
    <w:pPr>
      <w:pStyle w:val="Footer"/>
    </w:pPr>
    <w:r>
      <w:rPr>
        <w:noProof/>
      </w:rPr>
      <w:pict w14:anchorId="06ECF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style="position:absolute;margin-left:-1.8pt;margin-top:764.9pt;width:595.25pt;height:79.35pt;z-index:-251658752;visibility:visible;mso-position-horizontal-relative:page;mso-position-vertical-relative:page;mso-width-relative:margin;mso-height-relative:margin" o:allowincell="f">
          <v:imagedata r:id="rId1" o:title="" croptop="-656f" cropbottom="638f" cropleft="-1f" cropright="-4f"/>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1311" w14:textId="77777777" w:rsidR="00AF5029" w:rsidRDefault="00AF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4886" w14:textId="77777777" w:rsidR="0077723B" w:rsidRDefault="0077723B">
      <w:r>
        <w:separator/>
      </w:r>
    </w:p>
  </w:footnote>
  <w:footnote w:type="continuationSeparator" w:id="0">
    <w:p w14:paraId="2CFA8C54" w14:textId="77777777" w:rsidR="0077723B" w:rsidRDefault="0077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DAD" w14:textId="77777777" w:rsidR="005025BB" w:rsidRDefault="00DB1215">
    <w:pPr>
      <w:pStyle w:val="Header"/>
    </w:pPr>
    <w:r>
      <w:rPr>
        <w:noProof/>
      </w:rPr>
      <w:pict w14:anchorId="496A1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6" type="#_x0000_t75" style="position:absolute;margin-left:-.5pt;margin-top:0;width:595.3pt;height:176.05pt;z-index:-251657728;visibility:visible;mso-position-horizontal-relative:page;mso-position-vertical-relative:page;mso-width-relative:margin;mso-height-relative:margin" o:allowincell="f">
          <v:imagedata r:id="rId1" o:title=""/>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3D6D" w14:textId="77777777" w:rsidR="005025BB" w:rsidRDefault="0050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2E2"/>
    <w:multiLevelType w:val="hybridMultilevel"/>
    <w:tmpl w:val="99F83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670498"/>
    <w:multiLevelType w:val="hybridMultilevel"/>
    <w:tmpl w:val="982C351E"/>
    <w:lvl w:ilvl="0" w:tplc="EE4094A6">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301B6E"/>
    <w:multiLevelType w:val="hybridMultilevel"/>
    <w:tmpl w:val="05304A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101077"/>
    <w:multiLevelType w:val="singleLevel"/>
    <w:tmpl w:val="D5E8A006"/>
    <w:lvl w:ilvl="0">
      <w:start w:val="1"/>
      <w:numFmt w:val="decimal"/>
      <w:pStyle w:val="ListNumber"/>
      <w:lvlText w:val="%1."/>
      <w:lvlJc w:val="left"/>
      <w:pPr>
        <w:tabs>
          <w:tab w:val="num" w:pos="720"/>
        </w:tabs>
        <w:ind w:left="720" w:hanging="720"/>
      </w:pPr>
    </w:lvl>
  </w:abstractNum>
  <w:abstractNum w:abstractNumId="4" w15:restartNumberingAfterBreak="0">
    <w:nsid w:val="1447252C"/>
    <w:multiLevelType w:val="hybridMultilevel"/>
    <w:tmpl w:val="BA6C4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300F17"/>
    <w:multiLevelType w:val="hybridMultilevel"/>
    <w:tmpl w:val="295A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2DF5"/>
    <w:multiLevelType w:val="multilevel"/>
    <w:tmpl w:val="E78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111B"/>
    <w:multiLevelType w:val="hybridMultilevel"/>
    <w:tmpl w:val="EFF6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B0573"/>
    <w:multiLevelType w:val="hybridMultilevel"/>
    <w:tmpl w:val="76063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101C48"/>
    <w:multiLevelType w:val="hybridMultilevel"/>
    <w:tmpl w:val="4CCE0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FE6994"/>
    <w:multiLevelType w:val="hybridMultilevel"/>
    <w:tmpl w:val="34BA3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8624A2"/>
    <w:multiLevelType w:val="hybridMultilevel"/>
    <w:tmpl w:val="3D52C856"/>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240"/>
        </w:tabs>
        <w:ind w:left="3240" w:hanging="360"/>
      </w:pPr>
      <w:rPr>
        <w:rFonts w:ascii="Symbol" w:hAnsi="Symbol" w:hint="default"/>
      </w:rPr>
    </w:lvl>
    <w:lvl w:ilvl="2" w:tplc="0C09001B">
      <w:start w:val="1"/>
      <w:numFmt w:val="lowerRoman"/>
      <w:lvlText w:val="%3."/>
      <w:lvlJc w:val="right"/>
      <w:pPr>
        <w:tabs>
          <w:tab w:val="num" w:pos="3960"/>
        </w:tabs>
        <w:ind w:left="3960" w:hanging="180"/>
      </w:pPr>
    </w:lvl>
    <w:lvl w:ilvl="3" w:tplc="0C09000F">
      <w:start w:val="1"/>
      <w:numFmt w:val="decimal"/>
      <w:lvlText w:val="%4."/>
      <w:lvlJc w:val="left"/>
      <w:pPr>
        <w:tabs>
          <w:tab w:val="num" w:pos="4680"/>
        </w:tabs>
        <w:ind w:left="4680" w:hanging="360"/>
      </w:pPr>
    </w:lvl>
    <w:lvl w:ilvl="4" w:tplc="0C090019">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2" w15:restartNumberingAfterBreak="0">
    <w:nsid w:val="49E40211"/>
    <w:multiLevelType w:val="hybridMultilevel"/>
    <w:tmpl w:val="D5F4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6A0306"/>
    <w:multiLevelType w:val="hybridMultilevel"/>
    <w:tmpl w:val="81C28E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3FF24E9"/>
    <w:multiLevelType w:val="hybridMultilevel"/>
    <w:tmpl w:val="6914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4D0840"/>
    <w:multiLevelType w:val="multilevel"/>
    <w:tmpl w:val="E7844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1A54D8D"/>
    <w:multiLevelType w:val="hybridMultilevel"/>
    <w:tmpl w:val="BD0AA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5A66AF"/>
    <w:multiLevelType w:val="hybridMultilevel"/>
    <w:tmpl w:val="39E0A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460E47"/>
    <w:multiLevelType w:val="multilevel"/>
    <w:tmpl w:val="9F842354"/>
    <w:lvl w:ilvl="0">
      <w:start w:val="1"/>
      <w:numFmt w:val="decimal"/>
      <w:lvlText w:val="%1."/>
      <w:lvlJc w:val="left"/>
      <w:pPr>
        <w:tabs>
          <w:tab w:val="num" w:pos="360"/>
        </w:tabs>
        <w:ind w:left="360" w:hanging="360"/>
      </w:pPr>
      <w:rPr>
        <w:rFont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DAF0411"/>
    <w:multiLevelType w:val="hybridMultilevel"/>
    <w:tmpl w:val="6F0A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3"/>
  </w:num>
  <w:num w:numId="5">
    <w:abstractNumId w:val="2"/>
  </w:num>
  <w:num w:numId="6">
    <w:abstractNumId w:val="12"/>
  </w:num>
  <w:num w:numId="7">
    <w:abstractNumId w:val="15"/>
  </w:num>
  <w:num w:numId="8">
    <w:abstractNumId w:val="18"/>
  </w:num>
  <w:num w:numId="9">
    <w:abstractNumId w:val="4"/>
  </w:num>
  <w:num w:numId="10">
    <w:abstractNumId w:val="9"/>
  </w:num>
  <w:num w:numId="11">
    <w:abstractNumId w:val="17"/>
  </w:num>
  <w:num w:numId="12">
    <w:abstractNumId w:val="10"/>
  </w:num>
  <w:num w:numId="13">
    <w:abstractNumId w:val="6"/>
  </w:num>
  <w:num w:numId="14">
    <w:abstractNumId w:val="19"/>
  </w:num>
  <w:num w:numId="15">
    <w:abstractNumId w:val="5"/>
  </w:num>
  <w:num w:numId="16">
    <w:abstractNumId w:val="14"/>
  </w:num>
  <w:num w:numId="17">
    <w:abstractNumId w:val="7"/>
  </w:num>
  <w:num w:numId="18">
    <w:abstractNumId w:val="8"/>
  </w:num>
  <w:num w:numId="19">
    <w:abstractNumId w:val="0"/>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C26"/>
    <w:rsid w:val="00001FFF"/>
    <w:rsid w:val="00006D5F"/>
    <w:rsid w:val="00010B4D"/>
    <w:rsid w:val="00011977"/>
    <w:rsid w:val="0001234C"/>
    <w:rsid w:val="00015273"/>
    <w:rsid w:val="00017D24"/>
    <w:rsid w:val="00024BE3"/>
    <w:rsid w:val="000254CA"/>
    <w:rsid w:val="00031C97"/>
    <w:rsid w:val="00045E76"/>
    <w:rsid w:val="00053636"/>
    <w:rsid w:val="000709D8"/>
    <w:rsid w:val="00070B0A"/>
    <w:rsid w:val="0007164C"/>
    <w:rsid w:val="00086B89"/>
    <w:rsid w:val="00097974"/>
    <w:rsid w:val="000A1932"/>
    <w:rsid w:val="000A22A1"/>
    <w:rsid w:val="000A3B4F"/>
    <w:rsid w:val="000A3DF4"/>
    <w:rsid w:val="000A4181"/>
    <w:rsid w:val="000C1A2F"/>
    <w:rsid w:val="000D63CD"/>
    <w:rsid w:val="000F19ED"/>
    <w:rsid w:val="00117B38"/>
    <w:rsid w:val="00135747"/>
    <w:rsid w:val="00137CC8"/>
    <w:rsid w:val="00152160"/>
    <w:rsid w:val="001801C1"/>
    <w:rsid w:val="00180A1C"/>
    <w:rsid w:val="0018188E"/>
    <w:rsid w:val="001919D7"/>
    <w:rsid w:val="00193C95"/>
    <w:rsid w:val="00195CA7"/>
    <w:rsid w:val="001A0013"/>
    <w:rsid w:val="001B4042"/>
    <w:rsid w:val="001C6E02"/>
    <w:rsid w:val="001D4154"/>
    <w:rsid w:val="001D73EA"/>
    <w:rsid w:val="001F12E2"/>
    <w:rsid w:val="00204F08"/>
    <w:rsid w:val="00211961"/>
    <w:rsid w:val="002160A3"/>
    <w:rsid w:val="00224457"/>
    <w:rsid w:val="002335CB"/>
    <w:rsid w:val="00233AE2"/>
    <w:rsid w:val="00240124"/>
    <w:rsid w:val="002442AC"/>
    <w:rsid w:val="00247310"/>
    <w:rsid w:val="00251246"/>
    <w:rsid w:val="002569CE"/>
    <w:rsid w:val="00261140"/>
    <w:rsid w:val="002765FE"/>
    <w:rsid w:val="00282173"/>
    <w:rsid w:val="00283A0D"/>
    <w:rsid w:val="00287BBE"/>
    <w:rsid w:val="002A7C11"/>
    <w:rsid w:val="002C0F9A"/>
    <w:rsid w:val="002D4B30"/>
    <w:rsid w:val="002E626F"/>
    <w:rsid w:val="00305BE0"/>
    <w:rsid w:val="00322CDB"/>
    <w:rsid w:val="00327267"/>
    <w:rsid w:val="00337E86"/>
    <w:rsid w:val="00367D29"/>
    <w:rsid w:val="003735C4"/>
    <w:rsid w:val="0038759D"/>
    <w:rsid w:val="00393FEA"/>
    <w:rsid w:val="003A268D"/>
    <w:rsid w:val="003A75D5"/>
    <w:rsid w:val="003B0FCE"/>
    <w:rsid w:val="003B120F"/>
    <w:rsid w:val="003B1357"/>
    <w:rsid w:val="003B32F3"/>
    <w:rsid w:val="003B7342"/>
    <w:rsid w:val="003E2FC9"/>
    <w:rsid w:val="003F31E7"/>
    <w:rsid w:val="003F5C6D"/>
    <w:rsid w:val="00405928"/>
    <w:rsid w:val="00415D6D"/>
    <w:rsid w:val="004255EF"/>
    <w:rsid w:val="004318EA"/>
    <w:rsid w:val="00440FE8"/>
    <w:rsid w:val="00442BE2"/>
    <w:rsid w:val="004443AA"/>
    <w:rsid w:val="004554A6"/>
    <w:rsid w:val="00457406"/>
    <w:rsid w:val="004755B9"/>
    <w:rsid w:val="004768DF"/>
    <w:rsid w:val="00481187"/>
    <w:rsid w:val="004A2DF8"/>
    <w:rsid w:val="004A3859"/>
    <w:rsid w:val="004C08E4"/>
    <w:rsid w:val="004C6AB3"/>
    <w:rsid w:val="004D4758"/>
    <w:rsid w:val="004D529B"/>
    <w:rsid w:val="005025BB"/>
    <w:rsid w:val="00502C56"/>
    <w:rsid w:val="00513C8B"/>
    <w:rsid w:val="005146D9"/>
    <w:rsid w:val="0051718C"/>
    <w:rsid w:val="00544247"/>
    <w:rsid w:val="0056090B"/>
    <w:rsid w:val="00587CBB"/>
    <w:rsid w:val="00597D33"/>
    <w:rsid w:val="005A1091"/>
    <w:rsid w:val="005A16F8"/>
    <w:rsid w:val="005B1552"/>
    <w:rsid w:val="005B356D"/>
    <w:rsid w:val="005C10DB"/>
    <w:rsid w:val="005C1D97"/>
    <w:rsid w:val="005C4F2C"/>
    <w:rsid w:val="005C6084"/>
    <w:rsid w:val="005C70B5"/>
    <w:rsid w:val="005C70C4"/>
    <w:rsid w:val="005D1FEF"/>
    <w:rsid w:val="005E2320"/>
    <w:rsid w:val="0060786C"/>
    <w:rsid w:val="00612CE8"/>
    <w:rsid w:val="00613A6F"/>
    <w:rsid w:val="00645B60"/>
    <w:rsid w:val="006466D9"/>
    <w:rsid w:val="0066158E"/>
    <w:rsid w:val="00663014"/>
    <w:rsid w:val="00663DBA"/>
    <w:rsid w:val="00670C81"/>
    <w:rsid w:val="006758CA"/>
    <w:rsid w:val="00675B28"/>
    <w:rsid w:val="00675D44"/>
    <w:rsid w:val="00693E70"/>
    <w:rsid w:val="006A2CFD"/>
    <w:rsid w:val="006A4521"/>
    <w:rsid w:val="006D3057"/>
    <w:rsid w:val="006E09F6"/>
    <w:rsid w:val="006E2219"/>
    <w:rsid w:val="006E2C55"/>
    <w:rsid w:val="006F5590"/>
    <w:rsid w:val="006F65AD"/>
    <w:rsid w:val="007023F6"/>
    <w:rsid w:val="0071193E"/>
    <w:rsid w:val="00723A9D"/>
    <w:rsid w:val="00727316"/>
    <w:rsid w:val="0074734C"/>
    <w:rsid w:val="00755BE3"/>
    <w:rsid w:val="00760B1C"/>
    <w:rsid w:val="00766D50"/>
    <w:rsid w:val="00766E25"/>
    <w:rsid w:val="00773FC0"/>
    <w:rsid w:val="00774267"/>
    <w:rsid w:val="0077723B"/>
    <w:rsid w:val="007877DD"/>
    <w:rsid w:val="00793403"/>
    <w:rsid w:val="007A50E2"/>
    <w:rsid w:val="007A6B89"/>
    <w:rsid w:val="007B7B76"/>
    <w:rsid w:val="007C3F0F"/>
    <w:rsid w:val="007D23BA"/>
    <w:rsid w:val="008326CA"/>
    <w:rsid w:val="00857290"/>
    <w:rsid w:val="008628DE"/>
    <w:rsid w:val="00874082"/>
    <w:rsid w:val="0088224A"/>
    <w:rsid w:val="00882E27"/>
    <w:rsid w:val="0089548F"/>
    <w:rsid w:val="008A6AD5"/>
    <w:rsid w:val="008B2A21"/>
    <w:rsid w:val="008D4353"/>
    <w:rsid w:val="008D7BE4"/>
    <w:rsid w:val="008E7353"/>
    <w:rsid w:val="008F4EB6"/>
    <w:rsid w:val="00915FBF"/>
    <w:rsid w:val="009205B2"/>
    <w:rsid w:val="009402C2"/>
    <w:rsid w:val="00946D9B"/>
    <w:rsid w:val="00956DB4"/>
    <w:rsid w:val="0097217B"/>
    <w:rsid w:val="00974F9E"/>
    <w:rsid w:val="00994079"/>
    <w:rsid w:val="009A46A5"/>
    <w:rsid w:val="009A53D1"/>
    <w:rsid w:val="009B3243"/>
    <w:rsid w:val="009B6529"/>
    <w:rsid w:val="009B6D53"/>
    <w:rsid w:val="009C02EC"/>
    <w:rsid w:val="009C0F83"/>
    <w:rsid w:val="009D5AFA"/>
    <w:rsid w:val="009F0F39"/>
    <w:rsid w:val="009F27DE"/>
    <w:rsid w:val="009F2D09"/>
    <w:rsid w:val="009F2FC1"/>
    <w:rsid w:val="00A17DB7"/>
    <w:rsid w:val="00A22949"/>
    <w:rsid w:val="00A31687"/>
    <w:rsid w:val="00A32ABA"/>
    <w:rsid w:val="00A45420"/>
    <w:rsid w:val="00A52C26"/>
    <w:rsid w:val="00A53508"/>
    <w:rsid w:val="00A62BB5"/>
    <w:rsid w:val="00A71224"/>
    <w:rsid w:val="00A85598"/>
    <w:rsid w:val="00A9194C"/>
    <w:rsid w:val="00AA3547"/>
    <w:rsid w:val="00AA4618"/>
    <w:rsid w:val="00AB00A9"/>
    <w:rsid w:val="00AE354F"/>
    <w:rsid w:val="00AE37AE"/>
    <w:rsid w:val="00AE4817"/>
    <w:rsid w:val="00AF059F"/>
    <w:rsid w:val="00AF3BAB"/>
    <w:rsid w:val="00AF5029"/>
    <w:rsid w:val="00AF6E93"/>
    <w:rsid w:val="00B064A3"/>
    <w:rsid w:val="00B112FD"/>
    <w:rsid w:val="00B1200A"/>
    <w:rsid w:val="00B14FC7"/>
    <w:rsid w:val="00B3353A"/>
    <w:rsid w:val="00B3791C"/>
    <w:rsid w:val="00B40B41"/>
    <w:rsid w:val="00B42F18"/>
    <w:rsid w:val="00B67FA6"/>
    <w:rsid w:val="00B779DC"/>
    <w:rsid w:val="00B94694"/>
    <w:rsid w:val="00BA256F"/>
    <w:rsid w:val="00BA6312"/>
    <w:rsid w:val="00BC116A"/>
    <w:rsid w:val="00BD12CC"/>
    <w:rsid w:val="00BE6AA7"/>
    <w:rsid w:val="00C04DF2"/>
    <w:rsid w:val="00C10D3C"/>
    <w:rsid w:val="00C150A8"/>
    <w:rsid w:val="00C16913"/>
    <w:rsid w:val="00C252A4"/>
    <w:rsid w:val="00C27CCC"/>
    <w:rsid w:val="00C40527"/>
    <w:rsid w:val="00C4552A"/>
    <w:rsid w:val="00C83A30"/>
    <w:rsid w:val="00C96CE8"/>
    <w:rsid w:val="00CA5993"/>
    <w:rsid w:val="00CA6FD0"/>
    <w:rsid w:val="00CD0029"/>
    <w:rsid w:val="00CD02A7"/>
    <w:rsid w:val="00CE2363"/>
    <w:rsid w:val="00CF77E9"/>
    <w:rsid w:val="00D0641F"/>
    <w:rsid w:val="00D11C0B"/>
    <w:rsid w:val="00D16EA6"/>
    <w:rsid w:val="00D17D54"/>
    <w:rsid w:val="00D558B5"/>
    <w:rsid w:val="00D8157C"/>
    <w:rsid w:val="00D96B80"/>
    <w:rsid w:val="00DA4721"/>
    <w:rsid w:val="00DA67E4"/>
    <w:rsid w:val="00DB1215"/>
    <w:rsid w:val="00DE6D28"/>
    <w:rsid w:val="00E00FED"/>
    <w:rsid w:val="00E05B52"/>
    <w:rsid w:val="00E070C9"/>
    <w:rsid w:val="00E23E3A"/>
    <w:rsid w:val="00E37982"/>
    <w:rsid w:val="00E43904"/>
    <w:rsid w:val="00E518BB"/>
    <w:rsid w:val="00E532A5"/>
    <w:rsid w:val="00E62307"/>
    <w:rsid w:val="00E77DBA"/>
    <w:rsid w:val="00E83500"/>
    <w:rsid w:val="00E85EF7"/>
    <w:rsid w:val="00EC2623"/>
    <w:rsid w:val="00EC5EB8"/>
    <w:rsid w:val="00ED3543"/>
    <w:rsid w:val="00EE32F3"/>
    <w:rsid w:val="00EF2594"/>
    <w:rsid w:val="00EF29FF"/>
    <w:rsid w:val="00F251A3"/>
    <w:rsid w:val="00F342B9"/>
    <w:rsid w:val="00F50D49"/>
    <w:rsid w:val="00F57D49"/>
    <w:rsid w:val="00F6045A"/>
    <w:rsid w:val="00F94EA8"/>
    <w:rsid w:val="00FA5DB0"/>
    <w:rsid w:val="00FC3612"/>
    <w:rsid w:val="00FC3AD7"/>
    <w:rsid w:val="00FD4646"/>
    <w:rsid w:val="00FE2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4C43637"/>
  <w15:chartTrackingRefBased/>
  <w15:docId w15:val="{D45927C2-8B1C-4868-A3C7-905A909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outlineLvl w:val="2"/>
    </w:pPr>
    <w:rPr>
      <w:color w:val="C0C0C0"/>
      <w:sz w:val="72"/>
    </w:rPr>
  </w:style>
  <w:style w:type="paragraph" w:styleId="Heading4">
    <w:name w:val="heading 4"/>
    <w:basedOn w:val="Normal"/>
    <w:next w:val="Normal"/>
    <w:qFormat/>
    <w:pPr>
      <w:keepNext/>
      <w:jc w:val="center"/>
      <w:outlineLvl w:val="3"/>
    </w:pPr>
    <w:rPr>
      <w:color w:val="C0C0C0"/>
      <w:sz w:val="96"/>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jc w:val="both"/>
    </w:pPr>
    <w:rPr>
      <w:rFonts w:ascii="Arial" w:hAnsi="Arial"/>
      <w:b/>
      <w:sz w:val="22"/>
    </w:rPr>
  </w:style>
  <w:style w:type="paragraph" w:customStyle="1" w:styleId="Suburb">
    <w:name w:val="Suburb"/>
    <w:basedOn w:val="Normal"/>
    <w:pPr>
      <w:jc w:val="both"/>
    </w:pPr>
    <w:rPr>
      <w:rFonts w:ascii="Arial" w:hAnsi="Arial"/>
      <w:b/>
      <w:caps/>
      <w:sz w:val="22"/>
    </w:rPr>
  </w:style>
  <w:style w:type="paragraph" w:styleId="BalloonText">
    <w:name w:val="Balloon Text"/>
    <w:basedOn w:val="Normal"/>
    <w:semiHidden/>
    <w:rsid w:val="006D3057"/>
    <w:rPr>
      <w:rFonts w:ascii="Tahoma" w:hAnsi="Tahoma" w:cs="Tahoma"/>
      <w:sz w:val="16"/>
      <w:szCs w:val="16"/>
    </w:rPr>
  </w:style>
  <w:style w:type="table" w:styleId="TableGrid">
    <w:name w:val="Table Grid"/>
    <w:basedOn w:val="TableNormal"/>
    <w:uiPriority w:val="59"/>
    <w:rsid w:val="00956DB4"/>
    <w:tblPr/>
  </w:style>
  <w:style w:type="paragraph" w:styleId="ListNumber">
    <w:name w:val="List Number"/>
    <w:basedOn w:val="Normal"/>
    <w:rsid w:val="00956DB4"/>
    <w:pPr>
      <w:keepLines/>
      <w:numPr>
        <w:numId w:val="3"/>
      </w:numPr>
      <w:spacing w:before="60" w:after="60"/>
      <w:jc w:val="both"/>
    </w:pPr>
    <w:rPr>
      <w:kern w:val="18"/>
      <w:lang w:eastAsia="en-AU"/>
    </w:rPr>
  </w:style>
  <w:style w:type="character" w:customStyle="1" w:styleId="HeaderChar">
    <w:name w:val="Header Char"/>
    <w:link w:val="Header"/>
    <w:uiPriority w:val="99"/>
    <w:rsid w:val="005025BB"/>
    <w:rPr>
      <w:sz w:val="24"/>
      <w:lang w:eastAsia="en-US"/>
    </w:rPr>
  </w:style>
  <w:style w:type="character" w:customStyle="1" w:styleId="FooterChar">
    <w:name w:val="Footer Char"/>
    <w:link w:val="Footer"/>
    <w:uiPriority w:val="99"/>
    <w:rsid w:val="005025BB"/>
    <w:rPr>
      <w:lang w:eastAsia="en-US"/>
    </w:rPr>
  </w:style>
  <w:style w:type="paragraph" w:customStyle="1" w:styleId="Bullet1">
    <w:name w:val="Bullet 1"/>
    <w:basedOn w:val="Normal"/>
    <w:uiPriority w:val="11"/>
    <w:qFormat/>
    <w:rsid w:val="002442AC"/>
    <w:pPr>
      <w:spacing w:before="80" w:after="80"/>
    </w:pPr>
    <w:rPr>
      <w:rFonts w:ascii="Calibri" w:hAnsi="Calibri" w:cs="Calibri"/>
      <w:sz w:val="22"/>
      <w:szCs w:val="22"/>
      <w:lang w:eastAsia="en-AU"/>
    </w:rPr>
  </w:style>
  <w:style w:type="paragraph" w:styleId="ListParagraph">
    <w:name w:val="List Paragraph"/>
    <w:basedOn w:val="Normal"/>
    <w:uiPriority w:val="34"/>
    <w:qFormat/>
    <w:rsid w:val="002442AC"/>
    <w:pPr>
      <w:spacing w:after="200" w:line="276" w:lineRule="auto"/>
      <w:ind w:left="720"/>
      <w:contextualSpacing/>
    </w:pPr>
    <w:rPr>
      <w:rFonts w:ascii="Calibri" w:eastAsia="Calibri" w:hAnsi="Calibri"/>
      <w:sz w:val="22"/>
      <w:szCs w:val="22"/>
    </w:rPr>
  </w:style>
  <w:style w:type="paragraph" w:customStyle="1" w:styleId="Boxcolourtext">
    <w:name w:val="Box (colour) text"/>
    <w:basedOn w:val="Normal"/>
    <w:qFormat/>
    <w:rsid w:val="008326CA"/>
    <w:pPr>
      <w:spacing w:before="160" w:after="80" w:line="252" w:lineRule="auto"/>
    </w:pPr>
    <w:rPr>
      <w:rFonts w:ascii="Calibri" w:hAnsi="Calibri"/>
      <w:color w:val="FFFFFF"/>
      <w:sz w:val="22"/>
      <w:lang w:eastAsia="en-AU"/>
    </w:rPr>
  </w:style>
  <w:style w:type="character" w:styleId="CommentReference">
    <w:name w:val="annotation reference"/>
    <w:uiPriority w:val="99"/>
    <w:semiHidden/>
    <w:unhideWhenUsed/>
    <w:rsid w:val="00645B60"/>
    <w:rPr>
      <w:sz w:val="16"/>
      <w:szCs w:val="16"/>
    </w:rPr>
  </w:style>
  <w:style w:type="paragraph" w:styleId="CommentText">
    <w:name w:val="annotation text"/>
    <w:basedOn w:val="Normal"/>
    <w:link w:val="CommentTextChar"/>
    <w:uiPriority w:val="99"/>
    <w:semiHidden/>
    <w:unhideWhenUsed/>
    <w:rsid w:val="00645B60"/>
    <w:rPr>
      <w:sz w:val="20"/>
    </w:rPr>
  </w:style>
  <w:style w:type="character" w:customStyle="1" w:styleId="CommentTextChar">
    <w:name w:val="Comment Text Char"/>
    <w:link w:val="CommentText"/>
    <w:uiPriority w:val="99"/>
    <w:semiHidden/>
    <w:rsid w:val="00645B60"/>
    <w:rPr>
      <w:lang w:eastAsia="en-US"/>
    </w:rPr>
  </w:style>
  <w:style w:type="paragraph" w:styleId="CommentSubject">
    <w:name w:val="annotation subject"/>
    <w:basedOn w:val="CommentText"/>
    <w:next w:val="CommentText"/>
    <w:link w:val="CommentSubjectChar"/>
    <w:uiPriority w:val="99"/>
    <w:semiHidden/>
    <w:unhideWhenUsed/>
    <w:rsid w:val="00645B60"/>
    <w:rPr>
      <w:b/>
      <w:bCs/>
    </w:rPr>
  </w:style>
  <w:style w:type="character" w:customStyle="1" w:styleId="CommentSubjectChar">
    <w:name w:val="Comment Subject Char"/>
    <w:link w:val="CommentSubject"/>
    <w:uiPriority w:val="99"/>
    <w:semiHidden/>
    <w:rsid w:val="00645B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0590">
      <w:bodyDiv w:val="1"/>
      <w:marLeft w:val="0"/>
      <w:marRight w:val="0"/>
      <w:marTop w:val="0"/>
      <w:marBottom w:val="0"/>
      <w:divBdr>
        <w:top w:val="none" w:sz="0" w:space="0" w:color="auto"/>
        <w:left w:val="none" w:sz="0" w:space="0" w:color="auto"/>
        <w:bottom w:val="none" w:sz="0" w:space="0" w:color="auto"/>
        <w:right w:val="none" w:sz="0" w:space="0" w:color="auto"/>
      </w:divBdr>
    </w:div>
    <w:div w:id="738403711">
      <w:bodyDiv w:val="1"/>
      <w:marLeft w:val="0"/>
      <w:marRight w:val="0"/>
      <w:marTop w:val="0"/>
      <w:marBottom w:val="0"/>
      <w:divBdr>
        <w:top w:val="none" w:sz="0" w:space="0" w:color="auto"/>
        <w:left w:val="none" w:sz="0" w:space="0" w:color="auto"/>
        <w:bottom w:val="none" w:sz="0" w:space="0" w:color="auto"/>
        <w:right w:val="none" w:sz="0" w:space="0" w:color="auto"/>
      </w:divBdr>
    </w:div>
    <w:div w:id="992609046">
      <w:bodyDiv w:val="1"/>
      <w:marLeft w:val="0"/>
      <w:marRight w:val="0"/>
      <w:marTop w:val="0"/>
      <w:marBottom w:val="0"/>
      <w:divBdr>
        <w:top w:val="none" w:sz="0" w:space="0" w:color="auto"/>
        <w:left w:val="none" w:sz="0" w:space="0" w:color="auto"/>
        <w:bottom w:val="none" w:sz="0" w:space="0" w:color="auto"/>
        <w:right w:val="none" w:sz="0" w:space="0" w:color="auto"/>
      </w:divBdr>
    </w:div>
    <w:div w:id="1425607902">
      <w:bodyDiv w:val="1"/>
      <w:marLeft w:val="0"/>
      <w:marRight w:val="0"/>
      <w:marTop w:val="0"/>
      <w:marBottom w:val="0"/>
      <w:divBdr>
        <w:top w:val="none" w:sz="0" w:space="0" w:color="auto"/>
        <w:left w:val="none" w:sz="0" w:space="0" w:color="auto"/>
        <w:bottom w:val="none" w:sz="0" w:space="0" w:color="auto"/>
        <w:right w:val="none" w:sz="0" w:space="0" w:color="auto"/>
      </w:divBdr>
    </w:div>
    <w:div w:id="1473329285">
      <w:bodyDiv w:val="1"/>
      <w:marLeft w:val="0"/>
      <w:marRight w:val="0"/>
      <w:marTop w:val="0"/>
      <w:marBottom w:val="0"/>
      <w:divBdr>
        <w:top w:val="none" w:sz="0" w:space="0" w:color="auto"/>
        <w:left w:val="none" w:sz="0" w:space="0" w:color="auto"/>
        <w:bottom w:val="none" w:sz="0" w:space="0" w:color="auto"/>
        <w:right w:val="none" w:sz="0" w:space="0" w:color="auto"/>
      </w:divBdr>
    </w:div>
    <w:div w:id="15677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Local Govt Draft Ministerial Reply fr MiBS</vt:lpstr>
    </vt:vector>
  </TitlesOfParts>
  <Company>DOI</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Govt Draft Ministerial Reply fr MiBS</dc:title>
  <dc:subject/>
  <dc:creator>Rosenthal M</dc:creator>
  <cp:keywords/>
  <cp:lastModifiedBy>Lenore Neath (DEDJTR)</cp:lastModifiedBy>
  <cp:revision>2</cp:revision>
  <cp:lastPrinted>2018-08-24T03:36:00Z</cp:lastPrinted>
  <dcterms:created xsi:type="dcterms:W3CDTF">2019-04-24T01:01:00Z</dcterms:created>
  <dcterms:modified xsi:type="dcterms:W3CDTF">2019-04-24T01:01:00Z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