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olor w:val="auto"/>
          <w:sz w:val="20"/>
        </w:rPr>
        <w:id w:val="1792633033"/>
        <w:docPartObj>
          <w:docPartGallery w:val="Cover Pages"/>
          <w:docPartUnique/>
        </w:docPartObj>
      </w:sdtPr>
      <w:sdtEndPr>
        <w:rPr>
          <w:color w:val="53565A"/>
          <w:sz w:val="18"/>
        </w:rPr>
      </w:sdtEndPr>
      <w:sdtContent>
        <w:p w:rsidR="002E04F8" w:rsidRDefault="00292254" w:rsidP="006522E5">
          <w:pPr>
            <w:pStyle w:val="Header"/>
            <w:spacing w:before="240"/>
          </w:pPr>
          <w:r>
            <w:rPr>
              <w:b/>
              <w:caps/>
              <w:noProof/>
              <w:color w:val="auto"/>
              <w:sz w:val="20"/>
              <w:lang w:eastAsia="en-AU"/>
            </w:rPr>
            <w:drawing>
              <wp:anchor distT="0" distB="0" distL="114300" distR="114300" simplePos="0" relativeHeight="251665408" behindDoc="1" locked="0" layoutInCell="1" allowOverlap="1" wp14:anchorId="417943FC" wp14:editId="6431E16D">
                <wp:simplePos x="0" y="0"/>
                <wp:positionH relativeFrom="page">
                  <wp:posOffset>0</wp:posOffset>
                </wp:positionH>
                <wp:positionV relativeFrom="page">
                  <wp:posOffset>2714</wp:posOffset>
                </wp:positionV>
                <wp:extent cx="7560000" cy="10692000"/>
                <wp:effectExtent l="0" t="0" r="3175" b="0"/>
                <wp:wrapNone/>
                <wp:docPr id="3" name="Picture 3" descr="Department of Economic Development, Jobs, Transport and Resources logo on front pag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Templates/Word%20Elements/Report/9144%20DEDJTR%20Corporate%20Word%20Report%20Template_Working%20fil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1F6" w:rsidRDefault="004371F6" w:rsidP="00240C94">
          <w:pPr>
            <w:pStyle w:val="covertitle"/>
            <w:spacing w:before="240" w:after="0" w:line="240" w:lineRule="auto"/>
          </w:pPr>
        </w:p>
        <w:p w:rsidR="004371F6" w:rsidRDefault="004371F6" w:rsidP="00240C94">
          <w:pPr>
            <w:spacing w:before="240" w:after="0"/>
          </w:pPr>
        </w:p>
        <w:p w:rsidR="004371F6" w:rsidRDefault="004371F6" w:rsidP="00240C94">
          <w:pPr>
            <w:spacing w:before="240" w:after="0"/>
          </w:pPr>
        </w:p>
        <w:p w:rsidR="004371F6" w:rsidRDefault="004371F6" w:rsidP="00240C94">
          <w:pPr>
            <w:spacing w:before="240" w:after="0"/>
          </w:pPr>
        </w:p>
        <w:p w:rsidR="004371F6" w:rsidRPr="00D76844" w:rsidRDefault="004371F6" w:rsidP="00240C94">
          <w:pPr>
            <w:spacing w:before="240" w:after="0"/>
          </w:pPr>
        </w:p>
        <w:p w:rsidR="004371F6" w:rsidRDefault="00BE131F" w:rsidP="00C86118">
          <w:pPr>
            <w:tabs>
              <w:tab w:val="left" w:pos="6405"/>
            </w:tabs>
            <w:spacing w:before="240" w:after="0"/>
            <w:rPr>
              <w:color w:val="FFFFFF"/>
              <w:sz w:val="54"/>
            </w:rPr>
          </w:pPr>
          <w:r>
            <w:rPr>
              <w:noProof/>
              <w:lang w:eastAsia="en-AU"/>
            </w:rPr>
            <mc:AlternateContent>
              <mc:Choice Requires="wps">
                <w:drawing>
                  <wp:anchor distT="0" distB="0" distL="114300" distR="114300" simplePos="0" relativeHeight="251663360" behindDoc="0" locked="0" layoutInCell="1" allowOverlap="1" wp14:anchorId="68A20C5B" wp14:editId="2BC0DF45">
                    <wp:simplePos x="0" y="0"/>
                    <wp:positionH relativeFrom="column">
                      <wp:posOffset>-16042</wp:posOffset>
                    </wp:positionH>
                    <wp:positionV relativeFrom="paragraph">
                      <wp:posOffset>122956</wp:posOffset>
                    </wp:positionV>
                    <wp:extent cx="3946358" cy="150795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46358" cy="150795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0B6" w:rsidRPr="001858C2" w:rsidRDefault="002C60B6" w:rsidP="001858C2">
                                <w:pPr>
                                  <w:pStyle w:val="covertitle"/>
                                </w:pPr>
                                <w:r>
                                  <w:t>Low Emission Brown Coal Projects</w:t>
                                </w:r>
                              </w:p>
                              <w:p w:rsidR="002C60B6" w:rsidRDefault="002C60B6" w:rsidP="00BE131F">
                                <w:pPr>
                                  <w:pStyle w:val="coversub-title"/>
                                </w:pPr>
                                <w:r>
                                  <w:t>Decision-Making Framework Guideline</w:t>
                                </w:r>
                              </w:p>
                              <w:p w:rsidR="002C60B6" w:rsidRPr="006C7394" w:rsidRDefault="002C60B6" w:rsidP="00BE131F">
                                <w:pPr>
                                  <w:pStyle w:val="coversub-title"/>
                                </w:pPr>
                                <w:r>
                                  <w:t>August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20C5B" id="_x0000_t202" coordsize="21600,21600" o:spt="202" path="m,l,21600r21600,l21600,xe">
                    <v:stroke joinstyle="miter"/>
                    <v:path gradientshapeok="t" o:connecttype="rect"/>
                  </v:shapetype>
                  <v:shape id="Text Box 9" o:spid="_x0000_s1026" type="#_x0000_t202" style="position:absolute;margin-left:-1.25pt;margin-top:9.7pt;width:310.75pt;height:1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" filled="f" stroked="f" strokeweight=".5pt">
                    <v:textbox>
                      <w:txbxContent>
                        <w:p w:rsidR="002C60B6" w:rsidRPr="001858C2" w:rsidRDefault="002C60B6" w:rsidP="001858C2">
                          <w:pPr>
                            <w:pStyle w:val="covertitle"/>
                          </w:pPr>
                          <w:r>
                            <w:t>Low Emission Brown Coal Projects</w:t>
                          </w:r>
                        </w:p>
                        <w:p w:rsidR="002C60B6" w:rsidRDefault="002C60B6" w:rsidP="00BE131F">
                          <w:pPr>
                            <w:pStyle w:val="coversub-title"/>
                          </w:pPr>
                          <w:r>
                            <w:t>Decision-Making Framework Guideline</w:t>
                          </w:r>
                        </w:p>
                        <w:p w:rsidR="002C60B6" w:rsidRPr="006C7394" w:rsidRDefault="002C60B6" w:rsidP="00BE131F">
                          <w:pPr>
                            <w:pStyle w:val="coversub-title"/>
                          </w:pPr>
                          <w:r>
                            <w:t>August 2018</w:t>
                          </w:r>
                        </w:p>
                      </w:txbxContent>
                    </v:textbox>
                  </v:shape>
                </w:pict>
              </mc:Fallback>
            </mc:AlternateContent>
          </w:r>
          <w:r w:rsidR="004371F6">
            <w:rPr>
              <w:color w:val="FFFFFF"/>
              <w:sz w:val="54"/>
            </w:rPr>
            <w:br w:type="page"/>
          </w:r>
        </w:p>
      </w:sdtContent>
    </w:sdt>
    <w:p w:rsidR="00704FF4" w:rsidRDefault="00015BFD" w:rsidP="006522E5">
      <w:pPr>
        <w:rPr>
          <w:rStyle w:val="contentfiguresheadingChar"/>
          <w:caps w:val="0"/>
        </w:rPr>
      </w:pPr>
      <w:r>
        <w:rPr>
          <w:rStyle w:val="contentfiguresheadingChar"/>
          <w:caps w:val="0"/>
        </w:rPr>
        <w:lastRenderedPageBreak/>
        <w:t>Foreword</w:t>
      </w:r>
    </w:p>
    <w:p w:rsidR="004C145C" w:rsidRDefault="004C145C" w:rsidP="00F76DA4">
      <w:pPr>
        <w:spacing w:before="240" w:after="0"/>
      </w:pPr>
      <w:r>
        <w:t>Victoria is home to the world’s second largest brown coal resource. This low cost and abundant resource has ensured the supply of affordable and reliable electricity that has supported Victoria’s economic prosperity for nearly a centur</w:t>
      </w:r>
      <w:r w:rsidR="007A4B7E">
        <w:t>y</w:t>
      </w:r>
      <w:r w:rsidR="002C60B6">
        <w:t xml:space="preserve">. </w:t>
      </w:r>
      <w:r>
        <w:t>However, there is a fundamental shift underway which will affect the way in which brown coal will be used in the future.</w:t>
      </w:r>
    </w:p>
    <w:p w:rsidR="00F76DA4" w:rsidRDefault="00F76DA4" w:rsidP="00F76DA4">
      <w:pPr>
        <w:spacing w:before="240" w:after="0"/>
      </w:pPr>
      <w:r>
        <w:t>While brown coal power currently comprises around 75 per cent of Victoria’s electricity generation</w:t>
      </w:r>
      <w:r w:rsidR="00B8721A">
        <w:t xml:space="preserve"> capacity</w:t>
      </w:r>
      <w:r>
        <w:t xml:space="preserve">, </w:t>
      </w:r>
      <w:r w:rsidR="008E7D7A">
        <w:t xml:space="preserve">this share </w:t>
      </w:r>
      <w:r w:rsidR="004C145C">
        <w:t xml:space="preserve">will reduce over the coming decades with the retirement of existing generators, changing market conditions and the need to respond to climate change. </w:t>
      </w:r>
    </w:p>
    <w:p w:rsidR="00F76DA4" w:rsidRDefault="00F76DA4" w:rsidP="00F76DA4">
      <w:pPr>
        <w:spacing w:before="240" w:after="0"/>
      </w:pPr>
      <w:r>
        <w:t>Alongside this change away from coal fired power generation, there is investor interest in using Victorian brown coal for other purposes</w:t>
      </w:r>
      <w:r w:rsidR="002C60B6">
        <w:t xml:space="preserve">. </w:t>
      </w:r>
      <w:r w:rsidR="00B8721A">
        <w:t>P</w:t>
      </w:r>
      <w:r>
        <w:t xml:space="preserve">roject proponents are focussed on the potential to integrate projects with </w:t>
      </w:r>
      <w:r w:rsidR="00CE4C66">
        <w:t xml:space="preserve">low emission technologies such as Carbon Capture and Storage </w:t>
      </w:r>
      <w:r>
        <w:t xml:space="preserve">and </w:t>
      </w:r>
      <w:r w:rsidR="00CE4C66">
        <w:t>to convert</w:t>
      </w:r>
      <w:r>
        <w:t xml:space="preserve"> brown coal into valuable, low emission products such as hydrogen and fertiliser for international and domestic markets.</w:t>
      </w:r>
    </w:p>
    <w:p w:rsidR="008E7D7A" w:rsidRDefault="000C2BC9" w:rsidP="00F76DA4">
      <w:pPr>
        <w:spacing w:before="240" w:after="0"/>
      </w:pPr>
      <w:r>
        <w:t>Future alternative uses for brown coal have the potential to drive inclusive economic growth and increased trade in line with the Government’s economic, socia</w:t>
      </w:r>
      <w:r w:rsidR="00A134A7">
        <w:t xml:space="preserve">l and environmental objectives, including the Victorian Government’s </w:t>
      </w:r>
      <w:r w:rsidR="00914885">
        <w:t>legislated target of</w:t>
      </w:r>
      <w:r w:rsidR="00A134A7">
        <w:t xml:space="preserve"> net zero greenhouse gas emissions by 2050. </w:t>
      </w:r>
    </w:p>
    <w:p w:rsidR="00F76DA4" w:rsidRDefault="00F76DA4" w:rsidP="00F76DA4">
      <w:pPr>
        <w:spacing w:before="240" w:after="0"/>
      </w:pPr>
      <w:r>
        <w:t>The transition to low emissions sources of electricity presents significant economic and social challenges for the Latrobe Valley, which has traditionally relied upon electricity generation from brown coal as a key regional industry</w:t>
      </w:r>
      <w:r w:rsidR="002C60B6">
        <w:t>.</w:t>
      </w:r>
      <w:r w:rsidR="003E078D">
        <w:t xml:space="preserve"> </w:t>
      </w:r>
      <w:r>
        <w:t>Alternative, low emission uses of coal could aid the diversification of the Latrobe Valley economy by attracting new industries, business, research opportunities, and generating high-skill, high-wage employment opportunities.</w:t>
      </w:r>
      <w:r w:rsidR="002C60B6">
        <w:t xml:space="preserve"> </w:t>
      </w:r>
    </w:p>
    <w:p w:rsidR="00F57AB9" w:rsidRDefault="00F57AB9" w:rsidP="00F57AB9">
      <w:pPr>
        <w:spacing w:before="240" w:after="0"/>
      </w:pPr>
      <w:r>
        <w:t xml:space="preserve">The Victorian Government’s </w:t>
      </w:r>
      <w:r w:rsidRPr="00471C92">
        <w:rPr>
          <w:i/>
        </w:rPr>
        <w:t>Statement on Future Uses of Brown Coal</w:t>
      </w:r>
      <w:r>
        <w:t xml:space="preserve"> sets out the Government’s position in relation to future coal use, including:</w:t>
      </w:r>
    </w:p>
    <w:p w:rsidR="00F57AB9" w:rsidRDefault="00F57AB9" w:rsidP="00A76B9D">
      <w:pPr>
        <w:pStyle w:val="ListParagraph"/>
        <w:numPr>
          <w:ilvl w:val="0"/>
          <w:numId w:val="16"/>
        </w:numPr>
        <w:spacing w:before="120" w:after="0"/>
        <w:ind w:left="851" w:hanging="567"/>
      </w:pPr>
      <w:r>
        <w:t>setting a</w:t>
      </w:r>
      <w:r w:rsidR="00914885">
        <w:t xml:space="preserve"> greenhouse </w:t>
      </w:r>
      <w:r w:rsidR="00902E05">
        <w:t>gas emissions</w:t>
      </w:r>
      <w:r>
        <w:t xml:space="preserve"> </w:t>
      </w:r>
      <w:r w:rsidR="00914885">
        <w:t xml:space="preserve">intensity </w:t>
      </w:r>
      <w:r>
        <w:t xml:space="preserve">standard </w:t>
      </w:r>
      <w:r w:rsidR="00914885">
        <w:t xml:space="preserve">(emissions standard) </w:t>
      </w:r>
      <w:r>
        <w:t xml:space="preserve">for new coal projects by regulation under the </w:t>
      </w:r>
      <w:r>
        <w:rPr>
          <w:i/>
        </w:rPr>
        <w:t>Environment Protection Act 1970</w:t>
      </w:r>
    </w:p>
    <w:p w:rsidR="00F57AB9" w:rsidRDefault="00F57AB9" w:rsidP="00A76B9D">
      <w:pPr>
        <w:pStyle w:val="ListParagraph"/>
        <w:numPr>
          <w:ilvl w:val="0"/>
          <w:numId w:val="16"/>
        </w:numPr>
        <w:spacing w:before="120" w:after="0"/>
        <w:ind w:left="851" w:hanging="567"/>
      </w:pPr>
      <w:r>
        <w:t>adopting an ‘open for business’ approach to supporting new</w:t>
      </w:r>
      <w:r w:rsidR="00775F45">
        <w:t xml:space="preserve"> opportunities in alternative, low emission</w:t>
      </w:r>
      <w:r>
        <w:t xml:space="preserve"> </w:t>
      </w:r>
      <w:r w:rsidR="00775F45">
        <w:t xml:space="preserve">brown </w:t>
      </w:r>
      <w:r>
        <w:t>coal</w:t>
      </w:r>
      <w:r w:rsidR="00775F45">
        <w:t xml:space="preserve"> applications</w:t>
      </w:r>
    </w:p>
    <w:p w:rsidR="00F57AB9" w:rsidRDefault="00F57AB9" w:rsidP="00A76B9D">
      <w:pPr>
        <w:pStyle w:val="ListParagraph"/>
        <w:numPr>
          <w:ilvl w:val="0"/>
          <w:numId w:val="16"/>
        </w:numPr>
        <w:spacing w:before="120" w:after="0"/>
        <w:ind w:left="851" w:hanging="567"/>
      </w:pPr>
      <w:r>
        <w:t xml:space="preserve">assessing projects on a case-by-case basis through a transparent and robust </w:t>
      </w:r>
      <w:r w:rsidR="00147119">
        <w:t>Decision-Making Framework</w:t>
      </w:r>
      <w:r>
        <w:t xml:space="preserve"> that considers economic, social and environmental factors</w:t>
      </w:r>
    </w:p>
    <w:p w:rsidR="00F57AB9" w:rsidRDefault="003E078D" w:rsidP="00A76B9D">
      <w:pPr>
        <w:pStyle w:val="ListParagraph"/>
        <w:numPr>
          <w:ilvl w:val="0"/>
          <w:numId w:val="16"/>
        </w:numPr>
        <w:spacing w:before="120" w:after="0"/>
        <w:ind w:left="851" w:hanging="567"/>
      </w:pPr>
      <w:r>
        <w:t>Undertaking</w:t>
      </w:r>
      <w:r w:rsidR="00F57AB9">
        <w:t xml:space="preserve"> a staged decision-making process supported by an Independent Expert</w:t>
      </w:r>
      <w:r w:rsidR="002C60B6">
        <w:t xml:space="preserve"> Advisory</w:t>
      </w:r>
      <w:r w:rsidR="00F57AB9">
        <w:t xml:space="preserve"> Panel</w:t>
      </w:r>
      <w:r w:rsidR="00B8721A">
        <w:t xml:space="preserve"> </w:t>
      </w:r>
      <w:r w:rsidR="00F57AB9">
        <w:t xml:space="preserve">comprising </w:t>
      </w:r>
      <w:r w:rsidR="00002820">
        <w:t xml:space="preserve">individuals with </w:t>
      </w:r>
      <w:r w:rsidR="00F57AB9" w:rsidRPr="00B8721A">
        <w:t>commercial</w:t>
      </w:r>
      <w:r w:rsidR="00F57AB9">
        <w:t>, technical and environmental expertise</w:t>
      </w:r>
      <w:r w:rsidR="002C60B6">
        <w:t xml:space="preserve">. </w:t>
      </w:r>
      <w:r w:rsidR="00F57AB9">
        <w:t>The framework will include strict probity and disclosure requirements.</w:t>
      </w:r>
    </w:p>
    <w:p w:rsidR="00704FF4" w:rsidRDefault="000633CB" w:rsidP="007A4B7E">
      <w:pPr>
        <w:spacing w:after="0"/>
        <w:rPr>
          <w:rStyle w:val="contentfiguresheadingChar"/>
          <w:rFonts w:asciiTheme="minorHAnsi" w:hAnsiTheme="minorHAnsi"/>
          <w:b w:val="0"/>
          <w:caps w:val="0"/>
          <w:sz w:val="24"/>
          <w:szCs w:val="24"/>
        </w:rPr>
      </w:pPr>
      <w:r w:rsidRPr="000633CB">
        <w:t xml:space="preserve">This </w:t>
      </w:r>
      <w:r w:rsidR="00147119">
        <w:t>Decision-Making Framework</w:t>
      </w:r>
      <w:r w:rsidRPr="000633CB">
        <w:t xml:space="preserve"> Guideline </w:t>
      </w:r>
      <w:r>
        <w:t xml:space="preserve">(Guideline) </w:t>
      </w:r>
      <w:r w:rsidRPr="000633CB">
        <w:t>outlines the staged approa</w:t>
      </w:r>
      <w:r w:rsidR="00147119">
        <w:t>ch to the Government’s decision-</w:t>
      </w:r>
      <w:r w:rsidRPr="000633CB">
        <w:t>making on support for applicable new brown coal projects</w:t>
      </w:r>
      <w:r w:rsidR="002C60B6">
        <w:t>.</w:t>
      </w:r>
      <w:r w:rsidR="003E078D">
        <w:t xml:space="preserve"> </w:t>
      </w:r>
      <w:r>
        <w:t>In addition, the Guideline</w:t>
      </w:r>
      <w:r w:rsidRPr="000633CB">
        <w:t xml:space="preserve"> provides clarity to project proponents on the assessment pathways, governance arrangements and assessment criteria that form the </w:t>
      </w:r>
      <w:r w:rsidR="00147119">
        <w:t>Decision-Making Framework</w:t>
      </w:r>
      <w:r>
        <w:t xml:space="preserve">, which has </w:t>
      </w:r>
      <w:r w:rsidR="003E078D">
        <w:t>been developed</w:t>
      </w:r>
      <w:r w:rsidRPr="000633CB">
        <w:t xml:space="preserve"> to provide certainty of process for project proponents and government agencies assessing proposals.</w:t>
      </w:r>
      <w:r w:rsidR="002C60B6">
        <w:rPr>
          <w:rStyle w:val="contentfiguresheadingChar"/>
          <w:rFonts w:asciiTheme="minorHAnsi" w:hAnsiTheme="minorHAnsi"/>
          <w:b w:val="0"/>
          <w:caps w:val="0"/>
          <w:sz w:val="24"/>
          <w:szCs w:val="24"/>
        </w:rPr>
        <w:t xml:space="preserve"> </w:t>
      </w:r>
    </w:p>
    <w:p w:rsidR="00A134A7" w:rsidRPr="007A4B7E" w:rsidRDefault="00A134A7" w:rsidP="000633CB">
      <w:pPr>
        <w:spacing w:before="240" w:after="0"/>
      </w:pPr>
      <w:r w:rsidRPr="007A4B7E">
        <w:t xml:space="preserve">This Guideline will assist project proponents </w:t>
      </w:r>
      <w:r w:rsidR="003E078D" w:rsidRPr="007A4B7E">
        <w:t>in working</w:t>
      </w:r>
      <w:r w:rsidRPr="007A4B7E">
        <w:t xml:space="preserve"> with the Government to maximise the value of Victoria’s brown coal resources in a manner that is consistent with the State’s economic, social and environmental priorities. </w:t>
      </w:r>
    </w:p>
    <w:p w:rsidR="00674DA1" w:rsidRPr="007A4B7E" w:rsidRDefault="00674DA1" w:rsidP="000633CB">
      <w:pPr>
        <w:spacing w:before="240" w:after="0"/>
      </w:pPr>
      <w:r w:rsidRPr="007A4B7E">
        <w:t>The Victorian Government is open for business on alternative, low emission uses of the State’</w:t>
      </w:r>
      <w:r w:rsidR="007A4B7E" w:rsidRPr="007A4B7E">
        <w:t>s brown coal resources.</w:t>
      </w:r>
    </w:p>
    <w:p w:rsidR="007A4B7E" w:rsidRPr="00704FF4" w:rsidRDefault="007A4B7E" w:rsidP="000633CB">
      <w:pPr>
        <w:spacing w:before="240" w:after="0"/>
      </w:pPr>
      <w:r w:rsidRPr="007A4B7E">
        <w:t xml:space="preserve">Coal project proponents seeking Government support should read the particulars of this Guideline and contact the </w:t>
      </w:r>
      <w:r w:rsidR="003D67E3">
        <w:t>Director</w:t>
      </w:r>
      <w:r w:rsidRPr="007A4B7E">
        <w:t xml:space="preserve">, </w:t>
      </w:r>
      <w:r w:rsidR="00902E05">
        <w:t>Coal</w:t>
      </w:r>
      <w:r w:rsidR="003D67E3">
        <w:t xml:space="preserve"> </w:t>
      </w:r>
      <w:r w:rsidRPr="007A4B7E">
        <w:t xml:space="preserve">Resources </w:t>
      </w:r>
      <w:r w:rsidR="00902E05">
        <w:t xml:space="preserve">Victoria </w:t>
      </w:r>
      <w:r w:rsidRPr="007A4B7E">
        <w:t>of the Department of Economic Development, Jobs, Transport and Resources</w:t>
      </w:r>
      <w:r w:rsidR="00EC7FC8">
        <w:t xml:space="preserve"> on +61 (03) </w:t>
      </w:r>
      <w:r w:rsidR="00EC7FC8" w:rsidRPr="00C045FA">
        <w:t>9651 9999</w:t>
      </w:r>
      <w:r w:rsidRPr="007A4B7E">
        <w:t>.</w:t>
      </w:r>
    </w:p>
    <w:p w:rsidR="00704FF4" w:rsidRDefault="00704FF4" w:rsidP="007A4B7E">
      <w:pPr>
        <w:spacing w:after="0"/>
        <w:rPr>
          <w:rStyle w:val="contentfiguresheadingChar"/>
          <w:b w:val="0"/>
        </w:rPr>
      </w:pPr>
      <w:r>
        <w:rPr>
          <w:rStyle w:val="contentfiguresheadingChar"/>
          <w:caps w:val="0"/>
        </w:rPr>
        <w:br w:type="page"/>
      </w:r>
    </w:p>
    <w:p w:rsidR="004371F6" w:rsidRPr="00707F05" w:rsidRDefault="004371F6" w:rsidP="006522E5">
      <w:pPr>
        <w:pStyle w:val="contentfiguresheading"/>
        <w:spacing w:before="240" w:after="0"/>
        <w:rPr>
          <w:rStyle w:val="contentfiguresheadingChar"/>
          <w:caps/>
        </w:rPr>
      </w:pPr>
      <w:r w:rsidRPr="00707F05">
        <w:rPr>
          <w:rStyle w:val="contentfiguresheadingChar"/>
          <w:caps/>
        </w:rPr>
        <w:lastRenderedPageBreak/>
        <w:t>Table of contents</w:t>
      </w:r>
    </w:p>
    <w:p w:rsidR="008E210B" w:rsidRDefault="004371F6">
      <w:pPr>
        <w:pStyle w:val="TOC1"/>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lang w:eastAsia="en-AU"/>
        </w:rPr>
        <w:instrText xml:space="preserve"> TOC \o "1-3" \h \z \t "Appendices,4" </w:instrText>
      </w:r>
      <w:r>
        <w:rPr>
          <w:noProof/>
          <w:color w:val="auto"/>
          <w:lang w:eastAsia="en-AU"/>
        </w:rPr>
        <w:fldChar w:fldCharType="separate"/>
      </w:r>
      <w:hyperlink w:anchor="_Toc521932836" w:history="1">
        <w:r w:rsidR="008E210B" w:rsidRPr="00F950B1">
          <w:rPr>
            <w:rStyle w:val="Hyperlink"/>
            <w:noProof/>
          </w:rPr>
          <w:t>1</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Introduction</w:t>
        </w:r>
        <w:r w:rsidR="008E210B">
          <w:rPr>
            <w:noProof/>
            <w:webHidden/>
          </w:rPr>
          <w:tab/>
        </w:r>
        <w:r w:rsidR="008E210B">
          <w:rPr>
            <w:noProof/>
            <w:webHidden/>
          </w:rPr>
          <w:fldChar w:fldCharType="begin"/>
        </w:r>
        <w:r w:rsidR="008E210B">
          <w:rPr>
            <w:noProof/>
            <w:webHidden/>
          </w:rPr>
          <w:instrText xml:space="preserve"> PAGEREF _Toc521932836 \h </w:instrText>
        </w:r>
        <w:r w:rsidR="008E210B">
          <w:rPr>
            <w:noProof/>
            <w:webHidden/>
          </w:rPr>
        </w:r>
        <w:r w:rsidR="008E210B">
          <w:rPr>
            <w:noProof/>
            <w:webHidden/>
          </w:rPr>
          <w:fldChar w:fldCharType="separate"/>
        </w:r>
        <w:r w:rsidR="00BE3296">
          <w:rPr>
            <w:noProof/>
            <w:webHidden/>
          </w:rPr>
          <w:t>1</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37" w:history="1">
        <w:r w:rsidR="008E210B" w:rsidRPr="00F950B1">
          <w:rPr>
            <w:rStyle w:val="Hyperlink"/>
            <w:noProof/>
          </w:rPr>
          <w:t>1.1</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Decision-Making Framework objectives</w:t>
        </w:r>
        <w:r w:rsidR="008E210B">
          <w:rPr>
            <w:noProof/>
            <w:webHidden/>
          </w:rPr>
          <w:tab/>
        </w:r>
        <w:r w:rsidR="008E210B">
          <w:rPr>
            <w:noProof/>
            <w:webHidden/>
          </w:rPr>
          <w:fldChar w:fldCharType="begin"/>
        </w:r>
        <w:r w:rsidR="008E210B">
          <w:rPr>
            <w:noProof/>
            <w:webHidden/>
          </w:rPr>
          <w:instrText xml:space="preserve"> PAGEREF _Toc521932837 \h </w:instrText>
        </w:r>
        <w:r w:rsidR="008E210B">
          <w:rPr>
            <w:noProof/>
            <w:webHidden/>
          </w:rPr>
        </w:r>
        <w:r w:rsidR="008E210B">
          <w:rPr>
            <w:noProof/>
            <w:webHidden/>
          </w:rPr>
          <w:fldChar w:fldCharType="separate"/>
        </w:r>
        <w:r>
          <w:rPr>
            <w:noProof/>
            <w:webHidden/>
          </w:rPr>
          <w:t>2</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38" w:history="1">
        <w:r w:rsidR="008E210B" w:rsidRPr="00F950B1">
          <w:rPr>
            <w:rStyle w:val="Hyperlink"/>
            <w:noProof/>
          </w:rPr>
          <w:t>1.2</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Decision-making process overview</w:t>
        </w:r>
        <w:r w:rsidR="008E210B">
          <w:rPr>
            <w:noProof/>
            <w:webHidden/>
          </w:rPr>
          <w:tab/>
        </w:r>
        <w:r w:rsidR="008E210B">
          <w:rPr>
            <w:noProof/>
            <w:webHidden/>
          </w:rPr>
          <w:fldChar w:fldCharType="begin"/>
        </w:r>
        <w:r w:rsidR="008E210B">
          <w:rPr>
            <w:noProof/>
            <w:webHidden/>
          </w:rPr>
          <w:instrText xml:space="preserve"> PAGEREF _Toc521932838 \h </w:instrText>
        </w:r>
        <w:r w:rsidR="008E210B">
          <w:rPr>
            <w:noProof/>
            <w:webHidden/>
          </w:rPr>
        </w:r>
        <w:r w:rsidR="008E210B">
          <w:rPr>
            <w:noProof/>
            <w:webHidden/>
          </w:rPr>
          <w:fldChar w:fldCharType="separate"/>
        </w:r>
        <w:r>
          <w:rPr>
            <w:noProof/>
            <w:webHidden/>
          </w:rPr>
          <w:t>2</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39" w:history="1">
        <w:r w:rsidR="008E210B" w:rsidRPr="00F950B1">
          <w:rPr>
            <w:rStyle w:val="Hyperlink"/>
            <w:noProof/>
          </w:rPr>
          <w:t>2</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Staged assessment under the Decision-Making Framework</w:t>
        </w:r>
        <w:r w:rsidR="008E210B">
          <w:rPr>
            <w:noProof/>
            <w:webHidden/>
          </w:rPr>
          <w:tab/>
        </w:r>
        <w:r w:rsidR="008E210B">
          <w:rPr>
            <w:noProof/>
            <w:webHidden/>
          </w:rPr>
          <w:fldChar w:fldCharType="begin"/>
        </w:r>
        <w:r w:rsidR="008E210B">
          <w:rPr>
            <w:noProof/>
            <w:webHidden/>
          </w:rPr>
          <w:instrText xml:space="preserve"> PAGEREF _Toc521932839 \h </w:instrText>
        </w:r>
        <w:r w:rsidR="008E210B">
          <w:rPr>
            <w:noProof/>
            <w:webHidden/>
          </w:rPr>
        </w:r>
        <w:r w:rsidR="008E210B">
          <w:rPr>
            <w:noProof/>
            <w:webHidden/>
          </w:rPr>
          <w:fldChar w:fldCharType="separate"/>
        </w:r>
        <w:r>
          <w:rPr>
            <w:noProof/>
            <w:webHidden/>
          </w:rPr>
          <w:t>4</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0" w:history="1">
        <w:r w:rsidR="008E210B" w:rsidRPr="00F950B1">
          <w:rPr>
            <w:rStyle w:val="Hyperlink"/>
            <w:noProof/>
          </w:rPr>
          <w:t>2.1</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Eligibility and Scope of the Framework</w:t>
        </w:r>
        <w:r w:rsidR="008E210B">
          <w:rPr>
            <w:noProof/>
            <w:webHidden/>
          </w:rPr>
          <w:tab/>
        </w:r>
        <w:r w:rsidR="008E210B">
          <w:rPr>
            <w:noProof/>
            <w:webHidden/>
          </w:rPr>
          <w:fldChar w:fldCharType="begin"/>
        </w:r>
        <w:r w:rsidR="008E210B">
          <w:rPr>
            <w:noProof/>
            <w:webHidden/>
          </w:rPr>
          <w:instrText xml:space="preserve"> PAGEREF _Toc521932840 \h </w:instrText>
        </w:r>
        <w:r w:rsidR="008E210B">
          <w:rPr>
            <w:noProof/>
            <w:webHidden/>
          </w:rPr>
        </w:r>
        <w:r w:rsidR="008E210B">
          <w:rPr>
            <w:noProof/>
            <w:webHidden/>
          </w:rPr>
          <w:fldChar w:fldCharType="separate"/>
        </w:r>
        <w:r>
          <w:rPr>
            <w:noProof/>
            <w:webHidden/>
          </w:rPr>
          <w:t>5</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1" w:history="1">
        <w:r w:rsidR="008E210B" w:rsidRPr="00F950B1">
          <w:rPr>
            <w:rStyle w:val="Hyperlink"/>
            <w:noProof/>
          </w:rPr>
          <w:t>2.2</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Exclusions from the Framework</w:t>
        </w:r>
        <w:r w:rsidR="008E210B">
          <w:rPr>
            <w:noProof/>
            <w:webHidden/>
          </w:rPr>
          <w:tab/>
        </w:r>
        <w:r w:rsidR="008E210B">
          <w:rPr>
            <w:noProof/>
            <w:webHidden/>
          </w:rPr>
          <w:fldChar w:fldCharType="begin"/>
        </w:r>
        <w:r w:rsidR="008E210B">
          <w:rPr>
            <w:noProof/>
            <w:webHidden/>
          </w:rPr>
          <w:instrText xml:space="preserve"> PAGEREF _Toc521932841 \h </w:instrText>
        </w:r>
        <w:r w:rsidR="008E210B">
          <w:rPr>
            <w:noProof/>
            <w:webHidden/>
          </w:rPr>
        </w:r>
        <w:r w:rsidR="008E210B">
          <w:rPr>
            <w:noProof/>
            <w:webHidden/>
          </w:rPr>
          <w:fldChar w:fldCharType="separate"/>
        </w:r>
        <w:r>
          <w:rPr>
            <w:noProof/>
            <w:webHidden/>
          </w:rPr>
          <w:t>5</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2" w:history="1">
        <w:r w:rsidR="008E210B" w:rsidRPr="00F950B1">
          <w:rPr>
            <w:rStyle w:val="Hyperlink"/>
            <w:noProof/>
          </w:rPr>
          <w:t>2.3</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Pre-submission meeting and project categorisation</w:t>
        </w:r>
        <w:r w:rsidR="008E210B">
          <w:rPr>
            <w:noProof/>
            <w:webHidden/>
          </w:rPr>
          <w:tab/>
        </w:r>
        <w:r w:rsidR="008E210B">
          <w:rPr>
            <w:noProof/>
            <w:webHidden/>
          </w:rPr>
          <w:fldChar w:fldCharType="begin"/>
        </w:r>
        <w:r w:rsidR="008E210B">
          <w:rPr>
            <w:noProof/>
            <w:webHidden/>
          </w:rPr>
          <w:instrText xml:space="preserve"> PAGEREF _Toc521932842 \h </w:instrText>
        </w:r>
        <w:r w:rsidR="008E210B">
          <w:rPr>
            <w:noProof/>
            <w:webHidden/>
          </w:rPr>
        </w:r>
        <w:r w:rsidR="008E210B">
          <w:rPr>
            <w:noProof/>
            <w:webHidden/>
          </w:rPr>
          <w:fldChar w:fldCharType="separate"/>
        </w:r>
        <w:r>
          <w:rPr>
            <w:noProof/>
            <w:webHidden/>
          </w:rPr>
          <w:t>5</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3" w:history="1">
        <w:r w:rsidR="008E210B" w:rsidRPr="00F950B1">
          <w:rPr>
            <w:rStyle w:val="Hyperlink"/>
            <w:noProof/>
          </w:rPr>
          <w:t>2.4</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Stage One: Initial Assessment</w:t>
        </w:r>
        <w:r w:rsidR="008E210B">
          <w:rPr>
            <w:noProof/>
            <w:webHidden/>
          </w:rPr>
          <w:tab/>
        </w:r>
        <w:r w:rsidR="008E210B">
          <w:rPr>
            <w:noProof/>
            <w:webHidden/>
          </w:rPr>
          <w:fldChar w:fldCharType="begin"/>
        </w:r>
        <w:r w:rsidR="008E210B">
          <w:rPr>
            <w:noProof/>
            <w:webHidden/>
          </w:rPr>
          <w:instrText xml:space="preserve"> PAGEREF _Toc521932843 \h </w:instrText>
        </w:r>
        <w:r w:rsidR="008E210B">
          <w:rPr>
            <w:noProof/>
            <w:webHidden/>
          </w:rPr>
        </w:r>
        <w:r w:rsidR="008E210B">
          <w:rPr>
            <w:noProof/>
            <w:webHidden/>
          </w:rPr>
          <w:fldChar w:fldCharType="separate"/>
        </w:r>
        <w:r>
          <w:rPr>
            <w:noProof/>
            <w:webHidden/>
          </w:rPr>
          <w:t>5</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4" w:history="1">
        <w:r w:rsidR="008E210B" w:rsidRPr="00F950B1">
          <w:rPr>
            <w:rStyle w:val="Hyperlink"/>
            <w:noProof/>
          </w:rPr>
          <w:t>2.5</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Stage Two: detailed assessment, due diligence and recommendations</w:t>
        </w:r>
        <w:r w:rsidR="008E210B">
          <w:rPr>
            <w:noProof/>
            <w:webHidden/>
          </w:rPr>
          <w:tab/>
        </w:r>
        <w:r w:rsidR="008E210B">
          <w:rPr>
            <w:noProof/>
            <w:webHidden/>
          </w:rPr>
          <w:fldChar w:fldCharType="begin"/>
        </w:r>
        <w:r w:rsidR="008E210B">
          <w:rPr>
            <w:noProof/>
            <w:webHidden/>
          </w:rPr>
          <w:instrText xml:space="preserve"> PAGEREF _Toc521932844 \h </w:instrText>
        </w:r>
        <w:r w:rsidR="008E210B">
          <w:rPr>
            <w:noProof/>
            <w:webHidden/>
          </w:rPr>
        </w:r>
        <w:r w:rsidR="008E210B">
          <w:rPr>
            <w:noProof/>
            <w:webHidden/>
          </w:rPr>
          <w:fldChar w:fldCharType="separate"/>
        </w:r>
        <w:r>
          <w:rPr>
            <w:noProof/>
            <w:webHidden/>
          </w:rPr>
          <w:t>7</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5" w:history="1">
        <w:r w:rsidR="008E210B" w:rsidRPr="00F950B1">
          <w:rPr>
            <w:rStyle w:val="Hyperlink"/>
            <w:noProof/>
          </w:rPr>
          <w:t>2.6</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Stage Three: Victorian Government Decision and Next Steps</w:t>
        </w:r>
        <w:r w:rsidR="008E210B">
          <w:rPr>
            <w:noProof/>
            <w:webHidden/>
          </w:rPr>
          <w:tab/>
        </w:r>
        <w:r w:rsidR="008E210B">
          <w:rPr>
            <w:noProof/>
            <w:webHidden/>
          </w:rPr>
          <w:fldChar w:fldCharType="begin"/>
        </w:r>
        <w:r w:rsidR="008E210B">
          <w:rPr>
            <w:noProof/>
            <w:webHidden/>
          </w:rPr>
          <w:instrText xml:space="preserve"> PAGEREF _Toc521932845 \h </w:instrText>
        </w:r>
        <w:r w:rsidR="008E210B">
          <w:rPr>
            <w:noProof/>
            <w:webHidden/>
          </w:rPr>
        </w:r>
        <w:r w:rsidR="008E210B">
          <w:rPr>
            <w:noProof/>
            <w:webHidden/>
          </w:rPr>
          <w:fldChar w:fldCharType="separate"/>
        </w:r>
        <w:r>
          <w:rPr>
            <w:noProof/>
            <w:webHidden/>
          </w:rPr>
          <w:t>8</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46" w:history="1">
        <w:r w:rsidR="008E210B" w:rsidRPr="00F950B1">
          <w:rPr>
            <w:rStyle w:val="Hyperlink"/>
            <w:noProof/>
          </w:rPr>
          <w:t>3</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Key assessment criteria</w:t>
        </w:r>
        <w:r w:rsidR="008E210B">
          <w:rPr>
            <w:noProof/>
            <w:webHidden/>
          </w:rPr>
          <w:tab/>
        </w:r>
        <w:r w:rsidR="008E210B">
          <w:rPr>
            <w:noProof/>
            <w:webHidden/>
          </w:rPr>
          <w:fldChar w:fldCharType="begin"/>
        </w:r>
        <w:r w:rsidR="008E210B">
          <w:rPr>
            <w:noProof/>
            <w:webHidden/>
          </w:rPr>
          <w:instrText xml:space="preserve"> PAGEREF _Toc521932846 \h </w:instrText>
        </w:r>
        <w:r w:rsidR="008E210B">
          <w:rPr>
            <w:noProof/>
            <w:webHidden/>
          </w:rPr>
        </w:r>
        <w:r w:rsidR="008E210B">
          <w:rPr>
            <w:noProof/>
            <w:webHidden/>
          </w:rPr>
          <w:fldChar w:fldCharType="separate"/>
        </w:r>
        <w:r>
          <w:rPr>
            <w:noProof/>
            <w:webHidden/>
          </w:rPr>
          <w:t>10</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7" w:history="1">
        <w:r w:rsidR="008E210B" w:rsidRPr="00F950B1">
          <w:rPr>
            <w:rStyle w:val="Hyperlink"/>
            <w:noProof/>
          </w:rPr>
          <w:t>3.1</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Stage 1: Project Readiness Assessment Criteria</w:t>
        </w:r>
        <w:r w:rsidR="008E210B">
          <w:rPr>
            <w:noProof/>
            <w:webHidden/>
          </w:rPr>
          <w:tab/>
        </w:r>
        <w:r w:rsidR="008E210B">
          <w:rPr>
            <w:noProof/>
            <w:webHidden/>
          </w:rPr>
          <w:fldChar w:fldCharType="begin"/>
        </w:r>
        <w:r w:rsidR="008E210B">
          <w:rPr>
            <w:noProof/>
            <w:webHidden/>
          </w:rPr>
          <w:instrText xml:space="preserve"> PAGEREF _Toc521932847 \h </w:instrText>
        </w:r>
        <w:r w:rsidR="008E210B">
          <w:rPr>
            <w:noProof/>
            <w:webHidden/>
          </w:rPr>
        </w:r>
        <w:r w:rsidR="008E210B">
          <w:rPr>
            <w:noProof/>
            <w:webHidden/>
          </w:rPr>
          <w:fldChar w:fldCharType="separate"/>
        </w:r>
        <w:r>
          <w:rPr>
            <w:noProof/>
            <w:webHidden/>
          </w:rPr>
          <w:t>10</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48" w:history="1">
        <w:r w:rsidR="008E210B" w:rsidRPr="00F950B1">
          <w:rPr>
            <w:rStyle w:val="Hyperlink"/>
            <w:noProof/>
          </w:rPr>
          <w:t>3.2</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Stage 2: Detailed Assessment Criteria</w:t>
        </w:r>
        <w:r w:rsidR="008E210B">
          <w:rPr>
            <w:noProof/>
            <w:webHidden/>
          </w:rPr>
          <w:tab/>
        </w:r>
        <w:r w:rsidR="008E210B">
          <w:rPr>
            <w:noProof/>
            <w:webHidden/>
          </w:rPr>
          <w:fldChar w:fldCharType="begin"/>
        </w:r>
        <w:r w:rsidR="008E210B">
          <w:rPr>
            <w:noProof/>
            <w:webHidden/>
          </w:rPr>
          <w:instrText xml:space="preserve"> PAGEREF _Toc521932848 \h </w:instrText>
        </w:r>
        <w:r w:rsidR="008E210B">
          <w:rPr>
            <w:noProof/>
            <w:webHidden/>
          </w:rPr>
        </w:r>
        <w:r w:rsidR="008E210B">
          <w:rPr>
            <w:noProof/>
            <w:webHidden/>
          </w:rPr>
          <w:fldChar w:fldCharType="separate"/>
        </w:r>
        <w:r>
          <w:rPr>
            <w:noProof/>
            <w:webHidden/>
          </w:rPr>
          <w:t>10</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49" w:history="1">
        <w:r w:rsidR="008E210B" w:rsidRPr="00F950B1">
          <w:rPr>
            <w:rStyle w:val="Hyperlink"/>
            <w:noProof/>
          </w:rPr>
          <w:t>4</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Governance and administering guidelines</w:t>
        </w:r>
        <w:r w:rsidR="008E210B">
          <w:rPr>
            <w:noProof/>
            <w:webHidden/>
          </w:rPr>
          <w:tab/>
        </w:r>
        <w:r w:rsidR="008E210B">
          <w:rPr>
            <w:noProof/>
            <w:webHidden/>
          </w:rPr>
          <w:fldChar w:fldCharType="begin"/>
        </w:r>
        <w:r w:rsidR="008E210B">
          <w:rPr>
            <w:noProof/>
            <w:webHidden/>
          </w:rPr>
          <w:instrText xml:space="preserve"> PAGEREF _Toc521932849 \h </w:instrText>
        </w:r>
        <w:r w:rsidR="008E210B">
          <w:rPr>
            <w:noProof/>
            <w:webHidden/>
          </w:rPr>
        </w:r>
        <w:r w:rsidR="008E210B">
          <w:rPr>
            <w:noProof/>
            <w:webHidden/>
          </w:rPr>
          <w:fldChar w:fldCharType="separate"/>
        </w:r>
        <w:r>
          <w:rPr>
            <w:noProof/>
            <w:webHidden/>
          </w:rPr>
          <w:t>12</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50" w:history="1">
        <w:r w:rsidR="008E210B" w:rsidRPr="00F950B1">
          <w:rPr>
            <w:rStyle w:val="Hyperlink"/>
            <w:noProof/>
          </w:rPr>
          <w:t>4.1</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Governance</w:t>
        </w:r>
        <w:r w:rsidR="008E210B">
          <w:rPr>
            <w:noProof/>
            <w:webHidden/>
          </w:rPr>
          <w:tab/>
        </w:r>
        <w:r w:rsidR="008E210B">
          <w:rPr>
            <w:noProof/>
            <w:webHidden/>
          </w:rPr>
          <w:fldChar w:fldCharType="begin"/>
        </w:r>
        <w:r w:rsidR="008E210B">
          <w:rPr>
            <w:noProof/>
            <w:webHidden/>
          </w:rPr>
          <w:instrText xml:space="preserve"> PAGEREF _Toc521932850 \h </w:instrText>
        </w:r>
        <w:r w:rsidR="008E210B">
          <w:rPr>
            <w:noProof/>
            <w:webHidden/>
          </w:rPr>
        </w:r>
        <w:r w:rsidR="008E210B">
          <w:rPr>
            <w:noProof/>
            <w:webHidden/>
          </w:rPr>
          <w:fldChar w:fldCharType="separate"/>
        </w:r>
        <w:r>
          <w:rPr>
            <w:noProof/>
            <w:webHidden/>
          </w:rPr>
          <w:t>12</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51" w:history="1">
        <w:r w:rsidR="008E210B" w:rsidRPr="00F950B1">
          <w:rPr>
            <w:rStyle w:val="Hyperlink"/>
            <w:noProof/>
          </w:rPr>
          <w:t>4.2</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Intellectual Property and cost allocation</w:t>
        </w:r>
        <w:r w:rsidR="008E210B">
          <w:rPr>
            <w:noProof/>
            <w:webHidden/>
          </w:rPr>
          <w:tab/>
        </w:r>
        <w:r w:rsidR="008E210B">
          <w:rPr>
            <w:noProof/>
            <w:webHidden/>
          </w:rPr>
          <w:fldChar w:fldCharType="begin"/>
        </w:r>
        <w:r w:rsidR="008E210B">
          <w:rPr>
            <w:noProof/>
            <w:webHidden/>
          </w:rPr>
          <w:instrText xml:space="preserve"> PAGEREF _Toc521932851 \h </w:instrText>
        </w:r>
        <w:r w:rsidR="008E210B">
          <w:rPr>
            <w:noProof/>
            <w:webHidden/>
          </w:rPr>
        </w:r>
        <w:r w:rsidR="008E210B">
          <w:rPr>
            <w:noProof/>
            <w:webHidden/>
          </w:rPr>
          <w:fldChar w:fldCharType="separate"/>
        </w:r>
        <w:r>
          <w:rPr>
            <w:noProof/>
            <w:webHidden/>
          </w:rPr>
          <w:t>12</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52" w:history="1">
        <w:r w:rsidR="008E210B" w:rsidRPr="00F950B1">
          <w:rPr>
            <w:rStyle w:val="Hyperlink"/>
            <w:noProof/>
          </w:rPr>
          <w:t>4.3</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Disclosure</w:t>
        </w:r>
        <w:r w:rsidR="008E210B">
          <w:rPr>
            <w:noProof/>
            <w:webHidden/>
          </w:rPr>
          <w:tab/>
        </w:r>
        <w:r w:rsidR="008E210B">
          <w:rPr>
            <w:noProof/>
            <w:webHidden/>
          </w:rPr>
          <w:fldChar w:fldCharType="begin"/>
        </w:r>
        <w:r w:rsidR="008E210B">
          <w:rPr>
            <w:noProof/>
            <w:webHidden/>
          </w:rPr>
          <w:instrText xml:space="preserve"> PAGEREF _Toc521932852 \h </w:instrText>
        </w:r>
        <w:r w:rsidR="008E210B">
          <w:rPr>
            <w:noProof/>
            <w:webHidden/>
          </w:rPr>
        </w:r>
        <w:r w:rsidR="008E210B">
          <w:rPr>
            <w:noProof/>
            <w:webHidden/>
          </w:rPr>
          <w:fldChar w:fldCharType="separate"/>
        </w:r>
        <w:r>
          <w:rPr>
            <w:noProof/>
            <w:webHidden/>
          </w:rPr>
          <w:t>12</w:t>
        </w:r>
        <w:r w:rsidR="008E210B">
          <w:rPr>
            <w:noProof/>
            <w:webHidden/>
          </w:rPr>
          <w:fldChar w:fldCharType="end"/>
        </w:r>
      </w:hyperlink>
    </w:p>
    <w:p w:rsidR="008E210B" w:rsidRDefault="00BE3296">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21932853" w:history="1">
        <w:r w:rsidR="008E210B" w:rsidRPr="00F950B1">
          <w:rPr>
            <w:rStyle w:val="Hyperlink"/>
            <w:noProof/>
          </w:rPr>
          <w:t>4.3.1</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Disclosure at Stage Two</w:t>
        </w:r>
        <w:r w:rsidR="008E210B">
          <w:rPr>
            <w:noProof/>
            <w:webHidden/>
          </w:rPr>
          <w:tab/>
        </w:r>
        <w:r w:rsidR="008E210B">
          <w:rPr>
            <w:noProof/>
            <w:webHidden/>
          </w:rPr>
          <w:fldChar w:fldCharType="begin"/>
        </w:r>
        <w:r w:rsidR="008E210B">
          <w:rPr>
            <w:noProof/>
            <w:webHidden/>
          </w:rPr>
          <w:instrText xml:space="preserve"> PAGEREF _Toc521932853 \h </w:instrText>
        </w:r>
        <w:r w:rsidR="008E210B">
          <w:rPr>
            <w:noProof/>
            <w:webHidden/>
          </w:rPr>
        </w:r>
        <w:r w:rsidR="008E210B">
          <w:rPr>
            <w:noProof/>
            <w:webHidden/>
          </w:rPr>
          <w:fldChar w:fldCharType="separate"/>
        </w:r>
        <w:r>
          <w:rPr>
            <w:noProof/>
            <w:webHidden/>
          </w:rPr>
          <w:t>13</w:t>
        </w:r>
        <w:r w:rsidR="008E210B">
          <w:rPr>
            <w:noProof/>
            <w:webHidden/>
          </w:rPr>
          <w:fldChar w:fldCharType="end"/>
        </w:r>
      </w:hyperlink>
    </w:p>
    <w:p w:rsidR="008E210B" w:rsidRDefault="00BE3296">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521932854" w:history="1">
        <w:r w:rsidR="008E210B" w:rsidRPr="00F950B1">
          <w:rPr>
            <w:rStyle w:val="Hyperlink"/>
            <w:noProof/>
          </w:rPr>
          <w:t>4.3.2</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Disclosure at Stage Three</w:t>
        </w:r>
        <w:r w:rsidR="008E210B">
          <w:rPr>
            <w:noProof/>
            <w:webHidden/>
          </w:rPr>
          <w:tab/>
        </w:r>
        <w:r w:rsidR="008E210B">
          <w:rPr>
            <w:noProof/>
            <w:webHidden/>
          </w:rPr>
          <w:fldChar w:fldCharType="begin"/>
        </w:r>
        <w:r w:rsidR="008E210B">
          <w:rPr>
            <w:noProof/>
            <w:webHidden/>
          </w:rPr>
          <w:instrText xml:space="preserve"> PAGEREF _Toc521932854 \h </w:instrText>
        </w:r>
        <w:r w:rsidR="008E210B">
          <w:rPr>
            <w:noProof/>
            <w:webHidden/>
          </w:rPr>
        </w:r>
        <w:r w:rsidR="008E210B">
          <w:rPr>
            <w:noProof/>
            <w:webHidden/>
          </w:rPr>
          <w:fldChar w:fldCharType="separate"/>
        </w:r>
        <w:r>
          <w:rPr>
            <w:noProof/>
            <w:webHidden/>
          </w:rPr>
          <w:t>13</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55" w:history="1">
        <w:r w:rsidR="008E210B" w:rsidRPr="00F950B1">
          <w:rPr>
            <w:rStyle w:val="Hyperlink"/>
            <w:noProof/>
          </w:rPr>
          <w:t>4.4</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Due diligence when assessing proposals</w:t>
        </w:r>
        <w:r w:rsidR="008E210B">
          <w:rPr>
            <w:noProof/>
            <w:webHidden/>
          </w:rPr>
          <w:tab/>
        </w:r>
        <w:r w:rsidR="008E210B">
          <w:rPr>
            <w:noProof/>
            <w:webHidden/>
          </w:rPr>
          <w:fldChar w:fldCharType="begin"/>
        </w:r>
        <w:r w:rsidR="008E210B">
          <w:rPr>
            <w:noProof/>
            <w:webHidden/>
          </w:rPr>
          <w:instrText xml:space="preserve"> PAGEREF _Toc521932855 \h </w:instrText>
        </w:r>
        <w:r w:rsidR="008E210B">
          <w:rPr>
            <w:noProof/>
            <w:webHidden/>
          </w:rPr>
        </w:r>
        <w:r w:rsidR="008E210B">
          <w:rPr>
            <w:noProof/>
            <w:webHidden/>
          </w:rPr>
          <w:fldChar w:fldCharType="separate"/>
        </w:r>
        <w:r>
          <w:rPr>
            <w:noProof/>
            <w:webHidden/>
          </w:rPr>
          <w:t>13</w:t>
        </w:r>
        <w:r w:rsidR="008E210B">
          <w:rPr>
            <w:noProof/>
            <w:webHidden/>
          </w:rPr>
          <w:fldChar w:fldCharType="end"/>
        </w:r>
      </w:hyperlink>
    </w:p>
    <w:p w:rsidR="008E210B" w:rsidRDefault="00BE3296">
      <w:pPr>
        <w:pStyle w:val="TOC2"/>
        <w:rPr>
          <w:rFonts w:asciiTheme="minorHAnsi" w:eastAsiaTheme="minorEastAsia" w:hAnsiTheme="minorHAnsi" w:cstheme="minorBidi"/>
          <w:noProof/>
          <w:color w:val="auto"/>
          <w:sz w:val="22"/>
          <w:szCs w:val="22"/>
          <w:lang w:eastAsia="en-AU"/>
        </w:rPr>
      </w:pPr>
      <w:hyperlink w:anchor="_Toc521932856" w:history="1">
        <w:r w:rsidR="008E210B" w:rsidRPr="00F950B1">
          <w:rPr>
            <w:rStyle w:val="Hyperlink"/>
            <w:noProof/>
          </w:rPr>
          <w:t>4.5</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Probity</w:t>
        </w:r>
        <w:r w:rsidR="008E210B">
          <w:rPr>
            <w:noProof/>
            <w:webHidden/>
          </w:rPr>
          <w:tab/>
        </w:r>
        <w:r w:rsidR="008E210B">
          <w:rPr>
            <w:noProof/>
            <w:webHidden/>
          </w:rPr>
          <w:fldChar w:fldCharType="begin"/>
        </w:r>
        <w:r w:rsidR="008E210B">
          <w:rPr>
            <w:noProof/>
            <w:webHidden/>
          </w:rPr>
          <w:instrText xml:space="preserve"> PAGEREF _Toc521932856 \h </w:instrText>
        </w:r>
        <w:r w:rsidR="008E210B">
          <w:rPr>
            <w:noProof/>
            <w:webHidden/>
          </w:rPr>
        </w:r>
        <w:r w:rsidR="008E210B">
          <w:rPr>
            <w:noProof/>
            <w:webHidden/>
          </w:rPr>
          <w:fldChar w:fldCharType="separate"/>
        </w:r>
        <w:r>
          <w:rPr>
            <w:noProof/>
            <w:webHidden/>
          </w:rPr>
          <w:t>13</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57" w:history="1">
        <w:r w:rsidR="008E210B" w:rsidRPr="00F950B1">
          <w:rPr>
            <w:rStyle w:val="Hyperlink"/>
            <w:noProof/>
          </w:rPr>
          <w:t>5</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Contact details</w:t>
        </w:r>
        <w:r w:rsidR="008E210B">
          <w:rPr>
            <w:noProof/>
            <w:webHidden/>
          </w:rPr>
          <w:tab/>
        </w:r>
        <w:r w:rsidR="008E210B">
          <w:rPr>
            <w:noProof/>
            <w:webHidden/>
          </w:rPr>
          <w:fldChar w:fldCharType="begin"/>
        </w:r>
        <w:r w:rsidR="008E210B">
          <w:rPr>
            <w:noProof/>
            <w:webHidden/>
          </w:rPr>
          <w:instrText xml:space="preserve"> PAGEREF _Toc521932857 \h </w:instrText>
        </w:r>
        <w:r w:rsidR="008E210B">
          <w:rPr>
            <w:noProof/>
            <w:webHidden/>
          </w:rPr>
        </w:r>
        <w:r w:rsidR="008E210B">
          <w:rPr>
            <w:noProof/>
            <w:webHidden/>
          </w:rPr>
          <w:fldChar w:fldCharType="separate"/>
        </w:r>
        <w:r>
          <w:rPr>
            <w:noProof/>
            <w:webHidden/>
          </w:rPr>
          <w:t>14</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58" w:history="1">
        <w:r w:rsidR="008E210B" w:rsidRPr="00F950B1">
          <w:rPr>
            <w:rStyle w:val="Hyperlink"/>
            <w:noProof/>
          </w:rPr>
          <w:t>6</w:t>
        </w:r>
        <w:r w:rsidR="008E210B">
          <w:rPr>
            <w:rFonts w:asciiTheme="minorHAnsi" w:eastAsiaTheme="minorEastAsia" w:hAnsiTheme="minorHAnsi" w:cstheme="minorBidi"/>
            <w:noProof/>
            <w:color w:val="auto"/>
            <w:sz w:val="22"/>
            <w:szCs w:val="22"/>
            <w:lang w:eastAsia="en-AU"/>
          </w:rPr>
          <w:tab/>
        </w:r>
        <w:r w:rsidR="008E210B" w:rsidRPr="00F950B1">
          <w:rPr>
            <w:rStyle w:val="Hyperlink"/>
            <w:noProof/>
          </w:rPr>
          <w:t>Glossary of terms</w:t>
        </w:r>
        <w:r w:rsidR="008E210B">
          <w:rPr>
            <w:noProof/>
            <w:webHidden/>
          </w:rPr>
          <w:tab/>
        </w:r>
        <w:r w:rsidR="008E210B">
          <w:rPr>
            <w:noProof/>
            <w:webHidden/>
          </w:rPr>
          <w:fldChar w:fldCharType="begin"/>
        </w:r>
        <w:r w:rsidR="008E210B">
          <w:rPr>
            <w:noProof/>
            <w:webHidden/>
          </w:rPr>
          <w:instrText xml:space="preserve"> PAGEREF _Toc521932858 \h </w:instrText>
        </w:r>
        <w:r w:rsidR="008E210B">
          <w:rPr>
            <w:noProof/>
            <w:webHidden/>
          </w:rPr>
        </w:r>
        <w:r w:rsidR="008E210B">
          <w:rPr>
            <w:noProof/>
            <w:webHidden/>
          </w:rPr>
          <w:fldChar w:fldCharType="separate"/>
        </w:r>
        <w:r>
          <w:rPr>
            <w:noProof/>
            <w:webHidden/>
          </w:rPr>
          <w:t>15</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59" w:history="1">
        <w:r w:rsidR="008E210B" w:rsidRPr="00F950B1">
          <w:rPr>
            <w:rStyle w:val="Hyperlink"/>
            <w:noProof/>
          </w:rPr>
          <w:t>Appendix 1 – Simple Proposal Submission Template</w:t>
        </w:r>
        <w:r w:rsidR="008E210B">
          <w:rPr>
            <w:noProof/>
            <w:webHidden/>
          </w:rPr>
          <w:tab/>
        </w:r>
        <w:r w:rsidR="008E210B">
          <w:rPr>
            <w:noProof/>
            <w:webHidden/>
          </w:rPr>
          <w:fldChar w:fldCharType="begin"/>
        </w:r>
        <w:r w:rsidR="008E210B">
          <w:rPr>
            <w:noProof/>
            <w:webHidden/>
          </w:rPr>
          <w:instrText xml:space="preserve"> PAGEREF _Toc521932859 \h </w:instrText>
        </w:r>
        <w:r w:rsidR="008E210B">
          <w:rPr>
            <w:noProof/>
            <w:webHidden/>
          </w:rPr>
        </w:r>
        <w:r w:rsidR="008E210B">
          <w:rPr>
            <w:noProof/>
            <w:webHidden/>
          </w:rPr>
          <w:fldChar w:fldCharType="separate"/>
        </w:r>
        <w:r>
          <w:rPr>
            <w:noProof/>
            <w:webHidden/>
          </w:rPr>
          <w:t>1</w:t>
        </w:r>
        <w:r w:rsidR="008E210B">
          <w:rPr>
            <w:noProof/>
            <w:webHidden/>
          </w:rPr>
          <w:fldChar w:fldCharType="end"/>
        </w:r>
      </w:hyperlink>
    </w:p>
    <w:p w:rsidR="008E210B" w:rsidRDefault="00BE3296">
      <w:pPr>
        <w:pStyle w:val="TOC1"/>
        <w:rPr>
          <w:rFonts w:asciiTheme="minorHAnsi" w:eastAsiaTheme="minorEastAsia" w:hAnsiTheme="minorHAnsi" w:cstheme="minorBidi"/>
          <w:noProof/>
          <w:color w:val="auto"/>
          <w:sz w:val="22"/>
          <w:szCs w:val="22"/>
          <w:lang w:eastAsia="en-AU"/>
        </w:rPr>
      </w:pPr>
      <w:hyperlink w:anchor="_Toc521932860" w:history="1">
        <w:r w:rsidR="008E210B" w:rsidRPr="00F950B1">
          <w:rPr>
            <w:rStyle w:val="Hyperlink"/>
            <w:noProof/>
          </w:rPr>
          <w:t>Appendix 2 – Latrobe Valley Funding Initiatives</w:t>
        </w:r>
        <w:r w:rsidR="008E210B">
          <w:rPr>
            <w:noProof/>
            <w:webHidden/>
          </w:rPr>
          <w:tab/>
        </w:r>
        <w:r w:rsidR="008E210B">
          <w:rPr>
            <w:noProof/>
            <w:webHidden/>
          </w:rPr>
          <w:fldChar w:fldCharType="begin"/>
        </w:r>
        <w:r w:rsidR="008E210B">
          <w:rPr>
            <w:noProof/>
            <w:webHidden/>
          </w:rPr>
          <w:instrText xml:space="preserve"> PAGEREF _Toc521932860 \h </w:instrText>
        </w:r>
        <w:r w:rsidR="008E210B">
          <w:rPr>
            <w:noProof/>
            <w:webHidden/>
          </w:rPr>
        </w:r>
        <w:r w:rsidR="008E210B">
          <w:rPr>
            <w:noProof/>
            <w:webHidden/>
          </w:rPr>
          <w:fldChar w:fldCharType="separate"/>
        </w:r>
        <w:r>
          <w:rPr>
            <w:noProof/>
            <w:webHidden/>
          </w:rPr>
          <w:t>7</w:t>
        </w:r>
        <w:r w:rsidR="008E210B">
          <w:rPr>
            <w:noProof/>
            <w:webHidden/>
          </w:rPr>
          <w:fldChar w:fldCharType="end"/>
        </w:r>
      </w:hyperlink>
    </w:p>
    <w:p w:rsidR="00BA03D9" w:rsidRPr="00BA03D9" w:rsidRDefault="004371F6" w:rsidP="006522E5">
      <w:pPr>
        <w:pStyle w:val="bodyCopy"/>
        <w:spacing w:before="240" w:after="0"/>
      </w:pPr>
      <w:r>
        <w:rPr>
          <w:noProof/>
        </w:rPr>
        <w:fldChar w:fldCharType="end"/>
      </w:r>
    </w:p>
    <w:p w:rsidR="00BA03D9" w:rsidRDefault="00BA03D9" w:rsidP="006522E5">
      <w:pPr>
        <w:pStyle w:val="Heading1"/>
        <w:spacing w:before="240" w:after="0"/>
        <w:sectPr w:rsidR="00BA03D9" w:rsidSect="00E7553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37" w:gutter="0"/>
          <w:pgNumType w:fmt="lowerRoman" w:start="1"/>
          <w:cols w:space="708"/>
          <w:titlePg/>
          <w:docGrid w:linePitch="360"/>
        </w:sectPr>
      </w:pPr>
    </w:p>
    <w:p w:rsidR="004371F6" w:rsidRDefault="004C0750" w:rsidP="006522E5">
      <w:pPr>
        <w:pStyle w:val="Heading1"/>
        <w:spacing w:before="240" w:after="0"/>
      </w:pPr>
      <w:bookmarkStart w:id="1" w:name="_Toc521932836"/>
      <w:r>
        <w:lastRenderedPageBreak/>
        <w:t>Introduction</w:t>
      </w:r>
      <w:bookmarkEnd w:id="1"/>
    </w:p>
    <w:p w:rsidR="00531094" w:rsidRDefault="00F76DA4" w:rsidP="006537F9">
      <w:pPr>
        <w:spacing w:before="240" w:after="0"/>
      </w:pPr>
      <w:r>
        <w:t xml:space="preserve">The Victorian Government’s </w:t>
      </w:r>
      <w:r w:rsidRPr="00AE14C6">
        <w:rPr>
          <w:i/>
        </w:rPr>
        <w:t>Statement on Future Uses of Brown Coal</w:t>
      </w:r>
      <w:r>
        <w:t xml:space="preserve"> </w:t>
      </w:r>
      <w:r w:rsidR="00F57AB9">
        <w:t>(</w:t>
      </w:r>
      <w:r w:rsidR="00F57AB9" w:rsidRPr="008F0080">
        <w:t>Coal Statement</w:t>
      </w:r>
      <w:r w:rsidR="00F57AB9">
        <w:t xml:space="preserve">) </w:t>
      </w:r>
      <w:r>
        <w:t xml:space="preserve">commits the </w:t>
      </w:r>
      <w:r w:rsidR="00105DE4">
        <w:t xml:space="preserve">Victorian </w:t>
      </w:r>
      <w:r>
        <w:t>Government to</w:t>
      </w:r>
      <w:r w:rsidR="00C2157D">
        <w:t xml:space="preserve"> assessing new brown coal projects through a robust and transparent framework that is </w:t>
      </w:r>
      <w:r w:rsidR="000A5879">
        <w:t>consistent with the Government’s</w:t>
      </w:r>
      <w:r w:rsidR="00C2157D">
        <w:t xml:space="preserve"> social, economic and environmental </w:t>
      </w:r>
      <w:r w:rsidR="000A5879">
        <w:t>priorities</w:t>
      </w:r>
      <w:r w:rsidR="00C2157D">
        <w:t>.</w:t>
      </w:r>
      <w:r w:rsidR="002C60B6">
        <w:t xml:space="preserve"> </w:t>
      </w:r>
      <w:r w:rsidR="00105DE4">
        <w:t xml:space="preserve">Assessments will be </w:t>
      </w:r>
      <w:r>
        <w:t>undertak</w:t>
      </w:r>
      <w:r w:rsidR="00105DE4">
        <w:t xml:space="preserve">en in </w:t>
      </w:r>
      <w:r w:rsidR="003E078D">
        <w:t>a staged</w:t>
      </w:r>
      <w:r>
        <w:t xml:space="preserve"> </w:t>
      </w:r>
      <w:r w:rsidR="00105DE4">
        <w:t>manner</w:t>
      </w:r>
      <w:r>
        <w:t xml:space="preserve"> via a specifically developed </w:t>
      </w:r>
      <w:r w:rsidR="00147119">
        <w:t>Decision-Making Framework</w:t>
      </w:r>
      <w:r>
        <w:t xml:space="preserve"> (</w:t>
      </w:r>
      <w:r w:rsidRPr="008F0080">
        <w:t>Framework</w:t>
      </w:r>
      <w:r>
        <w:t>).</w:t>
      </w:r>
      <w:r w:rsidR="002C60B6">
        <w:t xml:space="preserve"> </w:t>
      </w:r>
    </w:p>
    <w:p w:rsidR="00F242C5" w:rsidRDefault="00F242C5" w:rsidP="00701BEE">
      <w:pPr>
        <w:spacing w:after="0"/>
      </w:pPr>
      <w:r>
        <w:t>Only brown coal projects seeking Government support will be subject to the Framework.</w:t>
      </w:r>
      <w:r w:rsidR="002C60B6">
        <w:t xml:space="preserve"> </w:t>
      </w:r>
      <w:r>
        <w:t xml:space="preserve">The Framework acknowledges that Government support comes in various forms, and that projects will approach the Government at different stages of </w:t>
      </w:r>
      <w:r w:rsidR="00F32E76">
        <w:t xml:space="preserve">project </w:t>
      </w:r>
      <w:r>
        <w:t>development.</w:t>
      </w:r>
      <w:r w:rsidR="002C60B6">
        <w:t xml:space="preserve"> </w:t>
      </w:r>
      <w:r w:rsidR="00105DE4">
        <w:t>As such, t</w:t>
      </w:r>
      <w:r>
        <w:t>he governance arrangements</w:t>
      </w:r>
      <w:r w:rsidR="004135FE">
        <w:t>,</w:t>
      </w:r>
      <w:r>
        <w:t xml:space="preserve"> submission requirements </w:t>
      </w:r>
      <w:r w:rsidR="004135FE">
        <w:t xml:space="preserve">and assessment criteria </w:t>
      </w:r>
      <w:r w:rsidR="00105DE4">
        <w:t xml:space="preserve">for </w:t>
      </w:r>
      <w:r w:rsidR="00F32E76">
        <w:t xml:space="preserve">proponents </w:t>
      </w:r>
      <w:r>
        <w:t xml:space="preserve">under the Framework </w:t>
      </w:r>
      <w:r w:rsidR="00105DE4">
        <w:t xml:space="preserve">will </w:t>
      </w:r>
      <w:r>
        <w:t>vary according to these factors.</w:t>
      </w:r>
      <w:r w:rsidR="002C60B6">
        <w:t xml:space="preserve"> </w:t>
      </w:r>
      <w:r w:rsidR="00105DE4">
        <w:t xml:space="preserve">Supporting the Framework is the advice of </w:t>
      </w:r>
      <w:r w:rsidR="00AE14C6">
        <w:t xml:space="preserve">an </w:t>
      </w:r>
      <w:r w:rsidR="00AE14C6" w:rsidRPr="00E0408D">
        <w:t xml:space="preserve">Independent Expert </w:t>
      </w:r>
      <w:r w:rsidR="007C36D5">
        <w:t xml:space="preserve">Advisory </w:t>
      </w:r>
      <w:r w:rsidR="00AE14C6" w:rsidRPr="00E0408D">
        <w:t>Panel (</w:t>
      </w:r>
      <w:r w:rsidR="00AE14C6" w:rsidRPr="008F0080">
        <w:t>IE</w:t>
      </w:r>
      <w:r w:rsidR="007C36D5">
        <w:t>A</w:t>
      </w:r>
      <w:r w:rsidR="00AE14C6" w:rsidRPr="008F0080">
        <w:t>P</w:t>
      </w:r>
      <w:r w:rsidR="00AE14C6" w:rsidRPr="00E0408D">
        <w:t>)</w:t>
      </w:r>
      <w:r w:rsidR="00AE14C6">
        <w:t>, comprising individuals</w:t>
      </w:r>
      <w:r w:rsidR="00AE14C6" w:rsidRPr="00E0408D">
        <w:t xml:space="preserve"> with </w:t>
      </w:r>
      <w:r w:rsidR="00AE14C6">
        <w:t>technical, commercial and environmental expertise</w:t>
      </w:r>
      <w:r w:rsidR="00431811">
        <w:t>.</w:t>
      </w:r>
    </w:p>
    <w:p w:rsidR="004673C8" w:rsidRDefault="004673C8" w:rsidP="00701BEE">
      <w:pPr>
        <w:spacing w:after="0"/>
      </w:pPr>
      <w:r>
        <w:t xml:space="preserve">This </w:t>
      </w:r>
      <w:r w:rsidRPr="008F0080">
        <w:t>Guideline</w:t>
      </w:r>
      <w:r>
        <w:t xml:space="preserve"> </w:t>
      </w:r>
      <w:r w:rsidR="00F242C5">
        <w:t xml:space="preserve">outlines the staged approach and provides clarity on the assessment pathways, governance arrangements and assessment criteria that form the Framework. </w:t>
      </w:r>
    </w:p>
    <w:p w:rsidR="00AE14C6" w:rsidRDefault="00E0408D" w:rsidP="00701BEE">
      <w:pPr>
        <w:spacing w:after="0"/>
      </w:pPr>
      <w:r>
        <w:t>The Framework</w:t>
      </w:r>
      <w:r w:rsidRPr="00E0408D">
        <w:t xml:space="preserve"> </w:t>
      </w:r>
      <w:r w:rsidR="00AE14C6">
        <w:t>has been developed</w:t>
      </w:r>
      <w:r w:rsidRPr="00E0408D">
        <w:t xml:space="preserve"> to provide certainty of proc</w:t>
      </w:r>
      <w:r>
        <w:t xml:space="preserve">ess </w:t>
      </w:r>
      <w:r w:rsidRPr="00E0408D">
        <w:t xml:space="preserve">for project </w:t>
      </w:r>
      <w:r w:rsidR="00F32E76">
        <w:t>p</w:t>
      </w:r>
      <w:r w:rsidR="00F32E76" w:rsidRPr="00E0408D">
        <w:t xml:space="preserve">roponents </w:t>
      </w:r>
      <w:r w:rsidRPr="00E0408D">
        <w:t>and government agencies assessing proposals.</w:t>
      </w:r>
      <w:r w:rsidR="002C60B6">
        <w:t xml:space="preserve"> </w:t>
      </w:r>
      <w:r w:rsidR="00AE14C6">
        <w:t xml:space="preserve">Underpinning the Framework is </w:t>
      </w:r>
      <w:r w:rsidR="00F76DA4">
        <w:t xml:space="preserve">a </w:t>
      </w:r>
      <w:r w:rsidR="00431811">
        <w:t>‘</w:t>
      </w:r>
      <w:r w:rsidR="00F76DA4">
        <w:t>relative</w:t>
      </w:r>
      <w:r w:rsidR="00431811">
        <w:t xml:space="preserve"> net</w:t>
      </w:r>
      <w:r w:rsidR="00F76DA4">
        <w:t xml:space="preserve"> benefit’ approach to assessing the merits of </w:t>
      </w:r>
      <w:r w:rsidR="00531094">
        <w:t xml:space="preserve">applicable </w:t>
      </w:r>
      <w:r w:rsidR="00F76DA4">
        <w:t>brown coal projects</w:t>
      </w:r>
      <w:r w:rsidR="00431811">
        <w:t xml:space="preserve"> for Government support</w:t>
      </w:r>
      <w:r w:rsidR="00DD0810">
        <w:t>.</w:t>
      </w:r>
      <w:r w:rsidR="002C60B6">
        <w:t xml:space="preserve"> </w:t>
      </w:r>
      <w:r w:rsidR="00DD0810">
        <w:t xml:space="preserve">Under this approach, </w:t>
      </w:r>
      <w:r w:rsidR="001A7BF1">
        <w:t xml:space="preserve">there is no standing funding allocation to support new projects and </w:t>
      </w:r>
      <w:r w:rsidR="00431811">
        <w:t>Government consider</w:t>
      </w:r>
      <w:r w:rsidR="00DD0810">
        <w:t>ation will be given to</w:t>
      </w:r>
      <w:r w:rsidR="00431811">
        <w:t xml:space="preserve"> the benefits and opportunity cost of support</w:t>
      </w:r>
      <w:r w:rsidR="00DD0810">
        <w:t>ing</w:t>
      </w:r>
      <w:r w:rsidR="00152E48">
        <w:t xml:space="preserve"> coal</w:t>
      </w:r>
      <w:r w:rsidR="00431811">
        <w:t xml:space="preserve"> projects</w:t>
      </w:r>
      <w:r w:rsidR="001A7BF1">
        <w:t>,</w:t>
      </w:r>
      <w:r w:rsidR="00431811">
        <w:t xml:space="preserve"> against the potential benefits and costs of other economic development opportunities</w:t>
      </w:r>
      <w:r w:rsidR="00DD0810">
        <w:t>.</w:t>
      </w:r>
      <w:r w:rsidR="001A7BF1">
        <w:t xml:space="preserve"> </w:t>
      </w:r>
    </w:p>
    <w:p w:rsidR="004673C8" w:rsidRDefault="00AE14C6" w:rsidP="004D780B">
      <w:r>
        <w:t xml:space="preserve">The Framework </w:t>
      </w:r>
      <w:r w:rsidR="00DD0810">
        <w:t>applies to</w:t>
      </w:r>
      <w:r w:rsidR="00F76DA4">
        <w:t xml:space="preserve"> proje</w:t>
      </w:r>
      <w:r w:rsidR="003D0796">
        <w:t xml:space="preserve">cts on a commercial pathway that </w:t>
      </w:r>
      <w:r w:rsidR="00E84CBA">
        <w:t>propose to use more than</w:t>
      </w:r>
      <w:r w:rsidR="00F76DA4">
        <w:t xml:space="preserve"> 27,000 tonnes of brown coal </w:t>
      </w:r>
      <w:r w:rsidR="004673C8">
        <w:t xml:space="preserve">(run of mine) </w:t>
      </w:r>
      <w:r w:rsidR="00F76DA4">
        <w:t>per annum</w:t>
      </w:r>
      <w:r w:rsidR="004673C8">
        <w:rPr>
          <w:rStyle w:val="FootnoteReference"/>
        </w:rPr>
        <w:footnoteReference w:id="1"/>
      </w:r>
      <w:r w:rsidR="00F76DA4">
        <w:t>.</w:t>
      </w:r>
      <w:r w:rsidR="002C60B6">
        <w:t xml:space="preserve"> </w:t>
      </w:r>
      <w:r w:rsidR="00431811">
        <w:t>As such, t</w:t>
      </w:r>
      <w:r w:rsidR="00F57AB9">
        <w:t xml:space="preserve">he scope of the Framework does not extend to </w:t>
      </w:r>
      <w:r w:rsidR="005C3B9C">
        <w:t xml:space="preserve">consideration of support for </w:t>
      </w:r>
      <w:r w:rsidR="00F57AB9">
        <w:t>r</w:t>
      </w:r>
      <w:r>
        <w:t>esearch an</w:t>
      </w:r>
      <w:r w:rsidR="00F57AB9">
        <w:t>d development or</w:t>
      </w:r>
      <w:r w:rsidR="005C3B9C">
        <w:t xml:space="preserve"> </w:t>
      </w:r>
      <w:r w:rsidR="00152E48">
        <w:t xml:space="preserve">small-scale </w:t>
      </w:r>
      <w:r w:rsidR="00F57AB9">
        <w:t>pilot projects</w:t>
      </w:r>
      <w:r w:rsidR="00DE2725">
        <w:rPr>
          <w:rStyle w:val="FootnoteReference"/>
        </w:rPr>
        <w:footnoteReference w:id="2"/>
      </w:r>
      <w:r w:rsidR="000A5879">
        <w:t xml:space="preserve"> that would use less than 27,000 tonnes of brown coal</w:t>
      </w:r>
      <w:r w:rsidR="00240C94">
        <w:t>.</w:t>
      </w:r>
    </w:p>
    <w:tbl>
      <w:tblPr>
        <w:tblStyle w:val="TableGrid"/>
        <w:tblW w:w="0" w:type="auto"/>
        <w:tblLook w:val="04A0" w:firstRow="1" w:lastRow="0" w:firstColumn="1" w:lastColumn="0" w:noHBand="0" w:noVBand="1"/>
        <w:tblCaption w:val="A note about eligibility for the Decision-making Framework and greenhouse gas emissions standard"/>
        <w:tblDescription w:val="The Decision-making Framework has been developed to inform Government decision-making on whether to support a new brown coal project that has approached the Government for one or more of project facilitation, a coal allocation or funding. Projects seeking to use Victorian brown coal, but not seeking Government support of any nature will not be subject to the Framework. However, these projects would still remain subject to all other regulatory approval processes, including the greenhouse gas emissions standard (if greater than 27,000 tonnes are proposed to be used) as stipulated in the Coal Statement. The emissions standard will be administered via the EPA Works Approval process. "/>
      </w:tblPr>
      <w:tblGrid>
        <w:gridCol w:w="9242"/>
      </w:tblGrid>
      <w:tr w:rsidR="004673C8" w:rsidTr="00240C94">
        <w:trPr>
          <w:tblHeader/>
        </w:trPr>
        <w:tc>
          <w:tcPr>
            <w:tcW w:w="9242" w:type="dxa"/>
          </w:tcPr>
          <w:p w:rsidR="004673C8" w:rsidRPr="00036B5D" w:rsidRDefault="007B3F7B" w:rsidP="00914885">
            <w:pPr>
              <w:pStyle w:val="bodyCopy"/>
              <w:spacing w:after="120"/>
              <w:rPr>
                <w:sz w:val="16"/>
                <w:szCs w:val="16"/>
              </w:rPr>
            </w:pPr>
            <w:r>
              <w:rPr>
                <w:sz w:val="16"/>
                <w:szCs w:val="16"/>
              </w:rPr>
              <w:t>Note</w:t>
            </w:r>
            <w:r w:rsidR="00A617EF">
              <w:rPr>
                <w:sz w:val="16"/>
                <w:szCs w:val="16"/>
              </w:rPr>
              <w:t>:</w:t>
            </w:r>
            <w:r w:rsidR="002C60B6">
              <w:rPr>
                <w:sz w:val="16"/>
                <w:szCs w:val="16"/>
              </w:rPr>
              <w:t xml:space="preserve"> </w:t>
            </w:r>
            <w:r w:rsidR="004673C8">
              <w:rPr>
                <w:sz w:val="16"/>
                <w:szCs w:val="16"/>
              </w:rPr>
              <w:t>P</w:t>
            </w:r>
            <w:r w:rsidR="004673C8" w:rsidRPr="00036B5D">
              <w:rPr>
                <w:sz w:val="16"/>
                <w:szCs w:val="16"/>
              </w:rPr>
              <w:t>rojects seeking to use Victorian brown coal, but not seeking Government support of any nature</w:t>
            </w:r>
            <w:r w:rsidR="00F32E76">
              <w:rPr>
                <w:sz w:val="16"/>
                <w:szCs w:val="16"/>
              </w:rPr>
              <w:t xml:space="preserve"> will not be subject to</w:t>
            </w:r>
            <w:r w:rsidR="004673C8" w:rsidRPr="00036B5D">
              <w:rPr>
                <w:sz w:val="16"/>
                <w:szCs w:val="16"/>
              </w:rPr>
              <w:t xml:space="preserve"> the Framework</w:t>
            </w:r>
            <w:r w:rsidR="00F479FF">
              <w:rPr>
                <w:sz w:val="16"/>
                <w:szCs w:val="16"/>
              </w:rPr>
              <w:t>.</w:t>
            </w:r>
            <w:r w:rsidR="002C60B6">
              <w:rPr>
                <w:sz w:val="16"/>
                <w:szCs w:val="16"/>
              </w:rPr>
              <w:t xml:space="preserve"> </w:t>
            </w:r>
            <w:r>
              <w:rPr>
                <w:sz w:val="16"/>
                <w:szCs w:val="16"/>
              </w:rPr>
              <w:t>T</w:t>
            </w:r>
            <w:r w:rsidR="00F479FF">
              <w:rPr>
                <w:sz w:val="16"/>
                <w:szCs w:val="16"/>
              </w:rPr>
              <w:t xml:space="preserve">hese projects </w:t>
            </w:r>
            <w:r w:rsidR="004673C8" w:rsidRPr="00036B5D">
              <w:rPr>
                <w:sz w:val="16"/>
                <w:szCs w:val="16"/>
              </w:rPr>
              <w:t xml:space="preserve">would remain subject to all other regulatory approval processes, including the greenhouse gas emissions </w:t>
            </w:r>
            <w:r w:rsidR="00B605C0">
              <w:rPr>
                <w:sz w:val="16"/>
                <w:szCs w:val="16"/>
              </w:rPr>
              <w:t xml:space="preserve">intensity </w:t>
            </w:r>
            <w:r w:rsidR="004673C8" w:rsidRPr="00036B5D">
              <w:rPr>
                <w:sz w:val="16"/>
                <w:szCs w:val="16"/>
              </w:rPr>
              <w:t>standard</w:t>
            </w:r>
            <w:r w:rsidR="004673C8">
              <w:rPr>
                <w:sz w:val="16"/>
                <w:szCs w:val="16"/>
              </w:rPr>
              <w:t xml:space="preserve"> </w:t>
            </w:r>
            <w:r w:rsidR="00B605C0">
              <w:rPr>
                <w:sz w:val="16"/>
                <w:szCs w:val="16"/>
              </w:rPr>
              <w:t>(emission standard)</w:t>
            </w:r>
            <w:r w:rsidR="00F83457">
              <w:rPr>
                <w:sz w:val="16"/>
                <w:szCs w:val="16"/>
              </w:rPr>
              <w:t xml:space="preserve">, which applies to </w:t>
            </w:r>
            <w:r w:rsidR="00F83457" w:rsidRPr="00F83457">
              <w:rPr>
                <w:sz w:val="16"/>
                <w:szCs w:val="16"/>
                <w:u w:val="single"/>
              </w:rPr>
              <w:t>all</w:t>
            </w:r>
            <w:r w:rsidR="00F83457">
              <w:rPr>
                <w:sz w:val="16"/>
                <w:szCs w:val="16"/>
              </w:rPr>
              <w:t xml:space="preserve"> projects as</w:t>
            </w:r>
            <w:r w:rsidR="00B605C0">
              <w:rPr>
                <w:sz w:val="16"/>
                <w:szCs w:val="16"/>
              </w:rPr>
              <w:t xml:space="preserve"> </w:t>
            </w:r>
            <w:r w:rsidR="004673C8">
              <w:rPr>
                <w:sz w:val="16"/>
                <w:szCs w:val="16"/>
              </w:rPr>
              <w:t>stipulated in the Coal Statement</w:t>
            </w:r>
            <w:r w:rsidR="00F61DE6">
              <w:rPr>
                <w:sz w:val="16"/>
                <w:szCs w:val="16"/>
              </w:rPr>
              <w:t xml:space="preserve">. The emissions intensity standard </w:t>
            </w:r>
            <w:r w:rsidR="004673C8" w:rsidRPr="00036B5D">
              <w:rPr>
                <w:sz w:val="16"/>
                <w:szCs w:val="16"/>
              </w:rPr>
              <w:t xml:space="preserve">will be </w:t>
            </w:r>
            <w:r w:rsidR="00944A96">
              <w:rPr>
                <w:sz w:val="16"/>
                <w:szCs w:val="16"/>
              </w:rPr>
              <w:t xml:space="preserve">set in regulations and </w:t>
            </w:r>
            <w:r w:rsidR="004673C8" w:rsidRPr="00036B5D">
              <w:rPr>
                <w:sz w:val="16"/>
                <w:szCs w:val="16"/>
              </w:rPr>
              <w:t xml:space="preserve">administered </w:t>
            </w:r>
            <w:r w:rsidR="00914885">
              <w:rPr>
                <w:sz w:val="16"/>
                <w:szCs w:val="16"/>
              </w:rPr>
              <w:t>by</w:t>
            </w:r>
            <w:r w:rsidR="00914885" w:rsidRPr="00036B5D">
              <w:rPr>
                <w:sz w:val="16"/>
                <w:szCs w:val="16"/>
              </w:rPr>
              <w:t xml:space="preserve"> </w:t>
            </w:r>
            <w:r w:rsidR="004673C8" w:rsidRPr="00036B5D">
              <w:rPr>
                <w:sz w:val="16"/>
                <w:szCs w:val="16"/>
              </w:rPr>
              <w:t>the E</w:t>
            </w:r>
            <w:r w:rsidR="002C60B6">
              <w:rPr>
                <w:sz w:val="16"/>
                <w:szCs w:val="16"/>
              </w:rPr>
              <w:t xml:space="preserve">nvironment </w:t>
            </w:r>
            <w:r w:rsidR="004673C8" w:rsidRPr="00036B5D">
              <w:rPr>
                <w:sz w:val="16"/>
                <w:szCs w:val="16"/>
              </w:rPr>
              <w:t>P</w:t>
            </w:r>
            <w:r w:rsidR="002C60B6">
              <w:rPr>
                <w:sz w:val="16"/>
                <w:szCs w:val="16"/>
              </w:rPr>
              <w:t xml:space="preserve">rotection </w:t>
            </w:r>
            <w:r w:rsidR="004673C8" w:rsidRPr="00036B5D">
              <w:rPr>
                <w:sz w:val="16"/>
                <w:szCs w:val="16"/>
              </w:rPr>
              <w:t>A</w:t>
            </w:r>
            <w:r w:rsidR="002C60B6">
              <w:rPr>
                <w:sz w:val="16"/>
                <w:szCs w:val="16"/>
              </w:rPr>
              <w:t>uthority</w:t>
            </w:r>
            <w:r w:rsidR="004673C8" w:rsidRPr="00036B5D">
              <w:rPr>
                <w:sz w:val="16"/>
                <w:szCs w:val="16"/>
              </w:rPr>
              <w:t xml:space="preserve"> </w:t>
            </w:r>
            <w:r w:rsidR="00914885">
              <w:rPr>
                <w:sz w:val="16"/>
                <w:szCs w:val="16"/>
              </w:rPr>
              <w:t xml:space="preserve">via the relevant approvals </w:t>
            </w:r>
            <w:r w:rsidR="004673C8" w:rsidRPr="00036B5D">
              <w:rPr>
                <w:sz w:val="16"/>
                <w:szCs w:val="16"/>
              </w:rPr>
              <w:t>process.</w:t>
            </w:r>
          </w:p>
        </w:tc>
      </w:tr>
    </w:tbl>
    <w:p w:rsidR="00DE2725" w:rsidRDefault="008A5882" w:rsidP="006522E5">
      <w:pPr>
        <w:spacing w:before="240" w:after="0"/>
      </w:pPr>
      <w:r>
        <w:t xml:space="preserve">For the purposes of the Framework, </w:t>
      </w:r>
      <w:r w:rsidR="00FC33AE">
        <w:t xml:space="preserve">Government </w:t>
      </w:r>
      <w:r>
        <w:t>support includes one or all of</w:t>
      </w:r>
      <w:r w:rsidR="00DE2725">
        <w:t>:</w:t>
      </w:r>
    </w:p>
    <w:p w:rsidR="00DE2725" w:rsidRDefault="008A5882" w:rsidP="00A76B9D">
      <w:pPr>
        <w:pStyle w:val="ListParagraph"/>
        <w:numPr>
          <w:ilvl w:val="0"/>
          <w:numId w:val="17"/>
        </w:numPr>
        <w:spacing w:before="120" w:after="0"/>
        <w:ind w:left="714" w:hanging="357"/>
      </w:pPr>
      <w:r>
        <w:t>facilitation</w:t>
      </w:r>
    </w:p>
    <w:p w:rsidR="00DE2725" w:rsidRDefault="008A5882" w:rsidP="00A76B9D">
      <w:pPr>
        <w:pStyle w:val="ListParagraph"/>
        <w:numPr>
          <w:ilvl w:val="0"/>
          <w:numId w:val="17"/>
        </w:numPr>
        <w:spacing w:before="120" w:after="0"/>
        <w:ind w:left="714" w:hanging="357"/>
      </w:pPr>
      <w:r>
        <w:t>coal allocation</w:t>
      </w:r>
    </w:p>
    <w:p w:rsidR="007E097A" w:rsidRDefault="008A5882" w:rsidP="00A76B9D">
      <w:pPr>
        <w:pStyle w:val="ListParagraph"/>
        <w:numPr>
          <w:ilvl w:val="0"/>
          <w:numId w:val="17"/>
        </w:numPr>
        <w:spacing w:before="120" w:after="0"/>
        <w:ind w:left="714" w:hanging="357"/>
      </w:pPr>
      <w:r>
        <w:t xml:space="preserve">funding </w:t>
      </w:r>
    </w:p>
    <w:p w:rsidR="00CE2C81" w:rsidRDefault="00567E8F" w:rsidP="006B0CEC">
      <w:r>
        <w:t>Under the Framework,</w:t>
      </w:r>
      <w:r w:rsidR="005C3B9C">
        <w:t xml:space="preserve"> submission requirements will be agreed according to the stage of project development and the scale of government support sought.</w:t>
      </w:r>
      <w:r w:rsidR="002C60B6">
        <w:t xml:space="preserve"> </w:t>
      </w:r>
      <w:r w:rsidR="005C3B9C">
        <w:t xml:space="preserve">Detailed proposal submission expectations will be set out in the </w:t>
      </w:r>
      <w:r w:rsidR="005C3B9C" w:rsidRPr="00326B66">
        <w:t xml:space="preserve">pre-submission meeting(s) between the proponent and the </w:t>
      </w:r>
      <w:r w:rsidR="00015BFD">
        <w:t>Department of Economic Development, Jobs, Transport and Resources (</w:t>
      </w:r>
      <w:r w:rsidR="00015BFD" w:rsidRPr="00326B66">
        <w:t>DEDJTR</w:t>
      </w:r>
      <w:r w:rsidR="00015BFD">
        <w:t>)</w:t>
      </w:r>
      <w:r w:rsidR="005C3B9C" w:rsidRPr="00326B66">
        <w:t>.</w:t>
      </w:r>
      <w:r w:rsidR="002C60B6">
        <w:t xml:space="preserve"> </w:t>
      </w:r>
      <w:r w:rsidR="004135FE" w:rsidRPr="00326B66">
        <w:t xml:space="preserve">Proponents seeking funding </w:t>
      </w:r>
      <w:r w:rsidR="00E84CBA" w:rsidRPr="00326B66">
        <w:t xml:space="preserve">must </w:t>
      </w:r>
      <w:r w:rsidR="004135FE" w:rsidRPr="00326B66">
        <w:t xml:space="preserve">identify an existing funding source within Government and will need to consider the assessment criteria set out under the </w:t>
      </w:r>
      <w:r w:rsidR="00147119">
        <w:t>Decision-Making Framework</w:t>
      </w:r>
      <w:r w:rsidR="004135FE" w:rsidRPr="00326B66">
        <w:t>, as well as any criteria specific to a respective funding source.</w:t>
      </w:r>
      <w:r w:rsidR="002C60B6">
        <w:t xml:space="preserve"> </w:t>
      </w:r>
      <w:r w:rsidR="004135FE" w:rsidRPr="00326B66">
        <w:t xml:space="preserve">DEDJTR will </w:t>
      </w:r>
      <w:r w:rsidR="00310873" w:rsidRPr="00326B66">
        <w:t>apply</w:t>
      </w:r>
      <w:r w:rsidR="004135FE" w:rsidRPr="00326B66">
        <w:t xml:space="preserve"> its ‘relative net benefit’ test </w:t>
      </w:r>
      <w:r w:rsidR="00310873" w:rsidRPr="00326B66">
        <w:t xml:space="preserve">to funding proposals </w:t>
      </w:r>
      <w:r w:rsidR="004135FE" w:rsidRPr="00326B66">
        <w:t>according to the specific criteria</w:t>
      </w:r>
      <w:r w:rsidR="00310873" w:rsidRPr="00326B66">
        <w:t xml:space="preserve"> related to the respective</w:t>
      </w:r>
      <w:r w:rsidR="00310873">
        <w:t xml:space="preserve"> funding source identified by the proponent. </w:t>
      </w:r>
    </w:p>
    <w:p w:rsidR="005555D9" w:rsidRPr="00364050" w:rsidRDefault="005555D9" w:rsidP="00364050">
      <w:pPr>
        <w:pStyle w:val="Caption"/>
        <w:rPr>
          <w:b w:val="0"/>
        </w:rPr>
      </w:pPr>
      <w:r w:rsidRPr="00364050">
        <w:rPr>
          <w:b w:val="0"/>
        </w:rPr>
        <w:t xml:space="preserve">A simple proposal submission template is provided in </w:t>
      </w:r>
      <w:r w:rsidRPr="00326B66">
        <w:rPr>
          <w:b w:val="0"/>
        </w:rPr>
        <w:t xml:space="preserve">Appendix 1, which sets out the submission expectations for a proposal seeking lower-value support (i.e. funding less than </w:t>
      </w:r>
      <w:r w:rsidR="002537A5" w:rsidRPr="00326B66">
        <w:rPr>
          <w:b w:val="0"/>
        </w:rPr>
        <w:t>$500,000</w:t>
      </w:r>
      <w:r w:rsidRPr="00326B66">
        <w:rPr>
          <w:b w:val="0"/>
        </w:rPr>
        <w:t xml:space="preserve"> or simple facilitation).</w:t>
      </w:r>
      <w:r w:rsidR="002C60B6">
        <w:rPr>
          <w:b w:val="0"/>
        </w:rPr>
        <w:t xml:space="preserve"> </w:t>
      </w:r>
      <w:r w:rsidRPr="00326B66">
        <w:rPr>
          <w:b w:val="0"/>
        </w:rPr>
        <w:t>Proposals are expected to include more detail and information as the value of support sought</w:t>
      </w:r>
      <w:r w:rsidRPr="00364050">
        <w:rPr>
          <w:b w:val="0"/>
        </w:rPr>
        <w:t xml:space="preserve"> increases or for projects in more advanced stages of development.</w:t>
      </w:r>
    </w:p>
    <w:p w:rsidR="004C0750" w:rsidRDefault="00575E4E" w:rsidP="00701BEE">
      <w:pPr>
        <w:spacing w:after="0"/>
      </w:pPr>
      <w:r>
        <w:lastRenderedPageBreak/>
        <w:t>I</w:t>
      </w:r>
      <w:r w:rsidR="008325C0">
        <w:t xml:space="preserve">n some instances, </w:t>
      </w:r>
      <w:r>
        <w:t xml:space="preserve">project </w:t>
      </w:r>
      <w:r w:rsidR="00F32E76">
        <w:t xml:space="preserve">proponents </w:t>
      </w:r>
      <w:r w:rsidR="008325C0">
        <w:t>may seek a combination of support streams from Government.</w:t>
      </w:r>
      <w:r w:rsidR="002C60B6">
        <w:t xml:space="preserve"> </w:t>
      </w:r>
      <w:r w:rsidR="008325C0">
        <w:t xml:space="preserve">In </w:t>
      </w:r>
      <w:r>
        <w:t xml:space="preserve">these </w:t>
      </w:r>
      <w:r w:rsidR="008325C0">
        <w:t xml:space="preserve">instances, </w:t>
      </w:r>
      <w:r>
        <w:t>a project may take multiple assessment pathways</w:t>
      </w:r>
      <w:r w:rsidR="003B386B">
        <w:t>.</w:t>
      </w:r>
      <w:r w:rsidR="002C60B6">
        <w:t xml:space="preserve"> </w:t>
      </w:r>
      <w:r w:rsidR="00252E38">
        <w:t xml:space="preserve">A pre-assessment </w:t>
      </w:r>
      <w:r w:rsidR="007B3F7B">
        <w:t>meeting</w:t>
      </w:r>
      <w:r w:rsidR="00252E38">
        <w:t xml:space="preserve"> </w:t>
      </w:r>
      <w:r w:rsidR="00015BFD">
        <w:t xml:space="preserve">with DEDJTR </w:t>
      </w:r>
      <w:r w:rsidR="00252E38">
        <w:t xml:space="preserve">will clarify the appropriate pathway/s for a project </w:t>
      </w:r>
      <w:r w:rsidR="00F32E76">
        <w:t>proponent</w:t>
      </w:r>
      <w:r w:rsidR="00015BFD">
        <w:t xml:space="preserve">. It also provides proponents with </w:t>
      </w:r>
      <w:r w:rsidR="00252E38">
        <w:t>an opportunity</w:t>
      </w:r>
      <w:r w:rsidR="007E097A">
        <w:t xml:space="preserve"> to discuss </w:t>
      </w:r>
      <w:r w:rsidR="00A5663D">
        <w:t>the Guideline</w:t>
      </w:r>
      <w:r w:rsidR="007E097A">
        <w:t xml:space="preserve"> </w:t>
      </w:r>
      <w:r w:rsidR="00252E38">
        <w:t xml:space="preserve">with </w:t>
      </w:r>
      <w:r w:rsidR="00252E38" w:rsidRPr="005C22A9">
        <w:t>DEDJTR</w:t>
      </w:r>
      <w:r w:rsidR="00252E38">
        <w:t xml:space="preserve"> </w:t>
      </w:r>
      <w:r w:rsidR="00902862">
        <w:t xml:space="preserve">prior to </w:t>
      </w:r>
      <w:r w:rsidR="007E097A">
        <w:t xml:space="preserve">investing </w:t>
      </w:r>
      <w:r w:rsidR="00252E38">
        <w:t xml:space="preserve">time and </w:t>
      </w:r>
      <w:r w:rsidR="007E097A">
        <w:t>re</w:t>
      </w:r>
      <w:r w:rsidR="007674F8">
        <w:t xml:space="preserve">sources </w:t>
      </w:r>
      <w:r w:rsidR="00252E38">
        <w:t>into developing</w:t>
      </w:r>
      <w:r w:rsidR="007674F8">
        <w:t xml:space="preserve"> a proposal</w:t>
      </w:r>
      <w:r w:rsidR="007E097A">
        <w:t xml:space="preserve"> for Government consideratio</w:t>
      </w:r>
      <w:r w:rsidR="003B6FD4">
        <w:t>n.</w:t>
      </w:r>
    </w:p>
    <w:p w:rsidR="0036573A" w:rsidRPr="00DB0DED" w:rsidRDefault="00147119" w:rsidP="004C0750">
      <w:pPr>
        <w:pStyle w:val="Heading2"/>
        <w:spacing w:before="240" w:after="120"/>
        <w:ind w:left="578" w:hanging="578"/>
      </w:pPr>
      <w:bookmarkStart w:id="2" w:name="_Toc521932837"/>
      <w:r>
        <w:t>Decision-Making Framework</w:t>
      </w:r>
      <w:r w:rsidR="004C0750">
        <w:t xml:space="preserve"> objectives</w:t>
      </w:r>
      <w:bookmarkEnd w:id="2"/>
    </w:p>
    <w:p w:rsidR="007E097A" w:rsidRDefault="00DE2725" w:rsidP="00A67D5B">
      <w:pPr>
        <w:spacing w:after="0"/>
      </w:pPr>
      <w:r>
        <w:t xml:space="preserve">The objectives of the Framework are to assist the Victorian </w:t>
      </w:r>
      <w:r w:rsidR="007E097A">
        <w:t>Government</w:t>
      </w:r>
      <w:r>
        <w:t xml:space="preserve"> in</w:t>
      </w:r>
      <w:r w:rsidR="007E097A">
        <w:t>:</w:t>
      </w:r>
    </w:p>
    <w:p w:rsidR="00292627" w:rsidRDefault="004C0750" w:rsidP="00A67D5B">
      <w:pPr>
        <w:pStyle w:val="ListParagraph"/>
        <w:numPr>
          <w:ilvl w:val="0"/>
          <w:numId w:val="9"/>
        </w:numPr>
        <w:spacing w:before="120" w:after="0"/>
        <w:ind w:left="851" w:hanging="567"/>
      </w:pPr>
      <w:r>
        <w:t>m</w:t>
      </w:r>
      <w:r w:rsidR="00DE2725">
        <w:t xml:space="preserve">aximising the </w:t>
      </w:r>
      <w:r w:rsidR="001A7BF1">
        <w:t>long-term</w:t>
      </w:r>
      <w:r w:rsidR="00DE2725">
        <w:t xml:space="preserve"> value of </w:t>
      </w:r>
      <w:r w:rsidR="00292627">
        <w:t>Victoria’s brown coal resources</w:t>
      </w:r>
      <w:r>
        <w:t xml:space="preserve"> in a manner that is </w:t>
      </w:r>
      <w:r w:rsidR="00292627">
        <w:t xml:space="preserve">consistent with </w:t>
      </w:r>
      <w:r w:rsidR="00D5731B">
        <w:t xml:space="preserve">the State’s </w:t>
      </w:r>
      <w:r w:rsidR="00292627">
        <w:t>economic, social, and environmental priorities</w:t>
      </w:r>
      <w:r w:rsidR="00F32E76">
        <w:t xml:space="preserve"> as stipulated in the Coal Statement</w:t>
      </w:r>
    </w:p>
    <w:p w:rsidR="00E4069B" w:rsidRDefault="0070082C" w:rsidP="00A67D5B">
      <w:pPr>
        <w:pStyle w:val="ListParagraph"/>
        <w:numPr>
          <w:ilvl w:val="0"/>
          <w:numId w:val="9"/>
        </w:numPr>
        <w:spacing w:before="120" w:after="0"/>
        <w:ind w:left="851" w:hanging="567"/>
      </w:pPr>
      <w:r>
        <w:t>creat</w:t>
      </w:r>
      <w:r w:rsidR="004C0750">
        <w:t>ing</w:t>
      </w:r>
      <w:r w:rsidR="00E4069B">
        <w:t xml:space="preserve"> jobs</w:t>
      </w:r>
      <w:r w:rsidR="00292627">
        <w:t>, new skills</w:t>
      </w:r>
      <w:r w:rsidR="00E4069B">
        <w:t xml:space="preserve"> and </w:t>
      </w:r>
      <w:r w:rsidR="004C0750">
        <w:t xml:space="preserve">fostering </w:t>
      </w:r>
      <w:r w:rsidR="00292627">
        <w:t xml:space="preserve">inclusive </w:t>
      </w:r>
      <w:r w:rsidR="00E4069B">
        <w:t>economic growth in Victoria</w:t>
      </w:r>
    </w:p>
    <w:p w:rsidR="00AD41EB" w:rsidRDefault="00292627" w:rsidP="00252E38">
      <w:pPr>
        <w:pStyle w:val="ListParagraph"/>
        <w:numPr>
          <w:ilvl w:val="0"/>
          <w:numId w:val="9"/>
        </w:numPr>
        <w:spacing w:before="120" w:after="0"/>
        <w:ind w:left="851" w:hanging="567"/>
      </w:pPr>
      <w:r>
        <w:t>provid</w:t>
      </w:r>
      <w:r w:rsidR="004C0750">
        <w:t>ing</w:t>
      </w:r>
      <w:r w:rsidR="007B3F7B">
        <w:t xml:space="preserve"> clarity and consistency for </w:t>
      </w:r>
      <w:r w:rsidR="00252E38">
        <w:t xml:space="preserve">Government and </w:t>
      </w:r>
      <w:r>
        <w:t>project</w:t>
      </w:r>
      <w:r w:rsidR="009B1C60">
        <w:t xml:space="preserve"> proponents</w:t>
      </w:r>
      <w:r w:rsidRPr="00C94EE0">
        <w:t xml:space="preserve"> </w:t>
      </w:r>
      <w:r w:rsidR="007B3F7B">
        <w:t xml:space="preserve">on </w:t>
      </w:r>
      <w:r w:rsidR="00AD41EB">
        <w:t xml:space="preserve">the assessment pathways and criteria for </w:t>
      </w:r>
      <w:r w:rsidR="00160EC3">
        <w:t xml:space="preserve">consideration of support for </w:t>
      </w:r>
      <w:r w:rsidR="00AD41EB">
        <w:t>new brown coal development opportunities</w:t>
      </w:r>
    </w:p>
    <w:p w:rsidR="00E4069B" w:rsidRDefault="00E4069B" w:rsidP="000D1323">
      <w:pPr>
        <w:pStyle w:val="ListParagraph"/>
        <w:numPr>
          <w:ilvl w:val="0"/>
          <w:numId w:val="9"/>
        </w:numPr>
        <w:spacing w:before="120" w:after="0"/>
        <w:ind w:left="851" w:hanging="567"/>
      </w:pPr>
      <w:r>
        <w:t>ensur</w:t>
      </w:r>
      <w:r w:rsidR="004C0750">
        <w:t>ing</w:t>
      </w:r>
      <w:r>
        <w:t xml:space="preserve"> a process that is fair and transparent</w:t>
      </w:r>
      <w:r w:rsidR="0070082C">
        <w:t xml:space="preserve"> and maintains the highest level of probity and public accountability throughout the process</w:t>
      </w:r>
    </w:p>
    <w:p w:rsidR="00680D4D" w:rsidRDefault="00680D4D" w:rsidP="000D1323">
      <w:pPr>
        <w:pStyle w:val="ListParagraph"/>
        <w:numPr>
          <w:ilvl w:val="0"/>
          <w:numId w:val="9"/>
        </w:numPr>
        <w:spacing w:before="120" w:after="0"/>
        <w:ind w:left="851" w:hanging="567"/>
      </w:pPr>
      <w:r>
        <w:t>ensur</w:t>
      </w:r>
      <w:r w:rsidR="004C0750">
        <w:t>ing</w:t>
      </w:r>
      <w:r>
        <w:t xml:space="preserve"> the </w:t>
      </w:r>
      <w:r w:rsidR="004C0750">
        <w:t xml:space="preserve">appropriate treatment of a project </w:t>
      </w:r>
      <w:r w:rsidR="00F32E76">
        <w:t xml:space="preserve">proponent’s </w:t>
      </w:r>
      <w:r>
        <w:t>intellectual property.</w:t>
      </w:r>
    </w:p>
    <w:p w:rsidR="00663462" w:rsidRDefault="006A7896" w:rsidP="004C0750">
      <w:pPr>
        <w:pStyle w:val="Heading2"/>
        <w:spacing w:before="240" w:after="120"/>
        <w:ind w:left="578" w:hanging="578"/>
      </w:pPr>
      <w:bookmarkStart w:id="3" w:name="_Toc484589913"/>
      <w:bookmarkStart w:id="4" w:name="_Toc484597105"/>
      <w:bookmarkStart w:id="5" w:name="_Toc484589914"/>
      <w:bookmarkStart w:id="6" w:name="_Toc484597106"/>
      <w:bookmarkStart w:id="7" w:name="_Toc521932838"/>
      <w:bookmarkEnd w:id="3"/>
      <w:bookmarkEnd w:id="4"/>
      <w:bookmarkEnd w:id="5"/>
      <w:bookmarkEnd w:id="6"/>
      <w:r>
        <w:t>Decision-making process</w:t>
      </w:r>
      <w:r w:rsidR="00E53B4F">
        <w:t xml:space="preserve"> overview</w:t>
      </w:r>
      <w:bookmarkEnd w:id="7"/>
    </w:p>
    <w:p w:rsidR="005908A4" w:rsidRDefault="00B55271" w:rsidP="00ED2069">
      <w:pPr>
        <w:pStyle w:val="bodyCopy"/>
        <w:spacing w:after="120"/>
      </w:pPr>
      <w:r>
        <w:t>The Framework</w:t>
      </w:r>
      <w:r w:rsidRPr="00B55271">
        <w:t xml:space="preserve"> </w:t>
      </w:r>
      <w:r w:rsidR="00FF59D6">
        <w:t>comprises</w:t>
      </w:r>
      <w:r w:rsidR="00FF59D6" w:rsidRPr="00B55271">
        <w:t xml:space="preserve"> </w:t>
      </w:r>
      <w:r w:rsidRPr="00B55271">
        <w:t xml:space="preserve">a </w:t>
      </w:r>
      <w:r>
        <w:t>three</w:t>
      </w:r>
      <w:r w:rsidR="007C47B0">
        <w:t>-</w:t>
      </w:r>
      <w:r w:rsidRPr="00B55271">
        <w:t xml:space="preserve">stage </w:t>
      </w:r>
      <w:r w:rsidR="00836C73">
        <w:t xml:space="preserve">assessment </w:t>
      </w:r>
      <w:r w:rsidRPr="00B55271">
        <w:t xml:space="preserve">process </w:t>
      </w:r>
      <w:r w:rsidR="008A5882">
        <w:t>guiding</w:t>
      </w:r>
      <w:r w:rsidR="00836C73">
        <w:t xml:space="preserve"> Government decision-making on support for</w:t>
      </w:r>
      <w:r w:rsidRPr="00B55271">
        <w:t xml:space="preserve"> </w:t>
      </w:r>
      <w:r w:rsidR="00531094">
        <w:t xml:space="preserve">applicable </w:t>
      </w:r>
      <w:r w:rsidR="00F84A35">
        <w:t>brown coal</w:t>
      </w:r>
      <w:r w:rsidRPr="00B55271">
        <w:t xml:space="preserve"> projects</w:t>
      </w:r>
      <w:r>
        <w:t>.</w:t>
      </w:r>
      <w:r w:rsidR="002C60B6">
        <w:t xml:space="preserve"> </w:t>
      </w:r>
      <w:r w:rsidR="005908A4">
        <w:t>The initial assessment at Stage 1 will in all cases be conducted by the IE</w:t>
      </w:r>
      <w:r w:rsidR="007C36D5">
        <w:t>A</w:t>
      </w:r>
      <w:r w:rsidR="005908A4">
        <w:t xml:space="preserve">P, who will recommend </w:t>
      </w:r>
      <w:r w:rsidR="00F32E76">
        <w:t>suitable</w:t>
      </w:r>
      <w:r w:rsidR="005908A4">
        <w:t xml:space="preserve"> </w:t>
      </w:r>
      <w:r w:rsidR="00F32E76">
        <w:t xml:space="preserve">proposals </w:t>
      </w:r>
      <w:r w:rsidR="005908A4">
        <w:t xml:space="preserve">for </w:t>
      </w:r>
      <w:r w:rsidR="009B1C60">
        <w:t>more detailed assessment and consideration</w:t>
      </w:r>
      <w:r w:rsidR="005908A4">
        <w:t xml:space="preserve"> in Stage 2.</w:t>
      </w:r>
      <w:r w:rsidR="002C60B6">
        <w:t xml:space="preserve"> </w:t>
      </w:r>
      <w:r w:rsidR="005908A4">
        <w:t xml:space="preserve">Governance arrangements in Stages 2 and 3 depend on the </w:t>
      </w:r>
      <w:r w:rsidR="004E19B2">
        <w:t xml:space="preserve">nature </w:t>
      </w:r>
      <w:r w:rsidR="005F48FA">
        <w:t xml:space="preserve">and scale </w:t>
      </w:r>
      <w:r w:rsidR="005908A4">
        <w:t>of support sought.</w:t>
      </w:r>
    </w:p>
    <w:p w:rsidR="000A5BA8" w:rsidRDefault="00680D4D" w:rsidP="00ED2069">
      <w:pPr>
        <w:pStyle w:val="bodyCopy"/>
        <w:spacing w:after="120"/>
      </w:pPr>
      <w:r>
        <w:t>The Framework</w:t>
      </w:r>
      <w:r w:rsidR="000A5BA8">
        <w:t xml:space="preserve"> and the </w:t>
      </w:r>
      <w:r w:rsidR="004105D5">
        <w:t xml:space="preserve">recommendations </w:t>
      </w:r>
      <w:r w:rsidR="000A5BA8">
        <w:t xml:space="preserve">of the </w:t>
      </w:r>
      <w:r w:rsidR="00E64719">
        <w:t>IEAP</w:t>
      </w:r>
      <w:r w:rsidR="000A5BA8">
        <w:t xml:space="preserve"> will</w:t>
      </w:r>
      <w:r>
        <w:t xml:space="preserve"> not pre-empt other regulatory approval processes </w:t>
      </w:r>
      <w:r w:rsidR="000A5BA8">
        <w:t xml:space="preserve">relevant to brown coal project development </w:t>
      </w:r>
      <w:r>
        <w:t xml:space="preserve">(e.g. </w:t>
      </w:r>
      <w:r w:rsidR="003D0796">
        <w:t xml:space="preserve">Works Approval or Environment </w:t>
      </w:r>
      <w:r>
        <w:t>Effect</w:t>
      </w:r>
      <w:r w:rsidR="00F32E76">
        <w:t>s</w:t>
      </w:r>
      <w:r>
        <w:t xml:space="preserve"> Statement), </w:t>
      </w:r>
      <w:r w:rsidR="00BD51AC">
        <w:t>nor will it serve a specific regulatory function.</w:t>
      </w:r>
      <w:r w:rsidR="002C60B6">
        <w:t xml:space="preserve"> </w:t>
      </w:r>
      <w:r w:rsidR="00BD51AC">
        <w:t xml:space="preserve">The Framework exists to </w:t>
      </w:r>
      <w:r w:rsidR="008A5882">
        <w:t>facilitate a merit-based assessment</w:t>
      </w:r>
      <w:r>
        <w:t xml:space="preserve"> of </w:t>
      </w:r>
      <w:r w:rsidR="000A5BA8">
        <w:t xml:space="preserve">a </w:t>
      </w:r>
      <w:r>
        <w:t>project</w:t>
      </w:r>
      <w:r w:rsidR="00531094">
        <w:t>’s</w:t>
      </w:r>
      <w:r>
        <w:t xml:space="preserve"> </w:t>
      </w:r>
      <w:r w:rsidR="000A5BA8">
        <w:t xml:space="preserve">suitability for Government </w:t>
      </w:r>
      <w:r w:rsidR="000A5BA8" w:rsidRPr="009B1C60">
        <w:rPr>
          <w:u w:val="single"/>
        </w:rPr>
        <w:t>support</w:t>
      </w:r>
      <w:r>
        <w:t>.</w:t>
      </w:r>
      <w:r w:rsidR="002C60B6">
        <w:t xml:space="preserve"> </w:t>
      </w:r>
    </w:p>
    <w:p w:rsidR="00B91692" w:rsidRDefault="009B7818" w:rsidP="00ED2069">
      <w:pPr>
        <w:pStyle w:val="bodyCopy"/>
        <w:spacing w:after="120"/>
      </w:pPr>
      <w:r>
        <w:t>While the Government can</w:t>
      </w:r>
      <w:r w:rsidR="00AD41EB">
        <w:t xml:space="preserve"> </w:t>
      </w:r>
      <w:r w:rsidR="004F4745">
        <w:t>decide</w:t>
      </w:r>
      <w:r w:rsidR="00AD41EB">
        <w:t xml:space="preserve"> to support a new coal project prior to the respective project receiving </w:t>
      </w:r>
      <w:r w:rsidR="006E1DCD">
        <w:t xml:space="preserve">relevant </w:t>
      </w:r>
      <w:r w:rsidR="00AD41EB">
        <w:t>regulatory approval</w:t>
      </w:r>
      <w:r w:rsidR="006E1DCD">
        <w:t>s (e.g.</w:t>
      </w:r>
      <w:r w:rsidR="003D0796">
        <w:t xml:space="preserve"> Works Approval </w:t>
      </w:r>
      <w:r w:rsidR="003D67E3">
        <w:t>and/</w:t>
      </w:r>
      <w:r w:rsidR="003D0796">
        <w:t>or Environment</w:t>
      </w:r>
      <w:r w:rsidR="006E1DCD">
        <w:t xml:space="preserve"> Effects Statement)</w:t>
      </w:r>
      <w:r w:rsidR="00AD41EB">
        <w:t xml:space="preserve">, the </w:t>
      </w:r>
      <w:r w:rsidR="00836C73">
        <w:t>s</w:t>
      </w:r>
      <w:r w:rsidR="00680D4D">
        <w:t xml:space="preserve">upport is conditional on the project meeting </w:t>
      </w:r>
      <w:r w:rsidR="00D307A0">
        <w:t>the</w:t>
      </w:r>
      <w:r w:rsidR="006E1DCD">
        <w:t>se</w:t>
      </w:r>
      <w:r w:rsidR="00D307A0">
        <w:t xml:space="preserve"> requirement</w:t>
      </w:r>
      <w:r w:rsidR="003B386B">
        <w:t>s</w:t>
      </w:r>
      <w:r w:rsidR="006E1DCD">
        <w:t>.</w:t>
      </w:r>
    </w:p>
    <w:p w:rsidR="00680D4D" w:rsidRDefault="006E1DCD" w:rsidP="00ED2069">
      <w:pPr>
        <w:pStyle w:val="bodyCopy"/>
        <w:spacing w:after="120"/>
      </w:pPr>
      <w:r>
        <w:t>Notwithstanding</w:t>
      </w:r>
      <w:r w:rsidR="008973FA">
        <w:t xml:space="preserve"> t</w:t>
      </w:r>
      <w:r w:rsidR="00375CC0">
        <w:t xml:space="preserve">he </w:t>
      </w:r>
      <w:r>
        <w:t xml:space="preserve">intention of the </w:t>
      </w:r>
      <w:r w:rsidR="00375CC0">
        <w:t xml:space="preserve">Framework to provide certainty of process to proponents, </w:t>
      </w:r>
      <w:r w:rsidR="004105D5">
        <w:t xml:space="preserve">the </w:t>
      </w:r>
      <w:r w:rsidR="00147119">
        <w:t>Decision-Making Framework</w:t>
      </w:r>
      <w:r w:rsidR="004105D5">
        <w:t xml:space="preserve"> does not guarantee support.</w:t>
      </w:r>
      <w:r w:rsidR="002C60B6">
        <w:t xml:space="preserve"> </w:t>
      </w:r>
      <w:r w:rsidR="00015BFD">
        <w:t>T</w:t>
      </w:r>
      <w:r w:rsidR="00375CC0">
        <w:t xml:space="preserve">he </w:t>
      </w:r>
      <w:r w:rsidR="00160EC3">
        <w:t>Government</w:t>
      </w:r>
      <w:r w:rsidR="00375CC0">
        <w:t xml:space="preserve"> reserves the right to support brown coal projects at </w:t>
      </w:r>
      <w:r w:rsidR="00015BFD">
        <w:t xml:space="preserve">its </w:t>
      </w:r>
      <w:r w:rsidR="00375CC0">
        <w:t>discretion</w:t>
      </w:r>
      <w:r w:rsidR="008973FA">
        <w:t xml:space="preserve">, and to </w:t>
      </w:r>
      <w:r w:rsidR="004F4745">
        <w:t xml:space="preserve">grant </w:t>
      </w:r>
      <w:r w:rsidR="008973FA">
        <w:t>access to the coal resource</w:t>
      </w:r>
      <w:r w:rsidR="00FF59D6">
        <w:t xml:space="preserve"> in accordance with the </w:t>
      </w:r>
      <w:r w:rsidR="00FF59D6" w:rsidRPr="00FF59D6">
        <w:rPr>
          <w:i/>
        </w:rPr>
        <w:t>Mineral Resources (Sustainable Development) Act 1990</w:t>
      </w:r>
      <w:r w:rsidR="00375CC0">
        <w:t>.</w:t>
      </w:r>
      <w:r w:rsidR="002C60B6">
        <w:t xml:space="preserve"> </w:t>
      </w:r>
      <w:r w:rsidR="003D67E3">
        <w:t>C</w:t>
      </w:r>
      <w:r w:rsidR="004105D5">
        <w:t xml:space="preserve">osts incurred </w:t>
      </w:r>
      <w:r w:rsidR="00160EC3">
        <w:t xml:space="preserve">by </w:t>
      </w:r>
      <w:r w:rsidR="00DB6F90">
        <w:t>p</w:t>
      </w:r>
      <w:r w:rsidR="00160EC3">
        <w:t xml:space="preserve">roponents </w:t>
      </w:r>
      <w:r w:rsidR="004105D5">
        <w:t>dur</w:t>
      </w:r>
      <w:r w:rsidR="00160EC3">
        <w:t xml:space="preserve">ing the application process are to be met by the </w:t>
      </w:r>
      <w:r w:rsidR="00DB6F90">
        <w:t>p</w:t>
      </w:r>
      <w:r w:rsidR="00160EC3">
        <w:t>roponent.</w:t>
      </w:r>
    </w:p>
    <w:p w:rsidR="008C7501" w:rsidRDefault="00E511FA" w:rsidP="000A5BA8">
      <w:pPr>
        <w:pStyle w:val="bodyCopy"/>
        <w:spacing w:before="0" w:after="0"/>
      </w:pPr>
      <w:r w:rsidRPr="00326B66">
        <w:t>The Framework is administered by DEDJTR</w:t>
      </w:r>
      <w:r w:rsidR="003E078D" w:rsidRPr="00326B66">
        <w:t>.</w:t>
      </w:r>
      <w:r w:rsidR="002C60B6">
        <w:t xml:space="preserve"> </w:t>
      </w:r>
      <w:r w:rsidR="0041011D" w:rsidRPr="00326B66">
        <w:t xml:space="preserve">Figure 1 </w:t>
      </w:r>
      <w:r w:rsidR="00C231C1">
        <w:t>summarises the</w:t>
      </w:r>
      <w:r w:rsidR="0041011D" w:rsidRPr="00326B66">
        <w:t xml:space="preserve"> staged assessment and decision-making </w:t>
      </w:r>
      <w:r w:rsidR="00C231C1">
        <w:t xml:space="preserve">process </w:t>
      </w:r>
      <w:r w:rsidR="0041011D" w:rsidRPr="00326B66">
        <w:t>under the Framework</w:t>
      </w:r>
      <w:r w:rsidR="003E078D" w:rsidRPr="00326B66">
        <w:t>.</w:t>
      </w:r>
      <w:r w:rsidR="002C60B6">
        <w:t xml:space="preserve"> </w:t>
      </w:r>
      <w:r w:rsidR="00C231C1">
        <w:t xml:space="preserve">Figure 2 provides a </w:t>
      </w:r>
      <w:r w:rsidR="008A0B67">
        <w:t xml:space="preserve">more detailed illustration of the assessment pathways under the Framework. </w:t>
      </w:r>
    </w:p>
    <w:p w:rsidR="004F4745" w:rsidRDefault="004F4745" w:rsidP="000A5BA8">
      <w:pPr>
        <w:pStyle w:val="bodyCopy"/>
        <w:spacing w:before="0" w:after="0"/>
      </w:pPr>
    </w:p>
    <w:p w:rsidR="009F57A9" w:rsidRDefault="00680113" w:rsidP="000A5BA8">
      <w:pPr>
        <w:pStyle w:val="bodyCopy"/>
        <w:spacing w:after="120"/>
        <w:jc w:val="center"/>
      </w:pPr>
      <w:r>
        <w:rPr>
          <w:noProof/>
          <w:lang w:eastAsia="en-AU"/>
        </w:rPr>
        <w:drawing>
          <wp:inline distT="0" distB="0" distL="0" distR="0" wp14:anchorId="56D60954" wp14:editId="78FFF7DF">
            <wp:extent cx="4533900" cy="1971082"/>
            <wp:effectExtent l="0" t="0" r="0" b="0"/>
            <wp:docPr id="5" name="Picture 5" descr="This image illustrates the high-level process that a project proponent may be subject to depending on the nature of Government support being sought. Starting from the Pre-Assessment/pre-submission meeting, the image then outlines the remaining three stages, inlcuding: Stage 1: Project eligibility check and initial assessment; Stage 2: Detailed strategic assessment and due dillligence; and Stage3: Government decision. " title="A high level overview of the staged assessment and Decision-making Framework for brown coal project proposals seeking Governmen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34311" cy="1971261"/>
                    </a:xfrm>
                    <a:prstGeom prst="rect">
                      <a:avLst/>
                    </a:prstGeom>
                    <a:noFill/>
                  </pic:spPr>
                </pic:pic>
              </a:graphicData>
            </a:graphic>
          </wp:inline>
        </w:drawing>
      </w:r>
    </w:p>
    <w:p w:rsidR="004D780B" w:rsidRDefault="008C7501" w:rsidP="004D780B">
      <w:pPr>
        <w:pStyle w:val="bodyCopy"/>
        <w:spacing w:before="240" w:after="240"/>
      </w:pPr>
      <w:r w:rsidRPr="009F57A9">
        <w:rPr>
          <w:b/>
        </w:rPr>
        <w:t>Figure</w:t>
      </w:r>
      <w:r w:rsidR="005C22A9">
        <w:rPr>
          <w:b/>
        </w:rPr>
        <w:t xml:space="preserve"> </w:t>
      </w:r>
      <w:r w:rsidRPr="009F57A9">
        <w:rPr>
          <w:b/>
        </w:rPr>
        <w:t>1.</w:t>
      </w:r>
      <w:r w:rsidR="002C60B6">
        <w:rPr>
          <w:b/>
        </w:rPr>
        <w:t xml:space="preserve"> </w:t>
      </w:r>
      <w:r w:rsidR="00A71E7C">
        <w:rPr>
          <w:b/>
        </w:rPr>
        <w:t xml:space="preserve">A </w:t>
      </w:r>
      <w:r w:rsidR="00DC709C">
        <w:rPr>
          <w:b/>
        </w:rPr>
        <w:t>high-level</w:t>
      </w:r>
      <w:r>
        <w:rPr>
          <w:b/>
        </w:rPr>
        <w:t xml:space="preserve"> overview of the s</w:t>
      </w:r>
      <w:r w:rsidRPr="009F57A9">
        <w:rPr>
          <w:b/>
        </w:rPr>
        <w:t xml:space="preserve">taged </w:t>
      </w:r>
      <w:r w:rsidR="002F46D4">
        <w:rPr>
          <w:b/>
        </w:rPr>
        <w:t xml:space="preserve">assessment and </w:t>
      </w:r>
      <w:r w:rsidR="00147119">
        <w:rPr>
          <w:b/>
        </w:rPr>
        <w:t>Decision-Making Framework</w:t>
      </w:r>
      <w:r w:rsidR="00A617EF" w:rsidRPr="009F57A9">
        <w:rPr>
          <w:b/>
        </w:rPr>
        <w:t xml:space="preserve"> </w:t>
      </w:r>
      <w:r w:rsidRPr="009F57A9">
        <w:rPr>
          <w:b/>
        </w:rPr>
        <w:t xml:space="preserve">for </w:t>
      </w:r>
      <w:r>
        <w:rPr>
          <w:b/>
        </w:rPr>
        <w:t xml:space="preserve">brown </w:t>
      </w:r>
      <w:r w:rsidRPr="009F57A9">
        <w:rPr>
          <w:b/>
        </w:rPr>
        <w:t>coal project proposals</w:t>
      </w:r>
      <w:r>
        <w:rPr>
          <w:b/>
        </w:rPr>
        <w:t xml:space="preserve"> seeking Government support.</w:t>
      </w:r>
    </w:p>
    <w:p w:rsidR="004D780B" w:rsidRDefault="004D780B">
      <w:pPr>
        <w:spacing w:before="0" w:after="200" w:line="276" w:lineRule="auto"/>
      </w:pPr>
      <w:r>
        <w:br w:type="page"/>
      </w:r>
    </w:p>
    <w:p w:rsidR="005908A4" w:rsidRPr="004D780B" w:rsidRDefault="00567E8F" w:rsidP="004D780B">
      <w:pPr>
        <w:pStyle w:val="bodyCopy"/>
        <w:spacing w:before="240" w:after="240"/>
      </w:pPr>
      <w:r>
        <w:rPr>
          <w:b/>
          <w:i/>
        </w:rPr>
        <w:lastRenderedPageBreak/>
        <w:t>Pre-Assessment</w:t>
      </w:r>
      <w:r w:rsidR="004105D5">
        <w:rPr>
          <w:b/>
          <w:i/>
        </w:rPr>
        <w:t xml:space="preserve"> Meeting</w:t>
      </w:r>
    </w:p>
    <w:p w:rsidR="007A5D3B" w:rsidRDefault="00567E8F" w:rsidP="00ED2069">
      <w:pPr>
        <w:pStyle w:val="bodyCopy"/>
        <w:spacing w:after="120"/>
      </w:pPr>
      <w:r>
        <w:t xml:space="preserve">The Pre-Assessment phase involves a pre-submission meeting </w:t>
      </w:r>
      <w:r w:rsidRPr="0085593A">
        <w:t xml:space="preserve">between the </w:t>
      </w:r>
      <w:r w:rsidR="006314BA">
        <w:t>p</w:t>
      </w:r>
      <w:r w:rsidR="006314BA" w:rsidRPr="0085593A">
        <w:t xml:space="preserve">roponent </w:t>
      </w:r>
      <w:r w:rsidRPr="0085593A">
        <w:t>and DEDJTR</w:t>
      </w:r>
      <w:r>
        <w:t>, prior to the submission of a proposal</w:t>
      </w:r>
      <w:r w:rsidRPr="0085593A">
        <w:t>.</w:t>
      </w:r>
      <w:r w:rsidR="002C60B6">
        <w:t xml:space="preserve"> </w:t>
      </w:r>
      <w:r>
        <w:t xml:space="preserve">The meeting </w:t>
      </w:r>
      <w:r w:rsidR="008474E9">
        <w:t xml:space="preserve">gives </w:t>
      </w:r>
      <w:r>
        <w:t xml:space="preserve">the </w:t>
      </w:r>
      <w:r w:rsidR="006314BA">
        <w:t xml:space="preserve">proponent </w:t>
      </w:r>
      <w:r>
        <w:t>t</w:t>
      </w:r>
      <w:r w:rsidR="008474E9">
        <w:t xml:space="preserve">he opportunity to </w:t>
      </w:r>
      <w:r>
        <w:t>cl</w:t>
      </w:r>
      <w:r w:rsidR="00C469A2">
        <w:t xml:space="preserve">arify the process, </w:t>
      </w:r>
      <w:r w:rsidR="0010242D">
        <w:t xml:space="preserve">high-level </w:t>
      </w:r>
      <w:r w:rsidR="00C469A2">
        <w:t xml:space="preserve">eligibility and </w:t>
      </w:r>
      <w:r>
        <w:t>submission requirements and assessment criteria under the Framework.</w:t>
      </w:r>
      <w:r w:rsidR="002C60B6">
        <w:t xml:space="preserve"> </w:t>
      </w:r>
      <w:r w:rsidR="008474E9">
        <w:t xml:space="preserve">It also enables </w:t>
      </w:r>
      <w:r w:rsidR="00424589">
        <w:t xml:space="preserve">a proponent to seek </w:t>
      </w:r>
      <w:r w:rsidR="003D67E3">
        <w:t xml:space="preserve">guidance </w:t>
      </w:r>
      <w:r w:rsidR="00424589">
        <w:t>from DEDJTR in identifying an appropriate government funding source</w:t>
      </w:r>
      <w:r w:rsidR="00C231C1">
        <w:t xml:space="preserve"> (Appendix 2 lists </w:t>
      </w:r>
      <w:r w:rsidR="007A5D3B">
        <w:t>funding initiatives for the Latrobe Valley</w:t>
      </w:r>
      <w:r w:rsidR="00C231C1">
        <w:t>)</w:t>
      </w:r>
      <w:r w:rsidR="004F4745">
        <w:t>.</w:t>
      </w:r>
    </w:p>
    <w:p w:rsidR="00972674" w:rsidRPr="00326B66" w:rsidRDefault="00160EC3" w:rsidP="00ED2069">
      <w:pPr>
        <w:pStyle w:val="bodyCopy"/>
        <w:spacing w:after="120"/>
      </w:pPr>
      <w:r>
        <w:t xml:space="preserve">DEDJTR </w:t>
      </w:r>
      <w:r w:rsidRPr="00326B66">
        <w:t>provide</w:t>
      </w:r>
      <w:r w:rsidR="00444113" w:rsidRPr="00326B66">
        <w:t>s</w:t>
      </w:r>
      <w:r w:rsidRPr="00326B66">
        <w:t xml:space="preserve"> advice on the submission requirements</w:t>
      </w:r>
      <w:r w:rsidR="00C231C1">
        <w:t xml:space="preserve"> during the Pre-Assessment phase</w:t>
      </w:r>
      <w:r w:rsidR="00F17745" w:rsidRPr="00326B66">
        <w:t>.</w:t>
      </w:r>
      <w:r w:rsidR="002C60B6">
        <w:t xml:space="preserve"> </w:t>
      </w:r>
      <w:r w:rsidR="00C231C1">
        <w:t>Appendix 1 sets out b</w:t>
      </w:r>
      <w:r w:rsidR="00444113" w:rsidRPr="00326B66">
        <w:t xml:space="preserve">asic project </w:t>
      </w:r>
      <w:r w:rsidR="0010242D" w:rsidRPr="00326B66">
        <w:t xml:space="preserve">submission requirements </w:t>
      </w:r>
      <w:r w:rsidR="00444113" w:rsidRPr="00326B66">
        <w:t xml:space="preserve">(i.e. for projects seeking less than </w:t>
      </w:r>
      <w:r w:rsidR="002537A5" w:rsidRPr="00326B66">
        <w:t>$500,000</w:t>
      </w:r>
      <w:r w:rsidR="00444113" w:rsidRPr="00326B66">
        <w:t xml:space="preserve"> or simple facilitation)</w:t>
      </w:r>
      <w:r w:rsidRPr="00326B66">
        <w:t>.</w:t>
      </w:r>
      <w:r w:rsidR="002C60B6">
        <w:t xml:space="preserve"> </w:t>
      </w:r>
      <w:r w:rsidR="00C231C1">
        <w:t>Submission requirements for h</w:t>
      </w:r>
      <w:r w:rsidR="00444113" w:rsidRPr="00326B66">
        <w:t>igher value projects</w:t>
      </w:r>
      <w:r w:rsidR="00963368" w:rsidRPr="00326B66">
        <w:t xml:space="preserve"> will </w:t>
      </w:r>
      <w:r w:rsidR="008474E9">
        <w:t xml:space="preserve">align with </w:t>
      </w:r>
      <w:r w:rsidR="00963368" w:rsidRPr="00326B66">
        <w:t>the stage of a respective project’s development</w:t>
      </w:r>
      <w:r w:rsidR="00444113" w:rsidRPr="00326B66">
        <w:t xml:space="preserve"> </w:t>
      </w:r>
      <w:r w:rsidR="00963368" w:rsidRPr="00326B66">
        <w:t>and the nature of support being sought.</w:t>
      </w:r>
      <w:r w:rsidR="002C60B6">
        <w:t xml:space="preserve"> </w:t>
      </w:r>
      <w:r w:rsidR="00963368" w:rsidRPr="00326B66">
        <w:t xml:space="preserve">These requirements will be set out by DEDJTR on a case-by-case basis. </w:t>
      </w:r>
    </w:p>
    <w:p w:rsidR="00285C3E" w:rsidRPr="00326B66" w:rsidRDefault="00285C3E" w:rsidP="00ED2069">
      <w:pPr>
        <w:pStyle w:val="bodyCopy"/>
        <w:spacing w:after="120"/>
        <w:rPr>
          <w:b/>
          <w:i/>
        </w:rPr>
      </w:pPr>
      <w:r w:rsidRPr="00326B66">
        <w:rPr>
          <w:b/>
          <w:i/>
        </w:rPr>
        <w:t xml:space="preserve">Stage 1: </w:t>
      </w:r>
      <w:r w:rsidR="00E64719" w:rsidRPr="00326B66">
        <w:rPr>
          <w:b/>
          <w:i/>
        </w:rPr>
        <w:t>IEAP</w:t>
      </w:r>
      <w:r w:rsidRPr="00326B66">
        <w:rPr>
          <w:b/>
          <w:i/>
        </w:rPr>
        <w:t xml:space="preserve"> </w:t>
      </w:r>
      <w:r w:rsidR="005908A4" w:rsidRPr="00326B66">
        <w:rPr>
          <w:b/>
          <w:i/>
        </w:rPr>
        <w:t>Initial Project Assessment</w:t>
      </w:r>
    </w:p>
    <w:p w:rsidR="00DB6F90" w:rsidRPr="00326B66" w:rsidRDefault="00D26D52" w:rsidP="00ED2069">
      <w:pPr>
        <w:pStyle w:val="bodyCopy"/>
        <w:spacing w:after="120"/>
      </w:pPr>
      <w:r w:rsidRPr="00326B66">
        <w:t xml:space="preserve">Stage 1 involves a </w:t>
      </w:r>
      <w:r w:rsidR="004F4745" w:rsidRPr="00326B66">
        <w:t>high-level</w:t>
      </w:r>
      <w:r w:rsidRPr="00326B66">
        <w:t xml:space="preserve"> assessment by the </w:t>
      </w:r>
      <w:r w:rsidR="00AC034F">
        <w:t>IEAP</w:t>
      </w:r>
      <w:r w:rsidR="00C231C1">
        <w:t xml:space="preserve"> </w:t>
      </w:r>
      <w:r w:rsidRPr="00326B66">
        <w:t xml:space="preserve">of the proposal and proponent’s merits to identify </w:t>
      </w:r>
      <w:r w:rsidR="003D67E3" w:rsidRPr="00326B66">
        <w:t>projects most likely to be successful and</w:t>
      </w:r>
      <w:r w:rsidRPr="00326B66">
        <w:t xml:space="preserve"> that warrant a more detailed assessment at Stage 2.</w:t>
      </w:r>
    </w:p>
    <w:p w:rsidR="000F5090" w:rsidRPr="00326B66" w:rsidRDefault="00F479FF" w:rsidP="00ED2069">
      <w:pPr>
        <w:pStyle w:val="bodyCopy"/>
        <w:spacing w:after="120"/>
      </w:pPr>
      <w:r w:rsidRPr="00326B66">
        <w:t xml:space="preserve">All project </w:t>
      </w:r>
      <w:r w:rsidR="006314BA" w:rsidRPr="00326B66">
        <w:t xml:space="preserve">proposals </w:t>
      </w:r>
      <w:r w:rsidRPr="00326B66">
        <w:t xml:space="preserve">will be subject to a Stage 1 </w:t>
      </w:r>
      <w:r w:rsidR="00E64719" w:rsidRPr="00326B66">
        <w:t>IEAP</w:t>
      </w:r>
      <w:r w:rsidRPr="00326B66">
        <w:t xml:space="preserve"> </w:t>
      </w:r>
      <w:r w:rsidR="00C469A2" w:rsidRPr="00326B66">
        <w:t>Initial</w:t>
      </w:r>
      <w:r w:rsidRPr="00326B66">
        <w:t xml:space="preserve"> assessment </w:t>
      </w:r>
      <w:r w:rsidR="00C469A2" w:rsidRPr="00326B66">
        <w:t xml:space="preserve">if deemed </w:t>
      </w:r>
      <w:r w:rsidR="007703A9" w:rsidRPr="00326B66">
        <w:t xml:space="preserve">suitable </w:t>
      </w:r>
      <w:r w:rsidR="00C469A2" w:rsidRPr="00326B66">
        <w:t>in the Pre-Assessment phase.</w:t>
      </w:r>
      <w:r w:rsidR="002C60B6">
        <w:t xml:space="preserve"> </w:t>
      </w:r>
      <w:r w:rsidR="007703A9" w:rsidRPr="00326B66">
        <w:t>Prior to the Assessment, DEDJTR and</w:t>
      </w:r>
      <w:r w:rsidR="005F48FA" w:rsidRPr="00326B66">
        <w:t xml:space="preserve">, where appropriate the, </w:t>
      </w:r>
      <w:r w:rsidR="007703A9" w:rsidRPr="00326B66">
        <w:t>D</w:t>
      </w:r>
      <w:r w:rsidR="005F48FA" w:rsidRPr="00326B66">
        <w:t xml:space="preserve">epartment of </w:t>
      </w:r>
      <w:r w:rsidR="007703A9" w:rsidRPr="00326B66">
        <w:t>T</w:t>
      </w:r>
      <w:r w:rsidR="005F48FA" w:rsidRPr="00326B66">
        <w:t xml:space="preserve">reasury and </w:t>
      </w:r>
      <w:r w:rsidR="00160EC3" w:rsidRPr="00326B66">
        <w:t>F</w:t>
      </w:r>
      <w:r w:rsidR="005F48FA" w:rsidRPr="00326B66">
        <w:t>inance</w:t>
      </w:r>
      <w:r w:rsidR="00160EC3" w:rsidRPr="00326B66">
        <w:t xml:space="preserve"> </w:t>
      </w:r>
      <w:r w:rsidR="005F48FA" w:rsidRPr="00326B66">
        <w:t xml:space="preserve">(DTF) </w:t>
      </w:r>
      <w:r w:rsidR="00C231C1">
        <w:t xml:space="preserve">will </w:t>
      </w:r>
      <w:r w:rsidR="00160EC3" w:rsidRPr="00326B66">
        <w:t xml:space="preserve">advise the </w:t>
      </w:r>
      <w:r w:rsidR="00E64719" w:rsidRPr="00326B66">
        <w:t>IEAP</w:t>
      </w:r>
      <w:r w:rsidR="00160EC3" w:rsidRPr="00326B66">
        <w:t xml:space="preserve"> of a </w:t>
      </w:r>
      <w:r w:rsidR="00FB6259" w:rsidRPr="00326B66">
        <w:t>p</w:t>
      </w:r>
      <w:r w:rsidR="00160EC3" w:rsidRPr="00326B66">
        <w:t xml:space="preserve">roposal’s completeness </w:t>
      </w:r>
      <w:r w:rsidR="007703A9" w:rsidRPr="00326B66">
        <w:t xml:space="preserve">and </w:t>
      </w:r>
      <w:r w:rsidR="00160EC3" w:rsidRPr="00326B66">
        <w:t>its eligibility for assessment via the Framework.</w:t>
      </w:r>
    </w:p>
    <w:p w:rsidR="00285C3E" w:rsidRPr="00326B66" w:rsidRDefault="00285C3E" w:rsidP="00ED2069">
      <w:pPr>
        <w:pStyle w:val="bodyCopy"/>
        <w:spacing w:after="120"/>
        <w:rPr>
          <w:b/>
          <w:i/>
        </w:rPr>
      </w:pPr>
      <w:r w:rsidRPr="00326B66">
        <w:rPr>
          <w:b/>
          <w:i/>
        </w:rPr>
        <w:t>Stage 2: Detailed assessment and due diligence</w:t>
      </w:r>
    </w:p>
    <w:p w:rsidR="00E14245" w:rsidRPr="00326B66" w:rsidRDefault="00E14245" w:rsidP="008F0080">
      <w:pPr>
        <w:pStyle w:val="bodyCopy"/>
        <w:spacing w:after="120"/>
      </w:pPr>
      <w:r w:rsidRPr="00326B66">
        <w:t xml:space="preserve">Stage 2 involves a more detailed assessment of the </w:t>
      </w:r>
      <w:r w:rsidR="00FB6259" w:rsidRPr="00326B66">
        <w:t>p</w:t>
      </w:r>
      <w:r w:rsidRPr="00326B66">
        <w:t>roposal for support, and examine</w:t>
      </w:r>
      <w:r w:rsidR="003D0796" w:rsidRPr="00326B66">
        <w:t>s</w:t>
      </w:r>
      <w:r w:rsidRPr="00326B66">
        <w:t xml:space="preserve"> </w:t>
      </w:r>
      <w:r w:rsidR="008523FE" w:rsidRPr="00326B66">
        <w:t xml:space="preserve">the Project’s likelihood of success, rationale for government involvement and </w:t>
      </w:r>
      <w:r w:rsidR="00D026D2" w:rsidRPr="00326B66">
        <w:t>relative net benefits against other economic development support opportunities.</w:t>
      </w:r>
      <w:r w:rsidR="002C60B6">
        <w:t xml:space="preserve"> </w:t>
      </w:r>
      <w:r w:rsidR="0014646C" w:rsidRPr="00326B66">
        <w:t>All project</w:t>
      </w:r>
      <w:r w:rsidR="005F48FA" w:rsidRPr="00326B66">
        <w:t>s</w:t>
      </w:r>
      <w:r w:rsidR="0014646C" w:rsidRPr="00326B66">
        <w:t xml:space="preserve"> seeking more than </w:t>
      </w:r>
      <w:r w:rsidR="002537A5" w:rsidRPr="00326B66">
        <w:t>$500,000</w:t>
      </w:r>
      <w:r w:rsidR="0014646C" w:rsidRPr="00326B66">
        <w:t xml:space="preserve"> from Government will undergo a Stage 2 assessment</w:t>
      </w:r>
      <w:r w:rsidR="005F48FA" w:rsidRPr="00326B66">
        <w:t xml:space="preserve"> by the IEAP</w:t>
      </w:r>
      <w:r w:rsidR="0014646C" w:rsidRPr="00326B66">
        <w:t xml:space="preserve">. </w:t>
      </w:r>
    </w:p>
    <w:p w:rsidR="005A38A7" w:rsidRPr="00326B66" w:rsidRDefault="008474E9" w:rsidP="00ED2069">
      <w:pPr>
        <w:pStyle w:val="bodyCopy"/>
        <w:spacing w:after="120"/>
      </w:pPr>
      <w:r>
        <w:t>D</w:t>
      </w:r>
      <w:r w:rsidRPr="00326B66">
        <w:t>epending on the type(s) of government support sought</w:t>
      </w:r>
      <w:r>
        <w:t>,</w:t>
      </w:r>
      <w:r w:rsidRPr="00326B66">
        <w:t xml:space="preserve"> </w:t>
      </w:r>
      <w:r>
        <w:t>p</w:t>
      </w:r>
      <w:r w:rsidR="00593C01" w:rsidRPr="00326B66">
        <w:t xml:space="preserve">roposals </w:t>
      </w:r>
      <w:r w:rsidR="001A71C7" w:rsidRPr="00326B66">
        <w:t>at</w:t>
      </w:r>
      <w:r w:rsidR="00593C01" w:rsidRPr="00326B66">
        <w:t xml:space="preserve"> Stage 2 will </w:t>
      </w:r>
      <w:r>
        <w:t xml:space="preserve">assessed </w:t>
      </w:r>
      <w:r w:rsidR="00593C01" w:rsidRPr="00326B66">
        <w:t>follow</w:t>
      </w:r>
      <w:r>
        <w:t xml:space="preserve">ing </w:t>
      </w:r>
      <w:r w:rsidR="00593C01" w:rsidRPr="00326B66">
        <w:t>one or more of the four assessment pathways</w:t>
      </w:r>
      <w:r>
        <w:t xml:space="preserve"> (Figure 2)</w:t>
      </w:r>
      <w:r w:rsidR="004D780B">
        <w:t>.</w:t>
      </w:r>
    </w:p>
    <w:p w:rsidR="00447820" w:rsidRPr="00326B66" w:rsidRDefault="00424589" w:rsidP="00ED2069">
      <w:pPr>
        <w:pStyle w:val="bodyCopy"/>
        <w:spacing w:after="120"/>
      </w:pPr>
      <w:r w:rsidRPr="00326B66">
        <w:t xml:space="preserve">For proponents seeking funding, </w:t>
      </w:r>
      <w:r w:rsidR="00E64719" w:rsidRPr="00326B66">
        <w:t>IEAP</w:t>
      </w:r>
      <w:r w:rsidR="00447820" w:rsidRPr="00326B66">
        <w:t xml:space="preserve"> </w:t>
      </w:r>
      <w:r w:rsidRPr="00326B66">
        <w:t>recommendation</w:t>
      </w:r>
      <w:r w:rsidR="00447820" w:rsidRPr="00326B66">
        <w:t>s</w:t>
      </w:r>
      <w:r w:rsidR="005E7DB6" w:rsidRPr="00326B66">
        <w:t xml:space="preserve"> of a project’s technical and commercial merits will be considered by DEDJTR</w:t>
      </w:r>
      <w:r w:rsidR="00C90D51" w:rsidRPr="00326B66">
        <w:t xml:space="preserve"> </w:t>
      </w:r>
      <w:r w:rsidR="005E7DB6" w:rsidRPr="00326B66">
        <w:t xml:space="preserve">alongside the assessment criteria specific to an identified funding source. </w:t>
      </w:r>
    </w:p>
    <w:p w:rsidR="0088092C" w:rsidRDefault="00A67D5B" w:rsidP="00ED2069">
      <w:pPr>
        <w:pStyle w:val="bodyCopy"/>
        <w:spacing w:after="120"/>
      </w:pPr>
      <w:r>
        <w:rPr>
          <w:b/>
          <w:i/>
        </w:rPr>
        <w:t>S</w:t>
      </w:r>
      <w:r w:rsidR="0088092C" w:rsidRPr="0088092C">
        <w:rPr>
          <w:b/>
          <w:i/>
        </w:rPr>
        <w:t>tage 3: Government decision and Funding Agreement negotiation</w:t>
      </w:r>
    </w:p>
    <w:p w:rsidR="006A00E8" w:rsidRDefault="006A00E8" w:rsidP="0088092C">
      <w:r>
        <w:t xml:space="preserve">Projects recommended for support in Stage 2, progress to a government decision at Stage 3. </w:t>
      </w:r>
    </w:p>
    <w:p w:rsidR="0088092C" w:rsidRDefault="0088092C" w:rsidP="0088092C">
      <w:r>
        <w:t>The Government’s decision</w:t>
      </w:r>
      <w:r w:rsidR="006A00E8">
        <w:t xml:space="preserve"> to support a project</w:t>
      </w:r>
      <w:r>
        <w:t xml:space="preserve"> is based on the recommendations </w:t>
      </w:r>
      <w:r w:rsidR="00BB468A">
        <w:t>made during Stage</w:t>
      </w:r>
      <w:r w:rsidR="006A00E8">
        <w:t>s 1 and</w:t>
      </w:r>
      <w:r w:rsidR="00BB468A">
        <w:t xml:space="preserve"> 2 in accordance with the </w:t>
      </w:r>
      <w:r w:rsidR="00CD7BC4">
        <w:t>assessment arrangements</w:t>
      </w:r>
      <w:r w:rsidR="00BB468A">
        <w:t xml:space="preserve"> outlined above.</w:t>
      </w:r>
      <w:r w:rsidR="002C60B6">
        <w:t xml:space="preserve"> </w:t>
      </w:r>
      <w:r w:rsidR="00CD7BC4">
        <w:t xml:space="preserve">The Government will consider its various priorities and the relative merits of projects in making its decision whether to support a project and successful projects will be progressed to either a funding or coal allocation agreement. </w:t>
      </w:r>
    </w:p>
    <w:p w:rsidR="0088092C" w:rsidRDefault="0085593A" w:rsidP="00ED2069">
      <w:pPr>
        <w:pStyle w:val="bodyCopy"/>
        <w:spacing w:after="120"/>
      </w:pPr>
      <w:r>
        <w:t xml:space="preserve"> </w:t>
      </w:r>
    </w:p>
    <w:p w:rsidR="00D84B90" w:rsidRDefault="00D84B90" w:rsidP="00D84B90">
      <w:pPr>
        <w:spacing w:before="0" w:after="200" w:line="276" w:lineRule="auto"/>
      </w:pPr>
      <w:r>
        <w:br w:type="page"/>
      </w:r>
    </w:p>
    <w:p w:rsidR="006A7896" w:rsidRDefault="005A1112" w:rsidP="005715BB">
      <w:pPr>
        <w:pStyle w:val="Heading1"/>
        <w:spacing w:before="240" w:after="0"/>
        <w:ind w:left="431" w:hanging="431"/>
      </w:pPr>
      <w:bookmarkStart w:id="8" w:name="_Toc521932839"/>
      <w:bookmarkStart w:id="9" w:name="_Ref491951763"/>
      <w:r>
        <w:rPr>
          <w:b w:val="0"/>
          <w:noProof/>
        </w:rPr>
        <w:lastRenderedPageBreak/>
        <w:drawing>
          <wp:anchor distT="0" distB="0" distL="114300" distR="114300" simplePos="0" relativeHeight="251658752" behindDoc="0" locked="0" layoutInCell="1" allowOverlap="1" wp14:anchorId="33A2299B" wp14:editId="105E7922">
            <wp:simplePos x="0" y="0"/>
            <wp:positionH relativeFrom="margin">
              <wp:posOffset>-149225</wp:posOffset>
            </wp:positionH>
            <wp:positionV relativeFrom="margin">
              <wp:posOffset>690880</wp:posOffset>
            </wp:positionV>
            <wp:extent cx="5890260" cy="7798435"/>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0260" cy="7798435"/>
                    </a:xfrm>
                    <a:prstGeom prst="rect">
                      <a:avLst/>
                    </a:prstGeom>
                    <a:noFill/>
                  </pic:spPr>
                </pic:pic>
              </a:graphicData>
            </a:graphic>
            <wp14:sizeRelH relativeFrom="margin">
              <wp14:pctWidth>0</wp14:pctWidth>
            </wp14:sizeRelH>
            <wp14:sizeRelV relativeFrom="margin">
              <wp14:pctHeight>0</wp14:pctHeight>
            </wp14:sizeRelV>
          </wp:anchor>
        </w:drawing>
      </w:r>
      <w:r w:rsidR="00F479FF">
        <w:t xml:space="preserve">Staged assessment under the </w:t>
      </w:r>
      <w:r w:rsidR="00147119">
        <w:t>Decision-Making Framework</w:t>
      </w:r>
      <w:bookmarkEnd w:id="8"/>
    </w:p>
    <w:p w:rsidR="005715BB" w:rsidRPr="005715BB" w:rsidRDefault="005715BB" w:rsidP="005715BB">
      <w:pPr>
        <w:pStyle w:val="bodyCopy"/>
        <w:spacing w:before="0" w:after="120"/>
      </w:pPr>
    </w:p>
    <w:p w:rsidR="006A7896" w:rsidRPr="006A7896" w:rsidRDefault="006A7896" w:rsidP="004E2E41">
      <w:pPr>
        <w:pStyle w:val="bodyCopy"/>
        <w:jc w:val="both"/>
      </w:pPr>
      <w:r w:rsidRPr="000C7D82">
        <w:rPr>
          <w:b/>
        </w:rPr>
        <w:t>Figure 2. Potential assessment pathways for coal project proposals for different types of support</w:t>
      </w:r>
    </w:p>
    <w:p w:rsidR="006711D3" w:rsidRDefault="006711D3" w:rsidP="008F0080">
      <w:pPr>
        <w:pStyle w:val="Heading2"/>
      </w:pPr>
      <w:bookmarkStart w:id="10" w:name="_Toc521932840"/>
      <w:r>
        <w:lastRenderedPageBreak/>
        <w:t>Eligibility and Scope of the Framework</w:t>
      </w:r>
      <w:bookmarkEnd w:id="10"/>
    </w:p>
    <w:p w:rsidR="006711D3" w:rsidRDefault="006711D3" w:rsidP="00AC034F">
      <w:pPr>
        <w:pStyle w:val="bodyCopy"/>
        <w:spacing w:after="120"/>
      </w:pPr>
      <w:r>
        <w:t>The Framework defines a proposal as one made by the private sector to the Government, to implement</w:t>
      </w:r>
      <w:r w:rsidRPr="008C11A4">
        <w:t xml:space="preserve"> </w:t>
      </w:r>
      <w:r>
        <w:t xml:space="preserve">a </w:t>
      </w:r>
      <w:r w:rsidRPr="008C11A4">
        <w:t>commercial project using brown coal</w:t>
      </w:r>
      <w:r>
        <w:t xml:space="preserve"> in Victoria.</w:t>
      </w:r>
      <w:r w:rsidR="002C60B6">
        <w:t xml:space="preserve"> </w:t>
      </w:r>
      <w:r>
        <w:t>The Framework provides a process to assess proposals from the private sector that are seeking support from the Government through facilitation, access to coal resources, and/or potential funding</w:t>
      </w:r>
      <w:r w:rsidR="003E078D">
        <w:t>.</w:t>
      </w:r>
      <w:r w:rsidR="002C60B6">
        <w:t xml:space="preserve"> </w:t>
      </w:r>
      <w:r>
        <w:t>The Framework applies to:</w:t>
      </w:r>
    </w:p>
    <w:p w:rsidR="006711D3" w:rsidRDefault="006711D3" w:rsidP="00AC034F">
      <w:pPr>
        <w:pStyle w:val="bodyCopy"/>
        <w:numPr>
          <w:ilvl w:val="0"/>
          <w:numId w:val="14"/>
        </w:numPr>
        <w:spacing w:after="120"/>
        <w:ind w:left="714" w:hanging="357"/>
      </w:pPr>
      <w:r>
        <w:t>New projects/facilities in Victoria using more than 27,000 tonnes of run of mine coal per annum</w:t>
      </w:r>
    </w:p>
    <w:p w:rsidR="006711D3" w:rsidRDefault="006711D3" w:rsidP="00AC034F">
      <w:pPr>
        <w:pStyle w:val="bodyCopy"/>
        <w:numPr>
          <w:ilvl w:val="0"/>
          <w:numId w:val="14"/>
        </w:numPr>
        <w:spacing w:after="120"/>
        <w:ind w:left="714" w:hanging="357"/>
      </w:pPr>
      <w:r>
        <w:t>New generation units at existing coal-fired power generation facilities.</w:t>
      </w:r>
    </w:p>
    <w:p w:rsidR="006711D3" w:rsidRDefault="006711D3" w:rsidP="008F0080">
      <w:pPr>
        <w:pStyle w:val="Heading2"/>
      </w:pPr>
      <w:bookmarkStart w:id="11" w:name="_Toc521932841"/>
      <w:r w:rsidRPr="000B7103">
        <w:t xml:space="preserve">Exclusions from the </w:t>
      </w:r>
      <w:r>
        <w:t>Framework</w:t>
      </w:r>
      <w:bookmarkEnd w:id="11"/>
    </w:p>
    <w:p w:rsidR="006711D3" w:rsidRPr="00BF1807" w:rsidRDefault="006711D3" w:rsidP="00AC034F">
      <w:pPr>
        <w:pStyle w:val="bodyCopy"/>
        <w:spacing w:after="120"/>
      </w:pPr>
      <w:r>
        <w:t>The following project proposals are considered out of scope of the Framework:</w:t>
      </w:r>
    </w:p>
    <w:p w:rsidR="006711D3" w:rsidRPr="00B34CBF" w:rsidRDefault="006711D3" w:rsidP="00AC034F">
      <w:pPr>
        <w:pStyle w:val="bodyCopy"/>
        <w:numPr>
          <w:ilvl w:val="0"/>
          <w:numId w:val="15"/>
        </w:numPr>
        <w:spacing w:after="120"/>
      </w:pPr>
      <w:r w:rsidRPr="00B34CBF">
        <w:t>Projects using less than 27,000 tonnes of (run of</w:t>
      </w:r>
      <w:r>
        <w:t xml:space="preserve"> </w:t>
      </w:r>
      <w:r w:rsidRPr="00B34CBF">
        <w:t>mine) coal per annum</w:t>
      </w:r>
    </w:p>
    <w:p w:rsidR="006711D3" w:rsidRDefault="006711D3" w:rsidP="00AC034F">
      <w:pPr>
        <w:pStyle w:val="bodyCopy"/>
        <w:numPr>
          <w:ilvl w:val="0"/>
          <w:numId w:val="15"/>
        </w:numPr>
        <w:ind w:left="714" w:hanging="357"/>
      </w:pPr>
      <w:r w:rsidRPr="00B34CBF">
        <w:t>Existing coal-fired power generation</w:t>
      </w:r>
      <w:r>
        <w:t xml:space="preserve"> assets</w:t>
      </w:r>
      <w:r w:rsidRPr="00B34CBF">
        <w:t xml:space="preserve">, </w:t>
      </w:r>
      <w:r>
        <w:t>including</w:t>
      </w:r>
      <w:r w:rsidRPr="00B34CBF">
        <w:t xml:space="preserve"> general maintenance and refurbishments.</w:t>
      </w:r>
    </w:p>
    <w:p w:rsidR="00A74DA4" w:rsidRDefault="004A5503" w:rsidP="00ED2069">
      <w:pPr>
        <w:pStyle w:val="Heading2"/>
        <w:spacing w:before="120" w:after="120"/>
      </w:pPr>
      <w:bookmarkStart w:id="12" w:name="_Toc521932842"/>
      <w:r>
        <w:t xml:space="preserve">Pre-submission meeting and </w:t>
      </w:r>
      <w:r w:rsidR="0085593A">
        <w:t xml:space="preserve">project </w:t>
      </w:r>
      <w:bookmarkEnd w:id="9"/>
      <w:r w:rsidR="00567E8F">
        <w:t>categorisation</w:t>
      </w:r>
      <w:bookmarkEnd w:id="12"/>
    </w:p>
    <w:p w:rsidR="006A00E8" w:rsidRDefault="006A00E8" w:rsidP="00ED2069">
      <w:pPr>
        <w:pStyle w:val="bodyCopy"/>
        <w:spacing w:after="120"/>
      </w:pPr>
      <w:r>
        <w:t>The pre-submission meeting allows project proponents to seek clarification from the Department on the Framework, consideration pathways, likely timelines and submission requirements.</w:t>
      </w:r>
      <w:r w:rsidR="002C60B6">
        <w:t xml:space="preserve"> </w:t>
      </w:r>
    </w:p>
    <w:p w:rsidR="0079652A" w:rsidRDefault="00165DD3" w:rsidP="00ED2069">
      <w:pPr>
        <w:pStyle w:val="bodyCopy"/>
        <w:spacing w:after="120"/>
      </w:pPr>
      <w:r>
        <w:t>P</w:t>
      </w:r>
      <w:r w:rsidR="006A00E8">
        <w:t>roposal submission requirements vary to ensure the level of detail required</w:t>
      </w:r>
      <w:r w:rsidR="00856DAA">
        <w:t xml:space="preserve"> is appropriate for </w:t>
      </w:r>
      <w:r w:rsidR="006A00E8">
        <w:t xml:space="preserve">the type of support being sought, and the </w:t>
      </w:r>
      <w:r w:rsidR="0003174A">
        <w:t>Project’s</w:t>
      </w:r>
      <w:r w:rsidR="0053024F">
        <w:t xml:space="preserve"> level </w:t>
      </w:r>
      <w:r w:rsidR="006A00E8">
        <w:t>of development.</w:t>
      </w:r>
      <w:r w:rsidR="002C60B6">
        <w:t xml:space="preserve"> </w:t>
      </w:r>
      <w:r w:rsidR="006A00E8">
        <w:t xml:space="preserve">The pre-submission meeting </w:t>
      </w:r>
      <w:r>
        <w:t xml:space="preserve">will </w:t>
      </w:r>
      <w:r w:rsidR="006A00E8">
        <w:t>clarify these</w:t>
      </w:r>
      <w:r w:rsidR="00847A4D">
        <w:t xml:space="preserve"> </w:t>
      </w:r>
      <w:r w:rsidR="006A00E8">
        <w:t xml:space="preserve">requirements before </w:t>
      </w:r>
      <w:r>
        <w:t xml:space="preserve">proponents </w:t>
      </w:r>
      <w:r w:rsidR="006A00E8">
        <w:t xml:space="preserve">commit time and resources to the preparation of </w:t>
      </w:r>
      <w:r w:rsidR="00FB6259">
        <w:t>p</w:t>
      </w:r>
      <w:r w:rsidR="006A00E8">
        <w:t>roposals.</w:t>
      </w:r>
    </w:p>
    <w:p w:rsidR="00B65A9C" w:rsidRDefault="0085593A" w:rsidP="008A3CBE">
      <w:pPr>
        <w:pStyle w:val="bodyCopy"/>
        <w:spacing w:after="120"/>
      </w:pPr>
      <w:r w:rsidRPr="0085593A">
        <w:t xml:space="preserve">The actions and responsibilities of the </w:t>
      </w:r>
      <w:r w:rsidR="00DB6F90">
        <w:t>p</w:t>
      </w:r>
      <w:r w:rsidRPr="0085593A">
        <w:t xml:space="preserve">roponent and the Government </w:t>
      </w:r>
      <w:r w:rsidR="00ED265F">
        <w:t xml:space="preserve">during the pre-assessment phase </w:t>
      </w:r>
      <w:r w:rsidRPr="0085593A">
        <w:t xml:space="preserve">are summarised in </w:t>
      </w:r>
      <w:r w:rsidR="00B52FAC">
        <w:t>Table 1</w:t>
      </w:r>
      <w:r w:rsidRPr="0085593A">
        <w:t>.</w:t>
      </w:r>
    </w:p>
    <w:p w:rsidR="00EC7F3D" w:rsidRPr="00701BEE" w:rsidRDefault="00EC7F3D" w:rsidP="00EC7F3D">
      <w:pPr>
        <w:pStyle w:val="tablename"/>
      </w:pPr>
      <w:r w:rsidRPr="00701BEE">
        <w:t xml:space="preserve">Table </w:t>
      </w:r>
      <w:fldSimple w:instr=" SEQ Table \* ARABIC ">
        <w:r w:rsidR="00BE3296">
          <w:rPr>
            <w:noProof/>
          </w:rPr>
          <w:t>1</w:t>
        </w:r>
      </w:fldSimple>
      <w:r w:rsidRPr="00701BEE">
        <w:t>. Requirements of project proponents and Government during pre-assessment</w:t>
      </w:r>
    </w:p>
    <w:tbl>
      <w:tblPr>
        <w:tblStyle w:val="TableGrid"/>
        <w:tblW w:w="0" w:type="auto"/>
        <w:tblLook w:val="04A0" w:firstRow="1" w:lastRow="0" w:firstColumn="1" w:lastColumn="0" w:noHBand="0" w:noVBand="1"/>
        <w:tblCaption w:val="Requirements of project proponents and Government during the pre-assessment phase"/>
        <w:tblDescription w:val="Table 1 details the requirements of project propnents and the Government during the pre-assessment phase of the Decision-making Framework.&#10;&#10;During pre-assessment, a project proponent requests a meeting with DEDJTR officers to understand the requirements under the Framework. On the Government side, DEDJTR arranges a meeting and provides information related to the Frameworkm along with submission requirements. Proposals seeking less than $500k will be required to satisfy basic submission requirements as set out in Appendix 1 of this document. Depending on the type of spport sought or the funding source, additional information may be required. "/>
      </w:tblPr>
      <w:tblGrid>
        <w:gridCol w:w="3936"/>
        <w:gridCol w:w="5306"/>
      </w:tblGrid>
      <w:tr w:rsidR="0085593A" w:rsidTr="00AC034F">
        <w:trPr>
          <w:cantSplit/>
          <w:tblHeader/>
        </w:trPr>
        <w:tc>
          <w:tcPr>
            <w:tcW w:w="3936" w:type="dxa"/>
            <w:shd w:val="clear" w:color="auto" w:fill="365F91" w:themeFill="accent1" w:themeFillShade="BF"/>
          </w:tcPr>
          <w:p w:rsidR="0085593A" w:rsidRPr="00CA1765" w:rsidRDefault="0085593A" w:rsidP="00ED2069">
            <w:pPr>
              <w:pStyle w:val="bodyCopy"/>
              <w:spacing w:after="120"/>
              <w:rPr>
                <w:b/>
                <w:color w:val="FFFFFF" w:themeColor="background1"/>
              </w:rPr>
            </w:pPr>
            <w:r w:rsidRPr="00CA1765">
              <w:rPr>
                <w:b/>
                <w:color w:val="FFFFFF" w:themeColor="background1"/>
              </w:rPr>
              <w:t>Proponent</w:t>
            </w:r>
          </w:p>
        </w:tc>
        <w:tc>
          <w:tcPr>
            <w:tcW w:w="5306" w:type="dxa"/>
            <w:shd w:val="clear" w:color="auto" w:fill="365F91" w:themeFill="accent1" w:themeFillShade="BF"/>
          </w:tcPr>
          <w:p w:rsidR="0085593A" w:rsidRPr="00CA1765" w:rsidRDefault="0085593A" w:rsidP="00ED2069">
            <w:pPr>
              <w:pStyle w:val="bodyCopy"/>
              <w:spacing w:after="120"/>
              <w:rPr>
                <w:b/>
                <w:color w:val="FFFFFF" w:themeColor="background1"/>
              </w:rPr>
            </w:pPr>
            <w:r w:rsidRPr="00CA1765">
              <w:rPr>
                <w:b/>
                <w:color w:val="FFFFFF" w:themeColor="background1"/>
              </w:rPr>
              <w:t>Government</w:t>
            </w:r>
          </w:p>
        </w:tc>
      </w:tr>
      <w:tr w:rsidR="0085593A" w:rsidTr="00AC034F">
        <w:trPr>
          <w:cantSplit/>
        </w:trPr>
        <w:tc>
          <w:tcPr>
            <w:tcW w:w="3936" w:type="dxa"/>
            <w:shd w:val="clear" w:color="auto" w:fill="F2F2F2" w:themeFill="background1" w:themeFillShade="F2"/>
          </w:tcPr>
          <w:p w:rsidR="0085593A" w:rsidRPr="0085593A" w:rsidRDefault="0085593A" w:rsidP="000D1323">
            <w:pPr>
              <w:pStyle w:val="bodyCopy"/>
              <w:numPr>
                <w:ilvl w:val="0"/>
                <w:numId w:val="7"/>
              </w:numPr>
              <w:spacing w:after="120"/>
              <w:ind w:left="357" w:hanging="357"/>
              <w:rPr>
                <w:b/>
              </w:rPr>
            </w:pPr>
            <w:r>
              <w:t>Requests a meeting with DEDJTR officers to understand the requirements under the Framework.</w:t>
            </w:r>
          </w:p>
        </w:tc>
        <w:tc>
          <w:tcPr>
            <w:tcW w:w="5306" w:type="dxa"/>
            <w:shd w:val="clear" w:color="auto" w:fill="F2F2F2" w:themeFill="background1" w:themeFillShade="F2"/>
          </w:tcPr>
          <w:p w:rsidR="0085593A" w:rsidRPr="00326B66" w:rsidRDefault="0085593A" w:rsidP="000D1323">
            <w:pPr>
              <w:pStyle w:val="bodyCopy"/>
              <w:numPr>
                <w:ilvl w:val="0"/>
                <w:numId w:val="7"/>
              </w:numPr>
              <w:spacing w:after="0"/>
              <w:ind w:left="357" w:hanging="357"/>
            </w:pPr>
            <w:r w:rsidRPr="0085593A">
              <w:t xml:space="preserve">DEDJTR arranges a meeting and provides information related </w:t>
            </w:r>
            <w:r w:rsidR="000E0C37" w:rsidRPr="00326B66">
              <w:t>to the</w:t>
            </w:r>
            <w:r w:rsidRPr="00326B66">
              <w:t xml:space="preserve"> Framework and submission requirements.</w:t>
            </w:r>
          </w:p>
          <w:p w:rsidR="0085593A" w:rsidRPr="0085593A" w:rsidRDefault="0085593A" w:rsidP="000D1323">
            <w:pPr>
              <w:pStyle w:val="bodyCopy"/>
              <w:numPr>
                <w:ilvl w:val="0"/>
                <w:numId w:val="7"/>
              </w:numPr>
              <w:spacing w:before="0" w:after="0"/>
              <w:ind w:left="357" w:hanging="357"/>
            </w:pPr>
            <w:r w:rsidRPr="00326B66">
              <w:t xml:space="preserve">Proposals seeking less than </w:t>
            </w:r>
            <w:r w:rsidR="002537A5" w:rsidRPr="00326B66">
              <w:t>$500,000</w:t>
            </w:r>
            <w:r w:rsidRPr="00326B66">
              <w:t xml:space="preserve"> will be required to satisfy </w:t>
            </w:r>
            <w:r w:rsidR="00011188" w:rsidRPr="00326B66">
              <w:t>basic submission</w:t>
            </w:r>
            <w:r w:rsidR="00011188">
              <w:t xml:space="preserve"> </w:t>
            </w:r>
            <w:r w:rsidRPr="0085593A">
              <w:t xml:space="preserve">requirements as set out in Appendix </w:t>
            </w:r>
            <w:r w:rsidR="00011188">
              <w:t>1</w:t>
            </w:r>
            <w:r w:rsidR="003E078D" w:rsidRPr="0085593A">
              <w:t>.</w:t>
            </w:r>
            <w:r w:rsidR="002C60B6">
              <w:t xml:space="preserve"> </w:t>
            </w:r>
            <w:r w:rsidR="00B65A9C">
              <w:t>D</w:t>
            </w:r>
            <w:r w:rsidR="00847A4D">
              <w:t xml:space="preserve">epending on the type of support sought or the funding source, additional information may be required. </w:t>
            </w:r>
          </w:p>
          <w:p w:rsidR="00282A96" w:rsidRDefault="00282A96" w:rsidP="00EC7F3D">
            <w:pPr>
              <w:pStyle w:val="bodyCopy"/>
              <w:spacing w:before="0" w:after="0"/>
              <w:rPr>
                <w:b/>
              </w:rPr>
            </w:pPr>
          </w:p>
        </w:tc>
      </w:tr>
    </w:tbl>
    <w:p w:rsidR="00C1599C" w:rsidRDefault="00F433EB" w:rsidP="00AC034F">
      <w:pPr>
        <w:pStyle w:val="Heading2"/>
        <w:spacing w:before="360" w:after="120"/>
        <w:ind w:left="578" w:hanging="578"/>
      </w:pPr>
      <w:bookmarkStart w:id="13" w:name="_Toc491961246"/>
      <w:bookmarkStart w:id="14" w:name="_Toc491961298"/>
      <w:bookmarkStart w:id="15" w:name="_Toc491961247"/>
      <w:bookmarkStart w:id="16" w:name="_Toc491961299"/>
      <w:bookmarkStart w:id="17" w:name="_Toc491961248"/>
      <w:bookmarkStart w:id="18" w:name="_Toc491961300"/>
      <w:bookmarkStart w:id="19" w:name="_Toc491961249"/>
      <w:bookmarkStart w:id="20" w:name="_Toc491961301"/>
      <w:bookmarkStart w:id="21" w:name="_Toc484589943"/>
      <w:bookmarkStart w:id="22" w:name="_Toc484597135"/>
      <w:bookmarkStart w:id="23" w:name="_Toc484589944"/>
      <w:bookmarkStart w:id="24" w:name="_Toc484597136"/>
      <w:bookmarkStart w:id="25" w:name="_Toc484589945"/>
      <w:bookmarkStart w:id="26" w:name="_Toc484597137"/>
      <w:bookmarkStart w:id="27" w:name="_Toc484589947"/>
      <w:bookmarkStart w:id="28" w:name="_Toc484597139"/>
      <w:bookmarkStart w:id="29" w:name="_Toc484589948"/>
      <w:bookmarkStart w:id="30" w:name="_Toc484597140"/>
      <w:bookmarkStart w:id="31" w:name="_Toc484589949"/>
      <w:bookmarkStart w:id="32" w:name="_Toc484597141"/>
      <w:bookmarkStart w:id="33" w:name="_Toc484589952"/>
      <w:bookmarkStart w:id="34" w:name="_Toc484597144"/>
      <w:bookmarkStart w:id="35" w:name="_Toc484432352"/>
      <w:bookmarkStart w:id="36" w:name="_Toc484589953"/>
      <w:bookmarkStart w:id="37" w:name="_Toc484597145"/>
      <w:bookmarkStart w:id="38" w:name="_Toc52193284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Stage</w:t>
      </w:r>
      <w:r w:rsidR="00C1599C" w:rsidRPr="00C1599C">
        <w:t xml:space="preserve"> </w:t>
      </w:r>
      <w:r w:rsidR="000C1E44">
        <w:t>One</w:t>
      </w:r>
      <w:r w:rsidR="0070082C">
        <w:t>:</w:t>
      </w:r>
      <w:r w:rsidR="00C1599C" w:rsidRPr="00C1599C">
        <w:t xml:space="preserve"> </w:t>
      </w:r>
      <w:r w:rsidR="004A5503">
        <w:t>Initial Assessment</w:t>
      </w:r>
      <w:bookmarkEnd w:id="38"/>
    </w:p>
    <w:p w:rsidR="00DC3B81" w:rsidRDefault="00ED265F" w:rsidP="004E071B">
      <w:pPr>
        <w:pStyle w:val="bodyCopy"/>
        <w:spacing w:after="120"/>
      </w:pPr>
      <w:r w:rsidRPr="00ED265F">
        <w:t xml:space="preserve">During Stage 1, the </w:t>
      </w:r>
      <w:r w:rsidR="00E64719">
        <w:t>IEAP</w:t>
      </w:r>
      <w:r w:rsidRPr="00ED265F">
        <w:t xml:space="preserve"> will conduct a</w:t>
      </w:r>
      <w:r w:rsidR="004A5503">
        <w:t xml:space="preserve"> </w:t>
      </w:r>
      <w:r w:rsidR="0086771D">
        <w:t>high-level</w:t>
      </w:r>
      <w:r w:rsidRPr="00ED265F">
        <w:t xml:space="preserve"> assessment of a project’s </w:t>
      </w:r>
      <w:r w:rsidR="004A5503">
        <w:t xml:space="preserve">overall merits </w:t>
      </w:r>
      <w:r w:rsidR="006A00E8">
        <w:t>against key assessment criteria set out in Section 3 of th</w:t>
      </w:r>
      <w:r w:rsidR="002E1518">
        <w:t>is document</w:t>
      </w:r>
      <w:r w:rsidR="00431811">
        <w:t xml:space="preserve">. </w:t>
      </w:r>
    </w:p>
    <w:p w:rsidR="00DC3B81" w:rsidRDefault="00DC3B81" w:rsidP="004E071B">
      <w:pPr>
        <w:pStyle w:val="bodyCopy"/>
        <w:spacing w:after="120"/>
      </w:pPr>
      <w:r>
        <w:t xml:space="preserve">Prior to the high-level assessment by the </w:t>
      </w:r>
      <w:r w:rsidR="00E64719">
        <w:t>IEAP</w:t>
      </w:r>
      <w:r>
        <w:t xml:space="preserve">, DEDJTR and DTF will advise the </w:t>
      </w:r>
      <w:r w:rsidR="00E64719">
        <w:t>IEAP</w:t>
      </w:r>
      <w:r>
        <w:t xml:space="preserve"> of the project’s eligibility under the process </w:t>
      </w:r>
      <w:r w:rsidR="006A00E8">
        <w:t xml:space="preserve">and </w:t>
      </w:r>
      <w:r>
        <w:t>ensure the proposal</w:t>
      </w:r>
      <w:r w:rsidR="00282A96">
        <w:t xml:space="preserve"> is complete and</w:t>
      </w:r>
      <w:r>
        <w:t xml:space="preserve"> meets the relevant submission checklist requirements.</w:t>
      </w:r>
      <w:r w:rsidR="002C60B6">
        <w:t xml:space="preserve"> </w:t>
      </w:r>
      <w:r>
        <w:t>Incomplete proposals will be returned to the proponent for further work or to</w:t>
      </w:r>
      <w:r w:rsidR="006A00E8">
        <w:t xml:space="preserve"> provide additional information prior to convening the </w:t>
      </w:r>
      <w:r w:rsidR="00E64719">
        <w:t>IEAP</w:t>
      </w:r>
      <w:r w:rsidR="006A00E8">
        <w:t>.</w:t>
      </w:r>
    </w:p>
    <w:p w:rsidR="00DC3B81" w:rsidRDefault="00DC3B81" w:rsidP="004E071B">
      <w:pPr>
        <w:pStyle w:val="bodyCopy"/>
        <w:spacing w:after="120"/>
      </w:pPr>
      <w:r>
        <w:t xml:space="preserve">Stage 1 will involve an initial assessment of the project and </w:t>
      </w:r>
      <w:r w:rsidR="0086771D">
        <w:t>proponent’s</w:t>
      </w:r>
      <w:r>
        <w:t xml:space="preserve"> merits </w:t>
      </w:r>
      <w:r w:rsidR="001D76D9">
        <w:t>based on commercial, technical and environment</w:t>
      </w:r>
      <w:r w:rsidR="005F48FA">
        <w:t>al</w:t>
      </w:r>
      <w:r w:rsidR="001D76D9">
        <w:t xml:space="preserve"> management factors</w:t>
      </w:r>
      <w:r>
        <w:t>.</w:t>
      </w:r>
      <w:r w:rsidR="002C60B6">
        <w:t xml:space="preserve"> </w:t>
      </w:r>
    </w:p>
    <w:p w:rsidR="00011188" w:rsidRDefault="00011188" w:rsidP="00AC034F">
      <w:pPr>
        <w:pStyle w:val="bodyCopy"/>
        <w:spacing w:after="60"/>
      </w:pPr>
      <w:r>
        <w:t xml:space="preserve">Assessment of </w:t>
      </w:r>
      <w:r w:rsidR="00FB6259">
        <w:t>p</w:t>
      </w:r>
      <w:r w:rsidR="004E071B">
        <w:t xml:space="preserve">roposals will </w:t>
      </w:r>
      <w:r w:rsidR="0086771D" w:rsidRPr="00ED265F">
        <w:t>consider</w:t>
      </w:r>
      <w:r w:rsidR="00ED265F" w:rsidRPr="00ED265F">
        <w:t xml:space="preserve"> the </w:t>
      </w:r>
      <w:r>
        <w:t xml:space="preserve">following </w:t>
      </w:r>
      <w:r w:rsidR="00503324">
        <w:t>aspects</w:t>
      </w:r>
      <w:r>
        <w:t xml:space="preserve"> that could reasonably be expected at that stage of a comparable project:</w:t>
      </w:r>
    </w:p>
    <w:p w:rsidR="006C50DC" w:rsidRDefault="00011188" w:rsidP="00AC034F">
      <w:pPr>
        <w:pStyle w:val="bodyCopy"/>
        <w:numPr>
          <w:ilvl w:val="0"/>
          <w:numId w:val="19"/>
        </w:numPr>
        <w:spacing w:before="60" w:after="60"/>
        <w:ind w:left="714" w:hanging="357"/>
      </w:pPr>
      <w:r>
        <w:t xml:space="preserve">the </w:t>
      </w:r>
      <w:r w:rsidR="00B5785D">
        <w:t xml:space="preserve">level of </w:t>
      </w:r>
      <w:r w:rsidR="006C50DC">
        <w:t xml:space="preserve">project </w:t>
      </w:r>
      <w:r w:rsidR="00B5785D">
        <w:t>development</w:t>
      </w:r>
      <w:r w:rsidR="00ED265F" w:rsidRPr="00ED265F">
        <w:t xml:space="preserve"> </w:t>
      </w:r>
    </w:p>
    <w:p w:rsidR="006C50DC" w:rsidRDefault="00ED265F" w:rsidP="00AC034F">
      <w:pPr>
        <w:pStyle w:val="bodyCopy"/>
        <w:numPr>
          <w:ilvl w:val="0"/>
          <w:numId w:val="19"/>
        </w:numPr>
        <w:spacing w:before="60" w:after="60"/>
        <w:ind w:left="714" w:hanging="357"/>
      </w:pPr>
      <w:r w:rsidRPr="00ED265F">
        <w:t xml:space="preserve">the feasibility of the </w:t>
      </w:r>
      <w:r w:rsidR="006C50DC" w:rsidRPr="00ED265F">
        <w:t>project</w:t>
      </w:r>
      <w:r w:rsidR="006C50DC">
        <w:t>;</w:t>
      </w:r>
      <w:r w:rsidR="006C50DC" w:rsidRPr="00ED265F">
        <w:t xml:space="preserve"> and</w:t>
      </w:r>
      <w:r w:rsidRPr="00ED265F">
        <w:t xml:space="preserve"> </w:t>
      </w:r>
    </w:p>
    <w:p w:rsidR="00703D50" w:rsidRDefault="00ED265F" w:rsidP="00AC034F">
      <w:pPr>
        <w:pStyle w:val="bodyCopy"/>
        <w:numPr>
          <w:ilvl w:val="0"/>
          <w:numId w:val="19"/>
        </w:numPr>
        <w:spacing w:before="60" w:after="60"/>
        <w:ind w:left="714" w:hanging="357"/>
      </w:pPr>
      <w:r w:rsidRPr="00ED265F">
        <w:t>the capability of the proponent to deliver such a project.</w:t>
      </w:r>
      <w:r w:rsidR="00431811">
        <w:t xml:space="preserve"> </w:t>
      </w:r>
    </w:p>
    <w:p w:rsidR="00597C7D" w:rsidRDefault="00ED265F" w:rsidP="00ED2069">
      <w:pPr>
        <w:pStyle w:val="bodyCopy"/>
        <w:spacing w:after="120"/>
      </w:pPr>
      <w:r w:rsidRPr="00ED265F">
        <w:t xml:space="preserve">When assessing a project’s merits, the </w:t>
      </w:r>
      <w:r w:rsidR="00E64719">
        <w:t>IEAP</w:t>
      </w:r>
      <w:r w:rsidRPr="00ED265F">
        <w:t xml:space="preserve"> will </w:t>
      </w:r>
      <w:r w:rsidR="00597C7D">
        <w:t xml:space="preserve">also </w:t>
      </w:r>
      <w:r w:rsidRPr="00ED265F">
        <w:t>examine the likely</w:t>
      </w:r>
      <w:r w:rsidR="002623F1">
        <w:t xml:space="preserve"> market</w:t>
      </w:r>
      <w:r w:rsidRPr="00ED265F">
        <w:t xml:space="preserve"> demand for the product being proposed</w:t>
      </w:r>
      <w:r w:rsidR="00503324">
        <w:t xml:space="preserve"> and the resilience of the project to changes in markets and to policies</w:t>
      </w:r>
      <w:r w:rsidR="003E078D">
        <w:t>.</w:t>
      </w:r>
      <w:r w:rsidR="002C60B6">
        <w:t xml:space="preserve"> </w:t>
      </w:r>
    </w:p>
    <w:p w:rsidR="00B65A9C" w:rsidRDefault="00ED265F" w:rsidP="00AC034F">
      <w:pPr>
        <w:pStyle w:val="bodyCopy"/>
        <w:spacing w:after="120"/>
      </w:pPr>
      <w:r w:rsidRPr="0085593A">
        <w:t xml:space="preserve">The actions and responsibilities of the </w:t>
      </w:r>
      <w:r w:rsidR="00DB6F90">
        <w:t>p</w:t>
      </w:r>
      <w:r w:rsidRPr="0085593A">
        <w:t>roponent</w:t>
      </w:r>
      <w:r w:rsidR="004C73E0">
        <w:t xml:space="preserve">, </w:t>
      </w:r>
      <w:r w:rsidRPr="0085593A">
        <w:t xml:space="preserve">the Government </w:t>
      </w:r>
      <w:r w:rsidR="004C73E0">
        <w:t xml:space="preserve">and the </w:t>
      </w:r>
      <w:r w:rsidR="00E64719">
        <w:t>IEAP</w:t>
      </w:r>
      <w:r w:rsidR="004C73E0">
        <w:t xml:space="preserve"> </w:t>
      </w:r>
      <w:r>
        <w:t xml:space="preserve">during Stage 1 </w:t>
      </w:r>
      <w:r w:rsidRPr="0085593A">
        <w:t xml:space="preserve">are summarised in </w:t>
      </w:r>
      <w:r w:rsidR="005C22A9">
        <w:t xml:space="preserve">Table </w:t>
      </w:r>
      <w:r w:rsidR="00AB25EF">
        <w:t>3</w:t>
      </w:r>
      <w:r w:rsidR="005C22A9">
        <w:t>.</w:t>
      </w:r>
    </w:p>
    <w:p w:rsidR="00EC7F3D" w:rsidRDefault="00EC7F3D" w:rsidP="00EC7F3D">
      <w:pPr>
        <w:pStyle w:val="tablename"/>
      </w:pPr>
      <w:r>
        <w:lastRenderedPageBreak/>
        <w:t xml:space="preserve">Table </w:t>
      </w:r>
      <w:fldSimple w:instr=" SEQ Table \* ARABIC ">
        <w:r w:rsidR="00BE3296">
          <w:rPr>
            <w:noProof/>
          </w:rPr>
          <w:t>2</w:t>
        </w:r>
      </w:fldSimple>
      <w:r>
        <w:t xml:space="preserve">. </w:t>
      </w:r>
      <w:r w:rsidRPr="003B32FA">
        <w:t>Requirements of project proponents and Government during Stage 1 Assessment</w:t>
      </w:r>
    </w:p>
    <w:tbl>
      <w:tblPr>
        <w:tblStyle w:val="TableGrid"/>
        <w:tblW w:w="0" w:type="auto"/>
        <w:tblBorders>
          <w:left w:val="single" w:sz="8" w:space="0" w:color="auto"/>
        </w:tblBorders>
        <w:tblLayout w:type="fixed"/>
        <w:tblLook w:val="04A0" w:firstRow="1" w:lastRow="0" w:firstColumn="1" w:lastColumn="0" w:noHBand="0" w:noVBand="1"/>
        <w:tblCaption w:val="Requirements of project proponents and Government during Stage 1 Assessment"/>
        <w:tblDescription w:val="Table 2 details the requirements of project proponents and Governmebt during Stage 1 of the assessment process.&#10;&#10;All proponents are required to submit a proposal for one or all of facilitation, coal allocation or funding. If requested, a proponent provides additional information, noting that information requests will be limited to that required to determine a project's suitability for progressing to a detailed assessment under Stage 2. During Stage 1, a project proponent may be invited to present to the IEAP on their proposal and/or provide clarification on any outstanding issues. During Stage 1, the IEAP will be supported by DEDJTR and DTF, who check the proposal for eligibility under the Framework and in particular, that the proposal satisfies the agreed submission requirements. All eligible proposals are then referred directly to the IEAP for Stage 1 initial assessment. The IEAP reviews at a high-level, the information submitted in the proposal against the key assessment criteria outlined in Section 3 of this document. &#10;&#10;Project proponents seeking facilititation submit a proposal using Appendix 1 of this document as a guideline and including all relevant information. This proposal is then referred to the DEDJTR Resources Division. The IEAP will make recommendations to DEJTR as to whether the project warrants government facilitation support. The DEDJTR Resources Division and Invest Victoria will then determine the nature of facilitated best suited to the proposal and stage of project development, in consultation with the proponent. &#10;&#10;Projects seeking a coal allocation must first seek to secure access to coal resources on commercial terms prior to seeking Victorian Government assistance and if unsuccessful, provide evidence of this to DEDJTR. Proponents seeking a coal allocation from the Victorian Government must submit a proposal addressing the key assessment criteria outlined in Section 3 of this document. The proposal is expected to documentation appropriate to its stage of project development as set by DEDJTR during the pre-assessment phase. The IEAP makes recommendations to the DEDJTR Resources Division whether the project warrants government support in accessing coal resources. The DEDJTR Resources Division considers the advice of the IEAP and determines whether there is evidence that the proponent has been unable to secure a coal supply agreement with existing mine operators on reasonable terms. DEDJTR then makes recommendations to the Minister for Resources regarding the proposal, and if appropriate, on an approach to allocating coal to ensure supply to the project, consistent with the Coal Statement. &#10;&#10;Project proponents seeking smaller amounts of funding (&lt;$500k) submit a basic proposal satisfying the requirments as set out in Appendix 1 and any other requirements agreed with DEDJTR. Project proponents seeking larger amounts of funding (&gt;$500k) submit a proposal addressing the key assessment criteria outlined in Section 3 of this document. This proposal will include documentation appropriate to its stage of development as agreed with DEDJTR during the pre-assessment phase. Should the proponent wish to make amendments to these deliverable or not address some or all of the listed deliverables, hey must submit a clear rationale for doing so. The IEAP will determine whether the proposal meets the initial assessment requirements and should progress to Stage 2. Smaller value proposals will be recommended for detailed assessment by DEDJTR and higher valie proposals will be recommended for a detailed assessment by the IEAP to commence Stage 2 Assessment. "/>
      </w:tblPr>
      <w:tblGrid>
        <w:gridCol w:w="1242"/>
        <w:gridCol w:w="4000"/>
        <w:gridCol w:w="4000"/>
      </w:tblGrid>
      <w:tr w:rsidR="009178DB" w:rsidTr="00240C94">
        <w:trPr>
          <w:tblHeader/>
        </w:trPr>
        <w:tc>
          <w:tcPr>
            <w:tcW w:w="1242" w:type="dxa"/>
            <w:tcBorders>
              <w:bottom w:val="single" w:sz="4" w:space="0" w:color="auto"/>
            </w:tcBorders>
            <w:shd w:val="clear" w:color="auto" w:fill="365F91" w:themeFill="accent1" w:themeFillShade="BF"/>
          </w:tcPr>
          <w:p w:rsidR="009178DB" w:rsidRPr="00EA72C5" w:rsidRDefault="009178DB" w:rsidP="00ED2069">
            <w:pPr>
              <w:pStyle w:val="bodyCopy"/>
              <w:spacing w:after="120"/>
              <w:rPr>
                <w:b/>
                <w:color w:val="FFFFFF" w:themeColor="background1"/>
              </w:rPr>
            </w:pPr>
            <w:r w:rsidRPr="00EA72C5">
              <w:rPr>
                <w:b/>
                <w:color w:val="FFFFFF" w:themeColor="background1"/>
              </w:rPr>
              <w:t>Nature of Support</w:t>
            </w:r>
          </w:p>
        </w:tc>
        <w:tc>
          <w:tcPr>
            <w:tcW w:w="4000" w:type="dxa"/>
            <w:shd w:val="clear" w:color="auto" w:fill="365F91" w:themeFill="accent1" w:themeFillShade="BF"/>
          </w:tcPr>
          <w:p w:rsidR="009178DB" w:rsidRPr="00B52FAC" w:rsidRDefault="009178DB" w:rsidP="00ED2069">
            <w:pPr>
              <w:pStyle w:val="bodyCopy"/>
              <w:spacing w:after="120"/>
              <w:rPr>
                <w:b/>
                <w:color w:val="FFFFFF" w:themeColor="background1"/>
              </w:rPr>
            </w:pPr>
            <w:r w:rsidRPr="00B52FAC">
              <w:rPr>
                <w:b/>
                <w:color w:val="FFFFFF" w:themeColor="background1"/>
              </w:rPr>
              <w:t>Proponent</w:t>
            </w:r>
          </w:p>
        </w:tc>
        <w:tc>
          <w:tcPr>
            <w:tcW w:w="4000" w:type="dxa"/>
            <w:shd w:val="clear" w:color="auto" w:fill="365F91" w:themeFill="accent1" w:themeFillShade="BF"/>
          </w:tcPr>
          <w:p w:rsidR="009178DB" w:rsidRPr="00B52FAC" w:rsidRDefault="009178DB" w:rsidP="00ED2069">
            <w:pPr>
              <w:pStyle w:val="bodyCopy"/>
              <w:spacing w:after="120"/>
              <w:rPr>
                <w:b/>
                <w:color w:val="FFFFFF" w:themeColor="background1"/>
              </w:rPr>
            </w:pPr>
            <w:r w:rsidRPr="00B52FAC">
              <w:rPr>
                <w:b/>
                <w:color w:val="FFFFFF" w:themeColor="background1"/>
              </w:rPr>
              <w:t>Government</w:t>
            </w:r>
            <w:r>
              <w:rPr>
                <w:b/>
                <w:color w:val="FFFFFF" w:themeColor="background1"/>
              </w:rPr>
              <w:t xml:space="preserve"> / </w:t>
            </w:r>
            <w:r w:rsidR="00E64719">
              <w:rPr>
                <w:b/>
                <w:color w:val="FFFFFF" w:themeColor="background1"/>
              </w:rPr>
              <w:t>IEAP</w:t>
            </w:r>
          </w:p>
        </w:tc>
      </w:tr>
      <w:tr w:rsidR="009178DB" w:rsidTr="00326B66">
        <w:tc>
          <w:tcPr>
            <w:tcW w:w="1242" w:type="dxa"/>
            <w:tcBorders>
              <w:left w:val="single" w:sz="4" w:space="0" w:color="auto"/>
            </w:tcBorders>
            <w:shd w:val="clear" w:color="auto" w:fill="D9D9D9" w:themeFill="background1" w:themeFillShade="D9"/>
          </w:tcPr>
          <w:p w:rsidR="009178DB" w:rsidRPr="00EA72C5" w:rsidRDefault="009178DB" w:rsidP="00EA72C5">
            <w:pPr>
              <w:pStyle w:val="bodyCopy"/>
              <w:spacing w:after="0"/>
              <w:rPr>
                <w:b/>
              </w:rPr>
            </w:pPr>
            <w:r w:rsidRPr="00EA72C5">
              <w:rPr>
                <w:b/>
              </w:rPr>
              <w:t>All</w:t>
            </w:r>
          </w:p>
        </w:tc>
        <w:tc>
          <w:tcPr>
            <w:tcW w:w="4000" w:type="dxa"/>
            <w:shd w:val="clear" w:color="auto" w:fill="F2F2F2" w:themeFill="background1" w:themeFillShade="F2"/>
          </w:tcPr>
          <w:p w:rsidR="009178DB" w:rsidRDefault="009178DB" w:rsidP="00A9235D">
            <w:pPr>
              <w:pStyle w:val="bodyCopy"/>
              <w:numPr>
                <w:ilvl w:val="0"/>
                <w:numId w:val="8"/>
              </w:numPr>
              <w:spacing w:before="0" w:after="0"/>
              <w:ind w:left="357" w:hanging="357"/>
            </w:pPr>
            <w:r>
              <w:t xml:space="preserve">Submits a </w:t>
            </w:r>
            <w:r w:rsidR="002623F1">
              <w:t xml:space="preserve">proposal </w:t>
            </w:r>
            <w:r>
              <w:t>for one or all of facilitation, a coal allocation or funding</w:t>
            </w:r>
            <w:r w:rsidR="001D76D9">
              <w:t xml:space="preserve"> support</w:t>
            </w:r>
            <w:r>
              <w:t>.</w:t>
            </w:r>
          </w:p>
          <w:p w:rsidR="008D28BD" w:rsidRDefault="008D28BD" w:rsidP="008D28BD">
            <w:pPr>
              <w:pStyle w:val="bodyCopy"/>
              <w:numPr>
                <w:ilvl w:val="0"/>
                <w:numId w:val="8"/>
              </w:numPr>
              <w:spacing w:before="0" w:after="0"/>
              <w:ind w:left="357" w:hanging="357"/>
            </w:pPr>
            <w:r w:rsidRPr="00C1599C">
              <w:t xml:space="preserve">If requested, </w:t>
            </w:r>
            <w:r>
              <w:t xml:space="preserve">provides </w:t>
            </w:r>
            <w:r w:rsidRPr="00C1599C">
              <w:t>additional information</w:t>
            </w:r>
            <w:r>
              <w:t xml:space="preserve">, noting information requests will be limited to </w:t>
            </w:r>
            <w:r w:rsidR="00503324">
              <w:t xml:space="preserve">that </w:t>
            </w:r>
            <w:r>
              <w:t>required to determine a project’s suitability for progressing to a detailed assessment under Stage Two.</w:t>
            </w:r>
          </w:p>
          <w:p w:rsidR="009178DB" w:rsidRPr="00EC7F3D" w:rsidRDefault="00B65A9C" w:rsidP="007A5339">
            <w:pPr>
              <w:pStyle w:val="bodyCopy"/>
              <w:numPr>
                <w:ilvl w:val="0"/>
                <w:numId w:val="8"/>
              </w:numPr>
              <w:spacing w:before="0" w:after="0"/>
              <w:ind w:left="357" w:hanging="357"/>
              <w:rPr>
                <w:b/>
              </w:rPr>
            </w:pPr>
            <w:r>
              <w:t xml:space="preserve">May </w:t>
            </w:r>
            <w:r w:rsidR="003E078D">
              <w:t>be invited</w:t>
            </w:r>
            <w:r w:rsidR="009178DB">
              <w:t xml:space="preserve"> to present to the </w:t>
            </w:r>
            <w:r w:rsidR="00E64719">
              <w:t>IEAP</w:t>
            </w:r>
            <w:r w:rsidR="009178DB">
              <w:t xml:space="preserve"> on their </w:t>
            </w:r>
            <w:r w:rsidR="0086771D">
              <w:t>proposal and</w:t>
            </w:r>
            <w:r w:rsidR="009178DB">
              <w:t>/or provide clarification on any outstanding issues</w:t>
            </w:r>
            <w:r w:rsidR="009178DB" w:rsidRPr="00C1599C">
              <w:t>.</w:t>
            </w:r>
          </w:p>
          <w:p w:rsidR="00EC7F3D" w:rsidRPr="00CA1765" w:rsidRDefault="00EC7F3D" w:rsidP="00EC7F3D">
            <w:pPr>
              <w:pStyle w:val="bodyCopy"/>
              <w:spacing w:before="0" w:after="0"/>
              <w:ind w:left="357"/>
              <w:rPr>
                <w:b/>
              </w:rPr>
            </w:pPr>
          </w:p>
        </w:tc>
        <w:tc>
          <w:tcPr>
            <w:tcW w:w="4000" w:type="dxa"/>
            <w:shd w:val="clear" w:color="auto" w:fill="F2F2F2" w:themeFill="background1" w:themeFillShade="F2"/>
          </w:tcPr>
          <w:p w:rsidR="00DC3B81" w:rsidRDefault="009178DB" w:rsidP="00DC3B81">
            <w:pPr>
              <w:pStyle w:val="bodyCopy"/>
              <w:numPr>
                <w:ilvl w:val="0"/>
                <w:numId w:val="7"/>
              </w:numPr>
              <w:spacing w:before="0" w:after="0"/>
              <w:ind w:left="357" w:hanging="357"/>
            </w:pPr>
            <w:r>
              <w:t xml:space="preserve">During Stage 1, the </w:t>
            </w:r>
            <w:r w:rsidR="00E64719">
              <w:t>IEAP</w:t>
            </w:r>
            <w:r>
              <w:t xml:space="preserve"> will be supported by DEDJTR </w:t>
            </w:r>
            <w:r w:rsidRPr="00597C7D">
              <w:t>and DTF</w:t>
            </w:r>
            <w:r w:rsidR="003D0796">
              <w:t>, who</w:t>
            </w:r>
            <w:r w:rsidR="00DC3B81">
              <w:t xml:space="preserve"> check</w:t>
            </w:r>
            <w:r w:rsidR="00DC3B81" w:rsidRPr="0085593A">
              <w:t xml:space="preserve"> the </w:t>
            </w:r>
            <w:r w:rsidR="00DC3B81">
              <w:t>p</w:t>
            </w:r>
            <w:r w:rsidR="00DC3B81" w:rsidRPr="0085593A">
              <w:t xml:space="preserve">roposal for eligibility under the Framework </w:t>
            </w:r>
            <w:r w:rsidR="0086771D" w:rsidRPr="0085593A">
              <w:t>and, that the</w:t>
            </w:r>
            <w:r w:rsidR="00DC3B81">
              <w:t xml:space="preserve"> p</w:t>
            </w:r>
            <w:r w:rsidR="00DC3B81" w:rsidRPr="0085593A">
              <w:t>roposal satisfies the</w:t>
            </w:r>
            <w:r w:rsidR="001D76D9">
              <w:t xml:space="preserve"> agreed submission</w:t>
            </w:r>
            <w:r w:rsidR="00DC3B81" w:rsidRPr="0085593A">
              <w:t xml:space="preserve"> requirements.</w:t>
            </w:r>
          </w:p>
          <w:p w:rsidR="002D25EB" w:rsidRPr="0085593A" w:rsidRDefault="002D25EB" w:rsidP="00DC3B81">
            <w:pPr>
              <w:pStyle w:val="bodyCopy"/>
              <w:numPr>
                <w:ilvl w:val="0"/>
                <w:numId w:val="7"/>
              </w:numPr>
              <w:spacing w:before="0" w:after="0"/>
              <w:ind w:left="357" w:hanging="357"/>
            </w:pPr>
            <w:r>
              <w:t xml:space="preserve">All eligible proposals will then be referred directly to the </w:t>
            </w:r>
            <w:r w:rsidR="00E64719">
              <w:t>IEAP</w:t>
            </w:r>
            <w:r>
              <w:t xml:space="preserve"> for Stage 1 </w:t>
            </w:r>
            <w:r w:rsidR="001D76D9">
              <w:t>Initial</w:t>
            </w:r>
            <w:r>
              <w:t xml:space="preserve"> Assessment.</w:t>
            </w:r>
          </w:p>
          <w:p w:rsidR="009178DB" w:rsidRDefault="009178DB" w:rsidP="0086771D">
            <w:pPr>
              <w:pStyle w:val="bodyCopy"/>
              <w:numPr>
                <w:ilvl w:val="0"/>
                <w:numId w:val="8"/>
              </w:numPr>
              <w:spacing w:before="0" w:after="120"/>
              <w:ind w:left="357" w:hanging="357"/>
              <w:rPr>
                <w:b/>
              </w:rPr>
            </w:pPr>
            <w:r w:rsidRPr="004E12E9">
              <w:t xml:space="preserve">The </w:t>
            </w:r>
            <w:r w:rsidR="00E64719">
              <w:t>IEAP</w:t>
            </w:r>
            <w:r w:rsidRPr="004E12E9">
              <w:t xml:space="preserve"> </w:t>
            </w:r>
            <w:r>
              <w:t>reviews at a high-level, the information submitted in</w:t>
            </w:r>
            <w:r w:rsidRPr="004E12E9">
              <w:t xml:space="preserve"> the </w:t>
            </w:r>
            <w:r w:rsidR="002623F1">
              <w:t>proposal</w:t>
            </w:r>
            <w:r w:rsidR="002623F1" w:rsidRPr="004E12E9">
              <w:t xml:space="preserve"> </w:t>
            </w:r>
            <w:r w:rsidRPr="004E12E9">
              <w:t xml:space="preserve">against the </w:t>
            </w:r>
            <w:r>
              <w:t>key a</w:t>
            </w:r>
            <w:r w:rsidRPr="004E12E9">
              <w:t xml:space="preserve">ssessment </w:t>
            </w:r>
            <w:r w:rsidR="002623F1">
              <w:t>c</w:t>
            </w:r>
            <w:r w:rsidR="002623F1" w:rsidRPr="004E12E9">
              <w:t xml:space="preserve">riteria </w:t>
            </w:r>
            <w:r w:rsidRPr="004E12E9">
              <w:t xml:space="preserve">outlined </w:t>
            </w:r>
            <w:r w:rsidRPr="006D19B5">
              <w:t xml:space="preserve">in </w:t>
            </w:r>
            <w:r w:rsidRPr="00ED265F">
              <w:t>Section </w:t>
            </w:r>
            <w:r w:rsidR="00597C7D">
              <w:t>3</w:t>
            </w:r>
            <w:r w:rsidR="003E078D">
              <w:t>.</w:t>
            </w:r>
            <w:r w:rsidR="002C60B6">
              <w:t xml:space="preserve"> </w:t>
            </w:r>
          </w:p>
        </w:tc>
      </w:tr>
      <w:tr w:rsidR="00F22260" w:rsidTr="00326B66">
        <w:tc>
          <w:tcPr>
            <w:tcW w:w="1242" w:type="dxa"/>
            <w:tcBorders>
              <w:left w:val="single" w:sz="4" w:space="0" w:color="auto"/>
            </w:tcBorders>
            <w:shd w:val="clear" w:color="auto" w:fill="D9D9D9" w:themeFill="background1" w:themeFillShade="D9"/>
          </w:tcPr>
          <w:p w:rsidR="00F22260" w:rsidRPr="00EA72C5" w:rsidRDefault="00F22260" w:rsidP="006C50DC">
            <w:pPr>
              <w:pStyle w:val="bodyCopy"/>
              <w:spacing w:after="0"/>
              <w:rPr>
                <w:b/>
              </w:rPr>
            </w:pPr>
            <w:r w:rsidRPr="00EA72C5">
              <w:rPr>
                <w:b/>
              </w:rPr>
              <w:t>Facilitation</w:t>
            </w:r>
            <w:r>
              <w:rPr>
                <w:b/>
              </w:rPr>
              <w:t xml:space="preserve"> </w:t>
            </w:r>
          </w:p>
        </w:tc>
        <w:tc>
          <w:tcPr>
            <w:tcW w:w="4000" w:type="dxa"/>
            <w:shd w:val="clear" w:color="auto" w:fill="F2F2F2" w:themeFill="background1" w:themeFillShade="F2"/>
          </w:tcPr>
          <w:p w:rsidR="00F22260" w:rsidRDefault="00F22260" w:rsidP="00A9235D">
            <w:pPr>
              <w:pStyle w:val="bodyCopy"/>
              <w:numPr>
                <w:ilvl w:val="0"/>
                <w:numId w:val="8"/>
              </w:numPr>
              <w:spacing w:before="0" w:after="0"/>
              <w:ind w:left="357" w:hanging="357"/>
            </w:pPr>
            <w:r>
              <w:t xml:space="preserve">Submits a </w:t>
            </w:r>
            <w:r w:rsidR="00FB6259">
              <w:t>p</w:t>
            </w:r>
            <w:r>
              <w:t xml:space="preserve">roposal using </w:t>
            </w:r>
            <w:r w:rsidRPr="004E2E41">
              <w:t xml:space="preserve">Appendix </w:t>
            </w:r>
            <w:r w:rsidR="00202495" w:rsidRPr="004E2E41">
              <w:t>1</w:t>
            </w:r>
            <w:r>
              <w:t xml:space="preserve"> as a guideline and including all relevant information.</w:t>
            </w:r>
            <w:r w:rsidR="002C60B6">
              <w:t xml:space="preserve"> </w:t>
            </w:r>
          </w:p>
          <w:p w:rsidR="00F22260" w:rsidRDefault="00B65A9C" w:rsidP="002623F1">
            <w:pPr>
              <w:pStyle w:val="bodyCopy"/>
              <w:numPr>
                <w:ilvl w:val="0"/>
                <w:numId w:val="8"/>
              </w:numPr>
              <w:spacing w:before="0" w:after="0"/>
              <w:ind w:left="357" w:hanging="357"/>
            </w:pPr>
            <w:r>
              <w:t>R</w:t>
            </w:r>
            <w:r w:rsidR="00F22260" w:rsidRPr="0011374D">
              <w:t>eferr</w:t>
            </w:r>
            <w:r>
              <w:t>al</w:t>
            </w:r>
            <w:r w:rsidR="00F22260" w:rsidRPr="0011374D">
              <w:t xml:space="preserve"> to</w:t>
            </w:r>
            <w:r w:rsidR="00F22260">
              <w:t xml:space="preserve"> </w:t>
            </w:r>
            <w:r w:rsidR="002623F1">
              <w:t xml:space="preserve">the DEDJTR </w:t>
            </w:r>
            <w:r w:rsidR="00F22260">
              <w:t xml:space="preserve">Resources </w:t>
            </w:r>
            <w:r w:rsidR="003E078D">
              <w:t>Division.</w:t>
            </w:r>
          </w:p>
        </w:tc>
        <w:tc>
          <w:tcPr>
            <w:tcW w:w="4000" w:type="dxa"/>
            <w:shd w:val="clear" w:color="auto" w:fill="F2F2F2" w:themeFill="background1" w:themeFillShade="F2"/>
          </w:tcPr>
          <w:p w:rsidR="00F22260" w:rsidRDefault="00F22260" w:rsidP="00A9235D">
            <w:pPr>
              <w:pStyle w:val="ListParagraph"/>
              <w:numPr>
                <w:ilvl w:val="0"/>
                <w:numId w:val="8"/>
              </w:numPr>
              <w:spacing w:after="0"/>
              <w:ind w:left="357" w:hanging="357"/>
              <w:contextualSpacing/>
            </w:pPr>
            <w:r w:rsidRPr="00ED2069">
              <w:t xml:space="preserve">The </w:t>
            </w:r>
            <w:r w:rsidR="00E64719">
              <w:t>IEAP</w:t>
            </w:r>
            <w:r w:rsidRPr="00ED2069">
              <w:t xml:space="preserve"> makes recommendations to DEDJTR </w:t>
            </w:r>
            <w:r w:rsidR="003D0796">
              <w:t xml:space="preserve">as to </w:t>
            </w:r>
            <w:r w:rsidRPr="00ED2069">
              <w:t xml:space="preserve">whether the project warrants government </w:t>
            </w:r>
            <w:r>
              <w:t xml:space="preserve">facilitation </w:t>
            </w:r>
            <w:r w:rsidRPr="00ED2069">
              <w:t>suppor</w:t>
            </w:r>
            <w:r>
              <w:t>t.</w:t>
            </w:r>
          </w:p>
          <w:p w:rsidR="00F22260" w:rsidRDefault="002623F1" w:rsidP="00FB6259">
            <w:pPr>
              <w:pStyle w:val="bodyCopy"/>
              <w:numPr>
                <w:ilvl w:val="0"/>
                <w:numId w:val="8"/>
              </w:numPr>
              <w:spacing w:before="0" w:after="0"/>
              <w:ind w:left="357" w:hanging="357"/>
            </w:pPr>
            <w:r>
              <w:t>The DEDJTR</w:t>
            </w:r>
            <w:r w:rsidRPr="004C73E0">
              <w:t xml:space="preserve"> </w:t>
            </w:r>
            <w:r w:rsidR="00F22260" w:rsidRPr="004C73E0">
              <w:t xml:space="preserve">Resources </w:t>
            </w:r>
            <w:r>
              <w:t>Division</w:t>
            </w:r>
            <w:r w:rsidRPr="004C73E0">
              <w:t xml:space="preserve"> </w:t>
            </w:r>
            <w:r w:rsidR="00F22260" w:rsidRPr="004C73E0">
              <w:t xml:space="preserve">and Invest Victoria </w:t>
            </w:r>
            <w:r w:rsidR="00F22260">
              <w:t xml:space="preserve">determine the nature of facilitation best suited to the </w:t>
            </w:r>
            <w:r w:rsidR="00FB6259">
              <w:t>p</w:t>
            </w:r>
            <w:r w:rsidR="00F22260">
              <w:t>roposal and stage of project development</w:t>
            </w:r>
            <w:r w:rsidR="00AC034F">
              <w:t xml:space="preserve"> in cons</w:t>
            </w:r>
            <w:r w:rsidR="001D76D9">
              <w:t>ultation with the proponent</w:t>
            </w:r>
            <w:r w:rsidR="00F22260">
              <w:t>.</w:t>
            </w:r>
          </w:p>
          <w:p w:rsidR="00EC7F3D" w:rsidRDefault="00EC7F3D" w:rsidP="00EC7F3D">
            <w:pPr>
              <w:pStyle w:val="bodyCopy"/>
              <w:spacing w:before="0" w:after="0"/>
              <w:ind w:left="357"/>
            </w:pPr>
          </w:p>
        </w:tc>
      </w:tr>
      <w:tr w:rsidR="009178DB" w:rsidTr="00326B66">
        <w:tc>
          <w:tcPr>
            <w:tcW w:w="1242" w:type="dxa"/>
            <w:tcBorders>
              <w:left w:val="single" w:sz="4" w:space="0" w:color="auto"/>
            </w:tcBorders>
            <w:shd w:val="clear" w:color="auto" w:fill="D9D9D9" w:themeFill="background1" w:themeFillShade="D9"/>
          </w:tcPr>
          <w:p w:rsidR="00856778" w:rsidRPr="00326B66" w:rsidRDefault="009178DB" w:rsidP="006C50DC">
            <w:pPr>
              <w:pStyle w:val="bodyCopy"/>
              <w:spacing w:after="0"/>
              <w:rPr>
                <w:b/>
              </w:rPr>
            </w:pPr>
            <w:r w:rsidRPr="00326B66">
              <w:rPr>
                <w:b/>
              </w:rPr>
              <w:t>Coal Allocation</w:t>
            </w:r>
            <w:r w:rsidR="00EA72C5" w:rsidRPr="00326B66">
              <w:rPr>
                <w:b/>
              </w:rPr>
              <w:t>s</w:t>
            </w:r>
            <w:r w:rsidR="00F22260" w:rsidRPr="00326B66">
              <w:rPr>
                <w:b/>
              </w:rPr>
              <w:t xml:space="preserve"> </w:t>
            </w:r>
          </w:p>
        </w:tc>
        <w:tc>
          <w:tcPr>
            <w:tcW w:w="4000" w:type="dxa"/>
            <w:shd w:val="clear" w:color="auto" w:fill="F2F2F2" w:themeFill="background1" w:themeFillShade="F2"/>
          </w:tcPr>
          <w:p w:rsidR="00B6056F" w:rsidRDefault="00B6056F" w:rsidP="00A9235D">
            <w:pPr>
              <w:pStyle w:val="ListParagraph"/>
              <w:numPr>
                <w:ilvl w:val="0"/>
                <w:numId w:val="8"/>
              </w:numPr>
              <w:spacing w:after="0"/>
              <w:ind w:left="357" w:hanging="357"/>
            </w:pPr>
            <w:r>
              <w:t xml:space="preserve">As set out in the Coal Statement, </w:t>
            </w:r>
            <w:r w:rsidR="00DB6F90">
              <w:t>p</w:t>
            </w:r>
            <w:r>
              <w:t>roponents must first seek to secure access to coal resources on commercial terms prior to seeking Victorian Government assistance</w:t>
            </w:r>
            <w:r w:rsidR="00C16F60">
              <w:t xml:space="preserve"> and if unsuccessful, provide evidence of this to DEDJTR</w:t>
            </w:r>
            <w:r w:rsidR="00503324">
              <w:t>.</w:t>
            </w:r>
          </w:p>
          <w:p w:rsidR="009178DB" w:rsidRDefault="002623F1" w:rsidP="0086771D">
            <w:pPr>
              <w:pStyle w:val="ListParagraph"/>
              <w:numPr>
                <w:ilvl w:val="0"/>
                <w:numId w:val="8"/>
              </w:numPr>
              <w:spacing w:after="0"/>
            </w:pPr>
            <w:r w:rsidRPr="00856778">
              <w:t>Propo</w:t>
            </w:r>
            <w:r>
              <w:t>nents</w:t>
            </w:r>
            <w:r w:rsidRPr="00856778">
              <w:t xml:space="preserve"> </w:t>
            </w:r>
            <w:r w:rsidR="00856778" w:rsidRPr="00856778">
              <w:t xml:space="preserve">seeking </w:t>
            </w:r>
            <w:r w:rsidR="00856778">
              <w:t xml:space="preserve">a </w:t>
            </w:r>
            <w:r w:rsidR="001D76D9">
              <w:t>coal allocation</w:t>
            </w:r>
            <w:r w:rsidR="001D76D9" w:rsidRPr="00856778">
              <w:t xml:space="preserve"> </w:t>
            </w:r>
            <w:r w:rsidR="00856778" w:rsidRPr="00856778">
              <w:t xml:space="preserve">from the Victorian Government submit a </w:t>
            </w:r>
            <w:r w:rsidR="00FB6259">
              <w:t>p</w:t>
            </w:r>
            <w:r w:rsidR="00856778" w:rsidRPr="00856778">
              <w:t xml:space="preserve">roposal addressing the key assessment criteria outlined in Section </w:t>
            </w:r>
            <w:r w:rsidR="008434AC">
              <w:t>3</w:t>
            </w:r>
            <w:r w:rsidR="008434AC" w:rsidRPr="00856778">
              <w:t xml:space="preserve"> </w:t>
            </w:r>
            <w:r w:rsidR="00856778" w:rsidRPr="00856778">
              <w:t>of this document.</w:t>
            </w:r>
            <w:r w:rsidR="002C60B6">
              <w:t xml:space="preserve"> </w:t>
            </w:r>
            <w:r w:rsidR="00856778" w:rsidRPr="00856778">
              <w:t xml:space="preserve">The </w:t>
            </w:r>
            <w:r w:rsidR="00FB6259">
              <w:t>p</w:t>
            </w:r>
            <w:r w:rsidR="00856778" w:rsidRPr="00856778">
              <w:t>roposal will include documentation appropriate to its stage of development as</w:t>
            </w:r>
            <w:r w:rsidR="006C50DC">
              <w:t xml:space="preserve"> set out by DEDJTR during the pre-assessment phase</w:t>
            </w:r>
            <w:r w:rsidR="003E078D" w:rsidRPr="00856778">
              <w:t>.</w:t>
            </w:r>
            <w:r w:rsidR="002C60B6">
              <w:t xml:space="preserve"> </w:t>
            </w:r>
          </w:p>
        </w:tc>
        <w:tc>
          <w:tcPr>
            <w:tcW w:w="4000" w:type="dxa"/>
            <w:shd w:val="clear" w:color="auto" w:fill="F2F2F2" w:themeFill="background1" w:themeFillShade="F2"/>
          </w:tcPr>
          <w:p w:rsidR="00EA72C5" w:rsidRDefault="00EA72C5" w:rsidP="00A9235D">
            <w:pPr>
              <w:pStyle w:val="ListParagraph"/>
              <w:numPr>
                <w:ilvl w:val="0"/>
                <w:numId w:val="8"/>
              </w:numPr>
              <w:spacing w:after="0"/>
              <w:ind w:left="357" w:hanging="357"/>
            </w:pPr>
            <w:r w:rsidRPr="00ED2069">
              <w:t xml:space="preserve">The </w:t>
            </w:r>
            <w:r w:rsidR="00E64719">
              <w:t>IEAP</w:t>
            </w:r>
            <w:r w:rsidRPr="00ED2069">
              <w:t xml:space="preserve"> makes recommendations to DEDJTR Resources Division whether the project warrants government </w:t>
            </w:r>
            <w:r w:rsidR="0086771D">
              <w:t xml:space="preserve">consideration of </w:t>
            </w:r>
            <w:r w:rsidRPr="00ED2069">
              <w:t>suppor</w:t>
            </w:r>
            <w:r>
              <w:t>t in accessing coal resources.</w:t>
            </w:r>
          </w:p>
          <w:p w:rsidR="00EA72C5" w:rsidRPr="00ED2069" w:rsidRDefault="00EA72C5" w:rsidP="00C05EDF">
            <w:pPr>
              <w:pStyle w:val="ListParagraph"/>
              <w:numPr>
                <w:ilvl w:val="0"/>
                <w:numId w:val="8"/>
              </w:numPr>
              <w:spacing w:after="0"/>
              <w:ind w:left="357" w:hanging="357"/>
            </w:pPr>
            <w:r w:rsidRPr="00ED2069">
              <w:t xml:space="preserve">DEDJTR considers the advice of the </w:t>
            </w:r>
            <w:r w:rsidR="00E64719">
              <w:t>IEAP</w:t>
            </w:r>
            <w:r w:rsidRPr="00ED2069">
              <w:t xml:space="preserve"> and determines whether </w:t>
            </w:r>
            <w:r>
              <w:t xml:space="preserve">there is evidence that </w:t>
            </w:r>
            <w:r w:rsidRPr="00ED2069">
              <w:t xml:space="preserve">the </w:t>
            </w:r>
            <w:r w:rsidR="00DB6F90">
              <w:t>p</w:t>
            </w:r>
            <w:r w:rsidRPr="00ED2069">
              <w:t>roponent has been unable to secure a coal supply agreement with existing mine operators on reasonable terms.</w:t>
            </w:r>
          </w:p>
          <w:p w:rsidR="00AC034F" w:rsidRDefault="00EA72C5" w:rsidP="00AC034F">
            <w:pPr>
              <w:pStyle w:val="bodyCopy"/>
              <w:numPr>
                <w:ilvl w:val="0"/>
                <w:numId w:val="8"/>
              </w:numPr>
              <w:spacing w:before="0" w:after="0"/>
              <w:ind w:left="357" w:hanging="357"/>
            </w:pPr>
            <w:r w:rsidRPr="00ED2069">
              <w:t>DEDJTR make</w:t>
            </w:r>
            <w:r>
              <w:t>s</w:t>
            </w:r>
            <w:r w:rsidRPr="00ED2069">
              <w:t xml:space="preserve"> recommendations to the Minister for Resources regarding the proposal, and if appropriate, on an approach to </w:t>
            </w:r>
            <w:r w:rsidR="001D76D9">
              <w:t>allocating coal</w:t>
            </w:r>
            <w:r w:rsidRPr="00ED2069">
              <w:t xml:space="preserve"> to ensure supply to the project</w:t>
            </w:r>
            <w:r w:rsidR="003D67E3">
              <w:t>,</w:t>
            </w:r>
            <w:r w:rsidRPr="00ED2069">
              <w:t xml:space="preserve"> consistent with the Coal Statement</w:t>
            </w:r>
            <w:r w:rsidR="00EC7F3D">
              <w:t>.</w:t>
            </w:r>
            <w:r w:rsidR="00AC034F">
              <w:br/>
            </w:r>
          </w:p>
        </w:tc>
      </w:tr>
      <w:tr w:rsidR="00240C94" w:rsidDel="00F22260" w:rsidTr="00326B66">
        <w:tc>
          <w:tcPr>
            <w:tcW w:w="1242" w:type="dxa"/>
            <w:shd w:val="clear" w:color="auto" w:fill="D9D9D9" w:themeFill="background1" w:themeFillShade="D9"/>
          </w:tcPr>
          <w:p w:rsidR="00240C94" w:rsidRPr="00326B66" w:rsidDel="00F22260" w:rsidRDefault="00240C94" w:rsidP="006C50DC">
            <w:pPr>
              <w:pStyle w:val="bodyCopy"/>
              <w:spacing w:after="0"/>
              <w:rPr>
                <w:b/>
              </w:rPr>
            </w:pPr>
            <w:r w:rsidRPr="00326B66">
              <w:rPr>
                <w:b/>
              </w:rPr>
              <w:t>Smaller value funding (&lt;$500,000)</w:t>
            </w:r>
          </w:p>
        </w:tc>
        <w:tc>
          <w:tcPr>
            <w:tcW w:w="4000" w:type="dxa"/>
            <w:shd w:val="clear" w:color="auto" w:fill="F2F2F2" w:themeFill="background1" w:themeFillShade="F2"/>
          </w:tcPr>
          <w:p w:rsidR="00240C94" w:rsidRDefault="00240C94" w:rsidP="00503324">
            <w:pPr>
              <w:pStyle w:val="bodyCopy"/>
              <w:numPr>
                <w:ilvl w:val="0"/>
                <w:numId w:val="8"/>
              </w:numPr>
              <w:spacing w:before="0" w:after="0"/>
              <w:ind w:left="357" w:hanging="357"/>
            </w:pPr>
            <w:r>
              <w:t xml:space="preserve">Proponents submit a basic proposal satisfying the requirements as set out in </w:t>
            </w:r>
            <w:r w:rsidRPr="004E2E41">
              <w:t>Appendix 1</w:t>
            </w:r>
            <w:r>
              <w:t xml:space="preserve"> and any other requirements agreed with DEDJTR.</w:t>
            </w:r>
          </w:p>
          <w:p w:rsidR="00240C94" w:rsidDel="00F22260" w:rsidRDefault="00240C94" w:rsidP="00EC7F3D">
            <w:pPr>
              <w:pStyle w:val="bodyCopy"/>
              <w:spacing w:before="0" w:after="0"/>
              <w:ind w:left="357"/>
            </w:pPr>
          </w:p>
        </w:tc>
        <w:tc>
          <w:tcPr>
            <w:tcW w:w="4000" w:type="dxa"/>
            <w:shd w:val="clear" w:color="auto" w:fill="F2F2F2" w:themeFill="background1" w:themeFillShade="F2"/>
          </w:tcPr>
          <w:p w:rsidR="00240C94" w:rsidRDefault="00240C94" w:rsidP="002D25EB">
            <w:pPr>
              <w:pStyle w:val="bodyCopy"/>
              <w:numPr>
                <w:ilvl w:val="0"/>
                <w:numId w:val="8"/>
              </w:numPr>
              <w:spacing w:before="0" w:after="120"/>
              <w:ind w:left="357" w:hanging="357"/>
            </w:pPr>
            <w:r>
              <w:t>The IEAP will determine whether the proposal meets the initial assessment requirements and should progress to Stage 2.</w:t>
            </w:r>
          </w:p>
          <w:p w:rsidR="00240C94" w:rsidRPr="00ED2069" w:rsidDel="00F22260" w:rsidRDefault="00240C94" w:rsidP="00240C94">
            <w:pPr>
              <w:pStyle w:val="bodyCopy"/>
              <w:numPr>
                <w:ilvl w:val="0"/>
                <w:numId w:val="8"/>
              </w:numPr>
              <w:spacing w:before="0" w:after="120"/>
              <w:ind w:left="357" w:hanging="357"/>
            </w:pPr>
            <w:r>
              <w:t>Smaller value proposals will be recommended for detailed assessment by DEDJTR.</w:t>
            </w:r>
          </w:p>
        </w:tc>
      </w:tr>
      <w:tr w:rsidR="00240C94" w:rsidTr="00240C94">
        <w:tc>
          <w:tcPr>
            <w:tcW w:w="1242" w:type="dxa"/>
            <w:shd w:val="clear" w:color="auto" w:fill="D9D9D9" w:themeFill="background1" w:themeFillShade="D9"/>
          </w:tcPr>
          <w:p w:rsidR="00240C94" w:rsidRPr="00326B66" w:rsidRDefault="00240C94" w:rsidP="006C50DC">
            <w:pPr>
              <w:pStyle w:val="bodyCopy"/>
              <w:spacing w:after="0"/>
              <w:rPr>
                <w:b/>
              </w:rPr>
            </w:pPr>
            <w:r w:rsidRPr="00326B66">
              <w:rPr>
                <w:b/>
              </w:rPr>
              <w:t>Larger value funding (&gt;$500,000)</w:t>
            </w:r>
          </w:p>
        </w:tc>
        <w:tc>
          <w:tcPr>
            <w:tcW w:w="4000" w:type="dxa"/>
            <w:shd w:val="clear" w:color="auto" w:fill="F2F2F2" w:themeFill="background1" w:themeFillShade="F2"/>
          </w:tcPr>
          <w:p w:rsidR="00240C94" w:rsidRDefault="00240C94" w:rsidP="00A76B9D">
            <w:pPr>
              <w:pStyle w:val="ListParagraph"/>
              <w:numPr>
                <w:ilvl w:val="0"/>
                <w:numId w:val="18"/>
              </w:numPr>
              <w:spacing w:after="0"/>
              <w:ind w:left="357" w:hanging="357"/>
            </w:pPr>
            <w:r>
              <w:t xml:space="preserve">Proponents submit a proposal addressing the key assessment criteria outlined in Section 3 of this document. </w:t>
            </w:r>
          </w:p>
          <w:p w:rsidR="00240C94" w:rsidRDefault="00240C94" w:rsidP="00A76B9D">
            <w:pPr>
              <w:pStyle w:val="ListParagraph"/>
              <w:numPr>
                <w:ilvl w:val="0"/>
                <w:numId w:val="18"/>
              </w:numPr>
            </w:pPr>
            <w:r>
              <w:t>The proposal will include documentation appropriate to its stage of development as agreed with DEDJTR during the pre-assessment phase.</w:t>
            </w:r>
            <w:r w:rsidR="002C60B6">
              <w:t xml:space="preserve"> </w:t>
            </w:r>
            <w:r>
              <w:t>Should the proponent wish to make amendments to these deliverables or not address some or all of the listed deliverables, they must submit a clear rationale for doing so.</w:t>
            </w:r>
          </w:p>
        </w:tc>
        <w:tc>
          <w:tcPr>
            <w:tcW w:w="4000" w:type="dxa"/>
            <w:shd w:val="clear" w:color="auto" w:fill="F2F2F2" w:themeFill="background1" w:themeFillShade="F2"/>
          </w:tcPr>
          <w:p w:rsidR="00240C94" w:rsidRDefault="00240C94" w:rsidP="00240C94">
            <w:pPr>
              <w:pStyle w:val="bodyCopy"/>
              <w:numPr>
                <w:ilvl w:val="0"/>
                <w:numId w:val="8"/>
              </w:numPr>
              <w:spacing w:before="0" w:after="120"/>
              <w:ind w:left="357" w:hanging="357"/>
            </w:pPr>
            <w:r>
              <w:t>The IEAP will determine whether the proposal meets the initial assessment requirements and should progress to Stage 2.</w:t>
            </w:r>
          </w:p>
          <w:p w:rsidR="00240C94" w:rsidRDefault="00240C94" w:rsidP="008D28BD">
            <w:pPr>
              <w:pStyle w:val="bodyCopy"/>
              <w:numPr>
                <w:ilvl w:val="0"/>
                <w:numId w:val="8"/>
              </w:numPr>
              <w:spacing w:before="0" w:after="120"/>
              <w:ind w:left="357" w:hanging="357"/>
            </w:pPr>
            <w:r>
              <w:t>Higher value proposals will be recommended for a detailed assessment by the IEAP to commence Stage 2 Assessment.</w:t>
            </w:r>
            <w:r w:rsidR="002C60B6">
              <w:t xml:space="preserve"> </w:t>
            </w:r>
          </w:p>
        </w:tc>
      </w:tr>
    </w:tbl>
    <w:p w:rsidR="00C707E5" w:rsidRDefault="00F433EB" w:rsidP="00ED2069">
      <w:pPr>
        <w:pStyle w:val="Heading2"/>
        <w:spacing w:before="120" w:after="120"/>
      </w:pPr>
      <w:bookmarkStart w:id="39" w:name="_Toc484597147"/>
      <w:bookmarkStart w:id="40" w:name="_Toc484589958"/>
      <w:bookmarkStart w:id="41" w:name="_Toc484597150"/>
      <w:bookmarkStart w:id="42" w:name="_Toc484589959"/>
      <w:bookmarkStart w:id="43" w:name="_Toc484597151"/>
      <w:bookmarkStart w:id="44" w:name="_Toc484589961"/>
      <w:bookmarkStart w:id="45" w:name="_Toc484597153"/>
      <w:bookmarkStart w:id="46" w:name="_Toc521932844"/>
      <w:bookmarkEnd w:id="39"/>
      <w:bookmarkEnd w:id="40"/>
      <w:bookmarkEnd w:id="41"/>
      <w:bookmarkEnd w:id="42"/>
      <w:bookmarkEnd w:id="43"/>
      <w:bookmarkEnd w:id="44"/>
      <w:bookmarkEnd w:id="45"/>
      <w:r>
        <w:lastRenderedPageBreak/>
        <w:t>Stage</w:t>
      </w:r>
      <w:r w:rsidR="00C707E5" w:rsidRPr="00C1599C">
        <w:t xml:space="preserve"> </w:t>
      </w:r>
      <w:r w:rsidR="000A3F56">
        <w:t>Two</w:t>
      </w:r>
      <w:r w:rsidR="001F5C29">
        <w:t>:</w:t>
      </w:r>
      <w:r w:rsidR="00C707E5" w:rsidRPr="00C1599C">
        <w:t xml:space="preserve"> </w:t>
      </w:r>
      <w:r w:rsidR="00C707E5">
        <w:t>detailed</w:t>
      </w:r>
      <w:r w:rsidR="00C707E5" w:rsidRPr="00C1599C">
        <w:t xml:space="preserve"> assessment</w:t>
      </w:r>
      <w:r w:rsidR="00A40BE3">
        <w:t>, due diligence</w:t>
      </w:r>
      <w:r w:rsidR="00C707E5">
        <w:t xml:space="preserve"> and recommendations</w:t>
      </w:r>
      <w:bookmarkEnd w:id="46"/>
    </w:p>
    <w:p w:rsidR="00E46240" w:rsidRDefault="008D6770" w:rsidP="00165DD3">
      <w:pPr>
        <w:pStyle w:val="bodyCopy"/>
        <w:spacing w:after="120"/>
      </w:pPr>
      <w:r>
        <w:t>Projects assessed by the IE</w:t>
      </w:r>
      <w:r w:rsidR="00E64719">
        <w:t>A</w:t>
      </w:r>
      <w:r>
        <w:t>P as warranting more detailed assessment and consideration proceed to Stage</w:t>
      </w:r>
      <w:r w:rsidR="00D444E9">
        <w:t> 2.</w:t>
      </w:r>
      <w:r w:rsidR="002C60B6">
        <w:t xml:space="preserve"> </w:t>
      </w:r>
      <w:r w:rsidR="00447820">
        <w:t>Assessment recommendations and Government consideration of support will be based on an assessment of factors against key assessment criteria set out in Section 3 of the Guideline.</w:t>
      </w:r>
      <w:r w:rsidR="002C60B6">
        <w:t xml:space="preserve"> </w:t>
      </w:r>
      <w:r w:rsidR="00E46240">
        <w:t xml:space="preserve">Depending on the </w:t>
      </w:r>
      <w:r w:rsidR="00D701C2">
        <w:t>value of the p</w:t>
      </w:r>
      <w:r w:rsidR="00A617EF">
        <w:t xml:space="preserve">roposal </w:t>
      </w:r>
      <w:r w:rsidR="00D701C2">
        <w:t xml:space="preserve">and nature of support being </w:t>
      </w:r>
      <w:r w:rsidR="002E1518">
        <w:t>sought, Stage</w:t>
      </w:r>
      <w:r w:rsidR="00E46240">
        <w:t xml:space="preserve"> 2 assessments and subsequent recommendations will be made by </w:t>
      </w:r>
      <w:r w:rsidR="002E1518">
        <w:t>the IE</w:t>
      </w:r>
      <w:r w:rsidR="00E64719">
        <w:t>A</w:t>
      </w:r>
      <w:r w:rsidR="002E1518">
        <w:t xml:space="preserve">P, </w:t>
      </w:r>
      <w:r w:rsidR="00C90D51">
        <w:t>and relevant areas of DEDJTR</w:t>
      </w:r>
      <w:r w:rsidR="00165DD3">
        <w:t xml:space="preserve"> (</w:t>
      </w:r>
      <w:r w:rsidR="00F943E9">
        <w:t xml:space="preserve">Table </w:t>
      </w:r>
      <w:r w:rsidR="007A5339">
        <w:t>3</w:t>
      </w:r>
      <w:r w:rsidR="00165DD3">
        <w:t>)</w:t>
      </w:r>
      <w:r w:rsidR="00F943E9">
        <w:t>.</w:t>
      </w:r>
    </w:p>
    <w:p w:rsidR="00B65A9C" w:rsidRDefault="00B65A9C" w:rsidP="00B65A9C">
      <w:pPr>
        <w:pStyle w:val="tablename"/>
      </w:pPr>
      <w:r>
        <w:t xml:space="preserve">Table </w:t>
      </w:r>
      <w:r>
        <w:rPr>
          <w:bCs/>
        </w:rPr>
        <w:fldChar w:fldCharType="begin"/>
      </w:r>
      <w:r>
        <w:rPr>
          <w:bCs/>
        </w:rPr>
        <w:instrText xml:space="preserve"> SEQ Table \* ARABIC </w:instrText>
      </w:r>
      <w:r>
        <w:rPr>
          <w:bCs/>
        </w:rPr>
        <w:fldChar w:fldCharType="separate"/>
      </w:r>
      <w:r w:rsidR="00BE3296">
        <w:rPr>
          <w:bCs/>
          <w:noProof/>
        </w:rPr>
        <w:t>3</w:t>
      </w:r>
      <w:r>
        <w:rPr>
          <w:bCs/>
          <w:noProof/>
          <w:szCs w:val="20"/>
        </w:rPr>
        <w:fldChar w:fldCharType="end"/>
      </w:r>
      <w:r>
        <w:t>. Primary Assessment bodies and Decision makers for project proposals</w:t>
      </w:r>
    </w:p>
    <w:tbl>
      <w:tblPr>
        <w:tblStyle w:val="TableGrid"/>
        <w:tblW w:w="0" w:type="auto"/>
        <w:tblLook w:val="04A0" w:firstRow="1" w:lastRow="0" w:firstColumn="1" w:lastColumn="0" w:noHBand="0" w:noVBand="1"/>
        <w:tblCaption w:val="Primary Assessment bodies and Decision-makers for project proposals"/>
        <w:tblDescription w:val="Table 3 details the primary assessment bodies and decision-makers for project proposals based on the nature of support being sought. &#10;&#10;Project seeking facilitation will be primarily assessed by the DEDJTR Resources Division and a final decision will be made by DEDJTR and Invest Victoria.&#10;Projects seeking coal allocations will be primarily assessed by the DEDJTR Resources Division and a final decision will be made by the Minister for Resources.&#10;Projects seeking smaller amounts of Government funding (&lt;$500k) will be primarily assessed by DEDJTR, supported by a Stage 1 Assessment by the IEAP and a final decision will be made by the Minister for Resources.&#10;Projects seeking larger amounts of Government funding (&gt;$500k) will be primarily assessement by the IEAP and DEDJTR and the final decision will be made by Cabinet."/>
      </w:tblPr>
      <w:tblGrid>
        <w:gridCol w:w="1767"/>
        <w:gridCol w:w="4166"/>
        <w:gridCol w:w="3309"/>
      </w:tblGrid>
      <w:tr w:rsidR="00503324" w:rsidTr="00240C94">
        <w:trPr>
          <w:tblHeader/>
        </w:trPr>
        <w:tc>
          <w:tcPr>
            <w:tcW w:w="0" w:type="auto"/>
            <w:shd w:val="clear" w:color="auto" w:fill="365F91" w:themeFill="accent1" w:themeFillShade="BF"/>
          </w:tcPr>
          <w:p w:rsidR="00E46240" w:rsidRPr="00D00610" w:rsidRDefault="00E46240" w:rsidP="00F242C5">
            <w:pPr>
              <w:pStyle w:val="bodyCopy"/>
              <w:spacing w:after="120"/>
              <w:rPr>
                <w:b/>
                <w:color w:val="FFFFFF" w:themeColor="background1"/>
              </w:rPr>
            </w:pPr>
            <w:r w:rsidRPr="00D00610">
              <w:rPr>
                <w:b/>
                <w:color w:val="FFFFFF" w:themeColor="background1"/>
              </w:rPr>
              <w:t>Support</w:t>
            </w:r>
          </w:p>
        </w:tc>
        <w:tc>
          <w:tcPr>
            <w:tcW w:w="0" w:type="auto"/>
            <w:shd w:val="clear" w:color="auto" w:fill="365F91" w:themeFill="accent1" w:themeFillShade="BF"/>
          </w:tcPr>
          <w:p w:rsidR="00E46240" w:rsidRPr="00D00610" w:rsidRDefault="00C90057" w:rsidP="00F242C5">
            <w:pPr>
              <w:pStyle w:val="bodyCopy"/>
              <w:spacing w:after="120"/>
              <w:rPr>
                <w:b/>
                <w:color w:val="FFFFFF" w:themeColor="background1"/>
              </w:rPr>
            </w:pPr>
            <w:r>
              <w:rPr>
                <w:b/>
                <w:color w:val="FFFFFF" w:themeColor="background1"/>
              </w:rPr>
              <w:t xml:space="preserve">Primary </w:t>
            </w:r>
            <w:r w:rsidR="00E46240" w:rsidRPr="00D00610">
              <w:rPr>
                <w:b/>
                <w:color w:val="FFFFFF" w:themeColor="background1"/>
              </w:rPr>
              <w:t>Assessment body</w:t>
            </w:r>
          </w:p>
        </w:tc>
        <w:tc>
          <w:tcPr>
            <w:tcW w:w="0" w:type="auto"/>
            <w:shd w:val="clear" w:color="auto" w:fill="365F91" w:themeFill="accent1" w:themeFillShade="BF"/>
          </w:tcPr>
          <w:p w:rsidR="00E46240" w:rsidRPr="00D00610" w:rsidRDefault="00C90057" w:rsidP="00F242C5">
            <w:pPr>
              <w:pStyle w:val="bodyCopy"/>
              <w:spacing w:after="120"/>
              <w:rPr>
                <w:b/>
                <w:color w:val="FFFFFF" w:themeColor="background1"/>
              </w:rPr>
            </w:pPr>
            <w:r>
              <w:rPr>
                <w:b/>
                <w:color w:val="FFFFFF" w:themeColor="background1"/>
              </w:rPr>
              <w:t>Decision Maker</w:t>
            </w:r>
          </w:p>
        </w:tc>
      </w:tr>
      <w:tr w:rsidR="00D906BF" w:rsidTr="00326B66">
        <w:tc>
          <w:tcPr>
            <w:tcW w:w="0" w:type="auto"/>
            <w:shd w:val="clear" w:color="auto" w:fill="D9D9D9" w:themeFill="background1" w:themeFillShade="D9"/>
          </w:tcPr>
          <w:p w:rsidR="00D906BF" w:rsidRPr="00326B66" w:rsidRDefault="00D906BF" w:rsidP="00397BE9">
            <w:pPr>
              <w:pStyle w:val="bodyCopy"/>
              <w:spacing w:after="120"/>
            </w:pPr>
            <w:r w:rsidRPr="00326B66">
              <w:t>Facilitation</w:t>
            </w:r>
          </w:p>
        </w:tc>
        <w:tc>
          <w:tcPr>
            <w:tcW w:w="0" w:type="auto"/>
            <w:shd w:val="clear" w:color="auto" w:fill="F2F2F2" w:themeFill="background1" w:themeFillShade="F2"/>
          </w:tcPr>
          <w:p w:rsidR="00D906BF" w:rsidRPr="00326B66" w:rsidRDefault="00D906BF" w:rsidP="00397BE9">
            <w:pPr>
              <w:pStyle w:val="bodyCopy"/>
              <w:spacing w:after="120"/>
            </w:pPr>
            <w:r w:rsidRPr="00326B66">
              <w:t>DEDJTR Resources Division</w:t>
            </w:r>
            <w:r w:rsidR="002C60B6">
              <w:t xml:space="preserve"> </w:t>
            </w:r>
          </w:p>
        </w:tc>
        <w:tc>
          <w:tcPr>
            <w:tcW w:w="0" w:type="auto"/>
            <w:shd w:val="clear" w:color="auto" w:fill="F2F2F2" w:themeFill="background1" w:themeFillShade="F2"/>
          </w:tcPr>
          <w:p w:rsidR="00D906BF" w:rsidRDefault="00D906BF" w:rsidP="00397BE9">
            <w:pPr>
              <w:pStyle w:val="bodyCopy"/>
              <w:spacing w:after="120"/>
            </w:pPr>
            <w:r>
              <w:t>DEDJTR Resources Division / Invest Victoria</w:t>
            </w:r>
          </w:p>
        </w:tc>
      </w:tr>
      <w:tr w:rsidR="00D906BF" w:rsidTr="00326B66">
        <w:tc>
          <w:tcPr>
            <w:tcW w:w="0" w:type="auto"/>
            <w:shd w:val="clear" w:color="auto" w:fill="D9D9D9" w:themeFill="background1" w:themeFillShade="D9"/>
          </w:tcPr>
          <w:p w:rsidR="00D906BF" w:rsidRPr="00326B66" w:rsidRDefault="00D906BF" w:rsidP="00397BE9">
            <w:pPr>
              <w:pStyle w:val="bodyCopy"/>
              <w:spacing w:after="120"/>
            </w:pPr>
            <w:r w:rsidRPr="00326B66">
              <w:t>Coal allocation</w:t>
            </w:r>
          </w:p>
        </w:tc>
        <w:tc>
          <w:tcPr>
            <w:tcW w:w="0" w:type="auto"/>
            <w:shd w:val="clear" w:color="auto" w:fill="F2F2F2" w:themeFill="background1" w:themeFillShade="F2"/>
          </w:tcPr>
          <w:p w:rsidR="00D906BF" w:rsidRPr="00326B66" w:rsidRDefault="00D906BF" w:rsidP="00397BE9">
            <w:pPr>
              <w:pStyle w:val="bodyCopy"/>
              <w:spacing w:after="120"/>
            </w:pPr>
            <w:r w:rsidRPr="00326B66">
              <w:t>DEDJTR Resources Division</w:t>
            </w:r>
            <w:r w:rsidR="002C60B6">
              <w:t xml:space="preserve"> </w:t>
            </w:r>
          </w:p>
        </w:tc>
        <w:tc>
          <w:tcPr>
            <w:tcW w:w="0" w:type="auto"/>
            <w:shd w:val="clear" w:color="auto" w:fill="F2F2F2" w:themeFill="background1" w:themeFillShade="F2"/>
          </w:tcPr>
          <w:p w:rsidR="00D906BF" w:rsidRDefault="00D906BF" w:rsidP="00397BE9">
            <w:pPr>
              <w:pStyle w:val="bodyCopy"/>
              <w:spacing w:after="120"/>
            </w:pPr>
            <w:r>
              <w:t>Minister for Resources</w:t>
            </w:r>
          </w:p>
        </w:tc>
      </w:tr>
      <w:tr w:rsidR="00503324" w:rsidTr="00326B66">
        <w:tc>
          <w:tcPr>
            <w:tcW w:w="0" w:type="auto"/>
            <w:shd w:val="clear" w:color="auto" w:fill="D9D9D9" w:themeFill="background1" w:themeFillShade="D9"/>
          </w:tcPr>
          <w:p w:rsidR="002E1518" w:rsidRPr="00326B66" w:rsidRDefault="002E1518" w:rsidP="00D00610">
            <w:pPr>
              <w:pStyle w:val="bodyCopy"/>
              <w:spacing w:after="0"/>
            </w:pPr>
            <w:r w:rsidRPr="00326B66">
              <w:t>Funding</w:t>
            </w:r>
            <w:r w:rsidR="000A499A" w:rsidRPr="00326B66">
              <w:t xml:space="preserve"> (</w:t>
            </w:r>
            <w:r w:rsidR="002537A5" w:rsidRPr="00326B66">
              <w:t>&lt;$500,000</w:t>
            </w:r>
            <w:r w:rsidRPr="00326B66">
              <w:t>)</w:t>
            </w:r>
          </w:p>
        </w:tc>
        <w:tc>
          <w:tcPr>
            <w:tcW w:w="0" w:type="auto"/>
            <w:shd w:val="clear" w:color="auto" w:fill="F2F2F2" w:themeFill="background1" w:themeFillShade="F2"/>
          </w:tcPr>
          <w:p w:rsidR="002E1518" w:rsidRPr="00326B66" w:rsidRDefault="002E1518" w:rsidP="00C90D51">
            <w:pPr>
              <w:pStyle w:val="bodyCopy"/>
              <w:spacing w:after="120"/>
            </w:pPr>
            <w:r w:rsidRPr="00326B66">
              <w:t>DEDJTR (supported by Stage 1 Assessment of the IE</w:t>
            </w:r>
            <w:r w:rsidR="00E64719" w:rsidRPr="00326B66">
              <w:t>A</w:t>
            </w:r>
            <w:r w:rsidRPr="00326B66">
              <w:t>P)</w:t>
            </w:r>
          </w:p>
        </w:tc>
        <w:tc>
          <w:tcPr>
            <w:tcW w:w="0" w:type="auto"/>
            <w:shd w:val="clear" w:color="auto" w:fill="F2F2F2" w:themeFill="background1" w:themeFillShade="F2"/>
          </w:tcPr>
          <w:p w:rsidR="002E1518" w:rsidRDefault="002E1518" w:rsidP="00037787">
            <w:pPr>
              <w:pStyle w:val="bodyCopy"/>
              <w:spacing w:after="120"/>
            </w:pPr>
            <w:r>
              <w:t>Minister for Resources</w:t>
            </w:r>
          </w:p>
        </w:tc>
      </w:tr>
      <w:tr w:rsidR="00503324" w:rsidTr="00326B66">
        <w:tc>
          <w:tcPr>
            <w:tcW w:w="0" w:type="auto"/>
            <w:shd w:val="clear" w:color="auto" w:fill="D9D9D9" w:themeFill="background1" w:themeFillShade="D9"/>
          </w:tcPr>
          <w:p w:rsidR="00E46240" w:rsidRPr="00326B66" w:rsidRDefault="002E1518" w:rsidP="00F242C5">
            <w:pPr>
              <w:pStyle w:val="bodyCopy"/>
              <w:spacing w:after="120"/>
            </w:pPr>
            <w:r w:rsidRPr="00326B66">
              <w:t>Funding</w:t>
            </w:r>
            <w:r w:rsidR="000A499A" w:rsidRPr="00326B66">
              <w:t xml:space="preserve"> (</w:t>
            </w:r>
            <w:r w:rsidR="002537A5" w:rsidRPr="00326B66">
              <w:t>&gt;$500,000</w:t>
            </w:r>
            <w:r w:rsidRPr="00326B66">
              <w:t>)</w:t>
            </w:r>
          </w:p>
        </w:tc>
        <w:tc>
          <w:tcPr>
            <w:tcW w:w="0" w:type="auto"/>
            <w:shd w:val="clear" w:color="auto" w:fill="F2F2F2" w:themeFill="background1" w:themeFillShade="F2"/>
          </w:tcPr>
          <w:p w:rsidR="00E46240" w:rsidRPr="00326B66" w:rsidRDefault="002E1518" w:rsidP="00C90D51">
            <w:pPr>
              <w:pStyle w:val="bodyCopy"/>
              <w:spacing w:after="120"/>
            </w:pPr>
            <w:r w:rsidRPr="00326B66">
              <w:t>IE</w:t>
            </w:r>
            <w:r w:rsidR="00E64719" w:rsidRPr="00326B66">
              <w:t>A</w:t>
            </w:r>
            <w:r w:rsidRPr="00326B66">
              <w:t>P and DEDJT</w:t>
            </w:r>
            <w:r w:rsidR="00C90D51" w:rsidRPr="00326B66">
              <w:t>R</w:t>
            </w:r>
          </w:p>
        </w:tc>
        <w:tc>
          <w:tcPr>
            <w:tcW w:w="0" w:type="auto"/>
            <w:shd w:val="clear" w:color="auto" w:fill="F2F2F2" w:themeFill="background1" w:themeFillShade="F2"/>
          </w:tcPr>
          <w:p w:rsidR="00E46240" w:rsidRDefault="002E1518" w:rsidP="00F242C5">
            <w:pPr>
              <w:pStyle w:val="bodyCopy"/>
              <w:spacing w:after="120"/>
            </w:pPr>
            <w:r>
              <w:t>Cabinet</w:t>
            </w:r>
            <w:r w:rsidDel="002E1518">
              <w:t xml:space="preserve"> </w:t>
            </w:r>
          </w:p>
        </w:tc>
      </w:tr>
    </w:tbl>
    <w:p w:rsidR="00F170BD" w:rsidRDefault="00F170BD" w:rsidP="004E2E41">
      <w:pPr>
        <w:pStyle w:val="Caption"/>
      </w:pPr>
    </w:p>
    <w:tbl>
      <w:tblPr>
        <w:tblStyle w:val="TableGrid"/>
        <w:tblW w:w="0" w:type="auto"/>
        <w:tblLook w:val="04A0" w:firstRow="1" w:lastRow="0" w:firstColumn="1" w:lastColumn="0" w:noHBand="0" w:noVBand="1"/>
        <w:tblCaption w:val="Additional information to that contained in Table 3"/>
        <w:tblDescription w:val="The note outlines that if necessary, a project proponent may be requested to present to the assessment body or decision-maker on their proposal and/or provide clarification on any outstanding issues. "/>
      </w:tblPr>
      <w:tblGrid>
        <w:gridCol w:w="9242"/>
      </w:tblGrid>
      <w:tr w:rsidR="00191037" w:rsidTr="00240C94">
        <w:trPr>
          <w:tblHeader/>
        </w:trPr>
        <w:tc>
          <w:tcPr>
            <w:tcW w:w="9242" w:type="dxa"/>
          </w:tcPr>
          <w:p w:rsidR="00191037" w:rsidRPr="00B15D48" w:rsidRDefault="003803BE" w:rsidP="00ED2069">
            <w:pPr>
              <w:pStyle w:val="bodyCopy"/>
              <w:spacing w:after="120"/>
              <w:rPr>
                <w:sz w:val="16"/>
                <w:szCs w:val="16"/>
              </w:rPr>
            </w:pPr>
            <w:r>
              <w:rPr>
                <w:sz w:val="16"/>
                <w:szCs w:val="16"/>
              </w:rPr>
              <w:t>Not</w:t>
            </w:r>
            <w:r w:rsidR="004E2E41">
              <w:rPr>
                <w:sz w:val="16"/>
                <w:szCs w:val="16"/>
              </w:rPr>
              <w:t>e:</w:t>
            </w:r>
            <w:r w:rsidR="002C60B6">
              <w:rPr>
                <w:sz w:val="16"/>
                <w:szCs w:val="16"/>
              </w:rPr>
              <w:t xml:space="preserve"> </w:t>
            </w:r>
            <w:r w:rsidR="00191037" w:rsidRPr="00191037">
              <w:rPr>
                <w:sz w:val="16"/>
                <w:szCs w:val="16"/>
              </w:rPr>
              <w:t xml:space="preserve">If necessary, the proponent may be requested to present to the </w:t>
            </w:r>
            <w:r w:rsidR="00153CD3">
              <w:rPr>
                <w:sz w:val="16"/>
                <w:szCs w:val="16"/>
              </w:rPr>
              <w:t>assessment body or decision maker</w:t>
            </w:r>
            <w:r w:rsidR="00191037" w:rsidRPr="00191037">
              <w:rPr>
                <w:sz w:val="16"/>
                <w:szCs w:val="16"/>
              </w:rPr>
              <w:t xml:space="preserve"> on their proposal and/or provide clarification on any outstanding issues</w:t>
            </w:r>
            <w:r w:rsidR="00153CD3">
              <w:rPr>
                <w:sz w:val="16"/>
                <w:szCs w:val="16"/>
              </w:rPr>
              <w:t>.</w:t>
            </w:r>
          </w:p>
        </w:tc>
      </w:tr>
    </w:tbl>
    <w:p w:rsidR="00EA0BDE" w:rsidRDefault="00955F0D" w:rsidP="00EA0BDE">
      <w:pPr>
        <w:pStyle w:val="bodyCopy"/>
        <w:spacing w:after="120"/>
        <w:rPr>
          <w:b/>
        </w:rPr>
      </w:pPr>
      <w:r w:rsidRPr="0085593A">
        <w:t>T</w:t>
      </w:r>
      <w:r w:rsidR="00165DD3">
        <w:t>able 4 summarises the a</w:t>
      </w:r>
      <w:r w:rsidRPr="0085593A">
        <w:t xml:space="preserve">ctions and responsibilities of the </w:t>
      </w:r>
      <w:r w:rsidR="00DB6F90">
        <w:t>p</w:t>
      </w:r>
      <w:r w:rsidRPr="0085593A">
        <w:t>roponent</w:t>
      </w:r>
      <w:r w:rsidR="004C73E0">
        <w:t>,</w:t>
      </w:r>
      <w:r w:rsidRPr="0085593A">
        <w:t xml:space="preserve"> the Government </w:t>
      </w:r>
      <w:r w:rsidR="004C73E0">
        <w:t>and the IE</w:t>
      </w:r>
      <w:r w:rsidR="00E64719">
        <w:t>A</w:t>
      </w:r>
      <w:r w:rsidR="004C73E0">
        <w:t xml:space="preserve">P </w:t>
      </w:r>
      <w:r>
        <w:t>during Stage 2</w:t>
      </w:r>
      <w:r w:rsidR="005C22A9">
        <w:t>.</w:t>
      </w:r>
      <w:r w:rsidR="00EA0BDE" w:rsidRPr="00F479FF">
        <w:rPr>
          <w:b/>
        </w:rPr>
        <w:t xml:space="preserve"> </w:t>
      </w:r>
    </w:p>
    <w:p w:rsidR="00B65A9C" w:rsidRDefault="00B65A9C">
      <w:pPr>
        <w:spacing w:before="0" w:after="200" w:line="276" w:lineRule="auto"/>
        <w:rPr>
          <w:b/>
        </w:rPr>
      </w:pPr>
      <w:r>
        <w:rPr>
          <w:b/>
        </w:rPr>
        <w:br w:type="page"/>
      </w:r>
    </w:p>
    <w:p w:rsidR="00EC7F3D" w:rsidRDefault="00B65A9C" w:rsidP="00B65A9C">
      <w:pPr>
        <w:pStyle w:val="tablename"/>
      </w:pPr>
      <w:r>
        <w:lastRenderedPageBreak/>
        <w:t xml:space="preserve">Table </w:t>
      </w:r>
      <w:fldSimple w:instr=" SEQ Table \* ARABIC ">
        <w:r w:rsidR="00BE3296">
          <w:rPr>
            <w:noProof/>
          </w:rPr>
          <w:t>4</w:t>
        </w:r>
      </w:fldSimple>
      <w:r>
        <w:t xml:space="preserve">. </w:t>
      </w:r>
      <w:r w:rsidRPr="00225082">
        <w:t>Requirements of project proponents and Government during Stage 2 Assessment</w:t>
      </w:r>
    </w:p>
    <w:tbl>
      <w:tblPr>
        <w:tblStyle w:val="TableGrid"/>
        <w:tblW w:w="5000" w:type="pct"/>
        <w:tblLook w:val="04A0" w:firstRow="1" w:lastRow="0" w:firstColumn="1" w:lastColumn="0" w:noHBand="0" w:noVBand="1"/>
        <w:tblCaption w:val="Requirements of roject proponents and Government during Stage 2 Assessment"/>
        <w:tblDescription w:val="Table 4 outlines the requirements of both project propnents and the Government during Stage 2 of the Assessment process.&#10;&#10;All proponents, irrespective of the nature of the support being sought will be required to provide additional information as necessary, whereas the bulk of the requirements during Stage 2 are with the Government/IEAP.&#10;&#10;For projects seeking facilitation, the DEDJTR Resources Division and Invest Victoria will make an informed decision on the level and type of facilitation appropriate to support a project, based on the recommendations from the Stage 1 Assessment of the IEAP.&#10;&#10;For projects seeking coal allocations, the DEDJTR Resources Division will consider the recommendations from the Stage 1 Assessment of the IEAP before making recommendations to the Minister for Resources. &#10;&#10;For projects seeking smaller amounts of funding (&lt;$500k), DEDJTR conducts a strategic assessment of the relative net benefit and opportunity cost of the proposal according to the criteria specific to an identified funding source. DEDJTR will consider the IEAP's recommendations from the Stage 1 assessment in making its final recommendations to the Government. &#10;&#10;For projects seeking larger amounts of funding (&gt;$500k), the IEAP conducts a detailed assessment of the propsal against the key assessment criteria in Section 4 of this document, and makes its final recommendations to the Government and DEDJTR. DEDJTR will then conduct a strategic assessment of the relative net benefit and opportunity costs of the proposal against the additional key assessment criteria set out in Section 4 of this document, and the assessment criteria associated with the relevant funding source. "/>
      </w:tblPr>
      <w:tblGrid>
        <w:gridCol w:w="1526"/>
        <w:gridCol w:w="2553"/>
        <w:gridCol w:w="5163"/>
      </w:tblGrid>
      <w:tr w:rsidR="004C73E0" w:rsidTr="00240C94">
        <w:trPr>
          <w:tblHeader/>
        </w:trPr>
        <w:tc>
          <w:tcPr>
            <w:tcW w:w="826" w:type="pct"/>
            <w:shd w:val="clear" w:color="auto" w:fill="365F91" w:themeFill="accent1" w:themeFillShade="BF"/>
          </w:tcPr>
          <w:p w:rsidR="004C73E0" w:rsidRPr="00C00E24" w:rsidRDefault="004C73E0" w:rsidP="00ED2069">
            <w:pPr>
              <w:pStyle w:val="bodyCopy"/>
              <w:spacing w:after="120"/>
              <w:rPr>
                <w:b/>
                <w:color w:val="FFFFFF" w:themeColor="background1"/>
              </w:rPr>
            </w:pPr>
            <w:r>
              <w:rPr>
                <w:b/>
                <w:color w:val="FFFFFF" w:themeColor="background1"/>
              </w:rPr>
              <w:t>Nature of support</w:t>
            </w:r>
          </w:p>
        </w:tc>
        <w:tc>
          <w:tcPr>
            <w:tcW w:w="1381" w:type="pct"/>
            <w:shd w:val="clear" w:color="auto" w:fill="365F91" w:themeFill="accent1" w:themeFillShade="BF"/>
          </w:tcPr>
          <w:p w:rsidR="004C73E0" w:rsidRPr="00C00E24" w:rsidRDefault="004C73E0" w:rsidP="00C00E24">
            <w:pPr>
              <w:pStyle w:val="bodyCopy"/>
              <w:spacing w:after="120"/>
              <w:rPr>
                <w:b/>
                <w:color w:val="FFFFFF" w:themeColor="background1"/>
              </w:rPr>
            </w:pPr>
            <w:r w:rsidRPr="00C00E24">
              <w:rPr>
                <w:b/>
                <w:color w:val="FFFFFF" w:themeColor="background1"/>
              </w:rPr>
              <w:t>Propo</w:t>
            </w:r>
            <w:r>
              <w:rPr>
                <w:b/>
                <w:color w:val="FFFFFF" w:themeColor="background1"/>
              </w:rPr>
              <w:t>nent</w:t>
            </w:r>
          </w:p>
        </w:tc>
        <w:tc>
          <w:tcPr>
            <w:tcW w:w="2793" w:type="pct"/>
            <w:shd w:val="clear" w:color="auto" w:fill="365F91" w:themeFill="accent1" w:themeFillShade="BF"/>
          </w:tcPr>
          <w:p w:rsidR="004C73E0" w:rsidRPr="00C00E24" w:rsidRDefault="004C73E0" w:rsidP="00ED2069">
            <w:pPr>
              <w:pStyle w:val="bodyCopy"/>
              <w:spacing w:after="120"/>
              <w:rPr>
                <w:b/>
                <w:color w:val="FFFFFF" w:themeColor="background1"/>
              </w:rPr>
            </w:pPr>
            <w:r>
              <w:rPr>
                <w:b/>
                <w:color w:val="FFFFFF" w:themeColor="background1"/>
              </w:rPr>
              <w:t xml:space="preserve">Government / </w:t>
            </w:r>
            <w:r w:rsidR="00E64719">
              <w:rPr>
                <w:b/>
                <w:color w:val="FFFFFF" w:themeColor="background1"/>
              </w:rPr>
              <w:t>IEAP</w:t>
            </w:r>
          </w:p>
        </w:tc>
      </w:tr>
      <w:tr w:rsidR="00D906BF" w:rsidTr="00326B66">
        <w:tc>
          <w:tcPr>
            <w:tcW w:w="826" w:type="pct"/>
            <w:shd w:val="clear" w:color="auto" w:fill="D9D9D9" w:themeFill="background1" w:themeFillShade="D9"/>
          </w:tcPr>
          <w:p w:rsidR="00D906BF" w:rsidRPr="00326B66" w:rsidRDefault="00D906BF" w:rsidP="00397BE9">
            <w:pPr>
              <w:pStyle w:val="bodyCopy"/>
              <w:spacing w:after="120"/>
              <w:rPr>
                <w:b/>
              </w:rPr>
            </w:pPr>
            <w:r w:rsidRPr="00326B66">
              <w:rPr>
                <w:b/>
              </w:rPr>
              <w:t>Facilitation</w:t>
            </w:r>
          </w:p>
        </w:tc>
        <w:tc>
          <w:tcPr>
            <w:tcW w:w="1381" w:type="pct"/>
            <w:shd w:val="clear" w:color="auto" w:fill="F2F2F2" w:themeFill="background1" w:themeFillShade="F2"/>
          </w:tcPr>
          <w:p w:rsidR="00D906BF" w:rsidRPr="00326B66" w:rsidRDefault="00D906BF" w:rsidP="00397BE9">
            <w:r w:rsidRPr="00326B66">
              <w:t>Provide additional information as required.</w:t>
            </w:r>
          </w:p>
        </w:tc>
        <w:tc>
          <w:tcPr>
            <w:tcW w:w="2793" w:type="pct"/>
            <w:shd w:val="clear" w:color="auto" w:fill="F2F2F2" w:themeFill="background1" w:themeFillShade="F2"/>
          </w:tcPr>
          <w:p w:rsidR="00D906BF" w:rsidRPr="00326B66" w:rsidRDefault="00D906BF" w:rsidP="00397BE9">
            <w:pPr>
              <w:pStyle w:val="ListParagraph"/>
              <w:numPr>
                <w:ilvl w:val="0"/>
                <w:numId w:val="3"/>
              </w:numPr>
              <w:spacing w:after="0"/>
              <w:ind w:left="357" w:hanging="357"/>
            </w:pPr>
            <w:r w:rsidRPr="00326B66">
              <w:t>DEDJTR Resources Division and Invest Victoria will make an informed decision on the level and type of facilitation appropriate to support a project, based on the recommendations from the Stage 1 Assessment of the IEAP.</w:t>
            </w:r>
          </w:p>
          <w:p w:rsidR="00D906BF" w:rsidRPr="00326B66" w:rsidRDefault="00D906BF" w:rsidP="00397BE9">
            <w:pPr>
              <w:pStyle w:val="ListParagraph"/>
              <w:spacing w:after="0"/>
              <w:ind w:left="357"/>
            </w:pPr>
          </w:p>
        </w:tc>
      </w:tr>
      <w:tr w:rsidR="00D906BF" w:rsidTr="00326B66">
        <w:tc>
          <w:tcPr>
            <w:tcW w:w="826" w:type="pct"/>
            <w:shd w:val="clear" w:color="auto" w:fill="D9D9D9" w:themeFill="background1" w:themeFillShade="D9"/>
          </w:tcPr>
          <w:p w:rsidR="00D906BF" w:rsidRPr="00326B66" w:rsidRDefault="00D906BF" w:rsidP="00397BE9">
            <w:pPr>
              <w:pStyle w:val="bodyCopy"/>
              <w:spacing w:after="120"/>
              <w:rPr>
                <w:b/>
              </w:rPr>
            </w:pPr>
            <w:r w:rsidRPr="00326B66">
              <w:rPr>
                <w:b/>
              </w:rPr>
              <w:t>Coal allocation</w:t>
            </w:r>
          </w:p>
        </w:tc>
        <w:tc>
          <w:tcPr>
            <w:tcW w:w="1381" w:type="pct"/>
            <w:shd w:val="clear" w:color="auto" w:fill="F2F2F2" w:themeFill="background1" w:themeFillShade="F2"/>
          </w:tcPr>
          <w:p w:rsidR="00D906BF" w:rsidRPr="00326B66" w:rsidRDefault="00D906BF" w:rsidP="00397BE9">
            <w:r w:rsidRPr="00326B66">
              <w:t>Provide additional information as required.</w:t>
            </w:r>
          </w:p>
        </w:tc>
        <w:tc>
          <w:tcPr>
            <w:tcW w:w="2793" w:type="pct"/>
            <w:shd w:val="clear" w:color="auto" w:fill="F2F2F2" w:themeFill="background1" w:themeFillShade="F2"/>
          </w:tcPr>
          <w:p w:rsidR="00D906BF" w:rsidRPr="00326B66" w:rsidRDefault="00D906BF" w:rsidP="00397BE9">
            <w:pPr>
              <w:pStyle w:val="ListParagraph"/>
              <w:numPr>
                <w:ilvl w:val="0"/>
                <w:numId w:val="3"/>
              </w:numPr>
              <w:spacing w:after="0"/>
              <w:ind w:left="357" w:hanging="357"/>
            </w:pPr>
            <w:r w:rsidRPr="00326B66">
              <w:t>DEDJTR Resources Division will consider the recommendations from the Stage 1 Assessment of the IEAP before making recommendations to the Minister for Resources.</w:t>
            </w:r>
          </w:p>
          <w:p w:rsidR="00D906BF" w:rsidRPr="00326B66" w:rsidRDefault="00D906BF" w:rsidP="00397BE9">
            <w:pPr>
              <w:pStyle w:val="ListParagraph"/>
              <w:spacing w:after="0"/>
              <w:ind w:left="357"/>
            </w:pPr>
          </w:p>
        </w:tc>
      </w:tr>
      <w:tr w:rsidR="002E1518" w:rsidTr="00326B66">
        <w:tc>
          <w:tcPr>
            <w:tcW w:w="826" w:type="pct"/>
            <w:shd w:val="clear" w:color="auto" w:fill="D9D9D9" w:themeFill="background1" w:themeFillShade="D9"/>
          </w:tcPr>
          <w:p w:rsidR="002E1518" w:rsidRPr="00326B66" w:rsidRDefault="000A499A" w:rsidP="00C00E24">
            <w:pPr>
              <w:pStyle w:val="bodyCopy"/>
              <w:spacing w:after="120"/>
              <w:rPr>
                <w:b/>
              </w:rPr>
            </w:pPr>
            <w:r w:rsidRPr="00326B66">
              <w:rPr>
                <w:b/>
              </w:rPr>
              <w:t>Funding (</w:t>
            </w:r>
            <w:r w:rsidR="002537A5" w:rsidRPr="00326B66">
              <w:rPr>
                <w:b/>
              </w:rPr>
              <w:t>&lt;$500,000</w:t>
            </w:r>
            <w:r w:rsidR="002E1518" w:rsidRPr="00326B66">
              <w:rPr>
                <w:b/>
              </w:rPr>
              <w:t>)</w:t>
            </w:r>
          </w:p>
        </w:tc>
        <w:tc>
          <w:tcPr>
            <w:tcW w:w="1381" w:type="pct"/>
            <w:shd w:val="clear" w:color="auto" w:fill="F2F2F2" w:themeFill="background1" w:themeFillShade="F2"/>
          </w:tcPr>
          <w:p w:rsidR="002E1518" w:rsidRPr="00326B66" w:rsidRDefault="002E1518" w:rsidP="004C73E0">
            <w:r w:rsidRPr="00326B66">
              <w:t>Provide additional information as required.</w:t>
            </w:r>
          </w:p>
        </w:tc>
        <w:tc>
          <w:tcPr>
            <w:tcW w:w="2793" w:type="pct"/>
            <w:shd w:val="clear" w:color="auto" w:fill="F2F2F2" w:themeFill="background1" w:themeFillShade="F2"/>
          </w:tcPr>
          <w:p w:rsidR="002E1518" w:rsidRPr="00326B66" w:rsidRDefault="002E1518" w:rsidP="002E1518">
            <w:pPr>
              <w:pStyle w:val="ListParagraph"/>
              <w:numPr>
                <w:ilvl w:val="0"/>
                <w:numId w:val="3"/>
              </w:numPr>
              <w:spacing w:after="0"/>
              <w:ind w:left="357" w:hanging="357"/>
            </w:pPr>
            <w:r w:rsidRPr="00326B66">
              <w:t>DEDJTR conducts a strategic assessment of the relative net benefit and opportunity cost of the proposal according to the criteria specific to an identified funding source.</w:t>
            </w:r>
            <w:r w:rsidR="002C60B6">
              <w:t xml:space="preserve"> </w:t>
            </w:r>
            <w:r w:rsidR="00C90D51" w:rsidRPr="00326B66">
              <w:t>DEDJTR</w:t>
            </w:r>
            <w:r w:rsidRPr="00326B66">
              <w:t xml:space="preserve"> will consider the </w:t>
            </w:r>
            <w:r w:rsidR="00E64719" w:rsidRPr="00326B66">
              <w:t>IEAP</w:t>
            </w:r>
            <w:r w:rsidRPr="00326B66">
              <w:t>’s recommendations from the Stage</w:t>
            </w:r>
            <w:r w:rsidR="00503324" w:rsidRPr="00326B66">
              <w:t> </w:t>
            </w:r>
            <w:r w:rsidRPr="00326B66">
              <w:t>1 assessment in making its final recommendations to the Government.</w:t>
            </w:r>
          </w:p>
          <w:p w:rsidR="00EC7F3D" w:rsidRPr="00326B66" w:rsidRDefault="00EC7F3D" w:rsidP="00EC7F3D">
            <w:pPr>
              <w:pStyle w:val="ListParagraph"/>
              <w:spacing w:after="0"/>
              <w:ind w:left="357"/>
            </w:pPr>
          </w:p>
        </w:tc>
      </w:tr>
      <w:tr w:rsidR="002E1518" w:rsidTr="00326B66">
        <w:tc>
          <w:tcPr>
            <w:tcW w:w="826" w:type="pct"/>
            <w:shd w:val="clear" w:color="auto" w:fill="D9D9D9" w:themeFill="background1" w:themeFillShade="D9"/>
          </w:tcPr>
          <w:p w:rsidR="002E1518" w:rsidRPr="00326B66" w:rsidRDefault="000A499A" w:rsidP="00C00E24">
            <w:pPr>
              <w:pStyle w:val="bodyCopy"/>
              <w:spacing w:after="120"/>
              <w:rPr>
                <w:b/>
              </w:rPr>
            </w:pPr>
            <w:r w:rsidRPr="00326B66">
              <w:rPr>
                <w:b/>
              </w:rPr>
              <w:t>Funding (</w:t>
            </w:r>
            <w:r w:rsidR="002537A5" w:rsidRPr="00326B66">
              <w:rPr>
                <w:b/>
              </w:rPr>
              <w:t>&gt;$500,000</w:t>
            </w:r>
            <w:r w:rsidR="002E1518" w:rsidRPr="00326B66">
              <w:rPr>
                <w:b/>
              </w:rPr>
              <w:t>)</w:t>
            </w:r>
          </w:p>
        </w:tc>
        <w:tc>
          <w:tcPr>
            <w:tcW w:w="1381" w:type="pct"/>
            <w:shd w:val="clear" w:color="auto" w:fill="F2F2F2" w:themeFill="background1" w:themeFillShade="F2"/>
          </w:tcPr>
          <w:p w:rsidR="002E1518" w:rsidRPr="00326B66" w:rsidRDefault="002E1518" w:rsidP="004C73E0">
            <w:r w:rsidRPr="00326B66">
              <w:t>Provide additional information as required.</w:t>
            </w:r>
          </w:p>
        </w:tc>
        <w:tc>
          <w:tcPr>
            <w:tcW w:w="2793" w:type="pct"/>
            <w:shd w:val="clear" w:color="auto" w:fill="F2F2F2" w:themeFill="background1" w:themeFillShade="F2"/>
          </w:tcPr>
          <w:p w:rsidR="00503324" w:rsidRPr="00326B66" w:rsidRDefault="00503324" w:rsidP="00503324">
            <w:pPr>
              <w:pStyle w:val="ListParagraph"/>
              <w:numPr>
                <w:ilvl w:val="0"/>
                <w:numId w:val="3"/>
              </w:numPr>
              <w:spacing w:after="0"/>
              <w:ind w:left="357" w:hanging="357"/>
            </w:pPr>
            <w:r w:rsidRPr="00326B66">
              <w:t>The IEAP conducts a detailed assessment of the proposal against the key assessment criteria in Section 4, and makes its final recommendations to the Government and DEDJTR.</w:t>
            </w:r>
            <w:r w:rsidR="002C60B6">
              <w:t xml:space="preserve"> </w:t>
            </w:r>
          </w:p>
          <w:p w:rsidR="002E1518" w:rsidRPr="00326B66" w:rsidRDefault="002E1518" w:rsidP="002E1518">
            <w:pPr>
              <w:pStyle w:val="ListParagraph"/>
              <w:numPr>
                <w:ilvl w:val="0"/>
                <w:numId w:val="3"/>
              </w:numPr>
              <w:spacing w:after="0"/>
              <w:ind w:left="357" w:hanging="357"/>
            </w:pPr>
            <w:r w:rsidRPr="00326B66">
              <w:t>DEDJTR</w:t>
            </w:r>
            <w:r w:rsidR="00C90D51" w:rsidRPr="00326B66">
              <w:t xml:space="preserve"> </w:t>
            </w:r>
            <w:r w:rsidRPr="00326B66">
              <w:t>conducts a strategic assessment of the relative net benefit and opportunity costs of the proposal against the additional key assessment criteria set out in Section 4 and the assessment criteria from the relevant funding source.</w:t>
            </w:r>
            <w:r w:rsidR="002C60B6">
              <w:t xml:space="preserve"> </w:t>
            </w:r>
          </w:p>
          <w:p w:rsidR="00EC7F3D" w:rsidRPr="00326B66" w:rsidRDefault="00EC7F3D" w:rsidP="00EC7F3D">
            <w:pPr>
              <w:pStyle w:val="ListParagraph"/>
              <w:spacing w:after="0"/>
              <w:ind w:left="357"/>
            </w:pPr>
          </w:p>
        </w:tc>
      </w:tr>
    </w:tbl>
    <w:p w:rsidR="00B65A9C" w:rsidRDefault="00B65A9C" w:rsidP="00B65A9C">
      <w:bookmarkStart w:id="47" w:name="_Toc492469025"/>
      <w:bookmarkStart w:id="48" w:name="_Toc491961253"/>
      <w:bookmarkStart w:id="49" w:name="_Toc491961305"/>
      <w:bookmarkStart w:id="50" w:name="_Toc491961254"/>
      <w:bookmarkStart w:id="51" w:name="_Toc491961306"/>
      <w:bookmarkStart w:id="52" w:name="_Toc491961255"/>
      <w:bookmarkStart w:id="53" w:name="_Toc491961307"/>
      <w:bookmarkStart w:id="54" w:name="_Toc491961256"/>
      <w:bookmarkStart w:id="55" w:name="_Toc491961308"/>
      <w:bookmarkStart w:id="56" w:name="_Toc491961257"/>
      <w:bookmarkStart w:id="57" w:name="_Toc491961309"/>
      <w:bookmarkStart w:id="58" w:name="_Toc491961258"/>
      <w:bookmarkStart w:id="59" w:name="_Toc491961310"/>
      <w:bookmarkStart w:id="60" w:name="_Toc491961259"/>
      <w:bookmarkStart w:id="61" w:name="_Toc491961311"/>
      <w:bookmarkStart w:id="62" w:name="_Toc491961260"/>
      <w:bookmarkStart w:id="63" w:name="_Toc491961312"/>
      <w:bookmarkStart w:id="64" w:name="_Toc491961261"/>
      <w:bookmarkStart w:id="65" w:name="_Toc491961313"/>
      <w:bookmarkStart w:id="66" w:name="_Toc491961262"/>
      <w:bookmarkStart w:id="67" w:name="_Toc491961314"/>
      <w:bookmarkStart w:id="68" w:name="_Toc491961263"/>
      <w:bookmarkStart w:id="69" w:name="_Toc491961315"/>
      <w:bookmarkStart w:id="70" w:name="_Toc491961264"/>
      <w:bookmarkStart w:id="71" w:name="_Toc491961316"/>
      <w:bookmarkStart w:id="72" w:name="_Toc491961266"/>
      <w:bookmarkStart w:id="73" w:name="_Toc491961318"/>
      <w:bookmarkStart w:id="74" w:name="_Toc491961267"/>
      <w:bookmarkStart w:id="75" w:name="_Toc49196131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A264DC" w:rsidRDefault="00A264DC" w:rsidP="00ED2069">
      <w:pPr>
        <w:pStyle w:val="Heading2"/>
        <w:spacing w:before="120" w:after="120"/>
      </w:pPr>
      <w:bookmarkStart w:id="76" w:name="_Toc521932845"/>
      <w:r>
        <w:t>S</w:t>
      </w:r>
      <w:r w:rsidR="00F433EB">
        <w:t>tage</w:t>
      </w:r>
      <w:r>
        <w:t xml:space="preserve"> </w:t>
      </w:r>
      <w:r w:rsidR="009A60B6">
        <w:t>Three</w:t>
      </w:r>
      <w:r w:rsidR="004E4BBD">
        <w:t>:</w:t>
      </w:r>
      <w:r>
        <w:t xml:space="preserve"> </w:t>
      </w:r>
      <w:r w:rsidR="00FC3E24">
        <w:t xml:space="preserve">Victorian </w:t>
      </w:r>
      <w:r w:rsidR="009A60B6">
        <w:t xml:space="preserve">Government </w:t>
      </w:r>
      <w:r w:rsidR="004E4BBD">
        <w:t>Decision</w:t>
      </w:r>
      <w:r w:rsidR="009F57A9">
        <w:t xml:space="preserve"> and </w:t>
      </w:r>
      <w:r w:rsidR="00B411E5">
        <w:t>Next Steps</w:t>
      </w:r>
      <w:bookmarkEnd w:id="76"/>
    </w:p>
    <w:p w:rsidR="00F669A4" w:rsidRDefault="00000DCB" w:rsidP="00ED2069">
      <w:pPr>
        <w:pStyle w:val="bodyCopy"/>
        <w:spacing w:after="120"/>
      </w:pPr>
      <w:r>
        <w:t>Projects</w:t>
      </w:r>
      <w:r w:rsidR="003D0796">
        <w:t xml:space="preserve"> progress to Stage 3 upon a recommendation by the relevant assessment body</w:t>
      </w:r>
      <w:r>
        <w:t xml:space="preserve"> </w:t>
      </w:r>
      <w:r w:rsidR="003D0796">
        <w:t xml:space="preserve">that </w:t>
      </w:r>
      <w:r>
        <w:t xml:space="preserve">Government </w:t>
      </w:r>
      <w:r w:rsidR="00165DD3">
        <w:t xml:space="preserve">should consider </w:t>
      </w:r>
      <w:r>
        <w:t>support</w:t>
      </w:r>
      <w:r w:rsidR="003D0796">
        <w:t>ing the project</w:t>
      </w:r>
      <w:r>
        <w:t>.</w:t>
      </w:r>
      <w:r w:rsidR="00F669A4">
        <w:t xml:space="preserve"> </w:t>
      </w:r>
      <w:r w:rsidR="00C7564B">
        <w:t>Decision-making during Stage 3 will be made by either the Minister</w:t>
      </w:r>
      <w:r w:rsidR="00EC7F3D">
        <w:t xml:space="preserve"> </w:t>
      </w:r>
      <w:r w:rsidR="00C7564B">
        <w:t xml:space="preserve">or Cabinet, </w:t>
      </w:r>
      <w:r w:rsidR="0086771D">
        <w:t>except for</w:t>
      </w:r>
      <w:r w:rsidR="00C7564B">
        <w:t xml:space="preserve"> projects seeking facilitation, </w:t>
      </w:r>
      <w:r w:rsidR="00117B36">
        <w:t xml:space="preserve">which </w:t>
      </w:r>
      <w:r w:rsidR="002C2FBB">
        <w:t xml:space="preserve">will be provided appropriate facilitation </w:t>
      </w:r>
      <w:r w:rsidR="005A0C53">
        <w:t xml:space="preserve">support from DEDJTR Resources </w:t>
      </w:r>
      <w:r w:rsidR="00C90D51">
        <w:t xml:space="preserve">Division </w:t>
      </w:r>
      <w:r w:rsidR="005A0C53">
        <w:t>and Invest Victoria</w:t>
      </w:r>
      <w:r w:rsidR="00117B36">
        <w:t xml:space="preserve"> as agreed in Stage 2</w:t>
      </w:r>
      <w:r w:rsidR="002C60B6">
        <w:t>.</w:t>
      </w:r>
    </w:p>
    <w:p w:rsidR="006D374E" w:rsidRDefault="00C7564B" w:rsidP="00ED2069">
      <w:pPr>
        <w:pStyle w:val="bodyCopy"/>
        <w:spacing w:after="120"/>
      </w:pPr>
      <w:r>
        <w:t>D</w:t>
      </w:r>
      <w:r w:rsidR="00530782" w:rsidRPr="0027645E">
        <w:t>ecision</w:t>
      </w:r>
      <w:r>
        <w:t>-making</w:t>
      </w:r>
      <w:r w:rsidR="00530782" w:rsidRPr="0027645E">
        <w:t xml:space="preserve"> </w:t>
      </w:r>
      <w:r w:rsidR="00000DCB">
        <w:t>is</w:t>
      </w:r>
      <w:r w:rsidR="00000DCB" w:rsidRPr="0027645E">
        <w:t xml:space="preserve"> based</w:t>
      </w:r>
      <w:r w:rsidR="00530782" w:rsidRPr="0027645E">
        <w:t xml:space="preserve"> </w:t>
      </w:r>
      <w:r w:rsidR="00F97945" w:rsidRPr="0027645E">
        <w:t xml:space="preserve">on the </w:t>
      </w:r>
      <w:r w:rsidR="00000DCB">
        <w:t xml:space="preserve">information provided by the relevant body according to the respective </w:t>
      </w:r>
      <w:r w:rsidR="00FB6259">
        <w:t>p</w:t>
      </w:r>
      <w:r w:rsidR="00A617EF">
        <w:t xml:space="preserve">roposal </w:t>
      </w:r>
      <w:r w:rsidR="00000DCB">
        <w:t>Category.</w:t>
      </w:r>
      <w:r w:rsidR="00EC7F3D">
        <w:t> </w:t>
      </w:r>
      <w:r w:rsidR="00A207B9" w:rsidRPr="0027645E">
        <w:t xml:space="preserve">If </w:t>
      </w:r>
      <w:r>
        <w:t xml:space="preserve">Government support is </w:t>
      </w:r>
      <w:r w:rsidR="00A207B9" w:rsidRPr="0027645E">
        <w:t>a</w:t>
      </w:r>
      <w:r w:rsidR="006D374E">
        <w:t xml:space="preserve">pproved, a </w:t>
      </w:r>
      <w:r w:rsidR="00DB6F90">
        <w:t>p</w:t>
      </w:r>
      <w:r w:rsidR="006D374E">
        <w:t>roponent commences negotiation of</w:t>
      </w:r>
      <w:r w:rsidRPr="0027645E">
        <w:t xml:space="preserve"> </w:t>
      </w:r>
      <w:r w:rsidR="00A207B9" w:rsidRPr="0027645E">
        <w:t xml:space="preserve">a funding </w:t>
      </w:r>
      <w:r w:rsidR="00000DCB">
        <w:t xml:space="preserve">or coal allocation </w:t>
      </w:r>
      <w:r w:rsidR="00A207B9" w:rsidRPr="0027645E">
        <w:t>agreement (</w:t>
      </w:r>
      <w:r w:rsidR="00000DCB">
        <w:t>where</w:t>
      </w:r>
      <w:r w:rsidR="00000DCB" w:rsidRPr="0027645E">
        <w:t xml:space="preserve"> applicable</w:t>
      </w:r>
      <w:r w:rsidR="004D780B">
        <w:t>) with the Government.</w:t>
      </w:r>
    </w:p>
    <w:p w:rsidR="00EE7530" w:rsidRDefault="006D374E" w:rsidP="00ED2069">
      <w:pPr>
        <w:pStyle w:val="bodyCopy"/>
        <w:spacing w:after="120"/>
      </w:pPr>
      <w:r>
        <w:t>A</w:t>
      </w:r>
      <w:r w:rsidR="00A207B9" w:rsidRPr="0027645E">
        <w:t xml:space="preserve"> </w:t>
      </w:r>
      <w:r w:rsidR="00FB6259">
        <w:t>p</w:t>
      </w:r>
      <w:r w:rsidR="00A207B9" w:rsidRPr="0027645E">
        <w:t xml:space="preserve">roposal that successfully passes through Stages 1 and 2 is not </w:t>
      </w:r>
      <w:r w:rsidR="002C60B6">
        <w:t>guaranteed approval at Stage 3.</w:t>
      </w:r>
      <w:r>
        <w:t xml:space="preserve"> </w:t>
      </w:r>
      <w:r w:rsidR="00A207B9" w:rsidRPr="0027645E">
        <w:t xml:space="preserve">In addition, any </w:t>
      </w:r>
      <w:r w:rsidR="00FB6259">
        <w:t>p</w:t>
      </w:r>
      <w:r w:rsidR="003D0796">
        <w:t>roposal</w:t>
      </w:r>
      <w:r w:rsidR="00A207B9" w:rsidRPr="0027645E">
        <w:t xml:space="preserve"> </w:t>
      </w:r>
      <w:r w:rsidR="0027645E" w:rsidRPr="0027645E">
        <w:t xml:space="preserve">that successfully passes all three assessment stages is then subject to relevant regulatory approval processes associated with brown coal </w:t>
      </w:r>
      <w:r w:rsidR="00B15D48">
        <w:t xml:space="preserve">project </w:t>
      </w:r>
      <w:r w:rsidR="002C60B6">
        <w:t>development.</w:t>
      </w:r>
    </w:p>
    <w:p w:rsidR="006D374E" w:rsidRDefault="00581E14" w:rsidP="00ED2069">
      <w:pPr>
        <w:pStyle w:val="bodyCopy"/>
        <w:spacing w:after="120"/>
      </w:pPr>
      <w:r>
        <w:t>Proposals not supported by the Government will be advised of the decis</w:t>
      </w:r>
      <w:r w:rsidR="002C60B6">
        <w:t>ion and provided with feedback.</w:t>
      </w:r>
      <w:r>
        <w:t xml:space="preserve"> The decision to not support the project proposal in its current form is the final assessment by Government, and the outcome will be communicated to relevant government agencies.</w:t>
      </w:r>
    </w:p>
    <w:p w:rsidR="004D780B" w:rsidRDefault="0027645E" w:rsidP="004D780B">
      <w:pPr>
        <w:pStyle w:val="bodyCopy"/>
        <w:spacing w:after="120"/>
      </w:pPr>
      <w:r w:rsidRPr="0085593A">
        <w:t>T</w:t>
      </w:r>
      <w:r w:rsidR="00DF66B7">
        <w:t xml:space="preserve">able 5 summarises the </w:t>
      </w:r>
      <w:r w:rsidRPr="0085593A">
        <w:t xml:space="preserve">actions and responsibilities of </w:t>
      </w:r>
      <w:r>
        <w:t>the Government during Stage 3</w:t>
      </w:r>
      <w:r w:rsidR="005C22A9">
        <w:t>.</w:t>
      </w:r>
    </w:p>
    <w:p w:rsidR="004D780B" w:rsidRDefault="004D780B">
      <w:pPr>
        <w:spacing w:before="0" w:after="200" w:line="276" w:lineRule="auto"/>
      </w:pPr>
      <w:r>
        <w:br w:type="page"/>
      </w:r>
    </w:p>
    <w:p w:rsidR="00EC7F3D" w:rsidRDefault="00B65A9C" w:rsidP="00B65A9C">
      <w:pPr>
        <w:pStyle w:val="tablename"/>
      </w:pPr>
      <w:r>
        <w:lastRenderedPageBreak/>
        <w:t xml:space="preserve">Table </w:t>
      </w:r>
      <w:fldSimple w:instr=" SEQ Table \* ARABIC ">
        <w:r w:rsidR="00BE3296">
          <w:rPr>
            <w:noProof/>
          </w:rPr>
          <w:t>5</w:t>
        </w:r>
      </w:fldSimple>
      <w:r>
        <w:t xml:space="preserve">. </w:t>
      </w:r>
      <w:r w:rsidRPr="001709A6">
        <w:t>Requirements of project proponents and Government during Stage 3 Assessment</w:t>
      </w:r>
    </w:p>
    <w:tbl>
      <w:tblPr>
        <w:tblStyle w:val="TableGrid"/>
        <w:tblW w:w="5000" w:type="pct"/>
        <w:tblLook w:val="04A0" w:firstRow="1" w:lastRow="0" w:firstColumn="1" w:lastColumn="0" w:noHBand="0" w:noVBand="1"/>
        <w:tblCaption w:val="Requirements of project proponents and Government during Stage 3 Assessment"/>
        <w:tblDescription w:val="Table 5 outlines the requirements of project proponents and the Government during Stage 3 of the Assessment process. There are no requirements of a project pronent during Stage 3 as this stage involves Government decision-making. &#10;&#10;Projects seeking facilitation that are deemed to have merit, but that require facilitation support to increase their likelihood of success will be provided facilitation support as deemed appropriate by DEDJTR Resources Division or Invest Victoria.  This may be set out in a facilitation plan or other agreement as appropriate for the level of facilitation and in-kind support offered.&#10;&#10;For projects seeking coal allocations, the Minister for Resources will consider the advice of DEDJTR Resources Division in considering whether to approve the proposed allocation that would secure a coal supply for the project, subject to any separate regulatory requirements and approvals. DEDJTR will engage with the relevant mine operator to clarify arrangements for coal supply and also investigate alternative means to provide access to the coal resource, including new allocation processes that align with the principles outlined in the Coal Statement. Where the Minister for Resources grants a new coal allocation (in accordance with the MRSD Act and the Coal Statement), DEDJTR will continue to engage with the relevant mine operators and the proponent to ensure access to the resource.&#10;&#10;For projects seeking smaller amounts of funding (&lt;$500k), the Minister for Resources makes a final assessment based on the recommendations of DEDJTR and IAEP.  Where the project is supported by the Government, DEDJTR will engage with the proponent to commence negotiations for a funding agreement on mutually agreeable terms and conditions. Any funding is dependent on reaching terms that are agreeable to the Government.  Funding is also contingent on the Project securing funding from other sources and obtaining all required regulatory approvals.&#10;&#10;For projects seeking larger amounts of funding (&gt;$500k), the Minister for Resources makes a final assessment based on the recommendations of DEDJTR and IEAP.  Where the Minister is supportive, they make recommendations for the consideration of Cabinet and endorsement of funding support.  Upon endorsement, DEDJTR will engage with the proponent to commence negotiations for a funding agreement on mutually agreeable terms and conditions.  The funding is dependent on reaching terms that are agreeable by the Government.&#10;&#10;&#10;"/>
      </w:tblPr>
      <w:tblGrid>
        <w:gridCol w:w="1384"/>
        <w:gridCol w:w="7858"/>
      </w:tblGrid>
      <w:tr w:rsidR="00B15D48" w:rsidTr="00240C94">
        <w:trPr>
          <w:tblHeader/>
        </w:trPr>
        <w:tc>
          <w:tcPr>
            <w:tcW w:w="749" w:type="pct"/>
            <w:shd w:val="clear" w:color="auto" w:fill="365F91" w:themeFill="accent1" w:themeFillShade="BF"/>
          </w:tcPr>
          <w:p w:rsidR="00B15D48" w:rsidRPr="00C00E24" w:rsidRDefault="00B15D48" w:rsidP="00E0408D">
            <w:pPr>
              <w:pStyle w:val="bodyCopy"/>
              <w:spacing w:after="120"/>
              <w:rPr>
                <w:b/>
                <w:color w:val="FFFFFF" w:themeColor="background1"/>
              </w:rPr>
            </w:pPr>
            <w:r>
              <w:rPr>
                <w:b/>
                <w:color w:val="FFFFFF" w:themeColor="background1"/>
              </w:rPr>
              <w:t>Nature of support</w:t>
            </w:r>
          </w:p>
        </w:tc>
        <w:tc>
          <w:tcPr>
            <w:tcW w:w="4251" w:type="pct"/>
            <w:shd w:val="clear" w:color="auto" w:fill="365F91" w:themeFill="accent1" w:themeFillShade="BF"/>
          </w:tcPr>
          <w:p w:rsidR="00B15D48" w:rsidRPr="00C00E24" w:rsidRDefault="00B15D48" w:rsidP="0027645E">
            <w:pPr>
              <w:pStyle w:val="bodyCopy"/>
              <w:spacing w:after="120"/>
              <w:rPr>
                <w:b/>
                <w:color w:val="FFFFFF" w:themeColor="background1"/>
              </w:rPr>
            </w:pPr>
            <w:r>
              <w:rPr>
                <w:b/>
                <w:color w:val="FFFFFF" w:themeColor="background1"/>
              </w:rPr>
              <w:t xml:space="preserve">Government </w:t>
            </w:r>
          </w:p>
        </w:tc>
      </w:tr>
      <w:tr w:rsidR="00F064E2" w:rsidRPr="0027645E" w:rsidTr="00326B66">
        <w:tc>
          <w:tcPr>
            <w:tcW w:w="749" w:type="pct"/>
            <w:shd w:val="clear" w:color="auto" w:fill="D9D9D9" w:themeFill="background1" w:themeFillShade="D9"/>
          </w:tcPr>
          <w:p w:rsidR="00F064E2" w:rsidRPr="00A67D5B" w:rsidRDefault="00F064E2" w:rsidP="00397BE9">
            <w:pPr>
              <w:pStyle w:val="bodyCopy"/>
              <w:spacing w:after="120"/>
              <w:rPr>
                <w:b/>
              </w:rPr>
            </w:pPr>
            <w:r>
              <w:rPr>
                <w:b/>
              </w:rPr>
              <w:t>Facilitation</w:t>
            </w:r>
          </w:p>
        </w:tc>
        <w:tc>
          <w:tcPr>
            <w:tcW w:w="4251" w:type="pct"/>
            <w:shd w:val="clear" w:color="auto" w:fill="F2F2F2" w:themeFill="background1" w:themeFillShade="F2"/>
          </w:tcPr>
          <w:p w:rsidR="00F064E2" w:rsidRDefault="00F064E2" w:rsidP="00425FA1">
            <w:pPr>
              <w:pStyle w:val="ListParagraph"/>
              <w:numPr>
                <w:ilvl w:val="0"/>
                <w:numId w:val="3"/>
              </w:numPr>
              <w:spacing w:after="0"/>
              <w:ind w:left="357" w:hanging="357"/>
            </w:pPr>
            <w:r>
              <w:t xml:space="preserve">Projects seeking facilitation that are deemed to have merit, but that require facilitation support to increase their likelihood of success will be provided facilitation support as deemed appropriate by </w:t>
            </w:r>
            <w:r w:rsidR="00C90D51">
              <w:t xml:space="preserve">DEDJTR </w:t>
            </w:r>
            <w:r>
              <w:t xml:space="preserve">Resources Division or </w:t>
            </w:r>
            <w:r w:rsidR="00C90D51">
              <w:t>Invest Victoria</w:t>
            </w:r>
            <w:r w:rsidR="002C60B6">
              <w:t xml:space="preserve">. </w:t>
            </w:r>
            <w:r>
              <w:t>This may be set out in a facilitation plan or other agreement as appropriate for the level of facilitation and in-kind support offered.</w:t>
            </w:r>
          </w:p>
          <w:p w:rsidR="00F064E2" w:rsidRPr="0027645E" w:rsidRDefault="00F064E2" w:rsidP="00397BE9">
            <w:pPr>
              <w:pStyle w:val="ListParagraph"/>
              <w:spacing w:after="0"/>
              <w:ind w:left="357"/>
            </w:pPr>
          </w:p>
        </w:tc>
      </w:tr>
      <w:tr w:rsidR="00F064E2" w:rsidRPr="0027645E" w:rsidTr="00326B66">
        <w:tc>
          <w:tcPr>
            <w:tcW w:w="749" w:type="pct"/>
            <w:shd w:val="clear" w:color="auto" w:fill="D9D9D9" w:themeFill="background1" w:themeFillShade="D9"/>
          </w:tcPr>
          <w:p w:rsidR="00F064E2" w:rsidRPr="00326B66" w:rsidRDefault="00F064E2" w:rsidP="00397BE9">
            <w:pPr>
              <w:pStyle w:val="bodyCopy"/>
              <w:spacing w:after="120"/>
              <w:rPr>
                <w:b/>
                <w:color w:val="auto"/>
              </w:rPr>
            </w:pPr>
            <w:r w:rsidRPr="00326B66">
              <w:rPr>
                <w:b/>
              </w:rPr>
              <w:t xml:space="preserve">Coal allocations </w:t>
            </w:r>
          </w:p>
        </w:tc>
        <w:tc>
          <w:tcPr>
            <w:tcW w:w="4251" w:type="pct"/>
            <w:shd w:val="clear" w:color="auto" w:fill="F2F2F2" w:themeFill="background1" w:themeFillShade="F2"/>
          </w:tcPr>
          <w:p w:rsidR="00F064E2" w:rsidRPr="00326B66" w:rsidRDefault="00F064E2" w:rsidP="00397BE9">
            <w:pPr>
              <w:pStyle w:val="ListParagraph"/>
              <w:numPr>
                <w:ilvl w:val="0"/>
                <w:numId w:val="3"/>
              </w:numPr>
              <w:spacing w:after="0"/>
              <w:ind w:left="357" w:hanging="357"/>
            </w:pPr>
            <w:r w:rsidRPr="00326B66">
              <w:t>The Minister for Resources will consider the advice of DEDJTR Resources Division in considering whether to approve the proposed allocation that would secure a coal supply for the project, subject to any separate regulatory requirements and approvals.</w:t>
            </w:r>
          </w:p>
          <w:p w:rsidR="00F064E2" w:rsidRPr="00326B66" w:rsidRDefault="00F064E2" w:rsidP="00397BE9">
            <w:pPr>
              <w:pStyle w:val="ListParagraph"/>
              <w:numPr>
                <w:ilvl w:val="0"/>
                <w:numId w:val="3"/>
              </w:numPr>
              <w:spacing w:after="0"/>
              <w:ind w:left="357" w:hanging="357"/>
            </w:pPr>
            <w:r w:rsidRPr="00326B66">
              <w:t xml:space="preserve">DEDJTR will engage with the relevant mine operator to clarify arrangements for coal supply </w:t>
            </w:r>
            <w:r w:rsidR="00425FA1" w:rsidRPr="00326B66">
              <w:t>and</w:t>
            </w:r>
            <w:r w:rsidRPr="00326B66">
              <w:t xml:space="preserve"> investigate alternative means to provide access to the coal resource, including new allocation processes that align with the principles outlined in the Coal Statement. </w:t>
            </w:r>
          </w:p>
          <w:p w:rsidR="00F064E2" w:rsidRPr="00326B66" w:rsidRDefault="00F064E2" w:rsidP="00397BE9">
            <w:pPr>
              <w:pStyle w:val="ListParagraph"/>
              <w:numPr>
                <w:ilvl w:val="0"/>
                <w:numId w:val="3"/>
              </w:numPr>
              <w:spacing w:after="0"/>
              <w:ind w:left="357" w:hanging="357"/>
            </w:pPr>
            <w:r w:rsidRPr="00326B66">
              <w:t>Where the Minister for Resources grants a new coal allocation (in accordance with the MRSD Act and the Coal Statement), DEDJTR will continue to engage with the relevant mine operators and the proponent to ensure access to the resource.</w:t>
            </w:r>
          </w:p>
          <w:p w:rsidR="00F064E2" w:rsidRPr="00326B66" w:rsidRDefault="00F064E2" w:rsidP="00397BE9">
            <w:pPr>
              <w:pStyle w:val="ListParagraph"/>
              <w:spacing w:after="0"/>
              <w:ind w:left="357"/>
            </w:pPr>
          </w:p>
        </w:tc>
      </w:tr>
      <w:tr w:rsidR="00117B36" w:rsidTr="00326B66">
        <w:tc>
          <w:tcPr>
            <w:tcW w:w="749" w:type="pct"/>
            <w:shd w:val="clear" w:color="auto" w:fill="D9D9D9" w:themeFill="background1" w:themeFillShade="D9"/>
          </w:tcPr>
          <w:p w:rsidR="00117B36" w:rsidRPr="00326B66" w:rsidRDefault="000A499A" w:rsidP="00D701C2">
            <w:pPr>
              <w:pStyle w:val="bodyCopy"/>
              <w:spacing w:after="120"/>
              <w:rPr>
                <w:b/>
              </w:rPr>
            </w:pPr>
            <w:r w:rsidRPr="00326B66">
              <w:rPr>
                <w:b/>
              </w:rPr>
              <w:t>Funding (</w:t>
            </w:r>
            <w:r w:rsidR="002537A5" w:rsidRPr="00326B66">
              <w:rPr>
                <w:b/>
              </w:rPr>
              <w:t>&lt;$500,000</w:t>
            </w:r>
            <w:r w:rsidR="00117B36" w:rsidRPr="00326B66">
              <w:rPr>
                <w:b/>
              </w:rPr>
              <w:t>)</w:t>
            </w:r>
          </w:p>
        </w:tc>
        <w:tc>
          <w:tcPr>
            <w:tcW w:w="4251" w:type="pct"/>
            <w:shd w:val="clear" w:color="auto" w:fill="F2F2F2" w:themeFill="background1" w:themeFillShade="F2"/>
          </w:tcPr>
          <w:p w:rsidR="00117B36" w:rsidRPr="00326B66" w:rsidRDefault="00B765C6" w:rsidP="00117B36">
            <w:pPr>
              <w:pStyle w:val="ListParagraph"/>
              <w:numPr>
                <w:ilvl w:val="0"/>
                <w:numId w:val="3"/>
              </w:numPr>
              <w:spacing w:after="0"/>
              <w:ind w:left="357" w:hanging="357"/>
            </w:pPr>
            <w:r w:rsidRPr="00326B66">
              <w:t>The Minister for Resources makes a final assessment based on the recommendations of</w:t>
            </w:r>
            <w:r w:rsidR="00117B36" w:rsidRPr="00326B66">
              <w:t xml:space="preserve"> DEDJTR</w:t>
            </w:r>
            <w:r w:rsidR="00C90D51" w:rsidRPr="00326B66">
              <w:t xml:space="preserve"> </w:t>
            </w:r>
            <w:r w:rsidRPr="00326B66">
              <w:t>and IE</w:t>
            </w:r>
            <w:r w:rsidR="00DF66B7">
              <w:t>A</w:t>
            </w:r>
            <w:r w:rsidR="002C60B6">
              <w:t>P.</w:t>
            </w:r>
            <w:r w:rsidRPr="00326B66">
              <w:t xml:space="preserve"> Where the project is supported by the Government, </w:t>
            </w:r>
            <w:r w:rsidR="00117B36" w:rsidRPr="00326B66">
              <w:t xml:space="preserve">DEDJTR will engage with the proponent to commence negotiations for a funding agreement on mutually agreeable terms and conditions. </w:t>
            </w:r>
          </w:p>
          <w:p w:rsidR="00117B36" w:rsidRPr="00326B66" w:rsidRDefault="00117B36" w:rsidP="00775F45">
            <w:pPr>
              <w:pStyle w:val="ListParagraph"/>
              <w:numPr>
                <w:ilvl w:val="0"/>
                <w:numId w:val="3"/>
              </w:numPr>
              <w:spacing w:after="0"/>
              <w:ind w:left="357" w:hanging="357"/>
            </w:pPr>
            <w:r w:rsidRPr="00326B66">
              <w:t xml:space="preserve">Any </w:t>
            </w:r>
            <w:r w:rsidR="00775F45" w:rsidRPr="00326B66">
              <w:t>funding</w:t>
            </w:r>
            <w:r w:rsidRPr="00326B66">
              <w:t xml:space="preserve"> is dependent on reaching terms that are agreeable to the Government</w:t>
            </w:r>
            <w:r w:rsidR="003E078D" w:rsidRPr="00326B66">
              <w:t>.</w:t>
            </w:r>
            <w:r w:rsidR="002C60B6">
              <w:t xml:space="preserve"> </w:t>
            </w:r>
            <w:r w:rsidRPr="00326B66">
              <w:t>Funding is also contingent on the Project securing funding from other sources and obtaining all required regulatory approvals.</w:t>
            </w:r>
          </w:p>
          <w:p w:rsidR="00EC7F3D" w:rsidRPr="00326B66" w:rsidRDefault="00EC7F3D" w:rsidP="00EC7F3D">
            <w:pPr>
              <w:pStyle w:val="ListParagraph"/>
              <w:spacing w:after="0"/>
              <w:ind w:left="357"/>
            </w:pPr>
          </w:p>
        </w:tc>
      </w:tr>
      <w:tr w:rsidR="00117B36" w:rsidTr="00326B66">
        <w:tc>
          <w:tcPr>
            <w:tcW w:w="749" w:type="pct"/>
            <w:shd w:val="clear" w:color="auto" w:fill="D9D9D9" w:themeFill="background1" w:themeFillShade="D9"/>
          </w:tcPr>
          <w:p w:rsidR="00117B36" w:rsidRPr="00326B66" w:rsidRDefault="000A499A" w:rsidP="00D701C2">
            <w:pPr>
              <w:pStyle w:val="bodyCopy"/>
              <w:spacing w:after="120"/>
              <w:rPr>
                <w:b/>
              </w:rPr>
            </w:pPr>
            <w:r w:rsidRPr="00326B66">
              <w:rPr>
                <w:b/>
              </w:rPr>
              <w:t>Funding (</w:t>
            </w:r>
            <w:r w:rsidR="002537A5" w:rsidRPr="00326B66">
              <w:rPr>
                <w:b/>
              </w:rPr>
              <w:t>&gt;$500,000</w:t>
            </w:r>
            <w:r w:rsidR="00117B36" w:rsidRPr="00326B66">
              <w:rPr>
                <w:b/>
              </w:rPr>
              <w:t>)</w:t>
            </w:r>
          </w:p>
        </w:tc>
        <w:tc>
          <w:tcPr>
            <w:tcW w:w="4251" w:type="pct"/>
            <w:shd w:val="clear" w:color="auto" w:fill="F2F2F2" w:themeFill="background1" w:themeFillShade="F2"/>
          </w:tcPr>
          <w:p w:rsidR="00117B36" w:rsidRPr="00326B66" w:rsidRDefault="007137BD" w:rsidP="00117B36">
            <w:pPr>
              <w:pStyle w:val="bodyCopy"/>
              <w:numPr>
                <w:ilvl w:val="0"/>
                <w:numId w:val="10"/>
              </w:numPr>
              <w:spacing w:before="0" w:after="0"/>
              <w:ind w:left="357" w:hanging="357"/>
            </w:pPr>
            <w:r w:rsidRPr="00326B66">
              <w:t xml:space="preserve">The Minister for Resources makes a final assessment based on the recommendations </w:t>
            </w:r>
            <w:r w:rsidR="003E078D" w:rsidRPr="00326B66">
              <w:t>of DEDJTR</w:t>
            </w:r>
            <w:r w:rsidR="002C60B6">
              <w:t xml:space="preserve"> and IEAP. </w:t>
            </w:r>
            <w:r w:rsidRPr="00326B66">
              <w:t xml:space="preserve">Cabinet </w:t>
            </w:r>
            <w:r w:rsidR="00DF66B7">
              <w:t xml:space="preserve">considers </w:t>
            </w:r>
            <w:r w:rsidRPr="00326B66">
              <w:t>funding support</w:t>
            </w:r>
            <w:r w:rsidR="00DF66B7">
              <w:t xml:space="preserve"> for the project</w:t>
            </w:r>
            <w:r w:rsidRPr="00326B66">
              <w:t>.</w:t>
            </w:r>
            <w:r w:rsidR="002C60B6">
              <w:t xml:space="preserve"> </w:t>
            </w:r>
          </w:p>
          <w:p w:rsidR="00EC7F3D" w:rsidRPr="00326B66" w:rsidRDefault="00DF66B7" w:rsidP="00EC7F3D">
            <w:pPr>
              <w:pStyle w:val="ListParagraph"/>
              <w:numPr>
                <w:ilvl w:val="0"/>
                <w:numId w:val="3"/>
              </w:numPr>
              <w:spacing w:after="0"/>
              <w:ind w:left="357" w:hanging="357"/>
            </w:pPr>
            <w:r>
              <w:t xml:space="preserve">Subject to Cabinet’s </w:t>
            </w:r>
            <w:r w:rsidR="00117B36" w:rsidRPr="00326B66">
              <w:t xml:space="preserve">endorsement, DEDJTR will </w:t>
            </w:r>
            <w:r>
              <w:t xml:space="preserve">meet </w:t>
            </w:r>
            <w:r w:rsidR="00117B36" w:rsidRPr="00326B66">
              <w:t xml:space="preserve">with the proponent </w:t>
            </w:r>
            <w:r>
              <w:t xml:space="preserve">and </w:t>
            </w:r>
            <w:r w:rsidR="00117B36" w:rsidRPr="00326B66">
              <w:t>commence negotiations for a funding agreement on mutually agreeable terms and conditions</w:t>
            </w:r>
            <w:r w:rsidR="002C60B6">
              <w:t xml:space="preserve">. </w:t>
            </w:r>
            <w:r w:rsidR="00117B36" w:rsidRPr="00326B66">
              <w:t>The funding is dependent on reaching terms that are agreeable by the Government</w:t>
            </w:r>
            <w:r w:rsidR="00EC7F3D" w:rsidRPr="00326B66">
              <w:t>.</w:t>
            </w:r>
          </w:p>
          <w:p w:rsidR="00C35335" w:rsidRPr="00326B66" w:rsidRDefault="00C35335" w:rsidP="00C35335">
            <w:pPr>
              <w:pStyle w:val="ListParagraph"/>
              <w:spacing w:after="0"/>
              <w:ind w:left="357"/>
            </w:pPr>
          </w:p>
        </w:tc>
      </w:tr>
    </w:tbl>
    <w:p w:rsidR="00B65A9C" w:rsidRDefault="00B65A9C">
      <w:pPr>
        <w:spacing w:before="0" w:after="200" w:line="276" w:lineRule="auto"/>
      </w:pPr>
      <w:bookmarkStart w:id="77" w:name="_Toc491961272"/>
      <w:bookmarkStart w:id="78" w:name="_Toc491961324"/>
      <w:bookmarkEnd w:id="77"/>
      <w:bookmarkEnd w:id="78"/>
      <w:r>
        <w:br w:type="page"/>
      </w:r>
    </w:p>
    <w:p w:rsidR="00013CAF" w:rsidRPr="00B34CBF" w:rsidRDefault="00520246" w:rsidP="006522E5">
      <w:pPr>
        <w:pStyle w:val="Heading1"/>
      </w:pPr>
      <w:bookmarkStart w:id="79" w:name="_Toc521932846"/>
      <w:r w:rsidRPr="00B34CBF">
        <w:lastRenderedPageBreak/>
        <w:t>Key assessment c</w:t>
      </w:r>
      <w:r w:rsidR="00013CAF" w:rsidRPr="00B34CBF">
        <w:t>riteria</w:t>
      </w:r>
      <w:bookmarkEnd w:id="79"/>
    </w:p>
    <w:p w:rsidR="00556B94" w:rsidRPr="00556B94" w:rsidRDefault="00556B94" w:rsidP="00556B94">
      <w:pPr>
        <w:pStyle w:val="bodyCopy"/>
      </w:pPr>
      <w:r w:rsidRPr="00B34CBF">
        <w:t>Key assessment</w:t>
      </w:r>
      <w:r>
        <w:t xml:space="preserve"> criteria will be used at each stage of the Framework to assess </w:t>
      </w:r>
      <w:r w:rsidR="00FB6259">
        <w:t>p</w:t>
      </w:r>
      <w:r>
        <w:t>roposals and guide recommen</w:t>
      </w:r>
      <w:r w:rsidR="002C60B6">
        <w:t>dations for government support.</w:t>
      </w:r>
      <w:r w:rsidR="00447820">
        <w:t xml:space="preserve"> </w:t>
      </w:r>
      <w:r w:rsidR="00227C8E">
        <w:t>Proposal submissions should be prepared w</w:t>
      </w:r>
      <w:r w:rsidR="00772BF6">
        <w:t xml:space="preserve">ith a view to demonstrating that </w:t>
      </w:r>
      <w:r w:rsidR="003E078D">
        <w:t>the</w:t>
      </w:r>
      <w:r w:rsidR="00772BF6">
        <w:t xml:space="preserve"> </w:t>
      </w:r>
      <w:r w:rsidR="00FB6259">
        <w:t>p</w:t>
      </w:r>
      <w:r w:rsidR="00772BF6">
        <w:t>roposal</w:t>
      </w:r>
      <w:r w:rsidR="007137BD">
        <w:t xml:space="preserve">, </w:t>
      </w:r>
      <w:r w:rsidR="00117B36">
        <w:t xml:space="preserve">project </w:t>
      </w:r>
      <w:r w:rsidR="007137BD">
        <w:t xml:space="preserve">and proponent </w:t>
      </w:r>
      <w:r w:rsidR="00772BF6">
        <w:t>satisf</w:t>
      </w:r>
      <w:r w:rsidR="00117B36">
        <w:t>y</w:t>
      </w:r>
      <w:r w:rsidR="00772BF6">
        <w:t xml:space="preserve"> the assessment criteria and align</w:t>
      </w:r>
      <w:r w:rsidR="00447820">
        <w:t xml:space="preserve"> </w:t>
      </w:r>
      <w:r w:rsidR="002C60B6">
        <w:t>with government priorities.</w:t>
      </w:r>
      <w:r>
        <w:t xml:space="preserve"> The criteria are tailored to the Framework stage, </w:t>
      </w:r>
      <w:r w:rsidR="001618CA">
        <w:t>and</w:t>
      </w:r>
      <w:r>
        <w:t xml:space="preserve"> </w:t>
      </w:r>
      <w:r w:rsidR="00F93EBE">
        <w:t>to the relevant body undertaking the assessment</w:t>
      </w:r>
      <w:r w:rsidR="00C31652">
        <w:t xml:space="preserve"> according to the </w:t>
      </w:r>
      <w:r w:rsidR="0067218C">
        <w:t>type of support sought.</w:t>
      </w:r>
      <w:r w:rsidR="007137BD">
        <w:t> </w:t>
      </w:r>
      <w:r w:rsidR="00117B36">
        <w:t>For projects seeking funding support, DEDJTR will also consider specific assessment criteria associated with the identified Government funding source</w:t>
      </w:r>
      <w:r w:rsidR="00EC7F3D">
        <w:t>.</w:t>
      </w:r>
    </w:p>
    <w:p w:rsidR="004F7B15" w:rsidRDefault="004F7B15" w:rsidP="006522E5">
      <w:pPr>
        <w:pStyle w:val="Heading2"/>
      </w:pPr>
      <w:bookmarkStart w:id="80" w:name="_Toc521932847"/>
      <w:r>
        <w:t xml:space="preserve">Stage 1: </w:t>
      </w:r>
      <w:r w:rsidR="00723A14">
        <w:t xml:space="preserve">Project Readiness </w:t>
      </w:r>
      <w:r>
        <w:t>Assessment Criteria</w:t>
      </w:r>
      <w:bookmarkEnd w:id="80"/>
    </w:p>
    <w:p w:rsidR="004F7B15" w:rsidRDefault="0048708F" w:rsidP="006522E5">
      <w:pPr>
        <w:pStyle w:val="bodyCopy"/>
      </w:pPr>
      <w:r>
        <w:t xml:space="preserve">Proposals will be assessed in Stage 1 by the </w:t>
      </w:r>
      <w:r w:rsidR="00E64719">
        <w:t>IEAP</w:t>
      </w:r>
      <w:r w:rsidR="00C44241">
        <w:t xml:space="preserve"> </w:t>
      </w:r>
      <w:r>
        <w:t>against the key assessment criteria</w:t>
      </w:r>
      <w:r w:rsidR="006D54AE">
        <w:t xml:space="preserve"> related to </w:t>
      </w:r>
      <w:r w:rsidR="00C44241">
        <w:t>value of the proposal and the nature of</w:t>
      </w:r>
      <w:r w:rsidR="00447820">
        <w:t xml:space="preserve"> </w:t>
      </w:r>
      <w:r w:rsidR="00C44241">
        <w:t>support being sought</w:t>
      </w:r>
      <w:r w:rsidR="00C31652">
        <w:t xml:space="preserve">. </w:t>
      </w:r>
      <w:r w:rsidR="0008461C">
        <w:t xml:space="preserve">The </w:t>
      </w:r>
      <w:r w:rsidR="00170753">
        <w:t xml:space="preserve">assessment </w:t>
      </w:r>
      <w:r w:rsidR="0008461C">
        <w:t>criteria</w:t>
      </w:r>
      <w:r w:rsidR="00C44241">
        <w:t xml:space="preserve"> to be followed by the </w:t>
      </w:r>
      <w:r w:rsidR="00E64719">
        <w:t>IEAP</w:t>
      </w:r>
      <w:r w:rsidR="0008461C">
        <w:t xml:space="preserve"> </w:t>
      </w:r>
      <w:r w:rsidR="007137BD">
        <w:t>are</w:t>
      </w:r>
      <w:r w:rsidR="00170753">
        <w:t xml:space="preserve"> as follows</w:t>
      </w:r>
      <w:r w:rsidR="0008461C">
        <w:t>:</w:t>
      </w:r>
      <w:r w:rsidR="00944564" w:rsidDel="00944564">
        <w:t xml:space="preserve"> </w:t>
      </w:r>
    </w:p>
    <w:p w:rsidR="0048708F" w:rsidRDefault="008B1D87" w:rsidP="00787801">
      <w:pPr>
        <w:pStyle w:val="bodyCopy"/>
        <w:numPr>
          <w:ilvl w:val="0"/>
          <w:numId w:val="11"/>
        </w:numPr>
        <w:spacing w:after="0"/>
        <w:ind w:left="709" w:hanging="425"/>
      </w:pPr>
      <w:r>
        <w:t>T</w:t>
      </w:r>
      <w:r w:rsidR="0048708F">
        <w:t xml:space="preserve">here is </w:t>
      </w:r>
      <w:r w:rsidR="00B01438">
        <w:t xml:space="preserve">a demonstrated or forecast </w:t>
      </w:r>
      <w:r w:rsidR="0048708F">
        <w:t>market demand for the produc</w:t>
      </w:r>
      <w:r w:rsidR="007B0271">
        <w:t xml:space="preserve">t </w:t>
      </w:r>
      <w:r w:rsidR="002858E6">
        <w:t xml:space="preserve">continuing </w:t>
      </w:r>
      <w:r w:rsidR="007B0271">
        <w:t>over the proposed asset life</w:t>
      </w:r>
      <w:r>
        <w:t>.</w:t>
      </w:r>
    </w:p>
    <w:p w:rsidR="00C81B8D" w:rsidRDefault="006D374E" w:rsidP="00787801">
      <w:pPr>
        <w:pStyle w:val="bodyCopy"/>
        <w:numPr>
          <w:ilvl w:val="0"/>
          <w:numId w:val="11"/>
        </w:numPr>
        <w:spacing w:after="0"/>
        <w:ind w:left="709" w:hanging="425"/>
      </w:pPr>
      <w:r>
        <w:t>The project</w:t>
      </w:r>
      <w:r w:rsidR="003D0796">
        <w:t xml:space="preserve"> is</w:t>
      </w:r>
      <w:r>
        <w:t xml:space="preserve"> </w:t>
      </w:r>
      <w:r w:rsidR="003D0796">
        <w:t>technically and commercially</w:t>
      </w:r>
      <w:r>
        <w:t xml:space="preserve"> feasible and capable of being delivered by the </w:t>
      </w:r>
      <w:r w:rsidR="00DB6F90">
        <w:t>p</w:t>
      </w:r>
      <w:r>
        <w:t>roponent.</w:t>
      </w:r>
    </w:p>
    <w:p w:rsidR="006D374E" w:rsidRDefault="00C81B8D" w:rsidP="003C18EC">
      <w:pPr>
        <w:pStyle w:val="bodyCopy"/>
        <w:numPr>
          <w:ilvl w:val="0"/>
          <w:numId w:val="11"/>
        </w:numPr>
        <w:ind w:left="709" w:hanging="425"/>
      </w:pPr>
      <w:r>
        <w:t xml:space="preserve">The Project has </w:t>
      </w:r>
      <w:r w:rsidR="0038047C">
        <w:t xml:space="preserve">an environmental management plan appropriate for the level of project development and has considered environmental management </w:t>
      </w:r>
      <w:r w:rsidR="006D707A">
        <w:t>regulatory requirements including the emissions standard set out in the Coal Statement</w:t>
      </w:r>
      <w:r w:rsidR="00C640D9">
        <w:t xml:space="preserve"> and in Environment Protection Regulations (if established)</w:t>
      </w:r>
      <w:r w:rsidR="006D707A">
        <w:t>.</w:t>
      </w:r>
    </w:p>
    <w:p w:rsidR="0048708F" w:rsidRDefault="000C7F68" w:rsidP="003C18EC">
      <w:pPr>
        <w:pStyle w:val="bodyCopy"/>
        <w:numPr>
          <w:ilvl w:val="0"/>
          <w:numId w:val="11"/>
        </w:numPr>
        <w:spacing w:after="0"/>
        <w:ind w:left="709" w:hanging="425"/>
      </w:pPr>
      <w:r>
        <w:t xml:space="preserve">The </w:t>
      </w:r>
      <w:r w:rsidR="00FB6259">
        <w:t>p</w:t>
      </w:r>
      <w:r>
        <w:t xml:space="preserve">roposal </w:t>
      </w:r>
      <w:r w:rsidR="005763EC">
        <w:t xml:space="preserve">demonstrates the </w:t>
      </w:r>
      <w:r w:rsidR="00DB6F90">
        <w:t>p</w:t>
      </w:r>
      <w:r w:rsidR="005763EC">
        <w:t>roponent</w:t>
      </w:r>
      <w:r w:rsidR="0048708F">
        <w:t xml:space="preserve"> has achieved what would be expected for its stage of development (adjusted to the type and scale of </w:t>
      </w:r>
      <w:r w:rsidR="00FB6259">
        <w:t>p</w:t>
      </w:r>
      <w:r w:rsidR="0048708F">
        <w:t>roposal)</w:t>
      </w:r>
      <w:r w:rsidR="007137BD">
        <w:t>.</w:t>
      </w:r>
    </w:p>
    <w:p w:rsidR="00C44241" w:rsidRDefault="00C44241" w:rsidP="00C44241">
      <w:pPr>
        <w:pStyle w:val="bodyCopy"/>
        <w:spacing w:after="0"/>
      </w:pPr>
      <w:r>
        <w:t>During Stage 1 Assessment, DEDJTR an</w:t>
      </w:r>
      <w:r w:rsidR="007137BD">
        <w:t>d, where appropriate</w:t>
      </w:r>
      <w:r>
        <w:t xml:space="preserve"> DTF</w:t>
      </w:r>
      <w:r w:rsidR="007137BD">
        <w:t>,</w:t>
      </w:r>
      <w:r>
        <w:t xml:space="preserve"> will support the </w:t>
      </w:r>
      <w:r w:rsidR="00E64719">
        <w:t>IEAP</w:t>
      </w:r>
      <w:r>
        <w:t xml:space="preserve"> by conducting the initial eligibility check and ensur</w:t>
      </w:r>
      <w:r w:rsidR="00DF66B7">
        <w:t>e</w:t>
      </w:r>
      <w:r>
        <w:t xml:space="preserve"> that the project meets the submission requirements agreed in the pre-submission stage. </w:t>
      </w:r>
    </w:p>
    <w:p w:rsidR="004F7B15" w:rsidRDefault="004F7B15" w:rsidP="006522E5">
      <w:pPr>
        <w:pStyle w:val="Heading2"/>
      </w:pPr>
      <w:bookmarkStart w:id="81" w:name="_Toc521932848"/>
      <w:r>
        <w:t>Stage 2: Detailed Assessment Criteria</w:t>
      </w:r>
      <w:bookmarkEnd w:id="81"/>
    </w:p>
    <w:p w:rsidR="00170753" w:rsidRDefault="00170753" w:rsidP="006522E5">
      <w:pPr>
        <w:spacing w:before="240" w:after="0"/>
      </w:pPr>
      <w:r>
        <w:t xml:space="preserve">The assessment </w:t>
      </w:r>
      <w:r w:rsidR="003E078D">
        <w:t>criteria for proposals proceeding to Stage 2 Assessment depend</w:t>
      </w:r>
      <w:r w:rsidR="00F512BD">
        <w:t xml:space="preserve"> upon the </w:t>
      </w:r>
      <w:r w:rsidR="00D701C2">
        <w:t>value of the proposal and the nature of support being sought</w:t>
      </w:r>
      <w:r w:rsidR="00F512BD">
        <w:t>.</w:t>
      </w:r>
    </w:p>
    <w:p w:rsidR="00F512BD" w:rsidRPr="00F512BD" w:rsidRDefault="004605F0" w:rsidP="006522E5">
      <w:pPr>
        <w:spacing w:before="240" w:after="0"/>
        <w:rPr>
          <w:b/>
        </w:rPr>
      </w:pPr>
      <w:r>
        <w:rPr>
          <w:b/>
        </w:rPr>
        <w:t>Proposals seeking</w:t>
      </w:r>
      <w:r w:rsidR="00D701C2">
        <w:rPr>
          <w:b/>
        </w:rPr>
        <w:t xml:space="preserve"> facilitation</w:t>
      </w:r>
    </w:p>
    <w:p w:rsidR="00447820" w:rsidRDefault="004605F0" w:rsidP="006522E5">
      <w:pPr>
        <w:spacing w:before="240" w:after="0"/>
      </w:pPr>
      <w:r>
        <w:t>Proposals seeking facilitation will be assessed by DEDJTR</w:t>
      </w:r>
      <w:r w:rsidR="00C90D51">
        <w:t xml:space="preserve"> Resources Division</w:t>
      </w:r>
      <w:r>
        <w:t xml:space="preserve">, drawing upon the recommendations of the </w:t>
      </w:r>
      <w:r w:rsidR="00E64719">
        <w:t>IEAP</w:t>
      </w:r>
      <w:r>
        <w:t xml:space="preserve"> made during Stage 1 Assessments to determine whether supporting respective proposals via facilitation is justified. </w:t>
      </w:r>
    </w:p>
    <w:p w:rsidR="004605F0" w:rsidRDefault="004605F0" w:rsidP="006522E5">
      <w:pPr>
        <w:spacing w:before="240" w:after="0"/>
      </w:pPr>
      <w:r>
        <w:t xml:space="preserve">Where project facilitation is supported, DEDJTR </w:t>
      </w:r>
      <w:r w:rsidR="00C90D51">
        <w:t xml:space="preserve">Resources Division </w:t>
      </w:r>
      <w:r>
        <w:t xml:space="preserve">will work with Invest Victoria to determine the appropriate facilitation means. </w:t>
      </w:r>
    </w:p>
    <w:p w:rsidR="00F512BD" w:rsidRPr="00BD536B" w:rsidRDefault="00C16C39" w:rsidP="006522E5">
      <w:pPr>
        <w:spacing w:before="240" w:after="0"/>
        <w:rPr>
          <w:b/>
        </w:rPr>
      </w:pPr>
      <w:r>
        <w:rPr>
          <w:b/>
        </w:rPr>
        <w:t>Proposals seeking a</w:t>
      </w:r>
      <w:r w:rsidR="00D701C2">
        <w:rPr>
          <w:b/>
        </w:rPr>
        <w:t xml:space="preserve"> coal allocation</w:t>
      </w:r>
    </w:p>
    <w:p w:rsidR="00A6436E" w:rsidRDefault="003D0796" w:rsidP="006522E5">
      <w:pPr>
        <w:spacing w:before="240" w:after="0"/>
      </w:pPr>
      <w:r>
        <w:t>In</w:t>
      </w:r>
      <w:r w:rsidR="0098731C">
        <w:t xml:space="preserve"> Stage 2 for proposals seeking access to coal, </w:t>
      </w:r>
      <w:r w:rsidR="00A6436E">
        <w:t xml:space="preserve">DEDJTR Resources </w:t>
      </w:r>
      <w:r w:rsidR="00C90D51">
        <w:t xml:space="preserve">Division </w:t>
      </w:r>
      <w:r w:rsidR="00A6436E">
        <w:t>will draw upon the recommendation</w:t>
      </w:r>
      <w:r w:rsidR="0098731C">
        <w:t>s</w:t>
      </w:r>
      <w:r w:rsidR="00A6436E">
        <w:t xml:space="preserve"> of the IE</w:t>
      </w:r>
      <w:r>
        <w:t>A</w:t>
      </w:r>
      <w:r w:rsidR="00A6436E">
        <w:t xml:space="preserve">P made during Stage 1 Assessment to </w:t>
      </w:r>
      <w:r w:rsidR="0098731C">
        <w:t>consider</w:t>
      </w:r>
      <w:r w:rsidR="00A6436E">
        <w:t xml:space="preserve"> support</w:t>
      </w:r>
      <w:r w:rsidR="0098731C">
        <w:t xml:space="preserve"> for</w:t>
      </w:r>
      <w:r w:rsidR="00A6436E">
        <w:t xml:space="preserve"> respective proposals via a coal allocation</w:t>
      </w:r>
      <w:r w:rsidR="0098731C">
        <w:t xml:space="preserve"> against the following criteria:</w:t>
      </w:r>
    </w:p>
    <w:p w:rsidR="00A6436E" w:rsidRDefault="008F3DE0" w:rsidP="00A76B9D">
      <w:pPr>
        <w:pStyle w:val="bodyCopy"/>
        <w:numPr>
          <w:ilvl w:val="0"/>
          <w:numId w:val="32"/>
        </w:numPr>
        <w:spacing w:after="0"/>
        <w:ind w:left="709" w:hanging="425"/>
      </w:pPr>
      <w:r>
        <w:t>Evidence that a proponent has been unable to secure coal from an existing mine operator on reasonable terms</w:t>
      </w:r>
    </w:p>
    <w:p w:rsidR="008F3DE0" w:rsidRDefault="00A6436E" w:rsidP="00A76B9D">
      <w:pPr>
        <w:pStyle w:val="bodyCopy"/>
        <w:numPr>
          <w:ilvl w:val="0"/>
          <w:numId w:val="32"/>
        </w:numPr>
        <w:spacing w:after="0"/>
        <w:ind w:left="709" w:hanging="425"/>
      </w:pPr>
      <w:r>
        <w:t>The project’s alignment with the objectives of the MRSD Act</w:t>
      </w:r>
      <w:r w:rsidR="008F3DE0">
        <w:t>;</w:t>
      </w:r>
      <w:r>
        <w:t xml:space="preserve"> and </w:t>
      </w:r>
    </w:p>
    <w:p w:rsidR="0098731C" w:rsidRDefault="008F3DE0" w:rsidP="00A76B9D">
      <w:pPr>
        <w:pStyle w:val="bodyCopy"/>
        <w:numPr>
          <w:ilvl w:val="0"/>
          <w:numId w:val="32"/>
        </w:numPr>
        <w:spacing w:after="0"/>
        <w:ind w:left="709" w:hanging="425"/>
      </w:pPr>
      <w:r>
        <w:t xml:space="preserve">The project’s alignment with </w:t>
      </w:r>
      <w:r w:rsidR="00A6436E">
        <w:t>the objectives of the Coal Statement</w:t>
      </w:r>
      <w:r>
        <w:t>.</w:t>
      </w:r>
      <w:r w:rsidR="0098731C" w:rsidRPr="0098731C">
        <w:t xml:space="preserve"> </w:t>
      </w:r>
    </w:p>
    <w:p w:rsidR="00A6436E" w:rsidRDefault="0098731C" w:rsidP="0098731C">
      <w:pPr>
        <w:spacing w:before="240" w:after="0"/>
      </w:pPr>
      <w:r>
        <w:t>Where coal allocations are supported, DEDJTR Resources</w:t>
      </w:r>
      <w:r w:rsidR="00037787">
        <w:t xml:space="preserve"> Division</w:t>
      </w:r>
      <w:r>
        <w:t xml:space="preserve"> will make recommendations to the Minister.</w:t>
      </w:r>
    </w:p>
    <w:p w:rsidR="00B65A9C" w:rsidRDefault="00B65A9C" w:rsidP="0098731C">
      <w:pPr>
        <w:spacing w:before="240" w:after="0"/>
      </w:pPr>
    </w:p>
    <w:p w:rsidR="00F064E2" w:rsidRDefault="00F064E2" w:rsidP="0098731C">
      <w:pPr>
        <w:spacing w:before="240" w:after="0"/>
      </w:pPr>
    </w:p>
    <w:p w:rsidR="008F3DE0" w:rsidRPr="008F3DE0" w:rsidRDefault="008F3DE0" w:rsidP="008F3DE0">
      <w:pPr>
        <w:spacing w:before="240" w:after="0"/>
        <w:rPr>
          <w:b/>
        </w:rPr>
      </w:pPr>
      <w:r w:rsidRPr="008F3DE0">
        <w:rPr>
          <w:b/>
        </w:rPr>
        <w:lastRenderedPageBreak/>
        <w:t>Projects seeking funding</w:t>
      </w:r>
    </w:p>
    <w:p w:rsidR="008F3DE0" w:rsidRPr="00326B66" w:rsidRDefault="008F3DE0" w:rsidP="008F3DE0">
      <w:pPr>
        <w:spacing w:before="240" w:after="0"/>
      </w:pPr>
      <w:r>
        <w:t xml:space="preserve">During Stage </w:t>
      </w:r>
      <w:r w:rsidR="0098731C">
        <w:t xml:space="preserve">2, </w:t>
      </w:r>
      <w:r>
        <w:t xml:space="preserve">projects seeking </w:t>
      </w:r>
      <w:r w:rsidRPr="00326B66">
        <w:t xml:space="preserve">less than </w:t>
      </w:r>
      <w:r w:rsidR="002537A5" w:rsidRPr="00326B66">
        <w:t>$500,000</w:t>
      </w:r>
      <w:r w:rsidRPr="00326B66">
        <w:t xml:space="preserve"> in Government funding from an identified source will be</w:t>
      </w:r>
      <w:r w:rsidR="0098731C" w:rsidRPr="00326B66">
        <w:t xml:space="preserve"> subject to </w:t>
      </w:r>
      <w:r w:rsidRPr="00326B66">
        <w:t xml:space="preserve">a ‘relative net benefit’ test, conducted </w:t>
      </w:r>
      <w:r w:rsidR="0098731C" w:rsidRPr="00326B66">
        <w:t>by DEDJTR</w:t>
      </w:r>
      <w:r w:rsidR="00C90D51" w:rsidRPr="00326B66">
        <w:t xml:space="preserve"> </w:t>
      </w:r>
      <w:r w:rsidRPr="00326B66">
        <w:t xml:space="preserve">against the specific criteria linked to the identified funding source and drawing upon the recommendations of the </w:t>
      </w:r>
      <w:r w:rsidR="00E64719" w:rsidRPr="00326B66">
        <w:t>IEAP</w:t>
      </w:r>
      <w:r w:rsidR="0098731C" w:rsidRPr="00326B66">
        <w:t xml:space="preserve"> </w:t>
      </w:r>
      <w:r w:rsidRPr="00326B66">
        <w:t xml:space="preserve">made during Stage 1 Assessment. </w:t>
      </w:r>
    </w:p>
    <w:p w:rsidR="0048708F" w:rsidRPr="00326B66" w:rsidRDefault="008F3DE0" w:rsidP="006522E5">
      <w:pPr>
        <w:spacing w:before="240" w:after="0"/>
      </w:pPr>
      <w:r w:rsidRPr="00326B66">
        <w:t xml:space="preserve">Projects seeking funding greater than </w:t>
      </w:r>
      <w:r w:rsidR="002537A5" w:rsidRPr="00326B66">
        <w:t>$500,000</w:t>
      </w:r>
      <w:r w:rsidRPr="00326B66">
        <w:t xml:space="preserve"> </w:t>
      </w:r>
      <w:r w:rsidR="00597C7D" w:rsidRPr="00326B66">
        <w:t xml:space="preserve">will be subject to a detailed assessment by the </w:t>
      </w:r>
      <w:r w:rsidR="00E64719" w:rsidRPr="00326B66">
        <w:t>IEAP</w:t>
      </w:r>
      <w:r w:rsidR="00D906BF" w:rsidRPr="00326B66">
        <w:t xml:space="preserve"> in Stage 2</w:t>
      </w:r>
      <w:r w:rsidR="00597C7D" w:rsidRPr="00326B66">
        <w:t>,</w:t>
      </w:r>
      <w:r w:rsidR="0098731C" w:rsidRPr="00326B66">
        <w:t xml:space="preserve"> </w:t>
      </w:r>
      <w:r w:rsidR="00BD536B" w:rsidRPr="00326B66">
        <w:t xml:space="preserve">conducted </w:t>
      </w:r>
      <w:r w:rsidR="0048708F" w:rsidRPr="00326B66">
        <w:t xml:space="preserve">against </w:t>
      </w:r>
      <w:r w:rsidR="00166003" w:rsidRPr="00326B66">
        <w:t>the following additional criteria:</w:t>
      </w:r>
    </w:p>
    <w:p w:rsidR="006A4C34" w:rsidRPr="00326B66" w:rsidRDefault="006A4C34" w:rsidP="00A76B9D">
      <w:pPr>
        <w:pStyle w:val="bodyCopy"/>
        <w:numPr>
          <w:ilvl w:val="0"/>
          <w:numId w:val="34"/>
        </w:numPr>
        <w:spacing w:after="0"/>
        <w:ind w:left="709" w:hanging="425"/>
      </w:pPr>
      <w:r w:rsidRPr="00326B66">
        <w:t>Whether a project can demonstrate that a</w:t>
      </w:r>
      <w:r w:rsidR="006B4A21" w:rsidRPr="00326B66">
        <w:t>ppropriate</w:t>
      </w:r>
      <w:r w:rsidRPr="00326B66">
        <w:t xml:space="preserve"> pre-feasibility </w:t>
      </w:r>
      <w:r w:rsidR="00D84B90" w:rsidRPr="00326B66">
        <w:t>and feasibility studies have</w:t>
      </w:r>
      <w:r w:rsidRPr="00326B66">
        <w:t xml:space="preserve"> been undertaken, including:</w:t>
      </w:r>
    </w:p>
    <w:p w:rsidR="00A9235D" w:rsidRDefault="006A4C34" w:rsidP="00A76B9D">
      <w:pPr>
        <w:pStyle w:val="ListParagraph"/>
        <w:numPr>
          <w:ilvl w:val="1"/>
          <w:numId w:val="33"/>
        </w:numPr>
        <w:spacing w:before="120"/>
        <w:ind w:left="1559" w:hanging="425"/>
      </w:pPr>
      <w:r w:rsidRPr="00326B66">
        <w:t>The identification of a potential beneficial business</w:t>
      </w:r>
      <w:r>
        <w:t xml:space="preserve"> opportunity </w:t>
      </w:r>
      <w:r w:rsidR="00A34C56">
        <w:t xml:space="preserve">with </w:t>
      </w:r>
      <w:r w:rsidR="005C12D2">
        <w:t xml:space="preserve">a </w:t>
      </w:r>
      <w:r w:rsidR="00A34C56">
        <w:t>clearly</w:t>
      </w:r>
      <w:r w:rsidR="005763EC">
        <w:t xml:space="preserve"> defined</w:t>
      </w:r>
      <w:r w:rsidR="007B0271">
        <w:t xml:space="preserve"> market</w:t>
      </w:r>
      <w:r w:rsidR="005763EC">
        <w:t xml:space="preserve"> and objectives</w:t>
      </w:r>
    </w:p>
    <w:p w:rsidR="005763EC" w:rsidRDefault="00D84B90" w:rsidP="00A76B9D">
      <w:pPr>
        <w:pStyle w:val="ListParagraph"/>
        <w:numPr>
          <w:ilvl w:val="1"/>
          <w:numId w:val="33"/>
        </w:numPr>
        <w:ind w:left="1559" w:hanging="425"/>
      </w:pPr>
      <w:r>
        <w:t>Evidence of a sound</w:t>
      </w:r>
      <w:r w:rsidR="005763EC">
        <w:t xml:space="preserve"> technical basis </w:t>
      </w:r>
      <w:r>
        <w:t>for the project</w:t>
      </w:r>
    </w:p>
    <w:p w:rsidR="00D84B90" w:rsidRPr="00D84B90" w:rsidRDefault="00D84B90" w:rsidP="00A76B9D">
      <w:pPr>
        <w:pStyle w:val="ListParagraph"/>
        <w:numPr>
          <w:ilvl w:val="1"/>
          <w:numId w:val="33"/>
        </w:numPr>
        <w:ind w:left="1559" w:hanging="425"/>
      </w:pPr>
      <w:r>
        <w:t xml:space="preserve">Whether the project </w:t>
      </w:r>
      <w:r w:rsidRPr="00D84B90">
        <w:t>has considered the ability to utilise existing coal-supply infrastructure</w:t>
      </w:r>
    </w:p>
    <w:p w:rsidR="00D84B90" w:rsidRPr="00D84B90" w:rsidRDefault="00D84B90" w:rsidP="00A76B9D">
      <w:pPr>
        <w:pStyle w:val="ListParagraph"/>
        <w:numPr>
          <w:ilvl w:val="1"/>
          <w:numId w:val="33"/>
        </w:numPr>
        <w:spacing w:before="100" w:beforeAutospacing="1"/>
        <w:ind w:left="1559" w:hanging="425"/>
      </w:pPr>
      <w:r>
        <w:t xml:space="preserve">The existence of a </w:t>
      </w:r>
      <w:r w:rsidRPr="00D84B90">
        <w:t>well-articulated plan that demonstrates commercial viability and that is resilient to policy and environmental changes (including future carbon accounting an</w:t>
      </w:r>
      <w:r w:rsidR="0098731C">
        <w:t xml:space="preserve">d </w:t>
      </w:r>
      <w:r w:rsidRPr="00D84B90">
        <w:t>pricing requirements)</w:t>
      </w:r>
    </w:p>
    <w:p w:rsidR="005763EC" w:rsidRDefault="00D84B90" w:rsidP="00A76B9D">
      <w:pPr>
        <w:pStyle w:val="bodyCopy"/>
        <w:numPr>
          <w:ilvl w:val="0"/>
          <w:numId w:val="34"/>
        </w:numPr>
        <w:spacing w:after="0"/>
        <w:ind w:left="709" w:hanging="425"/>
      </w:pPr>
      <w:r>
        <w:t xml:space="preserve">Whether a project </w:t>
      </w:r>
      <w:r w:rsidR="005763EC">
        <w:t xml:space="preserve">is requesting </w:t>
      </w:r>
      <w:r w:rsidR="007B0271">
        <w:t>a</w:t>
      </w:r>
      <w:r w:rsidR="005763EC">
        <w:t xml:space="preserve"> justifiable amount of funding from the Victorian Government</w:t>
      </w:r>
      <w:r w:rsidR="007B0271">
        <w:t xml:space="preserve"> that is appropriate to progress the project towards viable commercial operation.</w:t>
      </w:r>
    </w:p>
    <w:p w:rsidR="00F93EBE" w:rsidRPr="0005788B" w:rsidRDefault="00D84B90" w:rsidP="00A76B9D">
      <w:pPr>
        <w:pStyle w:val="bodyCopy"/>
        <w:numPr>
          <w:ilvl w:val="0"/>
          <w:numId w:val="34"/>
        </w:numPr>
        <w:spacing w:after="0"/>
        <w:ind w:left="709" w:hanging="425"/>
      </w:pPr>
      <w:r>
        <w:t xml:space="preserve">A project’s </w:t>
      </w:r>
      <w:r w:rsidR="00F93EBE" w:rsidRPr="0005788B">
        <w:t>capab</w:t>
      </w:r>
      <w:r>
        <w:t>ility</w:t>
      </w:r>
      <w:r w:rsidR="00F93EBE" w:rsidRPr="0005788B">
        <w:t xml:space="preserve"> of achieving the </w:t>
      </w:r>
      <w:r w:rsidR="00B01438">
        <w:t xml:space="preserve">initial </w:t>
      </w:r>
      <w:r w:rsidR="00F93EBE" w:rsidRPr="0005788B">
        <w:t xml:space="preserve">emissions standard of a net greenhouse gas intensity of 0.3 </w:t>
      </w:r>
      <w:r w:rsidR="00A67D5B">
        <w:br/>
      </w:r>
      <w:r w:rsidR="00F93EBE" w:rsidRPr="00D340D0">
        <w:t>t</w:t>
      </w:r>
      <w:r w:rsidR="00A67D5B">
        <w:t>onnes</w:t>
      </w:r>
      <w:r w:rsidR="00D340D0">
        <w:t xml:space="preserve"> </w:t>
      </w:r>
      <w:r w:rsidR="00F93EBE" w:rsidRPr="00D340D0">
        <w:t>CO</w:t>
      </w:r>
      <w:r w:rsidR="00F93EBE" w:rsidRPr="00F064E2">
        <w:t>2</w:t>
      </w:r>
      <w:r w:rsidR="00D340D0">
        <w:t>-e</w:t>
      </w:r>
      <w:r w:rsidR="00F93EBE" w:rsidRPr="0005788B">
        <w:t>/t</w:t>
      </w:r>
      <w:r w:rsidR="00D340D0">
        <w:t xml:space="preserve"> </w:t>
      </w:r>
      <w:r w:rsidR="00F93EBE" w:rsidRPr="00D340D0">
        <w:t xml:space="preserve">coal </w:t>
      </w:r>
      <w:r w:rsidR="006D54AE">
        <w:t xml:space="preserve">(run of mine) </w:t>
      </w:r>
      <w:r w:rsidR="00F93EBE" w:rsidRPr="0005788B">
        <w:t>for non-power generation projects</w:t>
      </w:r>
      <w:r w:rsidR="00B01438">
        <w:t>,</w:t>
      </w:r>
      <w:r w:rsidR="00F93EBE" w:rsidRPr="0005788B">
        <w:t xml:space="preserve"> or 0.45 t</w:t>
      </w:r>
      <w:r w:rsidR="00F93EBE" w:rsidRPr="00F064E2">
        <w:t xml:space="preserve"> </w:t>
      </w:r>
      <w:r w:rsidR="00D340D0" w:rsidRPr="00D340D0">
        <w:t>CO</w:t>
      </w:r>
      <w:r w:rsidR="00D340D0" w:rsidRPr="00F064E2">
        <w:t>2</w:t>
      </w:r>
      <w:r w:rsidR="00D340D0">
        <w:t>-e</w:t>
      </w:r>
      <w:r w:rsidR="00D340D0" w:rsidRPr="00F064E2" w:rsidDel="00D340D0">
        <w:t xml:space="preserve"> </w:t>
      </w:r>
      <w:r w:rsidR="00F93EBE" w:rsidRPr="0005788B">
        <w:t>/MWh</w:t>
      </w:r>
      <w:r w:rsidR="00B01438">
        <w:t xml:space="preserve"> for power projects</w:t>
      </w:r>
      <w:r w:rsidR="00C640D9">
        <w:t xml:space="preserve"> (or the emissions standard set out in Regulations once established)</w:t>
      </w:r>
    </w:p>
    <w:p w:rsidR="000C1E7D" w:rsidRDefault="00D84B90" w:rsidP="00A76B9D">
      <w:pPr>
        <w:pStyle w:val="bodyCopy"/>
        <w:numPr>
          <w:ilvl w:val="0"/>
          <w:numId w:val="34"/>
        </w:numPr>
        <w:spacing w:after="0"/>
        <w:ind w:left="709" w:hanging="425"/>
      </w:pPr>
      <w:r>
        <w:t xml:space="preserve">A project’s </w:t>
      </w:r>
      <w:r w:rsidR="0005788B" w:rsidRPr="0005788B">
        <w:t>capab</w:t>
      </w:r>
      <w:r>
        <w:t>ility</w:t>
      </w:r>
      <w:r w:rsidR="0005788B" w:rsidRPr="0005788B">
        <w:t xml:space="preserve"> of </w:t>
      </w:r>
      <w:r w:rsidR="00A576DA">
        <w:t>demonstrating commercial viability</w:t>
      </w:r>
      <w:r w:rsidR="00775FF2">
        <w:t xml:space="preserve"> under sensitivity analyses using </w:t>
      </w:r>
      <w:r w:rsidR="0079771E">
        <w:t>broad criteria, including, but not limited to,</w:t>
      </w:r>
      <w:r w:rsidR="00775FF2">
        <w:t xml:space="preserve"> commodity market forecasts, future national and Victorian carbon policy scenarios and the Victorian Government’s </w:t>
      </w:r>
      <w:r w:rsidR="00776CB1">
        <w:t>long-term</w:t>
      </w:r>
      <w:r w:rsidR="00775FF2">
        <w:t xml:space="preserve"> economy-wide target of </w:t>
      </w:r>
      <w:r w:rsidR="00A576DA">
        <w:t xml:space="preserve">net zero </w:t>
      </w:r>
      <w:r w:rsidR="00775FF2">
        <w:t xml:space="preserve">greenhouse gas </w:t>
      </w:r>
      <w:r w:rsidR="00A576DA">
        <w:t>emissions by 2050</w:t>
      </w:r>
    </w:p>
    <w:p w:rsidR="00514D16" w:rsidRDefault="00597C7D" w:rsidP="00A76B9D">
      <w:pPr>
        <w:pStyle w:val="bodyCopy"/>
        <w:numPr>
          <w:ilvl w:val="0"/>
          <w:numId w:val="34"/>
        </w:numPr>
        <w:spacing w:after="0"/>
        <w:ind w:left="709" w:hanging="425"/>
      </w:pPr>
      <w:r>
        <w:t xml:space="preserve">A project’s </w:t>
      </w:r>
      <w:r w:rsidR="00F93EBE">
        <w:t>capab</w:t>
      </w:r>
      <w:r>
        <w:t>ility</w:t>
      </w:r>
      <w:r w:rsidR="00F93EBE">
        <w:t xml:space="preserve"> of compl</w:t>
      </w:r>
      <w:r>
        <w:t>ying</w:t>
      </w:r>
      <w:r w:rsidR="00F93EBE">
        <w:t xml:space="preserve"> with applicable regulatory requirements, including water use, health considerations, and any other requirements under the </w:t>
      </w:r>
      <w:r w:rsidR="00F93EBE" w:rsidRPr="00F064E2">
        <w:rPr>
          <w:i/>
        </w:rPr>
        <w:t>Planning and Environment Act 1987</w:t>
      </w:r>
      <w:r w:rsidR="00685AFE">
        <w:t xml:space="preserve"> and the </w:t>
      </w:r>
      <w:r w:rsidR="00685AFE" w:rsidRPr="00F064E2">
        <w:rPr>
          <w:i/>
        </w:rPr>
        <w:t>Environment Protection Act 1970</w:t>
      </w:r>
      <w:r w:rsidR="00F93EBE">
        <w:t>.</w:t>
      </w:r>
    </w:p>
    <w:p w:rsidR="0032190D" w:rsidRDefault="0032190D" w:rsidP="0032190D">
      <w:pPr>
        <w:pStyle w:val="ListParagraph"/>
        <w:spacing w:before="120" w:after="0"/>
        <w:ind w:left="709"/>
      </w:pPr>
    </w:p>
    <w:p w:rsidR="00B65A9C" w:rsidRDefault="00B65A9C" w:rsidP="00A76B9D">
      <w:pPr>
        <w:pStyle w:val="bodyCopy"/>
        <w:numPr>
          <w:ilvl w:val="0"/>
          <w:numId w:val="34"/>
        </w:numPr>
        <w:spacing w:after="0"/>
        <w:ind w:left="709" w:hanging="425"/>
        <w:rPr>
          <w:b/>
          <w:bCs/>
          <w:color w:val="064EA8"/>
          <w:sz w:val="36"/>
          <w:szCs w:val="32"/>
        </w:rPr>
      </w:pPr>
      <w:bookmarkStart w:id="82" w:name="_Toc492469032"/>
      <w:bookmarkStart w:id="83" w:name="_Toc484589971"/>
      <w:bookmarkStart w:id="84" w:name="_Toc484597163"/>
      <w:bookmarkStart w:id="85" w:name="_Toc492469033"/>
      <w:bookmarkStart w:id="86" w:name="_Toc492469034"/>
      <w:bookmarkStart w:id="87" w:name="_Toc492469035"/>
      <w:bookmarkStart w:id="88" w:name="_Toc492469036"/>
      <w:bookmarkEnd w:id="82"/>
      <w:bookmarkEnd w:id="83"/>
      <w:bookmarkEnd w:id="84"/>
      <w:bookmarkEnd w:id="85"/>
      <w:bookmarkEnd w:id="86"/>
      <w:bookmarkEnd w:id="87"/>
      <w:bookmarkEnd w:id="88"/>
      <w:r>
        <w:br w:type="page"/>
      </w:r>
    </w:p>
    <w:p w:rsidR="00C83B66" w:rsidRDefault="00C83B66" w:rsidP="005C22A9">
      <w:pPr>
        <w:pStyle w:val="Heading1"/>
      </w:pPr>
      <w:bookmarkStart w:id="89" w:name="_Toc521932849"/>
      <w:r>
        <w:lastRenderedPageBreak/>
        <w:t>Governance and administering guidelines</w:t>
      </w:r>
      <w:bookmarkEnd w:id="89"/>
    </w:p>
    <w:p w:rsidR="00C83B66" w:rsidRDefault="00C83B66" w:rsidP="006522E5">
      <w:pPr>
        <w:pStyle w:val="bodyCopy"/>
      </w:pPr>
      <w:r>
        <w:t xml:space="preserve">The Minister for </w:t>
      </w:r>
      <w:r w:rsidR="003E078D">
        <w:t>Resources is</w:t>
      </w:r>
      <w:r>
        <w:t xml:space="preserve"> the responsible Minister for the Framework.</w:t>
      </w:r>
    </w:p>
    <w:p w:rsidR="00D25460" w:rsidRDefault="00D25460" w:rsidP="006522E5">
      <w:pPr>
        <w:pStyle w:val="bodyCopy"/>
      </w:pPr>
      <w:r>
        <w:t xml:space="preserve">The development of this Framework Guideline is overseen by a Whole of Victorian </w:t>
      </w:r>
      <w:r w:rsidR="002C60B6">
        <w:t xml:space="preserve">Government Steering Committee. </w:t>
      </w:r>
      <w:r>
        <w:t>Progress of project proposals will be reported to the Steering Committee on a quarterly basis.</w:t>
      </w:r>
    </w:p>
    <w:p w:rsidR="00F65B3E" w:rsidRDefault="00C83B66" w:rsidP="006522E5">
      <w:pPr>
        <w:pStyle w:val="bodyCopy"/>
      </w:pPr>
      <w:r>
        <w:t xml:space="preserve">Government approval is required at </w:t>
      </w:r>
      <w:r w:rsidR="00F245B1">
        <w:t xml:space="preserve">various </w:t>
      </w:r>
      <w:r>
        <w:t xml:space="preserve">decision points </w:t>
      </w:r>
      <w:r w:rsidR="00F245B1">
        <w:t>throughout</w:t>
      </w:r>
      <w:r>
        <w:t xml:space="preserve"> the Framework</w:t>
      </w:r>
      <w:r w:rsidR="00F245B1">
        <w:t>, as illustrated in Figure 2</w:t>
      </w:r>
      <w:r w:rsidR="00166003">
        <w:t xml:space="preserve"> in Section 2</w:t>
      </w:r>
      <w:r w:rsidR="00A67D5B">
        <w:t>.</w:t>
      </w:r>
    </w:p>
    <w:p w:rsidR="00C83B66" w:rsidRDefault="00F245B1" w:rsidP="006522E5">
      <w:pPr>
        <w:pStyle w:val="bodyCopy"/>
      </w:pPr>
      <w:r>
        <w:t xml:space="preserve">For all proposals except those seeking facilitation, </w:t>
      </w:r>
      <w:r w:rsidR="00D61CC7">
        <w:t>Government</w:t>
      </w:r>
      <w:r w:rsidR="00C83B66">
        <w:t xml:space="preserve"> Ministers will decide </w:t>
      </w:r>
      <w:r w:rsidR="007D3E23">
        <w:t xml:space="preserve">whether to </w:t>
      </w:r>
      <w:r w:rsidR="00D61CC7">
        <w:t>proceed or not proceed with</w:t>
      </w:r>
      <w:r w:rsidR="007D3E23">
        <w:t xml:space="preserve"> </w:t>
      </w:r>
      <w:r w:rsidR="00C83B66">
        <w:t xml:space="preserve">a proposal at Stage </w:t>
      </w:r>
      <w:r w:rsidR="00365462">
        <w:t>Three</w:t>
      </w:r>
      <w:r w:rsidR="00C83B66">
        <w:t xml:space="preserve"> of the Framework.</w:t>
      </w:r>
      <w:r w:rsidR="00166003">
        <w:t xml:space="preserve"> Cabinet is explicitly involved in decisions relating to support in the form of new or high-value funding.</w:t>
      </w:r>
      <w:r w:rsidR="00B10E07">
        <w:t xml:space="preserve"> Depending upon the</w:t>
      </w:r>
      <w:r w:rsidR="00D906BF">
        <w:t xml:space="preserve"> nature of support sought</w:t>
      </w:r>
      <w:r w:rsidR="00B10E07">
        <w:t xml:space="preserve">, the Minister will consult with DEDJTR, the </w:t>
      </w:r>
      <w:r w:rsidR="00E64719">
        <w:t>IEAP</w:t>
      </w:r>
      <w:r w:rsidR="00B10E07">
        <w:t>, and Cabinet.</w:t>
      </w:r>
    </w:p>
    <w:p w:rsidR="00D25460" w:rsidRDefault="00D25460" w:rsidP="006522E5">
      <w:pPr>
        <w:pStyle w:val="bodyCopy"/>
      </w:pPr>
      <w:r>
        <w:t>The Framework is for Victorian Government consideration of support for proj</w:t>
      </w:r>
      <w:r w:rsidR="002C60B6">
        <w:t>ects seeking to use brown coal.</w:t>
      </w:r>
      <w:r>
        <w:t xml:space="preserve"> It does not pre-empt or replace statutory or regulatory assessments or decision-making processes (e.g. E</w:t>
      </w:r>
      <w:r w:rsidR="002C60B6">
        <w:t xml:space="preserve">nvironment </w:t>
      </w:r>
      <w:r>
        <w:t>P</w:t>
      </w:r>
      <w:r w:rsidR="002C60B6">
        <w:t xml:space="preserve">rotection </w:t>
      </w:r>
      <w:r>
        <w:t>A</w:t>
      </w:r>
      <w:r w:rsidR="002C60B6">
        <w:t>uthority</w:t>
      </w:r>
      <w:r>
        <w:t xml:space="preserve"> </w:t>
      </w:r>
      <w:r w:rsidR="00C640D9">
        <w:t>a</w:t>
      </w:r>
      <w:r>
        <w:t>pproval</w:t>
      </w:r>
      <w:r w:rsidR="00C640D9">
        <w:t>s</w:t>
      </w:r>
      <w:r w:rsidR="002C60B6">
        <w:t xml:space="preserve"> or Environment Effects Statement). </w:t>
      </w:r>
      <w:r>
        <w:t>All Government support considered under the Framework is subject to the project obtaining regulatory approvals.</w:t>
      </w:r>
    </w:p>
    <w:p w:rsidR="00C83B66" w:rsidRDefault="00C83B66" w:rsidP="006522E5">
      <w:pPr>
        <w:pStyle w:val="Heading2"/>
      </w:pPr>
      <w:bookmarkStart w:id="90" w:name="_Toc521932850"/>
      <w:r>
        <w:t>Governance</w:t>
      </w:r>
      <w:bookmarkEnd w:id="90"/>
    </w:p>
    <w:p w:rsidR="00C83B66" w:rsidRDefault="00F65B3E" w:rsidP="006522E5">
      <w:pPr>
        <w:pStyle w:val="bodyCopy"/>
      </w:pPr>
      <w:r>
        <w:t>DEDJTR</w:t>
      </w:r>
      <w:r w:rsidR="00C83B66">
        <w:t xml:space="preserve"> is responsible for receiving all proposals and managing the assessment process</w:t>
      </w:r>
      <w:r>
        <w:t xml:space="preserve"> of the Framework</w:t>
      </w:r>
      <w:r w:rsidR="003E078D">
        <w:t>.</w:t>
      </w:r>
      <w:r w:rsidR="002C60B6">
        <w:t xml:space="preserve"> </w:t>
      </w:r>
      <w:r>
        <w:t>DEDJTR</w:t>
      </w:r>
      <w:r w:rsidR="00C83B66">
        <w:t xml:space="preserve"> </w:t>
      </w:r>
      <w:r w:rsidR="00BF1B5E">
        <w:t xml:space="preserve">Resources Division </w:t>
      </w:r>
      <w:r w:rsidR="00C83B66">
        <w:t xml:space="preserve">is the primary contact for </w:t>
      </w:r>
      <w:r>
        <w:t>the Framework</w:t>
      </w:r>
      <w:r w:rsidR="00C83B66">
        <w:t>.</w:t>
      </w:r>
    </w:p>
    <w:p w:rsidR="000F3C7F" w:rsidRDefault="00F245B1" w:rsidP="006522E5">
      <w:pPr>
        <w:pStyle w:val="bodyCopy"/>
      </w:pPr>
      <w:r>
        <w:t>In accordance with the decision-making pathways illustrated in Figure 2, t</w:t>
      </w:r>
      <w:r w:rsidR="000F3C7F" w:rsidRPr="00AA53E8">
        <w:t xml:space="preserve">he </w:t>
      </w:r>
      <w:r w:rsidR="00E64719">
        <w:t>IEAP</w:t>
      </w:r>
      <w:r w:rsidR="000F3C7F">
        <w:t xml:space="preserve"> </w:t>
      </w:r>
      <w:r w:rsidR="000F3C7F" w:rsidRPr="00AA53E8">
        <w:t>provide</w:t>
      </w:r>
      <w:r w:rsidR="000F3C7F">
        <w:t>s</w:t>
      </w:r>
      <w:r w:rsidR="000F3C7F" w:rsidRPr="00AA53E8">
        <w:t xml:space="preserve"> expert advice to </w:t>
      </w:r>
      <w:r w:rsidR="003E078D">
        <w:t>the DEDJTR</w:t>
      </w:r>
      <w:r w:rsidR="000F3C7F">
        <w:t xml:space="preserve"> and the Minister on</w:t>
      </w:r>
      <w:r w:rsidR="000F3C7F" w:rsidRPr="00AA53E8">
        <w:t xml:space="preserve"> the </w:t>
      </w:r>
      <w:r w:rsidR="000F3C7F">
        <w:t>commercial, environment</w:t>
      </w:r>
      <w:r w:rsidR="00BF1B5E">
        <w:t>al</w:t>
      </w:r>
      <w:r w:rsidR="000F3C7F">
        <w:t xml:space="preserve"> and technical merits of coal projects seeking Victorian Government support via the Framework. </w:t>
      </w:r>
    </w:p>
    <w:p w:rsidR="00C83B66" w:rsidRPr="00326B66" w:rsidRDefault="00243E49" w:rsidP="006522E5">
      <w:pPr>
        <w:pStyle w:val="bodyCopy"/>
      </w:pPr>
      <w:r>
        <w:t xml:space="preserve">The </w:t>
      </w:r>
      <w:r w:rsidR="00E64719">
        <w:t>IEAP</w:t>
      </w:r>
      <w:r w:rsidR="00556B94">
        <w:t xml:space="preserve"> </w:t>
      </w:r>
      <w:r>
        <w:t xml:space="preserve">is responsible for reviewing </w:t>
      </w:r>
      <w:r w:rsidR="005C00A5">
        <w:t>all project proposals</w:t>
      </w:r>
      <w:r>
        <w:t xml:space="preserve"> in Stage One</w:t>
      </w:r>
      <w:r w:rsidR="005C00A5">
        <w:t>,</w:t>
      </w:r>
      <w:r>
        <w:t xml:space="preserve"> assessing </w:t>
      </w:r>
      <w:r w:rsidR="00FC6C42">
        <w:t>smaller</w:t>
      </w:r>
      <w:r w:rsidR="005C00A5">
        <w:t xml:space="preserve"> </w:t>
      </w:r>
      <w:r>
        <w:t xml:space="preserve">funding </w:t>
      </w:r>
      <w:r w:rsidR="00FC6C42">
        <w:t xml:space="preserve">proposals </w:t>
      </w:r>
      <w:r>
        <w:t xml:space="preserve">in Stage </w:t>
      </w:r>
      <w:r w:rsidR="00FC6C42">
        <w:t>2</w:t>
      </w:r>
      <w:r>
        <w:t xml:space="preserve">, and </w:t>
      </w:r>
      <w:r w:rsidRPr="00326B66">
        <w:t>making recommendations to</w:t>
      </w:r>
      <w:r w:rsidR="00D906BF" w:rsidRPr="00326B66">
        <w:t xml:space="preserve"> DEDJTR and</w:t>
      </w:r>
      <w:r w:rsidRPr="00326B66">
        <w:t xml:space="preserve"> the Minister.</w:t>
      </w:r>
    </w:p>
    <w:p w:rsidR="00807889" w:rsidRDefault="00F245B1" w:rsidP="006522E5">
      <w:pPr>
        <w:pStyle w:val="bodyCopy"/>
      </w:pPr>
      <w:r w:rsidRPr="00326B66">
        <w:t xml:space="preserve">For </w:t>
      </w:r>
      <w:r w:rsidR="00FC6C42" w:rsidRPr="00326B66">
        <w:t>smaller</w:t>
      </w:r>
      <w:r w:rsidRPr="00326B66">
        <w:t xml:space="preserve"> funding</w:t>
      </w:r>
      <w:r w:rsidR="00FC6C42" w:rsidRPr="00326B66">
        <w:t xml:space="preserve"> proposals</w:t>
      </w:r>
      <w:r w:rsidRPr="00326B66">
        <w:t xml:space="preserve">, </w:t>
      </w:r>
      <w:r w:rsidR="00644AFC" w:rsidRPr="00326B66">
        <w:t xml:space="preserve">DEDJTR </w:t>
      </w:r>
      <w:r w:rsidR="00243E49" w:rsidRPr="00326B66">
        <w:t xml:space="preserve">is responsible for reviewing the </w:t>
      </w:r>
      <w:r w:rsidR="00E64719" w:rsidRPr="00326B66">
        <w:t>IEAP</w:t>
      </w:r>
      <w:r w:rsidR="00243E49" w:rsidRPr="00326B66">
        <w:t xml:space="preserve">’s recommendations in Stage </w:t>
      </w:r>
      <w:r w:rsidR="00FC6C42" w:rsidRPr="00326B66">
        <w:t xml:space="preserve">1 </w:t>
      </w:r>
      <w:r w:rsidR="00243E49" w:rsidRPr="00326B66">
        <w:t xml:space="preserve">and in Stage </w:t>
      </w:r>
      <w:r w:rsidR="00FC6C42" w:rsidRPr="00326B66">
        <w:t>2</w:t>
      </w:r>
      <w:r w:rsidR="00243E49" w:rsidRPr="00326B66">
        <w:t xml:space="preserve">, and making </w:t>
      </w:r>
      <w:r w:rsidR="001D567C" w:rsidRPr="00326B66">
        <w:t xml:space="preserve">additional </w:t>
      </w:r>
      <w:r w:rsidR="00243E49" w:rsidRPr="00326B66">
        <w:t>recommendations</w:t>
      </w:r>
      <w:r w:rsidR="00243E49">
        <w:t xml:space="preserve"> to the</w:t>
      </w:r>
      <w:r w:rsidR="00B01438">
        <w:t xml:space="preserve"> Minister</w:t>
      </w:r>
      <w:r w:rsidR="00644AFC">
        <w:t>.</w:t>
      </w:r>
    </w:p>
    <w:p w:rsidR="00DD2B9C" w:rsidRDefault="00DD2B9C" w:rsidP="007B373F">
      <w:pPr>
        <w:pStyle w:val="bodyCopy"/>
      </w:pPr>
      <w:r>
        <w:t xml:space="preserve">All </w:t>
      </w:r>
      <w:r w:rsidR="00E64719">
        <w:t>IEAP</w:t>
      </w:r>
      <w:r>
        <w:t xml:space="preserve"> members </w:t>
      </w:r>
      <w:r w:rsidR="00B01438">
        <w:t xml:space="preserve">will be </w:t>
      </w:r>
      <w:r>
        <w:t>experienced in the strategic assessment of proposals, and have expertise in one or more of the following fields: coal utilisation</w:t>
      </w:r>
      <w:r w:rsidR="000D2547">
        <w:t xml:space="preserve"> for value-added products </w:t>
      </w:r>
      <w:r>
        <w:t xml:space="preserve">including electricity generation; large-scale project management; </w:t>
      </w:r>
      <w:r w:rsidR="00514D16">
        <w:t xml:space="preserve">commercial and finance, </w:t>
      </w:r>
      <w:r>
        <w:t>logistics, infrastructure development, environmental planning and approvals; and commercial.</w:t>
      </w:r>
    </w:p>
    <w:p w:rsidR="005C22A9" w:rsidRDefault="005C22A9" w:rsidP="00B65A9C">
      <w:pPr>
        <w:pStyle w:val="Heading2"/>
      </w:pPr>
      <w:bookmarkStart w:id="91" w:name="_Toc521932851"/>
      <w:r w:rsidRPr="00F433EB">
        <w:t>Intellectual Property and cost allocation</w:t>
      </w:r>
      <w:bookmarkEnd w:id="91"/>
    </w:p>
    <w:p w:rsidR="005C22A9" w:rsidRDefault="005C22A9" w:rsidP="005C22A9">
      <w:r>
        <w:t xml:space="preserve">Intellectual Property </w:t>
      </w:r>
      <w:r w:rsidRPr="00DF66B7">
        <w:t>(IP)</w:t>
      </w:r>
      <w:r>
        <w:t xml:space="preserve"> is defined as inventions, original designs and practical applications of good ideas protected by statute law through copyright, patents, registered designs, circuit layout rights and trademarks, also trade secrets, proprietary know-how and other confidential information protected against unlawful disclosure by common law and through additional contractual obligations such as confidentiality agreements.</w:t>
      </w:r>
    </w:p>
    <w:p w:rsidR="005C22A9" w:rsidRDefault="005C22A9" w:rsidP="005C22A9">
      <w:r>
        <w:t xml:space="preserve">The </w:t>
      </w:r>
      <w:r w:rsidR="00DB6F90">
        <w:t>p</w:t>
      </w:r>
      <w:r>
        <w:t xml:space="preserve">roponent is responsible for the cost of developing </w:t>
      </w:r>
      <w:r w:rsidR="00B01438">
        <w:t xml:space="preserve">proposals </w:t>
      </w:r>
      <w:r>
        <w:t>and responding to information requests.</w:t>
      </w:r>
    </w:p>
    <w:p w:rsidR="005C22A9" w:rsidRDefault="00DF66B7" w:rsidP="005C22A9">
      <w:r>
        <w:t xml:space="preserve">DEDJTR </w:t>
      </w:r>
      <w:r w:rsidR="005C22A9">
        <w:t>is responsible for its costs in assessing the proposals as submitted.</w:t>
      </w:r>
    </w:p>
    <w:p w:rsidR="00AC2B01" w:rsidRDefault="00AC2B01" w:rsidP="00B65A9C">
      <w:pPr>
        <w:pStyle w:val="Heading2"/>
      </w:pPr>
      <w:bookmarkStart w:id="92" w:name="_Toc484589975"/>
      <w:bookmarkStart w:id="93" w:name="_Toc484597167"/>
      <w:bookmarkStart w:id="94" w:name="_Toc521932852"/>
      <w:bookmarkEnd w:id="92"/>
      <w:bookmarkEnd w:id="93"/>
      <w:r>
        <w:t>Disclosure</w:t>
      </w:r>
      <w:bookmarkEnd w:id="94"/>
    </w:p>
    <w:p w:rsidR="00AC2B01" w:rsidRPr="00F3707D" w:rsidRDefault="0025292F" w:rsidP="006522E5">
      <w:r w:rsidRPr="00F3707D">
        <w:t>Information about proposals</w:t>
      </w:r>
      <w:r w:rsidR="001603F8">
        <w:t xml:space="preserve"> that proceed to Stage Two will be</w:t>
      </w:r>
      <w:r w:rsidRPr="00F3707D">
        <w:t xml:space="preserve"> </w:t>
      </w:r>
      <w:r w:rsidR="001C2A10">
        <w:t xml:space="preserve">published </w:t>
      </w:r>
      <w:r w:rsidR="00AC2B01" w:rsidRPr="00F3707D">
        <w:t xml:space="preserve">on the </w:t>
      </w:r>
      <w:r w:rsidR="00EE0222" w:rsidRPr="00F3707D">
        <w:t>DEDJTR</w:t>
      </w:r>
      <w:r w:rsidR="00AC2B01" w:rsidRPr="00F3707D">
        <w:t xml:space="preserve"> website. The proponent will be notified and consulted wh</w:t>
      </w:r>
      <w:r w:rsidR="00EE0222" w:rsidRPr="00F3707D">
        <w:t>en information is disclosed</w:t>
      </w:r>
      <w:r w:rsidR="002C60B6">
        <w:t xml:space="preserve">. </w:t>
      </w:r>
      <w:r w:rsidR="00EE0222" w:rsidRPr="00F3707D">
        <w:t>DEDJTR</w:t>
      </w:r>
      <w:r w:rsidR="00AC2B01" w:rsidRPr="00F3707D">
        <w:t xml:space="preserve"> is responsible for co-ordinating disclosure and advising the </w:t>
      </w:r>
      <w:r w:rsidR="00EE0222" w:rsidRPr="00F3707D">
        <w:t>Minister</w:t>
      </w:r>
      <w:r w:rsidR="00AC2B01" w:rsidRPr="00F3707D">
        <w:t xml:space="preserve"> when information is disclosed.</w:t>
      </w:r>
      <w:r w:rsidR="00D906BF">
        <w:t> </w:t>
      </w:r>
      <w:r w:rsidR="001C2A10">
        <w:t xml:space="preserve">Commercial-in-confidence information will </w:t>
      </w:r>
      <w:r w:rsidR="00762904">
        <w:t xml:space="preserve">be </w:t>
      </w:r>
      <w:r w:rsidR="001C2A10">
        <w:t xml:space="preserve">treated with the appropriate discretion throughout the assessment process. </w:t>
      </w:r>
    </w:p>
    <w:p w:rsidR="00AC2B01" w:rsidRPr="00F3707D" w:rsidRDefault="00AC2B01" w:rsidP="00B65A9C">
      <w:pPr>
        <w:pStyle w:val="Heading3"/>
      </w:pPr>
      <w:bookmarkStart w:id="95" w:name="_Toc521932853"/>
      <w:r w:rsidRPr="00F3707D">
        <w:lastRenderedPageBreak/>
        <w:t xml:space="preserve">Disclosure at </w:t>
      </w:r>
      <w:r w:rsidR="00EE0222" w:rsidRPr="00F3707D">
        <w:t>S</w:t>
      </w:r>
      <w:r w:rsidRPr="00F3707D">
        <w:t xml:space="preserve">tage </w:t>
      </w:r>
      <w:r w:rsidR="00EE0222" w:rsidRPr="00F3707D">
        <w:t>Two</w:t>
      </w:r>
      <w:bookmarkEnd w:id="95"/>
    </w:p>
    <w:p w:rsidR="00AC2B01" w:rsidRPr="00F3707D" w:rsidRDefault="00AC2B01" w:rsidP="006522E5">
      <w:r w:rsidRPr="00F3707D">
        <w:t xml:space="preserve">Proponents should be aware that as a condition of submitting a proposal, the title of </w:t>
      </w:r>
      <w:r w:rsidR="00CA7761" w:rsidRPr="00F3707D">
        <w:t xml:space="preserve">the proposal, </w:t>
      </w:r>
      <w:r w:rsidR="00B01438">
        <w:t xml:space="preserve">the </w:t>
      </w:r>
      <w:r w:rsidR="00CA7761" w:rsidRPr="00F3707D">
        <w:t xml:space="preserve">name of </w:t>
      </w:r>
      <w:r w:rsidR="00B01438">
        <w:t>p</w:t>
      </w:r>
      <w:r w:rsidR="00B01438" w:rsidRPr="00F3707D">
        <w:t xml:space="preserve">roponent </w:t>
      </w:r>
      <w:r w:rsidRPr="00F3707D">
        <w:t xml:space="preserve">and </w:t>
      </w:r>
      <w:r w:rsidR="00B01438">
        <w:t xml:space="preserve">the </w:t>
      </w:r>
      <w:r w:rsidRPr="00F3707D">
        <w:t xml:space="preserve">stage of assessment will be disclosed publicly on the </w:t>
      </w:r>
      <w:r w:rsidR="00EE0222" w:rsidRPr="00F3707D">
        <w:t>DEDJTR</w:t>
      </w:r>
      <w:r w:rsidRPr="00F3707D">
        <w:t xml:space="preserve"> website at the </w:t>
      </w:r>
      <w:r w:rsidR="001969C5" w:rsidRPr="00F3707D">
        <w:t xml:space="preserve">end </w:t>
      </w:r>
      <w:r w:rsidR="00CA7761" w:rsidRPr="00F3707D">
        <w:t>of Stage </w:t>
      </w:r>
      <w:r w:rsidR="001969C5" w:rsidRPr="00F3707D">
        <w:t>Two</w:t>
      </w:r>
      <w:r w:rsidR="00CA7761" w:rsidRPr="00F3707D">
        <w:t>.</w:t>
      </w:r>
      <w:r w:rsidR="002C60B6">
        <w:t xml:space="preserve"> </w:t>
      </w:r>
      <w:r w:rsidR="00CA7761" w:rsidRPr="00F3707D">
        <w:t>The stage</w:t>
      </w:r>
      <w:r w:rsidRPr="00F3707D">
        <w:t xml:space="preserve"> of assessment will be updated as the proposal progresses</w:t>
      </w:r>
      <w:r w:rsidR="00CA7761" w:rsidRPr="00F3707D">
        <w:t xml:space="preserve"> through the Framework</w:t>
      </w:r>
      <w:r w:rsidRPr="00F3707D">
        <w:t>.</w:t>
      </w:r>
    </w:p>
    <w:p w:rsidR="00AC2B01" w:rsidRPr="00F3707D" w:rsidRDefault="00EE0222" w:rsidP="00B65A9C">
      <w:pPr>
        <w:pStyle w:val="Heading3"/>
      </w:pPr>
      <w:bookmarkStart w:id="96" w:name="_Toc521932854"/>
      <w:r w:rsidRPr="00F3707D">
        <w:t>Disclosure at Stage T</w:t>
      </w:r>
      <w:r w:rsidR="00AC2B01" w:rsidRPr="00F3707D">
        <w:t>hree</w:t>
      </w:r>
      <w:bookmarkEnd w:id="96"/>
    </w:p>
    <w:p w:rsidR="005B49D3" w:rsidRPr="00F3707D" w:rsidRDefault="00AC2B01" w:rsidP="006522E5">
      <w:r w:rsidRPr="00F3707D">
        <w:t xml:space="preserve">A </w:t>
      </w:r>
      <w:r w:rsidR="005B49D3" w:rsidRPr="00F3707D">
        <w:t>project s</w:t>
      </w:r>
      <w:r w:rsidRPr="00F3707D">
        <w:t xml:space="preserve">ummary will be prepared by </w:t>
      </w:r>
      <w:r w:rsidR="00EE0222" w:rsidRPr="00F3707D">
        <w:t>DEDJTR</w:t>
      </w:r>
      <w:r w:rsidRPr="00F3707D">
        <w:t xml:space="preserve"> and </w:t>
      </w:r>
      <w:r w:rsidR="001C2A10">
        <w:t>published on the DEDJTR website</w:t>
      </w:r>
      <w:r w:rsidR="001C2A10" w:rsidRPr="00F3707D">
        <w:t xml:space="preserve"> </w:t>
      </w:r>
      <w:r w:rsidRPr="00F3707D">
        <w:t>within 90 days of contractual close summarisi</w:t>
      </w:r>
      <w:r w:rsidR="005B49D3" w:rsidRPr="00F3707D">
        <w:t>ng key aspects of the proposal.</w:t>
      </w:r>
    </w:p>
    <w:p w:rsidR="00EE0222" w:rsidRDefault="00AC2B01" w:rsidP="006522E5">
      <w:r w:rsidRPr="00F3707D">
        <w:t xml:space="preserve">It will include the Government’s rationale for progressing the project </w:t>
      </w:r>
      <w:r w:rsidR="00EE0222" w:rsidRPr="00F3707D">
        <w:t>through the Framework</w:t>
      </w:r>
      <w:r w:rsidRPr="00F3707D">
        <w:t xml:space="preserve">, what options were considered, how the proposal was assessed, the financial impact to </w:t>
      </w:r>
      <w:r w:rsidR="005B49D3" w:rsidRPr="00F3707D">
        <w:t>the G</w:t>
      </w:r>
      <w:r w:rsidRPr="00F3707D">
        <w:t>overnm</w:t>
      </w:r>
      <w:r w:rsidR="005B49D3" w:rsidRPr="00F3707D">
        <w:t>ent and what value-for-money will be</w:t>
      </w:r>
      <w:r w:rsidRPr="00F3707D">
        <w:t xml:space="preserve"> achieved</w:t>
      </w:r>
      <w:r w:rsidR="005B49D3" w:rsidRPr="00F3707D">
        <w:t xml:space="preserve"> by the project</w:t>
      </w:r>
      <w:r w:rsidRPr="00F3707D">
        <w:t>.</w:t>
      </w:r>
    </w:p>
    <w:p w:rsidR="001969C5" w:rsidRDefault="001969C5" w:rsidP="006522E5">
      <w:pPr>
        <w:pStyle w:val="Heading2"/>
      </w:pPr>
      <w:bookmarkStart w:id="97" w:name="_Toc521932855"/>
      <w:r>
        <w:t>Due diligence when assessing proposals</w:t>
      </w:r>
      <w:bookmarkEnd w:id="97"/>
    </w:p>
    <w:p w:rsidR="001969C5" w:rsidRDefault="001969C5" w:rsidP="006522E5">
      <w:r>
        <w:t>DEDJTR will conduct due diligence of the proposal at each assessment stage</w:t>
      </w:r>
      <w:r w:rsidR="00B03E32">
        <w:t>, seeking support from other relevant Departments as appropriate.</w:t>
      </w:r>
    </w:p>
    <w:p w:rsidR="001969C5" w:rsidRDefault="001969C5" w:rsidP="006522E5">
      <w:r>
        <w:t xml:space="preserve">Due diligence will verify or confirm key aspects of the proposal and seek additional information from the </w:t>
      </w:r>
      <w:r w:rsidR="00DB6F90">
        <w:t>p</w:t>
      </w:r>
      <w:r>
        <w:t>roponent or independent third parties as required</w:t>
      </w:r>
      <w:r w:rsidR="00147119">
        <w:t xml:space="preserve"> to support Government decision-</w:t>
      </w:r>
      <w:r>
        <w:t>making. External assistance</w:t>
      </w:r>
      <w:r w:rsidR="005C00A5">
        <w:t xml:space="preserve"> and advice will</w:t>
      </w:r>
      <w:r>
        <w:t xml:space="preserve"> be engaged as appropriate</w:t>
      </w:r>
      <w:r w:rsidR="00D906BF">
        <w:t>, including seeking the advice of the IEAP</w:t>
      </w:r>
      <w:r>
        <w:t>.</w:t>
      </w:r>
    </w:p>
    <w:p w:rsidR="001969C5" w:rsidRDefault="001969C5" w:rsidP="006522E5">
      <w:r>
        <w:t xml:space="preserve">The detailed due diligence and assessment material together with the </w:t>
      </w:r>
      <w:r w:rsidR="00FB6259">
        <w:t>p</w:t>
      </w:r>
      <w:r>
        <w:t xml:space="preserve">roposal and additional information from the proponent and independent third parties </w:t>
      </w:r>
      <w:r w:rsidR="00C10E3F">
        <w:t xml:space="preserve">will </w:t>
      </w:r>
      <w:r>
        <w:t>form an evidence base to support</w:t>
      </w:r>
      <w:r w:rsidR="00C10E3F">
        <w:t xml:space="preserve"> decision-making</w:t>
      </w:r>
      <w:r w:rsidR="006F23F8">
        <w:t xml:space="preserve">. </w:t>
      </w:r>
    </w:p>
    <w:p w:rsidR="00EE0222" w:rsidRDefault="00EE0222" w:rsidP="00B65A9C">
      <w:pPr>
        <w:pStyle w:val="Heading2"/>
      </w:pPr>
      <w:bookmarkStart w:id="98" w:name="_Toc485823736"/>
      <w:bookmarkStart w:id="99" w:name="_Toc521932856"/>
      <w:bookmarkEnd w:id="98"/>
      <w:r>
        <w:t>Probity</w:t>
      </w:r>
      <w:bookmarkEnd w:id="99"/>
    </w:p>
    <w:p w:rsidR="00EE0222" w:rsidRDefault="00EE0222" w:rsidP="006522E5">
      <w:pPr>
        <w:pStyle w:val="bodyCopy"/>
      </w:pPr>
      <w:r>
        <w:t>One of the objectives of the Framework is to ensure a transparent process maintaining the highest level of probity and public accountability throughout the process.</w:t>
      </w:r>
      <w:r w:rsidR="00D906BF">
        <w:t> </w:t>
      </w:r>
      <w:r>
        <w:t>DEDJTR has in place a probity plan for administering the Framework, engaging with proponents and conducting assessments of proposals.</w:t>
      </w:r>
    </w:p>
    <w:p w:rsidR="00EE0222" w:rsidRDefault="00EE0222" w:rsidP="006522E5">
      <w:pPr>
        <w:pStyle w:val="bodyCopy"/>
      </w:pPr>
      <w:r>
        <w:t xml:space="preserve">Responsible officers are accountable for ensuring that systems, policies and procedures are in place to ensure the integrity of the </w:t>
      </w:r>
      <w:r w:rsidR="008D11AB">
        <w:t>decision-making</w:t>
      </w:r>
      <w:r>
        <w:t xml:space="preserve"> process and that any specific probity plan is applied.</w:t>
      </w:r>
    </w:p>
    <w:p w:rsidR="005C00A5" w:rsidRDefault="005C00A5" w:rsidP="006522E5">
      <w:pPr>
        <w:pStyle w:val="bodyCopy"/>
      </w:pPr>
      <w:r>
        <w:t>Engaging a probity auditor may be useful where the proposal, following a probity risk assessment, is considered to be complex or high risk, contentious and/or politically sensitive.</w:t>
      </w:r>
    </w:p>
    <w:p w:rsidR="00EE0222" w:rsidRDefault="00EE0222" w:rsidP="00836D0E">
      <w:pPr>
        <w:pStyle w:val="bodyCopy"/>
        <w:spacing w:after="120"/>
      </w:pPr>
      <w:r>
        <w:t>Engaging a probity advisor does not diminish the responsibility for ensuring sound probity processes are adhered to by officials involve</w:t>
      </w:r>
      <w:r w:rsidR="002C60B6">
        <w:t>d in the process.</w:t>
      </w:r>
      <w:r w:rsidR="00D906BF">
        <w:t> </w:t>
      </w:r>
      <w:r w:rsidR="00AB218F">
        <w:t>This Framework</w:t>
      </w:r>
      <w:r>
        <w:t xml:space="preserve"> seeks to ensure the highest standards of ethical behaviour in the procurement proce</w:t>
      </w:r>
      <w:r w:rsidR="00A6204B">
        <w:t>ss</w:t>
      </w:r>
      <w:r w:rsidR="002C60B6">
        <w:t xml:space="preserve">. </w:t>
      </w:r>
      <w:r>
        <w:t>The aims of a probity plan are to:</w:t>
      </w:r>
    </w:p>
    <w:p w:rsidR="00EE0222" w:rsidRDefault="00EE0222" w:rsidP="0032190D">
      <w:pPr>
        <w:pStyle w:val="bodyCopy"/>
        <w:numPr>
          <w:ilvl w:val="0"/>
          <w:numId w:val="12"/>
        </w:numPr>
        <w:spacing w:after="0"/>
        <w:ind w:left="714" w:hanging="357"/>
      </w:pPr>
      <w:r>
        <w:t>ensure prescribed processes have been followed and are adhered to</w:t>
      </w:r>
    </w:p>
    <w:p w:rsidR="00EE0222" w:rsidRDefault="00EE0222" w:rsidP="0032190D">
      <w:pPr>
        <w:pStyle w:val="bodyCopy"/>
        <w:numPr>
          <w:ilvl w:val="0"/>
          <w:numId w:val="12"/>
        </w:numPr>
        <w:spacing w:after="0"/>
        <w:ind w:left="714" w:hanging="357"/>
      </w:pPr>
      <w:r>
        <w:t>ensure the processes are equitable and conducted with integrity</w:t>
      </w:r>
    </w:p>
    <w:p w:rsidR="00EE0222" w:rsidRDefault="00EE0222" w:rsidP="0032190D">
      <w:pPr>
        <w:pStyle w:val="bodyCopy"/>
        <w:numPr>
          <w:ilvl w:val="0"/>
          <w:numId w:val="12"/>
        </w:numPr>
        <w:spacing w:after="0"/>
        <w:ind w:left="714" w:hanging="357"/>
      </w:pPr>
      <w:r>
        <w:t>ensure conformity to processes designed to achieve value-for-money</w:t>
      </w:r>
    </w:p>
    <w:p w:rsidR="00EE0222" w:rsidRDefault="00EE0222" w:rsidP="0032190D">
      <w:pPr>
        <w:pStyle w:val="bodyCopy"/>
        <w:numPr>
          <w:ilvl w:val="0"/>
          <w:numId w:val="12"/>
        </w:numPr>
        <w:spacing w:after="0"/>
        <w:ind w:left="714" w:hanging="357"/>
      </w:pPr>
      <w:r>
        <w:t>provide accountability</w:t>
      </w:r>
    </w:p>
    <w:p w:rsidR="00EE0222" w:rsidRDefault="00EE0222" w:rsidP="0032190D">
      <w:pPr>
        <w:pStyle w:val="bodyCopy"/>
        <w:numPr>
          <w:ilvl w:val="0"/>
          <w:numId w:val="12"/>
        </w:numPr>
        <w:spacing w:after="0"/>
        <w:ind w:left="714" w:hanging="357"/>
      </w:pPr>
      <w:r>
        <w:t>preserve public and proponent confidence in government processes</w:t>
      </w:r>
    </w:p>
    <w:p w:rsidR="00EE0222" w:rsidRDefault="00EE0222" w:rsidP="0032190D">
      <w:pPr>
        <w:pStyle w:val="bodyCopy"/>
        <w:numPr>
          <w:ilvl w:val="0"/>
          <w:numId w:val="12"/>
        </w:numPr>
        <w:spacing w:after="0"/>
        <w:ind w:left="714" w:hanging="357"/>
      </w:pPr>
      <w:r>
        <w:t>ensure defensibility of decisions to potential legal challenge or other external scrutiny.</w:t>
      </w:r>
    </w:p>
    <w:p w:rsidR="00EE0222" w:rsidRDefault="00EE0222" w:rsidP="00836D0E">
      <w:pPr>
        <w:pStyle w:val="bodyCopy"/>
        <w:spacing w:after="120"/>
      </w:pPr>
      <w:r>
        <w:t xml:space="preserve">The probity plan is required to set out </w:t>
      </w:r>
      <w:r w:rsidR="00A6204B">
        <w:t>the Framework</w:t>
      </w:r>
      <w:r>
        <w:t xml:space="preserve"> governance</w:t>
      </w:r>
      <w:r w:rsidR="00836D0E">
        <w:t>,</w:t>
      </w:r>
      <w:r w:rsidR="00147119">
        <w:t xml:space="preserve"> decision-</w:t>
      </w:r>
      <w:r>
        <w:t xml:space="preserve">making </w:t>
      </w:r>
      <w:r w:rsidR="00836D0E">
        <w:t xml:space="preserve">and auditing </w:t>
      </w:r>
      <w:r>
        <w:t xml:space="preserve">processes </w:t>
      </w:r>
      <w:r w:rsidR="00836D0E">
        <w:t xml:space="preserve">(where a probity auditor is appointed) </w:t>
      </w:r>
      <w:r>
        <w:t>and will ensure:</w:t>
      </w:r>
    </w:p>
    <w:p w:rsidR="00EE0222" w:rsidRDefault="00EE0222" w:rsidP="0032190D">
      <w:pPr>
        <w:pStyle w:val="bodyCopy"/>
        <w:numPr>
          <w:ilvl w:val="0"/>
          <w:numId w:val="12"/>
        </w:numPr>
        <w:spacing w:after="0"/>
        <w:ind w:left="714" w:hanging="357"/>
      </w:pPr>
      <w:r>
        <w:t>compliance with legal and policy requirements</w:t>
      </w:r>
    </w:p>
    <w:p w:rsidR="00EE0222" w:rsidRDefault="00EE0222" w:rsidP="0032190D">
      <w:pPr>
        <w:pStyle w:val="bodyCopy"/>
        <w:numPr>
          <w:ilvl w:val="0"/>
          <w:numId w:val="12"/>
        </w:numPr>
        <w:spacing w:after="0"/>
        <w:ind w:left="714" w:hanging="357"/>
      </w:pPr>
      <w:r>
        <w:t>fairness and impartiality</w:t>
      </w:r>
    </w:p>
    <w:p w:rsidR="00EE0222" w:rsidRDefault="00EE0222" w:rsidP="0032190D">
      <w:pPr>
        <w:pStyle w:val="bodyCopy"/>
        <w:numPr>
          <w:ilvl w:val="0"/>
          <w:numId w:val="12"/>
        </w:numPr>
        <w:spacing w:after="0"/>
        <w:ind w:left="714" w:hanging="357"/>
      </w:pPr>
      <w:r>
        <w:t>consistency and transparency of process</w:t>
      </w:r>
    </w:p>
    <w:p w:rsidR="00EE0222" w:rsidRDefault="00EE0222" w:rsidP="0032190D">
      <w:pPr>
        <w:pStyle w:val="bodyCopy"/>
        <w:numPr>
          <w:ilvl w:val="0"/>
          <w:numId w:val="13"/>
        </w:numPr>
        <w:spacing w:after="0"/>
        <w:ind w:left="714" w:hanging="357"/>
      </w:pPr>
      <w:r>
        <w:t>security and confidentiality</w:t>
      </w:r>
    </w:p>
    <w:p w:rsidR="00EE0222" w:rsidRDefault="00EE0222" w:rsidP="0032190D">
      <w:pPr>
        <w:pStyle w:val="bodyCopy"/>
        <w:numPr>
          <w:ilvl w:val="0"/>
          <w:numId w:val="13"/>
        </w:numPr>
        <w:spacing w:after="0"/>
        <w:ind w:left="714" w:hanging="357"/>
      </w:pPr>
      <w:r>
        <w:t>identification and declaration of conflicts of interest</w:t>
      </w:r>
    </w:p>
    <w:p w:rsidR="00AB25EF" w:rsidRDefault="00EE0222" w:rsidP="00836D0E">
      <w:pPr>
        <w:pStyle w:val="bodyCopy"/>
        <w:numPr>
          <w:ilvl w:val="0"/>
          <w:numId w:val="13"/>
        </w:numPr>
        <w:spacing w:after="0"/>
        <w:ind w:left="714" w:hanging="357"/>
      </w:pPr>
      <w:r>
        <w:t>how compliance with the probity plan will be reviewed and assessed.</w:t>
      </w:r>
    </w:p>
    <w:p w:rsidR="00AB218F" w:rsidRDefault="004B5E2C" w:rsidP="006522E5">
      <w:pPr>
        <w:pStyle w:val="Heading1"/>
        <w:spacing w:before="240" w:after="0"/>
      </w:pPr>
      <w:r>
        <w:lastRenderedPageBreak/>
        <w:t xml:space="preserve"> </w:t>
      </w:r>
      <w:bookmarkStart w:id="100" w:name="_Toc521932857"/>
      <w:r w:rsidR="00AB218F">
        <w:t>Contact details</w:t>
      </w:r>
      <w:bookmarkEnd w:id="100"/>
    </w:p>
    <w:p w:rsidR="000D2547" w:rsidRDefault="00AB218F" w:rsidP="00CE4C66">
      <w:pPr>
        <w:pStyle w:val="bodyCopy"/>
        <w:spacing w:before="0" w:after="0"/>
      </w:pPr>
      <w:r>
        <w:t xml:space="preserve">All queries relating to this </w:t>
      </w:r>
      <w:r w:rsidR="00A617EF">
        <w:t xml:space="preserve">Guideline </w:t>
      </w:r>
      <w:r>
        <w:t xml:space="preserve">and proposals should be addressed to the </w:t>
      </w:r>
      <w:r w:rsidRPr="00AB218F">
        <w:t>Director</w:t>
      </w:r>
      <w:r>
        <w:t>,</w:t>
      </w:r>
      <w:r w:rsidRPr="00AB218F">
        <w:t xml:space="preserve"> </w:t>
      </w:r>
      <w:r w:rsidR="00425FA1">
        <w:t>Coal</w:t>
      </w:r>
      <w:r w:rsidRPr="00AB218F">
        <w:t xml:space="preserve"> Resources</w:t>
      </w:r>
      <w:r w:rsidR="00425FA1">
        <w:t xml:space="preserve"> Victoria</w:t>
      </w:r>
      <w:r w:rsidR="000D2547">
        <w:t>.</w:t>
      </w:r>
    </w:p>
    <w:p w:rsidR="000D2547" w:rsidRDefault="000D2547" w:rsidP="00CE4C66">
      <w:pPr>
        <w:pStyle w:val="bodyCopy"/>
        <w:spacing w:before="0" w:after="0"/>
      </w:pPr>
    </w:p>
    <w:p w:rsidR="001C2A10" w:rsidRDefault="000D2547" w:rsidP="00CE4C66">
      <w:pPr>
        <w:pStyle w:val="bodyCopy"/>
        <w:spacing w:before="0" w:after="0"/>
      </w:pPr>
      <w:r>
        <w:t xml:space="preserve">Phone queries can be directed to: </w:t>
      </w:r>
      <w:r w:rsidR="00CE4C66">
        <w:t xml:space="preserve">+61 (03) </w:t>
      </w:r>
      <w:r w:rsidR="00C045FA" w:rsidRPr="00C045FA">
        <w:t>9651 9999</w:t>
      </w:r>
    </w:p>
    <w:p w:rsidR="001C2A10" w:rsidRDefault="001C2A10" w:rsidP="006522E5">
      <w:pPr>
        <w:pStyle w:val="bodyCopy"/>
        <w:spacing w:before="240" w:after="0"/>
      </w:pPr>
      <w:r>
        <w:t xml:space="preserve">Electronic submissions should be sent to: </w:t>
      </w:r>
      <w:hyperlink r:id="rId17" w:history="1">
        <w:r w:rsidRPr="003831F9">
          <w:rPr>
            <w:rStyle w:val="Hyperlink"/>
          </w:rPr>
          <w:t>coalframework@ecodev.vic.gov.au</w:t>
        </w:r>
      </w:hyperlink>
    </w:p>
    <w:p w:rsidR="00AB218F" w:rsidRDefault="001C2A10" w:rsidP="006522E5">
      <w:pPr>
        <w:pStyle w:val="bodyCopy"/>
        <w:spacing w:before="240" w:after="0"/>
      </w:pPr>
      <w:r>
        <w:t>Hard copy submission</w:t>
      </w:r>
      <w:r w:rsidR="00D906BF">
        <w:t>s</w:t>
      </w:r>
      <w:r>
        <w:t xml:space="preserve"> should be sent to:</w:t>
      </w:r>
    </w:p>
    <w:p w:rsidR="00A6204B" w:rsidRDefault="00A6204B" w:rsidP="006522E5">
      <w:pPr>
        <w:pStyle w:val="bodyCopy"/>
        <w:spacing w:before="0" w:after="0"/>
      </w:pPr>
    </w:p>
    <w:p w:rsidR="00404404" w:rsidRDefault="00404404" w:rsidP="006522E5">
      <w:pPr>
        <w:pStyle w:val="bodyCopy"/>
        <w:spacing w:before="0" w:after="0"/>
      </w:pPr>
      <w:r>
        <w:t>Coal Project Decision-Making Framework</w:t>
      </w:r>
    </w:p>
    <w:p w:rsidR="00A6204B" w:rsidRDefault="00AB218F" w:rsidP="006522E5">
      <w:pPr>
        <w:pStyle w:val="bodyCopy"/>
        <w:spacing w:before="0" w:after="0"/>
      </w:pPr>
      <w:r>
        <w:t>Director</w:t>
      </w:r>
    </w:p>
    <w:p w:rsidR="00AB218F" w:rsidRDefault="00425FA1" w:rsidP="006522E5">
      <w:pPr>
        <w:pStyle w:val="bodyCopy"/>
        <w:spacing w:before="0" w:after="0"/>
      </w:pPr>
      <w:r>
        <w:t>Coal</w:t>
      </w:r>
      <w:r w:rsidR="00AB218F">
        <w:t xml:space="preserve"> Resources </w:t>
      </w:r>
      <w:r>
        <w:t>Victoria</w:t>
      </w:r>
    </w:p>
    <w:p w:rsidR="00A6204B" w:rsidRDefault="00A6204B" w:rsidP="006522E5">
      <w:pPr>
        <w:pStyle w:val="bodyCopy"/>
        <w:spacing w:before="0" w:after="0"/>
      </w:pPr>
      <w:r>
        <w:t>Department of Economic Development, Jobs, Transport and Resources</w:t>
      </w:r>
    </w:p>
    <w:p w:rsidR="00D847DA" w:rsidRDefault="000D2547" w:rsidP="006522E5">
      <w:pPr>
        <w:pStyle w:val="bodyCopy"/>
        <w:spacing w:before="0" w:after="0"/>
      </w:pPr>
      <w:r>
        <w:t>1 Spring Street</w:t>
      </w:r>
    </w:p>
    <w:p w:rsidR="00AB218F" w:rsidRDefault="000D2547" w:rsidP="006522E5">
      <w:pPr>
        <w:pStyle w:val="bodyCopy"/>
        <w:spacing w:before="0" w:after="0"/>
      </w:pPr>
      <w:r>
        <w:t xml:space="preserve">MELBOURNE  </w:t>
      </w:r>
      <w:r w:rsidR="00D847DA">
        <w:t xml:space="preserve"> </w:t>
      </w:r>
      <w:r>
        <w:t xml:space="preserve">VIC  </w:t>
      </w:r>
      <w:r w:rsidR="00425FA1">
        <w:t xml:space="preserve"> 3000</w:t>
      </w:r>
    </w:p>
    <w:p w:rsidR="001C2A10" w:rsidRDefault="001C2A10" w:rsidP="006522E5">
      <w:pPr>
        <w:pStyle w:val="bodyCopy"/>
        <w:spacing w:before="0" w:after="0"/>
      </w:pPr>
    </w:p>
    <w:p w:rsidR="00BC6EFB" w:rsidRDefault="00BC6EFB">
      <w:pPr>
        <w:spacing w:before="0" w:after="200" w:line="276" w:lineRule="auto"/>
      </w:pPr>
      <w:r>
        <w:br w:type="page"/>
      </w:r>
    </w:p>
    <w:p w:rsidR="00BC6EFB" w:rsidRDefault="00BC6EFB" w:rsidP="00BC6EFB">
      <w:pPr>
        <w:pStyle w:val="Heading1"/>
      </w:pPr>
      <w:bookmarkStart w:id="101" w:name="_Toc521932858"/>
      <w:r w:rsidRPr="00BC6EFB">
        <w:lastRenderedPageBreak/>
        <w:t>Glossary of terms</w:t>
      </w:r>
      <w:bookmarkEnd w:id="10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lossary of Terms"/>
        <w:tblDescription w:val="The Glossary of Terms is an alphabetical list of all the terms specifically related to brown coal applications or used to describe elements of the Decision-making Framework. The Glossary includes definitions for those terms."/>
      </w:tblPr>
      <w:tblGrid>
        <w:gridCol w:w="3510"/>
        <w:gridCol w:w="5732"/>
      </w:tblGrid>
      <w:tr w:rsidR="00884D7B" w:rsidTr="00D84C49">
        <w:trPr>
          <w:tblHeader/>
        </w:trPr>
        <w:tc>
          <w:tcPr>
            <w:tcW w:w="3510" w:type="dxa"/>
            <w:tcBorders>
              <w:bottom w:val="single" w:sz="4" w:space="0" w:color="auto"/>
            </w:tcBorders>
            <w:shd w:val="clear" w:color="auto" w:fill="1F497D" w:themeFill="text2"/>
          </w:tcPr>
          <w:p w:rsidR="00884D7B" w:rsidRDefault="00884D7B">
            <w:r>
              <w:br w:type="page"/>
            </w:r>
          </w:p>
          <w:p w:rsidR="00884D7B" w:rsidRPr="00376D73" w:rsidRDefault="00884D7B" w:rsidP="00D906BF">
            <w:pPr>
              <w:spacing w:before="60"/>
              <w:rPr>
                <w:b/>
                <w:color w:val="FFFFFF" w:themeColor="background1"/>
              </w:rPr>
            </w:pPr>
            <w:r w:rsidRPr="00376D73">
              <w:rPr>
                <w:b/>
                <w:color w:val="FFFFFF" w:themeColor="background1"/>
              </w:rPr>
              <w:t>Term</w:t>
            </w:r>
          </w:p>
        </w:tc>
        <w:tc>
          <w:tcPr>
            <w:tcW w:w="5732" w:type="dxa"/>
            <w:tcBorders>
              <w:bottom w:val="single" w:sz="4" w:space="0" w:color="auto"/>
            </w:tcBorders>
            <w:shd w:val="clear" w:color="auto" w:fill="1F497D" w:themeFill="text2"/>
          </w:tcPr>
          <w:p w:rsidR="00884D7B" w:rsidRPr="00376D73" w:rsidRDefault="00884D7B" w:rsidP="00D906BF">
            <w:pPr>
              <w:spacing w:before="60"/>
              <w:rPr>
                <w:b/>
                <w:color w:val="FFFFFF" w:themeColor="background1"/>
              </w:rPr>
            </w:pPr>
            <w:r w:rsidRPr="00376D73">
              <w:rPr>
                <w:b/>
                <w:color w:val="FFFFFF" w:themeColor="background1"/>
              </w:rPr>
              <w:t>Explanation</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376D73" w:rsidRDefault="00884D7B" w:rsidP="00D906BF">
            <w:pPr>
              <w:spacing w:before="60"/>
              <w:rPr>
                <w:b/>
              </w:rPr>
            </w:pPr>
            <w:r>
              <w:rPr>
                <w:b/>
              </w:rPr>
              <w:t>Applicable coal project</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A brown coal project seeking government support will be referred to as ‘applicable brown coal projects’.</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376D73" w:rsidRDefault="002C60B6" w:rsidP="00D906BF">
            <w:pPr>
              <w:spacing w:before="60"/>
              <w:rPr>
                <w:b/>
              </w:rPr>
            </w:pPr>
            <w:r>
              <w:rPr>
                <w:b/>
              </w:rPr>
              <w:t>Carbon Capture and Storage</w:t>
            </w:r>
          </w:p>
          <w:p w:rsidR="00884D7B" w:rsidRDefault="00884D7B" w:rsidP="00D906BF">
            <w:pPr>
              <w:spacing w:before="60"/>
            </w:pP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The process of capturing waste carbon dioxide (CO</w:t>
            </w:r>
            <w:r w:rsidRPr="005E2D55">
              <w:rPr>
                <w:vertAlign w:val="subscript"/>
              </w:rPr>
              <w:t>2</w:t>
            </w:r>
            <w:r>
              <w:t xml:space="preserve">) from large point sources (e.g. coal-fired power stations) transporting it to a storage </w:t>
            </w:r>
            <w:r w:rsidR="002C60B6">
              <w:t>site and</w:t>
            </w:r>
            <w:r>
              <w:t xml:space="preserve"> depositing it in deep geological formations where it cannot enter the earth’s atmosphere.</w:t>
            </w:r>
            <w:r w:rsidR="002C60B6">
              <w:t xml:space="preserve"> </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rPr>
                <w:b/>
              </w:rPr>
              <w:t>Coal Statement</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 xml:space="preserve">Refers to the </w:t>
            </w:r>
            <w:r w:rsidRPr="00E54687">
              <w:rPr>
                <w:i/>
              </w:rPr>
              <w:t>Statement on Future Uses of Brown Coal</w:t>
            </w:r>
            <w:r>
              <w:t>.</w:t>
            </w:r>
          </w:p>
        </w:tc>
      </w:tr>
      <w:tr w:rsidR="00884D7B" w:rsidTr="00D84C49">
        <w:trPr>
          <w:trHeight w:val="546"/>
        </w:trPr>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Pr>
                <w:b/>
              </w:rPr>
              <w:t>Decision-Making Framework</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 xml:space="preserve">Refers to the </w:t>
            </w:r>
            <w:r w:rsidRPr="00884D7B">
              <w:rPr>
                <w:i/>
              </w:rPr>
              <w:t>Low Emission Brown Coal Projects:</w:t>
            </w:r>
            <w:r>
              <w:t xml:space="preserve"> </w:t>
            </w:r>
            <w:r>
              <w:rPr>
                <w:i/>
              </w:rPr>
              <w:t>Decision-Making Framework.</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sidRPr="00144A15">
              <w:rPr>
                <w:b/>
              </w:rPr>
              <w:t>DEDJTR</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C90D51">
            <w:pPr>
              <w:spacing w:before="60"/>
            </w:pPr>
            <w:r>
              <w:t xml:space="preserve">Refers to the </w:t>
            </w:r>
            <w:r w:rsidRPr="00144A15">
              <w:t>Department of Economic Development, Jobs, Transport and Resources</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sidRPr="000F135B">
              <w:rPr>
                <w:b/>
              </w:rPr>
              <w:t>DTF</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 xml:space="preserve">Refers to the </w:t>
            </w:r>
            <w:r w:rsidRPr="000F135B">
              <w:t>Department of Treasury and Finance</w:t>
            </w:r>
            <w:r>
              <w:t>.</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0D2547" w:rsidP="00D906BF">
            <w:pPr>
              <w:spacing w:before="60"/>
              <w:rPr>
                <w:b/>
              </w:rPr>
            </w:pPr>
            <w:r>
              <w:rPr>
                <w:b/>
              </w:rPr>
              <w:t>Government</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Government, in the context of the Decision-Making Framework, refers to the State Government of Victoria.</w:t>
            </w:r>
            <w:r w:rsidR="002C60B6">
              <w:t xml:space="preserve"> </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sidRPr="00144A15">
              <w:rPr>
                <w:b/>
              </w:rPr>
              <w:t xml:space="preserve">Independent Expert </w:t>
            </w:r>
            <w:r>
              <w:rPr>
                <w:b/>
              </w:rPr>
              <w:t xml:space="preserve">Advisory </w:t>
            </w:r>
            <w:r w:rsidRPr="00144A15">
              <w:rPr>
                <w:b/>
              </w:rPr>
              <w:t>Panel (</w:t>
            </w:r>
            <w:r>
              <w:rPr>
                <w:b/>
              </w:rPr>
              <w:t>IEAP</w:t>
            </w:r>
            <w:r w:rsidRPr="00144A15">
              <w:rPr>
                <w:b/>
              </w:rPr>
              <w:t>)</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An independent panel of experts convened to provide expert advice to the Minister and DEDJTR regarding the commercial, environmental and technical merits of brown coal projects seeking Victorian Government support via the Decision-Making Framework.</w:t>
            </w:r>
            <w:r w:rsidR="002C60B6">
              <w:t xml:space="preserve"> </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Pr>
                <w:b/>
              </w:rPr>
              <w:t>Invest Victoria</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The Victorian Government’s investment promotion agency, providing practical support to international investors such as free confidential services, project facilitation and expert professional advice.</w:t>
            </w:r>
            <w:r w:rsidR="002C60B6">
              <w:t xml:space="preserve"> </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sidRPr="000F135B">
              <w:rPr>
                <w:b/>
              </w:rPr>
              <w:t>Minister</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Refers to the Minister for Resources.</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0D2547" w:rsidRDefault="00884D7B" w:rsidP="00D906BF">
            <w:pPr>
              <w:spacing w:before="60"/>
              <w:rPr>
                <w:b/>
              </w:rPr>
            </w:pPr>
            <w:r w:rsidRPr="00376D73">
              <w:rPr>
                <w:b/>
              </w:rPr>
              <w:t>National Greenhouse and</w:t>
            </w:r>
            <w:r w:rsidR="002C60B6">
              <w:rPr>
                <w:b/>
              </w:rPr>
              <w:t xml:space="preserve"> Energy Reporting System</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The single national framework for reporting and disseminating company information about greenhouse gas emissions, energy production, energy consumption and other information specified under the enabling</w:t>
            </w:r>
            <w:r w:rsidR="000D2547">
              <w:t xml:space="preserve"> Commonwealth</w:t>
            </w:r>
            <w:r>
              <w:t xml:space="preserve"> </w:t>
            </w:r>
            <w:r w:rsidRPr="00A06A39">
              <w:rPr>
                <w:i/>
              </w:rPr>
              <w:t>National Greenhouse and Energy Reporting Act 2007</w:t>
            </w:r>
            <w:r>
              <w:t>.</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2C469A" w:rsidRDefault="00D84C49" w:rsidP="00D906BF">
            <w:pPr>
              <w:spacing w:before="60"/>
              <w:rPr>
                <w:b/>
              </w:rPr>
            </w:pPr>
            <w:r>
              <w:rPr>
                <w:b/>
              </w:rPr>
              <w:t>Project Management System</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E210B" w:rsidRPr="002C469A" w:rsidRDefault="00884D7B" w:rsidP="00D906BF">
            <w:pPr>
              <w:spacing w:before="60"/>
            </w:pPr>
            <w:r w:rsidRPr="002C469A">
              <w:t>Typically, a software package with the capacity to assist in the planning, organisation and resource management of a project.</w:t>
            </w:r>
            <w:r w:rsidR="002C60B6">
              <w:t xml:space="preserve"> </w:t>
            </w:r>
            <w:r w:rsidRPr="002C469A">
              <w:t>A well-developed system can manage estimation and planning, scheduling, cost control and budget management, among other project facets.</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D84C49" w:rsidRDefault="00D84C49" w:rsidP="00D906BF">
            <w:pPr>
              <w:spacing w:before="60"/>
              <w:rPr>
                <w:b/>
              </w:rPr>
            </w:pPr>
            <w:r>
              <w:rPr>
                <w:b/>
              </w:rPr>
              <w:t>Proponent</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A proponent, in the context of the Decision-Making Framework, refers to any individual or organisation seeking to establish a commercial project using greater than 27,000 tonnes of Victorian brown coal.</w:t>
            </w:r>
          </w:p>
        </w:tc>
      </w:tr>
      <w:tr w:rsidR="00884D7B" w:rsidTr="00D84C49">
        <w:tc>
          <w:tcPr>
            <w:tcW w:w="3510" w:type="dxa"/>
            <w:tcBorders>
              <w:top w:val="single" w:sz="4" w:space="0" w:color="FFFFFF" w:themeColor="background1"/>
              <w:left w:val="single" w:sz="4" w:space="0" w:color="auto"/>
              <w:bottom w:val="single" w:sz="4" w:space="0" w:color="auto"/>
              <w:right w:val="single" w:sz="4" w:space="0" w:color="auto"/>
            </w:tcBorders>
            <w:shd w:val="clear" w:color="auto" w:fill="auto"/>
          </w:tcPr>
          <w:p w:rsidR="00884D7B" w:rsidRPr="00D84C49" w:rsidRDefault="00D84C49" w:rsidP="00D906BF">
            <w:pPr>
              <w:spacing w:before="60"/>
              <w:rPr>
                <w:b/>
              </w:rPr>
            </w:pPr>
            <w:r>
              <w:rPr>
                <w:b/>
              </w:rPr>
              <w:t>Proposal</w:t>
            </w:r>
          </w:p>
        </w:tc>
        <w:tc>
          <w:tcPr>
            <w:tcW w:w="5732" w:type="dxa"/>
            <w:tcBorders>
              <w:top w:val="single" w:sz="4" w:space="0" w:color="FFFFFF" w:themeColor="background1"/>
              <w:left w:val="single" w:sz="4" w:space="0" w:color="auto"/>
              <w:bottom w:val="single" w:sz="4" w:space="0" w:color="auto"/>
              <w:right w:val="single" w:sz="4" w:space="0" w:color="auto"/>
            </w:tcBorders>
            <w:shd w:val="clear" w:color="auto" w:fill="auto"/>
          </w:tcPr>
          <w:p w:rsidR="00884D7B" w:rsidRDefault="00884D7B" w:rsidP="00D906BF">
            <w:pPr>
              <w:spacing w:before="60"/>
            </w:pPr>
            <w:r>
              <w:t>A proposal, in the context of the Decision-Making Framework, refers to an individual or organisation’s intention to develop a commercial project using greater than 27,000 tonnes of Victorian brown coal.</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376D73" w:rsidRDefault="00884D7B" w:rsidP="00D906BF">
            <w:pPr>
              <w:spacing w:before="60"/>
              <w:rPr>
                <w:b/>
              </w:rPr>
            </w:pPr>
            <w:r>
              <w:rPr>
                <w:b/>
              </w:rPr>
              <w:t>Relative net benefit</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Relative net benefit, in the context of the Decision-Making Framework, is the overall assessed economic benefit to the State of Victoria after analysis of all the costs associated with Government support for a project are accounted for.</w:t>
            </w:r>
            <w:r w:rsidR="002C60B6">
              <w:t xml:space="preserve"> </w:t>
            </w:r>
          </w:p>
        </w:tc>
      </w:tr>
      <w:tr w:rsidR="00884D7B" w:rsidTr="00D84C49">
        <w:tc>
          <w:tcPr>
            <w:tcW w:w="3510" w:type="dxa"/>
            <w:tcBorders>
              <w:top w:val="single" w:sz="4" w:space="0" w:color="auto"/>
              <w:left w:val="single" w:sz="4" w:space="0" w:color="auto"/>
              <w:bottom w:val="single" w:sz="4" w:space="0" w:color="auto"/>
              <w:right w:val="single" w:sz="4" w:space="0" w:color="auto"/>
            </w:tcBorders>
            <w:shd w:val="clear" w:color="auto" w:fill="auto"/>
          </w:tcPr>
          <w:p w:rsidR="00884D7B" w:rsidRPr="00D84C49" w:rsidRDefault="00D84C49" w:rsidP="00D906BF">
            <w:pPr>
              <w:spacing w:before="60"/>
              <w:rPr>
                <w:b/>
              </w:rPr>
            </w:pPr>
            <w:r>
              <w:rPr>
                <w:b/>
              </w:rPr>
              <w:t>Run of mine</w:t>
            </w:r>
          </w:p>
        </w:tc>
        <w:tc>
          <w:tcPr>
            <w:tcW w:w="5732" w:type="dxa"/>
            <w:tcBorders>
              <w:top w:val="single" w:sz="4" w:space="0" w:color="auto"/>
              <w:left w:val="single" w:sz="4" w:space="0" w:color="auto"/>
              <w:bottom w:val="single" w:sz="4" w:space="0" w:color="auto"/>
              <w:right w:val="single" w:sz="4" w:space="0" w:color="auto"/>
            </w:tcBorders>
            <w:shd w:val="clear" w:color="auto" w:fill="auto"/>
          </w:tcPr>
          <w:p w:rsidR="00884D7B" w:rsidRDefault="00884D7B" w:rsidP="00D906BF">
            <w:pPr>
              <w:spacing w:before="60"/>
            </w:pPr>
            <w:r>
              <w:t xml:space="preserve">A term used to describe ore or coal that is crude, unprocessed or ungraded etc. </w:t>
            </w:r>
          </w:p>
        </w:tc>
      </w:tr>
    </w:tbl>
    <w:p w:rsidR="00E75531" w:rsidRDefault="00E75531" w:rsidP="006522E5">
      <w:pPr>
        <w:spacing w:before="0" w:after="200"/>
        <w:sectPr w:rsidR="00E75531" w:rsidSect="00943705">
          <w:footerReference w:type="default" r:id="rId18"/>
          <w:pgSz w:w="11906" w:h="16838"/>
          <w:pgMar w:top="1440" w:right="1440" w:bottom="1440" w:left="1440" w:header="708" w:footer="137" w:gutter="0"/>
          <w:pgNumType w:start="1"/>
          <w:cols w:space="708"/>
          <w:titlePg/>
          <w:docGrid w:linePitch="360"/>
        </w:sectPr>
      </w:pPr>
    </w:p>
    <w:p w:rsidR="00E75531" w:rsidRDefault="00E75531" w:rsidP="00E75531">
      <w:pPr>
        <w:pStyle w:val="Heading1"/>
        <w:numPr>
          <w:ilvl w:val="0"/>
          <w:numId w:val="0"/>
        </w:numPr>
      </w:pPr>
      <w:bookmarkStart w:id="102" w:name="_Toc521932859"/>
      <w:r>
        <w:lastRenderedPageBreak/>
        <w:t xml:space="preserve">Appendix 1 </w:t>
      </w:r>
      <w:r w:rsidR="005C6091">
        <w:t>–</w:t>
      </w:r>
      <w:r>
        <w:t xml:space="preserve"> </w:t>
      </w:r>
      <w:r w:rsidR="005C6091">
        <w:t xml:space="preserve">Simple Proposal </w:t>
      </w:r>
      <w:r>
        <w:t>Submission Template</w:t>
      </w:r>
      <w:bookmarkEnd w:id="102"/>
    </w:p>
    <w:p w:rsidR="00E75531" w:rsidRDefault="00E75531" w:rsidP="00A4012D">
      <w:pPr>
        <w:rPr>
          <w:color w:val="365F91" w:themeColor="accent1" w:themeShade="BF"/>
          <w:sz w:val="28"/>
          <w:szCs w:val="28"/>
          <w:lang w:val="en-GB"/>
        </w:rPr>
      </w:pPr>
      <w:r w:rsidRPr="00A4012D">
        <w:rPr>
          <w:color w:val="365F91" w:themeColor="accent1" w:themeShade="BF"/>
          <w:sz w:val="28"/>
          <w:szCs w:val="28"/>
          <w:lang w:val="en-GB"/>
        </w:rPr>
        <w:t>PART A: Executive Summary</w:t>
      </w:r>
    </w:p>
    <w:p w:rsidR="00A4012D" w:rsidRPr="00A4012D" w:rsidRDefault="00A4012D" w:rsidP="00A4012D">
      <w:pPr>
        <w:rPr>
          <w:lang w:val="en-GB"/>
        </w:rPr>
      </w:pPr>
    </w:p>
    <w:p w:rsidR="00E75531" w:rsidRPr="00703E68" w:rsidRDefault="00E75531" w:rsidP="00E75531">
      <w:r w:rsidRPr="00703E68">
        <w:t>Title of the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p w:rsidR="00E75531" w:rsidRPr="00703E68" w:rsidRDefault="00E75531" w:rsidP="00E75531">
      <w:r w:rsidRPr="00703E68">
        <w:t>Location.</w:t>
      </w:r>
      <w:r w:rsidR="002C60B6">
        <w:t xml:space="preserve"> </w:t>
      </w:r>
      <w:r w:rsidRPr="00703E68">
        <w:t>Where the project will be conducted including host organisation and physical address.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p w:rsidR="00E75531" w:rsidRPr="00703E68" w:rsidRDefault="00E75531" w:rsidP="00E75531">
      <w:r w:rsidRPr="00703E68">
        <w:t>Total Budget</w:t>
      </w:r>
      <w:r w:rsidR="002876BF">
        <w:t xml:space="preserve"> (from all sources </w:t>
      </w:r>
      <w:r w:rsidR="003E078D">
        <w:t xml:space="preserve">- </w:t>
      </w:r>
      <w:r w:rsidR="003E078D" w:rsidRPr="00703E68">
        <w:t>including</w:t>
      </w:r>
      <w:r w:rsidRPr="00703E68">
        <w:t xml:space="preserve"> requested funding, in-kind and cash contributions</w:t>
      </w:r>
      <w:r w:rsidR="002876BF">
        <w:t>)</w:t>
      </w:r>
      <w:r w:rsidRPr="00703E68">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p w:rsidR="00E75531" w:rsidRPr="00703E68" w:rsidRDefault="00E75531" w:rsidP="00E75531">
      <w:r w:rsidRPr="00703E68">
        <w:t>Duration of the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p w:rsidR="00E75531" w:rsidRPr="00703E68" w:rsidRDefault="00E75531" w:rsidP="00E75531">
      <w:r>
        <w:t xml:space="preserve">Identified Victorian Government funding </w:t>
      </w:r>
      <w:r w:rsidRPr="003B20B6">
        <w:t>source</w:t>
      </w:r>
      <w:r>
        <w:t xml:space="preserve"> and its eligibility criteria (if applicable)</w:t>
      </w:r>
      <w:r w:rsidRPr="00703E68">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Default="00E75531" w:rsidP="00E75531"/>
    <w:p w:rsidR="00E75531" w:rsidRDefault="00E75531" w:rsidP="00E75531">
      <w:r w:rsidRPr="00703E68">
        <w:t>Abstract of proposal. (maximum 300 words)</w:t>
      </w:r>
    </w:p>
    <w:p w:rsidR="00E75531" w:rsidRPr="00703E68" w:rsidRDefault="00E75531" w:rsidP="00E75531">
      <w:r w:rsidRPr="00703E68">
        <w:t>Provide a brief description of the objectives and methodology of the project, in addition to the immediate and longer term expected outcomes and impacts from the project and the timeframes in which they will be achieved.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p w:rsidR="00E75531" w:rsidRPr="00703E68" w:rsidRDefault="00E75531" w:rsidP="00E75531">
      <w:r w:rsidRPr="00703E68">
        <w:t>Participating organisation(s).</w:t>
      </w:r>
      <w:r w:rsidR="002C60B6">
        <w:t xml:space="preserve"> </w:t>
      </w:r>
      <w:r w:rsidRPr="00703E68">
        <w:t>List the names of participating and/or collaborating organisations and their ABNs.</w:t>
      </w:r>
    </w:p>
    <w:p w:rsidR="00E75531" w:rsidRPr="00703E68" w:rsidRDefault="00E75531" w:rsidP="00E75531"/>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242"/>
      </w:tblGrid>
      <w:tr w:rsidR="00E75531" w:rsidRPr="00703E68" w:rsidTr="00E75531">
        <w:trPr>
          <w:cantSplit/>
          <w:trHeight w:val="318"/>
        </w:trPr>
        <w:tc>
          <w:tcPr>
            <w:tcW w:w="9242" w:type="dxa"/>
          </w:tcPr>
          <w:p w:rsidR="00E75531" w:rsidRPr="00703E68" w:rsidRDefault="00E75531" w:rsidP="00E75531">
            <w:r w:rsidRPr="00703E68">
              <w:t xml:space="preserve">Private Sector / Industry Participants </w:t>
            </w:r>
          </w:p>
          <w:p w:rsidR="00E75531" w:rsidRPr="00703E68" w:rsidRDefault="00E75531" w:rsidP="00E75531">
            <w:r w:rsidRPr="00703E68">
              <w:t>(Entities whose majority of revenue is not derived from government appropriations)</w:t>
            </w:r>
          </w:p>
        </w:tc>
      </w:tr>
      <w:tr w:rsidR="00E75531" w:rsidRPr="00703E68" w:rsidTr="00E75531">
        <w:trPr>
          <w:cantSplit/>
          <w:trHeight w:val="318"/>
        </w:trPr>
        <w:tc>
          <w:tcPr>
            <w:tcW w:w="9242" w:type="dxa"/>
          </w:tcPr>
          <w:p w:rsidR="00E75531" w:rsidRPr="00703E68" w:rsidRDefault="00E75531" w:rsidP="00E75531"/>
        </w:tc>
      </w:tr>
      <w:tr w:rsidR="00E75531" w:rsidRPr="00703E68" w:rsidTr="00E75531">
        <w:trPr>
          <w:cantSplit/>
          <w:trHeight w:val="318"/>
        </w:trPr>
        <w:tc>
          <w:tcPr>
            <w:tcW w:w="9242" w:type="dxa"/>
          </w:tcPr>
          <w:p w:rsidR="00E75531" w:rsidRPr="00703E68" w:rsidRDefault="00E75531" w:rsidP="00E75531">
            <w:r w:rsidRPr="00703E68">
              <w:t xml:space="preserve">Public Sector Participants </w:t>
            </w:r>
          </w:p>
          <w:p w:rsidR="00E75531" w:rsidRPr="00703E68" w:rsidRDefault="00E75531" w:rsidP="00E75531">
            <w:r w:rsidRPr="00703E68">
              <w:t>(Universities, Public Research Organisations, Government Agencies)</w:t>
            </w:r>
          </w:p>
        </w:tc>
      </w:tr>
      <w:tr w:rsidR="00E75531" w:rsidRPr="00703E68" w:rsidTr="00E75531">
        <w:trPr>
          <w:cantSplit/>
          <w:trHeight w:val="318"/>
        </w:trPr>
        <w:tc>
          <w:tcPr>
            <w:tcW w:w="9242" w:type="dxa"/>
          </w:tcPr>
          <w:p w:rsidR="00E75531" w:rsidRPr="00703E68" w:rsidRDefault="00E75531" w:rsidP="00E75531"/>
        </w:tc>
      </w:tr>
    </w:tbl>
    <w:p w:rsidR="00E75531" w:rsidRPr="00703E68" w:rsidRDefault="00E75531" w:rsidP="00E75531"/>
    <w:p w:rsidR="00E75531" w:rsidRPr="00703E68" w:rsidRDefault="00E75531" w:rsidP="00E75531">
      <w:r w:rsidRPr="00703E68">
        <w:t>Lead Organisation* and Principal contact.</w:t>
      </w:r>
    </w:p>
    <w:p w:rsidR="00E75531" w:rsidRPr="00703E68" w:rsidRDefault="00E75531" w:rsidP="00E75531">
      <w:r w:rsidRPr="00703E68">
        <w:t xml:space="preserve">(Provide details of the organisation leading the </w:t>
      </w:r>
      <w:r>
        <w:t>proposal</w:t>
      </w:r>
      <w:r w:rsidRPr="00703E68">
        <w:t xml:space="preserve"> and details for the principal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3605"/>
      </w:tblGrid>
      <w:tr w:rsidR="00E75531" w:rsidRPr="00703E68" w:rsidTr="00E75531">
        <w:tc>
          <w:tcPr>
            <w:tcW w:w="2376" w:type="dxa"/>
          </w:tcPr>
          <w:p w:rsidR="00E75531" w:rsidRPr="00703E68" w:rsidRDefault="00E75531" w:rsidP="00E75531">
            <w:r w:rsidRPr="00703E68">
              <w:lastRenderedPageBreak/>
              <w:t>Organisation</w:t>
            </w:r>
          </w:p>
        </w:tc>
        <w:tc>
          <w:tcPr>
            <w:tcW w:w="6866" w:type="dxa"/>
            <w:gridSpan w:val="2"/>
          </w:tcPr>
          <w:p w:rsidR="00E75531" w:rsidRPr="00703E68" w:rsidRDefault="00E75531" w:rsidP="00E75531"/>
        </w:tc>
      </w:tr>
      <w:tr w:rsidR="00E75531" w:rsidRPr="00703E68" w:rsidTr="00E75531">
        <w:tc>
          <w:tcPr>
            <w:tcW w:w="2376" w:type="dxa"/>
          </w:tcPr>
          <w:p w:rsidR="00E75531" w:rsidRPr="00703E68" w:rsidRDefault="00E75531" w:rsidP="00E75531">
            <w:r w:rsidRPr="00703E68">
              <w:t>ABN</w:t>
            </w:r>
          </w:p>
        </w:tc>
        <w:tc>
          <w:tcPr>
            <w:tcW w:w="6866" w:type="dxa"/>
            <w:gridSpan w:val="2"/>
          </w:tcPr>
          <w:p w:rsidR="00E75531" w:rsidRPr="00703E68" w:rsidRDefault="00E75531" w:rsidP="00E75531"/>
        </w:tc>
      </w:tr>
      <w:tr w:rsidR="00E75531" w:rsidRPr="00703E68" w:rsidTr="00E75531">
        <w:tc>
          <w:tcPr>
            <w:tcW w:w="2376" w:type="dxa"/>
          </w:tcPr>
          <w:p w:rsidR="00E75531" w:rsidRPr="00703E68" w:rsidRDefault="00E75531" w:rsidP="00E75531">
            <w:r w:rsidRPr="00703E68">
              <w:t>Contact Name</w:t>
            </w:r>
          </w:p>
        </w:tc>
        <w:tc>
          <w:tcPr>
            <w:tcW w:w="6866" w:type="dxa"/>
            <w:gridSpan w:val="2"/>
          </w:tcPr>
          <w:p w:rsidR="00E75531" w:rsidRPr="00703E68" w:rsidRDefault="00E75531" w:rsidP="00E75531"/>
        </w:tc>
      </w:tr>
      <w:tr w:rsidR="00E75531" w:rsidRPr="00703E68" w:rsidTr="00E75531">
        <w:tc>
          <w:tcPr>
            <w:tcW w:w="2376" w:type="dxa"/>
          </w:tcPr>
          <w:p w:rsidR="00E75531" w:rsidRPr="00703E68" w:rsidRDefault="00E75531" w:rsidP="00E75531">
            <w:r w:rsidRPr="00703E68">
              <w:t>Position</w:t>
            </w:r>
          </w:p>
        </w:tc>
        <w:tc>
          <w:tcPr>
            <w:tcW w:w="6866" w:type="dxa"/>
            <w:gridSpan w:val="2"/>
          </w:tcPr>
          <w:p w:rsidR="00E75531" w:rsidRPr="00703E68" w:rsidRDefault="00E75531" w:rsidP="00E75531"/>
        </w:tc>
      </w:tr>
      <w:tr w:rsidR="00E75531" w:rsidRPr="00703E68" w:rsidTr="00E75531">
        <w:tc>
          <w:tcPr>
            <w:tcW w:w="2376" w:type="dxa"/>
          </w:tcPr>
          <w:p w:rsidR="00E75531" w:rsidRPr="00703E68" w:rsidRDefault="00E75531" w:rsidP="00E75531">
            <w:r w:rsidRPr="00703E68">
              <w:t>Postal address</w:t>
            </w:r>
          </w:p>
        </w:tc>
        <w:tc>
          <w:tcPr>
            <w:tcW w:w="6866" w:type="dxa"/>
            <w:gridSpan w:val="2"/>
          </w:tcPr>
          <w:p w:rsidR="00E75531" w:rsidRPr="00703E68" w:rsidRDefault="00E75531" w:rsidP="00E75531"/>
        </w:tc>
      </w:tr>
      <w:tr w:rsidR="00E75531" w:rsidRPr="00703E68" w:rsidTr="00E75531">
        <w:tc>
          <w:tcPr>
            <w:tcW w:w="2376" w:type="dxa"/>
          </w:tcPr>
          <w:p w:rsidR="00E75531" w:rsidRPr="00703E68" w:rsidRDefault="00E75531" w:rsidP="00E75531">
            <w:r w:rsidRPr="00703E68">
              <w:t>Email address</w:t>
            </w:r>
          </w:p>
        </w:tc>
        <w:tc>
          <w:tcPr>
            <w:tcW w:w="6866" w:type="dxa"/>
            <w:gridSpan w:val="2"/>
          </w:tcPr>
          <w:p w:rsidR="00E75531" w:rsidRPr="00703E68" w:rsidRDefault="00E75531" w:rsidP="00E75531"/>
        </w:tc>
      </w:tr>
      <w:tr w:rsidR="00E75531" w:rsidRPr="00703E68" w:rsidTr="00E75531">
        <w:trPr>
          <w:cantSplit/>
        </w:trPr>
        <w:tc>
          <w:tcPr>
            <w:tcW w:w="2376" w:type="dxa"/>
          </w:tcPr>
          <w:p w:rsidR="00E75531" w:rsidRPr="00703E68" w:rsidRDefault="00E75531" w:rsidP="00E75531">
            <w:r w:rsidRPr="00703E68">
              <w:t>Phone numbers</w:t>
            </w:r>
          </w:p>
        </w:tc>
        <w:tc>
          <w:tcPr>
            <w:tcW w:w="3261" w:type="dxa"/>
          </w:tcPr>
          <w:p w:rsidR="00E75531" w:rsidRPr="00703E68" w:rsidRDefault="00E75531" w:rsidP="00E75531">
            <w:r w:rsidRPr="00703E68">
              <w:t>B/H</w:t>
            </w:r>
          </w:p>
        </w:tc>
        <w:tc>
          <w:tcPr>
            <w:tcW w:w="3605" w:type="dxa"/>
          </w:tcPr>
          <w:p w:rsidR="00E75531" w:rsidRPr="00703E68" w:rsidRDefault="00E75531" w:rsidP="00E75531">
            <w:r w:rsidRPr="00703E68">
              <w:t>Mobile</w:t>
            </w:r>
          </w:p>
        </w:tc>
      </w:tr>
    </w:tbl>
    <w:p w:rsidR="00E75531" w:rsidRDefault="00E75531" w:rsidP="00E75531">
      <w:r w:rsidRPr="00703E68">
        <w:t xml:space="preserve">* Note that a </w:t>
      </w:r>
      <w:r>
        <w:t xml:space="preserve">Departmental </w:t>
      </w:r>
      <w:r w:rsidRPr="00703E68">
        <w:t xml:space="preserve">finance risk assessment </w:t>
      </w:r>
      <w:r>
        <w:t>will</w:t>
      </w:r>
      <w:r w:rsidRPr="00703E68">
        <w:t xml:space="preserve"> be conducted on the lead organisation.</w:t>
      </w:r>
    </w:p>
    <w:p w:rsidR="00A4012D" w:rsidRDefault="00A4012D" w:rsidP="00E75531"/>
    <w:p w:rsidR="00A4012D" w:rsidRPr="00703E68" w:rsidRDefault="00A4012D" w:rsidP="00E75531"/>
    <w:p w:rsidR="00A4012D" w:rsidRDefault="00A4012D">
      <w:pPr>
        <w:spacing w:before="0" w:after="200" w:line="276" w:lineRule="auto"/>
        <w:rPr>
          <w:b/>
          <w:color w:val="365F91" w:themeColor="accent1" w:themeShade="BF"/>
          <w:sz w:val="28"/>
          <w:lang w:val="en-GB"/>
        </w:rPr>
      </w:pPr>
      <w:r>
        <w:rPr>
          <w:b/>
          <w:color w:val="365F91" w:themeColor="accent1" w:themeShade="BF"/>
          <w:sz w:val="28"/>
          <w:lang w:val="en-GB"/>
        </w:rPr>
        <w:br w:type="page"/>
      </w:r>
    </w:p>
    <w:p w:rsidR="00E75531" w:rsidRPr="003D67E3" w:rsidRDefault="00E75531" w:rsidP="00A4012D">
      <w:pPr>
        <w:rPr>
          <w:color w:val="365F91" w:themeColor="accent1" w:themeShade="BF"/>
          <w:sz w:val="28"/>
          <w:szCs w:val="28"/>
          <w:lang w:val="en-GB"/>
        </w:rPr>
      </w:pPr>
      <w:r w:rsidRPr="003D67E3">
        <w:rPr>
          <w:color w:val="365F91" w:themeColor="accent1" w:themeShade="BF"/>
          <w:sz w:val="28"/>
          <w:szCs w:val="28"/>
          <w:lang w:val="en-GB"/>
        </w:rPr>
        <w:lastRenderedPageBreak/>
        <w:t>PART B: Details of Proposal: (Up to approx. ten A4 pages)</w:t>
      </w:r>
    </w:p>
    <w:p w:rsidR="00A4012D" w:rsidRDefault="00A4012D" w:rsidP="00A4012D">
      <w:pPr>
        <w:rPr>
          <w:szCs w:val="22"/>
          <w:lang w:val="en-GB"/>
        </w:rPr>
      </w:pPr>
    </w:p>
    <w:p w:rsidR="00A4012D" w:rsidRPr="00A4012D" w:rsidRDefault="00E75531" w:rsidP="00A4012D">
      <w:pPr>
        <w:rPr>
          <w:b/>
          <w:color w:val="365F91" w:themeColor="accent1" w:themeShade="BF"/>
          <w:sz w:val="24"/>
          <w:u w:val="single"/>
        </w:rPr>
      </w:pPr>
      <w:r w:rsidRPr="00A4012D">
        <w:rPr>
          <w:b/>
          <w:color w:val="365F91" w:themeColor="accent1" w:themeShade="BF"/>
          <w:sz w:val="24"/>
        </w:rPr>
        <w:t>Project personnel for both lead and collaborating organisation</w:t>
      </w:r>
    </w:p>
    <w:p w:rsidR="00E75531" w:rsidRPr="00703E68" w:rsidRDefault="00A4012D" w:rsidP="00A4012D">
      <w:r>
        <w:rPr>
          <w:u w:val="single"/>
        </w:rPr>
        <w:t>I</w:t>
      </w:r>
      <w:r w:rsidR="00E75531" w:rsidRPr="00BF538E">
        <w:rPr>
          <w:u w:val="single"/>
        </w:rPr>
        <w:t>nclude for each person the following</w:t>
      </w:r>
      <w:r w:rsidR="00E75531" w:rsidRPr="00703E68">
        <w:t>:</w:t>
      </w:r>
    </w:p>
    <w:p w:rsidR="00E75531" w:rsidRDefault="00E75531" w:rsidP="00E75531"/>
    <w:p w:rsidR="00E75531" w:rsidRPr="00703E68" w:rsidRDefault="00E75531" w:rsidP="00E75531">
      <w:r w:rsidRPr="00703E68">
        <w:t>title name and expected role in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r w:rsidRPr="00703E68">
        <w:t>current position /appointments;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r w:rsidRPr="00703E68">
        <w:t>postal address;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r w:rsidRPr="00703E68">
        <w:t>telephone / fax and email;</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Default="00E75531" w:rsidP="00E75531"/>
    <w:p w:rsidR="00E75531" w:rsidRPr="00703E68" w:rsidRDefault="00E75531" w:rsidP="00E75531">
      <w:r w:rsidRPr="00703E68">
        <w:t>qualifications and track record in similar projects;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r w:rsidRPr="00703E68">
        <w:t>percentage of working time to be devoted to this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tc>
      </w:tr>
    </w:tbl>
    <w:p w:rsidR="00E75531" w:rsidRPr="00703E68" w:rsidRDefault="00E75531" w:rsidP="00E75531"/>
    <w:p w:rsidR="00E75531" w:rsidRPr="00703E68" w:rsidRDefault="00E75531" w:rsidP="00E75531">
      <w:r w:rsidRPr="00703E68">
        <w:t>Describe the project management structure and provide your assessment of the soundness of the project governance e.g. consider a steering committee, peer review, a reference group or other governance process.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rsidRPr="00703E68">
        <w:t>Relevance and importance of the project.</w:t>
      </w:r>
      <w:r w:rsidR="002C60B6">
        <w:t xml:space="preserve"> </w:t>
      </w:r>
      <w:r w:rsidRPr="00703E68">
        <w:t xml:space="preserve">Demonstrate the need for the proposed project including </w:t>
      </w:r>
      <w:r>
        <w:t xml:space="preserve">its </w:t>
      </w:r>
      <w:r w:rsidRPr="00703E68">
        <w:t>importance and relevance of the issue to the State</w:t>
      </w:r>
      <w:r>
        <w:t>’s policy for coal</w:t>
      </w:r>
      <w:r w:rsidRPr="00703E68">
        <w:t xml:space="preserve"> and existing or future industr</w:t>
      </w:r>
      <w:r>
        <w:t>ies</w:t>
      </w:r>
      <w:r w:rsidRPr="00703E68">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t>Work done to-date</w:t>
      </w:r>
      <w:r w:rsidRPr="00703E68">
        <w:t>.</w:t>
      </w:r>
      <w:r w:rsidR="002C60B6">
        <w:t xml:space="preserve"> </w:t>
      </w:r>
      <w:r w:rsidRPr="00703E68">
        <w:t xml:space="preserve">A brief description of relevant </w:t>
      </w:r>
      <w:r>
        <w:t>work done by the proponent to-date,</w:t>
      </w:r>
      <w:r w:rsidRPr="00703E68">
        <w:t xml:space="preserve"> and evidence summarised in a way that explains and justifies the rationale for the project.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A4012D" w:rsidRDefault="00A4012D" w:rsidP="00E75531"/>
    <w:p w:rsidR="00A4012D" w:rsidRDefault="00A4012D" w:rsidP="00E75531"/>
    <w:p w:rsidR="00E75531" w:rsidRPr="00703E68" w:rsidRDefault="00E75531" w:rsidP="00E75531">
      <w:r w:rsidRPr="00703E68">
        <w:lastRenderedPageBreak/>
        <w:t>Objectives. Clearly describe the objectives of the project</w:t>
      </w:r>
      <w:r>
        <w:t xml:space="preserve"> compared against the Victorian Government policy for coal, and the (identified) Government funding source</w:t>
      </w:r>
      <w:r w:rsidRPr="00703E68">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rsidRPr="00703E68">
        <w:t>Methodology and project design.</w:t>
      </w:r>
      <w:r w:rsidR="002C60B6">
        <w:t xml:space="preserve"> </w:t>
      </w:r>
      <w:r w:rsidRPr="00703E68">
        <w:t>Describe how the proposed project will address the specific objectives</w:t>
      </w:r>
      <w: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rsidRPr="00703E68">
        <w:t>Evaluation.</w:t>
      </w:r>
      <w:r w:rsidR="002C60B6">
        <w:t xml:space="preserve"> </w:t>
      </w:r>
      <w:r w:rsidRPr="00703E68">
        <w:t>In order to assess the potential impact of the project outcomes, a detailed and valid evaluation plan is required.</w:t>
      </w:r>
      <w:r w:rsidR="002C60B6">
        <w:t xml:space="preserve"> </w:t>
      </w:r>
      <w:r w:rsidRPr="00703E68">
        <w:t xml:space="preserve">Describe how </w:t>
      </w:r>
      <w:r>
        <w:t>the proponent</w:t>
      </w:r>
      <w:r w:rsidRPr="00703E68">
        <w:t xml:space="preserve"> intend to evaluate the impact of the project with regard to the objectives and short and long term expected outcomes.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t>P</w:t>
      </w:r>
      <w:r w:rsidRPr="00703E68">
        <w:t xml:space="preserve">roject </w:t>
      </w:r>
      <w:r>
        <w:t>P</w:t>
      </w:r>
      <w:r w:rsidRPr="00703E68">
        <w:t>lan.</w:t>
      </w:r>
      <w:r w:rsidR="002C60B6">
        <w:t xml:space="preserve"> </w:t>
      </w:r>
      <w:r w:rsidRPr="00703E68">
        <w:t>Include a project plan and timelines that include a breakdown of all critical milestones and targets.</w:t>
      </w:r>
      <w:r w:rsidR="002C60B6">
        <w:t xml:space="preserve"> </w:t>
      </w:r>
      <w:r w:rsidRPr="00703E68">
        <w:t xml:space="preserve">Progress reports will be required at agreed intervals and should be linked to project milestones.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Default="00E75531" w:rsidP="00E75531">
      <w:pPr>
        <w:spacing w:before="0" w:after="200" w:line="276" w:lineRule="auto"/>
      </w:pPr>
    </w:p>
    <w:p w:rsidR="00E75531" w:rsidRPr="00703E68" w:rsidRDefault="00E75531" w:rsidP="00E75531">
      <w:r w:rsidRPr="00703E68">
        <w:t>Barriers to implementation.</w:t>
      </w:r>
      <w:r w:rsidR="002C60B6">
        <w:t xml:space="preserve"> </w:t>
      </w:r>
      <w:r w:rsidRPr="00703E68">
        <w:t>Describe key issues and contingencies that may impact upon the successful implementation of the project including any potential bias or conflict. Include strategies to mitigate the barriers identified.</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A4012D" w:rsidRDefault="00A4012D" w:rsidP="00A4012D">
      <w:pPr>
        <w:rPr>
          <w:b/>
          <w:color w:val="365F91" w:themeColor="accent1" w:themeShade="BF"/>
          <w:sz w:val="22"/>
        </w:rPr>
      </w:pPr>
    </w:p>
    <w:p w:rsidR="00E75531" w:rsidRPr="00A4012D" w:rsidRDefault="00E75531" w:rsidP="00A4012D">
      <w:pPr>
        <w:rPr>
          <w:b/>
          <w:color w:val="365F91" w:themeColor="accent1" w:themeShade="BF"/>
          <w:sz w:val="22"/>
        </w:rPr>
      </w:pPr>
      <w:r w:rsidRPr="00A4012D">
        <w:rPr>
          <w:b/>
          <w:color w:val="365F91" w:themeColor="accent1" w:themeShade="BF"/>
          <w:sz w:val="22"/>
        </w:rPr>
        <w:t>Financial</w:t>
      </w:r>
    </w:p>
    <w:p w:rsidR="00E75531" w:rsidRPr="00703E68" w:rsidRDefault="00E75531" w:rsidP="00E75531"/>
    <w:p w:rsidR="00E75531" w:rsidRPr="00703E68" w:rsidRDefault="00E75531" w:rsidP="00E75531">
      <w:r w:rsidRPr="00703E68">
        <w:t>Project funding summary</w:t>
      </w:r>
      <w:r>
        <w:t xml:space="preserve"> using the following table.</w:t>
      </w:r>
    </w:p>
    <w:p w:rsidR="00E75531" w:rsidRPr="00703E68" w:rsidRDefault="00E75531" w:rsidP="00E755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59"/>
        <w:gridCol w:w="1156"/>
      </w:tblGrid>
      <w:tr w:rsidR="00E75531" w:rsidRPr="00703E68" w:rsidTr="00E75531">
        <w:trPr>
          <w:cantSplit/>
          <w:trHeight w:val="285"/>
        </w:trPr>
        <w:tc>
          <w:tcPr>
            <w:tcW w:w="4644" w:type="dxa"/>
            <w:gridSpan w:val="2"/>
          </w:tcPr>
          <w:p w:rsidR="00E75531" w:rsidRPr="00703E68" w:rsidRDefault="00E75531" w:rsidP="00E75531"/>
        </w:tc>
        <w:tc>
          <w:tcPr>
            <w:tcW w:w="1156" w:type="dxa"/>
          </w:tcPr>
          <w:p w:rsidR="00E75531" w:rsidRPr="00703E68" w:rsidRDefault="00E75531" w:rsidP="00E75531">
            <w:r>
              <w:t xml:space="preserve">$ </w:t>
            </w:r>
            <w:r w:rsidRPr="00703E68">
              <w:t>Total</w:t>
            </w:r>
            <w:r>
              <w:t xml:space="preserve"> </w:t>
            </w:r>
          </w:p>
        </w:tc>
      </w:tr>
      <w:tr w:rsidR="00E75531" w:rsidRPr="00703E68" w:rsidTr="00E75531">
        <w:trPr>
          <w:cantSplit/>
          <w:trHeight w:val="428"/>
        </w:trPr>
        <w:tc>
          <w:tcPr>
            <w:tcW w:w="3085" w:type="dxa"/>
            <w:vMerge w:val="restart"/>
          </w:tcPr>
          <w:p w:rsidR="00E75531" w:rsidRPr="00703E68" w:rsidRDefault="00E75531" w:rsidP="00E75531">
            <w:r w:rsidRPr="00703E68">
              <w:t>Total funding required for the project</w:t>
            </w:r>
          </w:p>
        </w:tc>
        <w:tc>
          <w:tcPr>
            <w:tcW w:w="1559" w:type="dxa"/>
          </w:tcPr>
          <w:p w:rsidR="00E75531" w:rsidRPr="00703E68" w:rsidRDefault="00E75531" w:rsidP="00E75531">
            <w:r w:rsidRPr="00703E68">
              <w:t>Salaries</w:t>
            </w:r>
          </w:p>
        </w:tc>
        <w:tc>
          <w:tcPr>
            <w:tcW w:w="1156" w:type="dxa"/>
            <w:vMerge w:val="restart"/>
          </w:tcPr>
          <w:p w:rsidR="00E75531" w:rsidRPr="00703E68" w:rsidRDefault="00E75531" w:rsidP="00E75531"/>
        </w:tc>
      </w:tr>
      <w:tr w:rsidR="00E75531" w:rsidRPr="00703E68" w:rsidTr="00E75531">
        <w:trPr>
          <w:cantSplit/>
          <w:trHeight w:val="427"/>
        </w:trPr>
        <w:tc>
          <w:tcPr>
            <w:tcW w:w="3085" w:type="dxa"/>
            <w:vMerge/>
          </w:tcPr>
          <w:p w:rsidR="00E75531" w:rsidRPr="00703E68" w:rsidRDefault="00E75531" w:rsidP="00E75531"/>
        </w:tc>
        <w:tc>
          <w:tcPr>
            <w:tcW w:w="1559" w:type="dxa"/>
          </w:tcPr>
          <w:p w:rsidR="00E75531" w:rsidRPr="00703E68" w:rsidRDefault="00E75531" w:rsidP="00E75531">
            <w:r w:rsidRPr="00703E68">
              <w:t>Operating</w:t>
            </w:r>
          </w:p>
        </w:tc>
        <w:tc>
          <w:tcPr>
            <w:tcW w:w="1156" w:type="dxa"/>
            <w:vMerge/>
          </w:tcPr>
          <w:p w:rsidR="00E75531" w:rsidRPr="00703E68" w:rsidRDefault="00E75531" w:rsidP="00E75531"/>
        </w:tc>
      </w:tr>
      <w:tr w:rsidR="00E75531" w:rsidRPr="00703E68" w:rsidTr="00E75531">
        <w:trPr>
          <w:cantSplit/>
          <w:trHeight w:val="427"/>
        </w:trPr>
        <w:tc>
          <w:tcPr>
            <w:tcW w:w="3085" w:type="dxa"/>
            <w:vMerge/>
          </w:tcPr>
          <w:p w:rsidR="00E75531" w:rsidRPr="00703E68" w:rsidRDefault="00E75531" w:rsidP="00E75531"/>
        </w:tc>
        <w:tc>
          <w:tcPr>
            <w:tcW w:w="1559" w:type="dxa"/>
          </w:tcPr>
          <w:p w:rsidR="00E75531" w:rsidRPr="00703E68" w:rsidRDefault="00E75531" w:rsidP="00E75531">
            <w:r w:rsidRPr="00703E68">
              <w:t>Equipment</w:t>
            </w:r>
          </w:p>
        </w:tc>
        <w:tc>
          <w:tcPr>
            <w:tcW w:w="1156" w:type="dxa"/>
            <w:vMerge/>
          </w:tcPr>
          <w:p w:rsidR="00E75531" w:rsidRPr="00703E68" w:rsidRDefault="00E75531" w:rsidP="00E75531"/>
        </w:tc>
      </w:tr>
      <w:tr w:rsidR="00E75531" w:rsidRPr="00703E68" w:rsidTr="00E75531">
        <w:trPr>
          <w:cantSplit/>
          <w:trHeight w:val="425"/>
        </w:trPr>
        <w:tc>
          <w:tcPr>
            <w:tcW w:w="3085" w:type="dxa"/>
            <w:vMerge w:val="restart"/>
          </w:tcPr>
          <w:p w:rsidR="00E75531" w:rsidRPr="00703E68" w:rsidRDefault="00E75531" w:rsidP="00E75531">
            <w:r w:rsidRPr="00703E68">
              <w:t>Funding sought from Victorian Government</w:t>
            </w:r>
          </w:p>
        </w:tc>
        <w:tc>
          <w:tcPr>
            <w:tcW w:w="1559" w:type="dxa"/>
          </w:tcPr>
          <w:p w:rsidR="00E75531" w:rsidRPr="00703E68" w:rsidRDefault="00E75531" w:rsidP="00E75531">
            <w:r w:rsidRPr="00703E68">
              <w:t>Salaries</w:t>
            </w:r>
          </w:p>
        </w:tc>
        <w:tc>
          <w:tcPr>
            <w:tcW w:w="1156" w:type="dxa"/>
            <w:vMerge w:val="restart"/>
          </w:tcPr>
          <w:p w:rsidR="00E75531" w:rsidRPr="00703E68" w:rsidRDefault="00E75531" w:rsidP="00E75531"/>
        </w:tc>
      </w:tr>
      <w:tr w:rsidR="00E75531" w:rsidRPr="00703E68" w:rsidTr="00E75531">
        <w:trPr>
          <w:cantSplit/>
          <w:trHeight w:val="425"/>
        </w:trPr>
        <w:tc>
          <w:tcPr>
            <w:tcW w:w="3085" w:type="dxa"/>
            <w:vMerge/>
          </w:tcPr>
          <w:p w:rsidR="00E75531" w:rsidRPr="00703E68" w:rsidRDefault="00E75531" w:rsidP="00E75531"/>
        </w:tc>
        <w:tc>
          <w:tcPr>
            <w:tcW w:w="1559" w:type="dxa"/>
          </w:tcPr>
          <w:p w:rsidR="00E75531" w:rsidRPr="00703E68" w:rsidRDefault="00E75531" w:rsidP="00E75531">
            <w:r w:rsidRPr="00703E68">
              <w:t>Operating</w:t>
            </w:r>
          </w:p>
        </w:tc>
        <w:tc>
          <w:tcPr>
            <w:tcW w:w="1156" w:type="dxa"/>
            <w:vMerge/>
          </w:tcPr>
          <w:p w:rsidR="00E75531" w:rsidRPr="00703E68" w:rsidRDefault="00E75531" w:rsidP="00E75531"/>
        </w:tc>
      </w:tr>
      <w:tr w:rsidR="00E75531" w:rsidRPr="00703E68" w:rsidTr="00E75531">
        <w:trPr>
          <w:cantSplit/>
          <w:trHeight w:val="425"/>
        </w:trPr>
        <w:tc>
          <w:tcPr>
            <w:tcW w:w="3085" w:type="dxa"/>
            <w:vMerge/>
          </w:tcPr>
          <w:p w:rsidR="00E75531" w:rsidRPr="00703E68" w:rsidRDefault="00E75531" w:rsidP="00E75531"/>
        </w:tc>
        <w:tc>
          <w:tcPr>
            <w:tcW w:w="1559" w:type="dxa"/>
          </w:tcPr>
          <w:p w:rsidR="00E75531" w:rsidRPr="00703E68" w:rsidRDefault="00E75531" w:rsidP="00E75531">
            <w:r w:rsidRPr="00703E68">
              <w:t>Equipment</w:t>
            </w:r>
          </w:p>
        </w:tc>
        <w:tc>
          <w:tcPr>
            <w:tcW w:w="1156" w:type="dxa"/>
            <w:vMerge/>
            <w:tcBorders>
              <w:bottom w:val="single" w:sz="4" w:space="0" w:color="auto"/>
            </w:tcBorders>
          </w:tcPr>
          <w:p w:rsidR="00E75531" w:rsidRPr="00703E68" w:rsidRDefault="00E75531" w:rsidP="00E75531"/>
        </w:tc>
      </w:tr>
    </w:tbl>
    <w:p w:rsidR="00E75531" w:rsidRPr="00703E68" w:rsidRDefault="00E75531" w:rsidP="00E75531"/>
    <w:p w:rsidR="00E75531" w:rsidRPr="00703E68" w:rsidRDefault="00E75531" w:rsidP="00E75531">
      <w:r w:rsidRPr="00703E68">
        <w:t>Funding Commitments by participants.</w:t>
      </w:r>
      <w:r w:rsidR="002C60B6">
        <w:t xml:space="preserve"> </w:t>
      </w:r>
      <w:r w:rsidRPr="00703E68">
        <w:t>Detail the relative contributions of each participating organisation. In-kind support means dedication of existing support staff, facilities &amp; administrative services to the project. A letter of support from each organisation should be provided.</w:t>
      </w:r>
    </w:p>
    <w:p w:rsidR="00E75531" w:rsidRPr="00703E68" w:rsidRDefault="00E75531" w:rsidP="00E755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764"/>
        <w:gridCol w:w="1260"/>
        <w:gridCol w:w="1530"/>
      </w:tblGrid>
      <w:tr w:rsidR="00E75531" w:rsidRPr="00703E68" w:rsidTr="00E75531">
        <w:trPr>
          <w:cantSplit/>
          <w:trHeight w:val="285"/>
        </w:trPr>
        <w:tc>
          <w:tcPr>
            <w:tcW w:w="4644" w:type="dxa"/>
          </w:tcPr>
          <w:p w:rsidR="00E75531" w:rsidRPr="00703E68" w:rsidRDefault="00E75531" w:rsidP="00E75531">
            <w:r w:rsidRPr="00703E68">
              <w:t>Participating Organisations</w:t>
            </w:r>
          </w:p>
        </w:tc>
        <w:tc>
          <w:tcPr>
            <w:tcW w:w="1764" w:type="dxa"/>
          </w:tcPr>
          <w:p w:rsidR="00E75531" w:rsidRPr="00703E68" w:rsidRDefault="00E75531" w:rsidP="00E75531">
            <w:r w:rsidRPr="00703E68">
              <w:t>Cash</w:t>
            </w:r>
          </w:p>
          <w:p w:rsidR="00E75531" w:rsidRPr="00703E68" w:rsidRDefault="00E75531" w:rsidP="00E75531">
            <w:r w:rsidRPr="00703E68">
              <w:t>$</w:t>
            </w:r>
          </w:p>
        </w:tc>
        <w:tc>
          <w:tcPr>
            <w:tcW w:w="1260" w:type="dxa"/>
          </w:tcPr>
          <w:p w:rsidR="00E75531" w:rsidRPr="00703E68" w:rsidRDefault="00E75531" w:rsidP="00E75531">
            <w:r w:rsidRPr="00703E68">
              <w:t>In-Kind</w:t>
            </w:r>
          </w:p>
          <w:p w:rsidR="00E75531" w:rsidRPr="00703E68" w:rsidRDefault="00E75531" w:rsidP="00E75531">
            <w:r w:rsidRPr="00703E68">
              <w:t>$</w:t>
            </w:r>
          </w:p>
        </w:tc>
        <w:tc>
          <w:tcPr>
            <w:tcW w:w="1530" w:type="dxa"/>
          </w:tcPr>
          <w:p w:rsidR="00E75531" w:rsidRPr="00703E68" w:rsidRDefault="00E75531" w:rsidP="00E75531">
            <w:r w:rsidRPr="00703E68">
              <w:t>Total</w:t>
            </w:r>
          </w:p>
          <w:p w:rsidR="00E75531" w:rsidRPr="00703E68" w:rsidRDefault="00E75531" w:rsidP="00E75531">
            <w:r w:rsidRPr="00703E68">
              <w:t>$</w:t>
            </w:r>
          </w:p>
        </w:tc>
      </w:tr>
      <w:tr w:rsidR="00E75531" w:rsidRPr="00703E68" w:rsidTr="00E75531">
        <w:trPr>
          <w:cantSplit/>
          <w:trHeight w:val="285"/>
        </w:trPr>
        <w:tc>
          <w:tcPr>
            <w:tcW w:w="4644" w:type="dxa"/>
          </w:tcPr>
          <w:p w:rsidR="00E75531" w:rsidRPr="00703E68" w:rsidRDefault="00E75531" w:rsidP="00E75531"/>
        </w:tc>
        <w:tc>
          <w:tcPr>
            <w:tcW w:w="1764" w:type="dxa"/>
          </w:tcPr>
          <w:p w:rsidR="00E75531" w:rsidRPr="00703E68" w:rsidRDefault="00E75531" w:rsidP="00E75531"/>
        </w:tc>
        <w:tc>
          <w:tcPr>
            <w:tcW w:w="1260" w:type="dxa"/>
          </w:tcPr>
          <w:p w:rsidR="00E75531" w:rsidRPr="00703E68" w:rsidRDefault="00E75531" w:rsidP="00E75531"/>
        </w:tc>
        <w:tc>
          <w:tcPr>
            <w:tcW w:w="1530" w:type="dxa"/>
          </w:tcPr>
          <w:p w:rsidR="00E75531" w:rsidRPr="00703E68" w:rsidRDefault="00E75531" w:rsidP="00E75531"/>
        </w:tc>
      </w:tr>
      <w:tr w:rsidR="00E75531" w:rsidRPr="00703E68" w:rsidTr="00E75531">
        <w:trPr>
          <w:cantSplit/>
          <w:trHeight w:val="285"/>
        </w:trPr>
        <w:tc>
          <w:tcPr>
            <w:tcW w:w="4644" w:type="dxa"/>
          </w:tcPr>
          <w:p w:rsidR="00E75531" w:rsidRPr="00703E68" w:rsidRDefault="00E75531" w:rsidP="00E75531"/>
        </w:tc>
        <w:tc>
          <w:tcPr>
            <w:tcW w:w="1764" w:type="dxa"/>
          </w:tcPr>
          <w:p w:rsidR="00E75531" w:rsidRPr="00703E68" w:rsidRDefault="00E75531" w:rsidP="00E75531"/>
        </w:tc>
        <w:tc>
          <w:tcPr>
            <w:tcW w:w="1260" w:type="dxa"/>
          </w:tcPr>
          <w:p w:rsidR="00E75531" w:rsidRPr="00703E68" w:rsidRDefault="00E75531" w:rsidP="00E75531"/>
        </w:tc>
        <w:tc>
          <w:tcPr>
            <w:tcW w:w="1530" w:type="dxa"/>
          </w:tcPr>
          <w:p w:rsidR="00E75531" w:rsidRPr="00703E68" w:rsidRDefault="00E75531" w:rsidP="00E75531"/>
        </w:tc>
      </w:tr>
    </w:tbl>
    <w:p w:rsidR="00E75531" w:rsidRPr="00703E68" w:rsidRDefault="00E75531" w:rsidP="00E75531"/>
    <w:p w:rsidR="00E75531" w:rsidRPr="00703E68" w:rsidRDefault="00E75531" w:rsidP="00E75531">
      <w:r w:rsidRPr="00703E68">
        <w:t xml:space="preserve">What </w:t>
      </w:r>
      <w:r>
        <w:t xml:space="preserve">other </w:t>
      </w:r>
      <w:r w:rsidRPr="00703E68">
        <w:t>funding is presently being sought and/or negotiated but not yet committed for this project?</w:t>
      </w:r>
      <w:r w:rsidR="002C60B6">
        <w:t xml:space="preserve"> </w:t>
      </w:r>
      <w:r w:rsidRPr="00703E68">
        <w:t>List the funding sources, amounts and timelines for resolution. Briefly outline the intended approach to making up any shortfall in total project funding.</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rsidRPr="00703E68">
        <w:t>Budget.</w:t>
      </w:r>
      <w:r w:rsidR="002C60B6">
        <w:t xml:space="preserve"> </w:t>
      </w:r>
      <w:r w:rsidRPr="00703E68">
        <w:t>All elements of the project budget should be clearly identified and justified.</w:t>
      </w:r>
      <w:r w:rsidR="002C60B6">
        <w:t xml:space="preserve"> </w:t>
      </w:r>
      <w:r w:rsidRPr="00703E68">
        <w:t>A clear statement should be provided that demonstrates the capacity for the project to be completed within the proposed timelines and budget including the extent of contribution from the lead or other organisations.</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E75531" w:rsidRPr="00703E68" w:rsidRDefault="00E75531" w:rsidP="00E75531">
      <w:r w:rsidRPr="00703E68">
        <w:t xml:space="preserve">Implementation readiness </w:t>
      </w:r>
      <w:r>
        <w:t>of</w:t>
      </w:r>
      <w:r w:rsidRPr="00703E68">
        <w:t xml:space="preserve"> </w:t>
      </w:r>
      <w:r>
        <w:t>identified</w:t>
      </w:r>
      <w:r w:rsidRPr="00703E68">
        <w:t xml:space="preserve"> resources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E75531" w:rsidRPr="00703E68" w:rsidTr="00E75531">
        <w:tc>
          <w:tcPr>
            <w:tcW w:w="9242" w:type="dxa"/>
          </w:tcPr>
          <w:p w:rsidR="00E75531" w:rsidRPr="00703E68" w:rsidRDefault="00E75531" w:rsidP="00E75531"/>
          <w:p w:rsidR="00E75531" w:rsidRPr="00703E68" w:rsidRDefault="00E75531" w:rsidP="00E75531"/>
        </w:tc>
      </w:tr>
    </w:tbl>
    <w:p w:rsidR="00E75531" w:rsidRPr="00703E68" w:rsidRDefault="00E75531" w:rsidP="00E75531"/>
    <w:p w:rsidR="00A4012D" w:rsidRDefault="00A4012D">
      <w:pPr>
        <w:spacing w:before="0" w:after="200" w:line="276" w:lineRule="auto"/>
        <w:rPr>
          <w:b/>
          <w:color w:val="365F91" w:themeColor="accent1" w:themeShade="BF"/>
          <w:sz w:val="22"/>
        </w:rPr>
      </w:pPr>
      <w:r>
        <w:rPr>
          <w:b/>
          <w:color w:val="365F91" w:themeColor="accent1" w:themeShade="BF"/>
          <w:sz w:val="22"/>
        </w:rPr>
        <w:br w:type="page"/>
      </w:r>
    </w:p>
    <w:p w:rsidR="00E75531" w:rsidRPr="00A4012D" w:rsidRDefault="00E75531" w:rsidP="00A4012D">
      <w:pPr>
        <w:rPr>
          <w:b/>
          <w:color w:val="365F91" w:themeColor="accent1" w:themeShade="BF"/>
          <w:sz w:val="22"/>
        </w:rPr>
      </w:pPr>
      <w:r w:rsidRPr="00A4012D">
        <w:rPr>
          <w:b/>
          <w:color w:val="365F91" w:themeColor="accent1" w:themeShade="BF"/>
          <w:sz w:val="22"/>
        </w:rPr>
        <w:lastRenderedPageBreak/>
        <w:t>Organisational endorsement.</w:t>
      </w:r>
    </w:p>
    <w:p w:rsidR="00E75531" w:rsidRPr="00703E68" w:rsidRDefault="00E75531" w:rsidP="00E75531"/>
    <w:p w:rsidR="00E75531" w:rsidRPr="00703E68" w:rsidRDefault="00E75531" w:rsidP="00E75531">
      <w:r w:rsidRPr="00703E68">
        <w:t>Organisation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75531" w:rsidRPr="00703E68" w:rsidTr="00E75531">
        <w:trPr>
          <w:trHeight w:val="400"/>
        </w:trPr>
        <w:tc>
          <w:tcPr>
            <w:tcW w:w="4536" w:type="dxa"/>
          </w:tcPr>
          <w:p w:rsidR="00E75531" w:rsidRPr="00703E68" w:rsidRDefault="00E75531" w:rsidP="00E75531"/>
        </w:tc>
      </w:tr>
    </w:tbl>
    <w:p w:rsidR="00E75531" w:rsidRPr="00703E68" w:rsidRDefault="00E75531" w:rsidP="00E75531"/>
    <w:p w:rsidR="00E75531" w:rsidRPr="00703E68" w:rsidRDefault="00E75531" w:rsidP="00E75531">
      <w:r w:rsidRPr="00703E68">
        <w:t>Title of CEO / DVC (or delegate)</w:t>
      </w:r>
      <w:r w:rsidRPr="00703E68">
        <w:tab/>
      </w:r>
      <w:r w:rsidRPr="00703E68">
        <w:tab/>
      </w:r>
      <w:r w:rsidRPr="00703E68">
        <w:tab/>
      </w:r>
      <w:r w:rsidR="002C60B6">
        <w:t xml:space="preserve">  </w:t>
      </w:r>
      <w:r>
        <w:t xml:space="preserve"> </w:t>
      </w:r>
      <w:r w:rsidRPr="00703E68">
        <w:t>Name of CEO / DVC (or delegate)</w:t>
      </w:r>
    </w:p>
    <w:p w:rsidR="00E75531" w:rsidRPr="00703E68" w:rsidRDefault="00E75531" w:rsidP="00E75531"/>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536"/>
      </w:tblGrid>
      <w:tr w:rsidR="00E75531" w:rsidRPr="00703E68" w:rsidTr="00E75531">
        <w:trPr>
          <w:trHeight w:val="400"/>
        </w:trPr>
        <w:tc>
          <w:tcPr>
            <w:tcW w:w="4536" w:type="dxa"/>
          </w:tcPr>
          <w:p w:rsidR="00E75531" w:rsidRPr="00703E68" w:rsidRDefault="00E75531" w:rsidP="00E75531"/>
        </w:tc>
        <w:tc>
          <w:tcPr>
            <w:tcW w:w="4536" w:type="dxa"/>
          </w:tcPr>
          <w:p w:rsidR="00E75531" w:rsidRPr="00703E68" w:rsidRDefault="00E75531" w:rsidP="00E75531"/>
        </w:tc>
      </w:tr>
    </w:tbl>
    <w:p w:rsidR="00E75531" w:rsidRPr="00703E68" w:rsidRDefault="00E75531" w:rsidP="00E75531"/>
    <w:p w:rsidR="00E75531" w:rsidRPr="00703E68" w:rsidRDefault="00E75531" w:rsidP="00E75531">
      <w:r w:rsidRPr="00703E68">
        <w:t xml:space="preserve">I certify that the information included in this application is correct at the time of submission including: </w:t>
      </w:r>
    </w:p>
    <w:p w:rsidR="00E75531" w:rsidRPr="00703E68" w:rsidRDefault="00E75531" w:rsidP="00E75531">
      <w:r w:rsidRPr="00703E68">
        <w:t>the appropriate general facilities will be available if the application is successful;</w:t>
      </w:r>
      <w:r>
        <w:t xml:space="preserve"> </w:t>
      </w:r>
      <w:r w:rsidRPr="00703E68">
        <w:t>that, if successful, the lead organisation is prepared to have the grant carried out in accordance with any Funding Agreement entered into; and</w:t>
      </w:r>
      <w:r>
        <w:t xml:space="preserve"> </w:t>
      </w:r>
      <w:r w:rsidRPr="00703E68">
        <w:t>a commitment to utilise funds for the purposes intended and agree to audit processes, if requested.</w:t>
      </w:r>
    </w:p>
    <w:p w:rsidR="00E75531" w:rsidRPr="00703E68" w:rsidRDefault="00E75531" w:rsidP="00E75531"/>
    <w:tbl>
      <w:tblPr>
        <w:tblW w:w="0" w:type="auto"/>
        <w:tblLayout w:type="fixed"/>
        <w:tblCellMar>
          <w:left w:w="107" w:type="dxa"/>
          <w:right w:w="107" w:type="dxa"/>
        </w:tblCellMar>
        <w:tblLook w:val="0000" w:firstRow="0" w:lastRow="0" w:firstColumn="0" w:lastColumn="0" w:noHBand="0" w:noVBand="0"/>
      </w:tblPr>
      <w:tblGrid>
        <w:gridCol w:w="4785"/>
        <w:gridCol w:w="2126"/>
      </w:tblGrid>
      <w:tr w:rsidR="00E75531" w:rsidRPr="00703E68" w:rsidTr="00E75531">
        <w:trPr>
          <w:cantSplit/>
          <w:trHeight w:val="480"/>
        </w:trPr>
        <w:tc>
          <w:tcPr>
            <w:tcW w:w="4785" w:type="dxa"/>
          </w:tcPr>
          <w:p w:rsidR="00E75531" w:rsidRPr="00703E68" w:rsidRDefault="00E75531" w:rsidP="00E75531"/>
          <w:p w:rsidR="00E75531" w:rsidRPr="00703E68" w:rsidRDefault="00E75531" w:rsidP="00E75531">
            <w:r w:rsidRPr="00703E68">
              <w:t>Signature of CEO / DVC (or delegate)</w:t>
            </w:r>
          </w:p>
        </w:tc>
        <w:tc>
          <w:tcPr>
            <w:tcW w:w="2126" w:type="dxa"/>
          </w:tcPr>
          <w:p w:rsidR="00E75531" w:rsidRPr="00703E68" w:rsidRDefault="00E75531" w:rsidP="00E75531"/>
          <w:p w:rsidR="00E75531" w:rsidRPr="00703E68" w:rsidRDefault="00E75531" w:rsidP="00E75531">
            <w:r w:rsidRPr="00703E68">
              <w:t>Date</w:t>
            </w:r>
          </w:p>
        </w:tc>
      </w:tr>
      <w:tr w:rsidR="00E75531" w:rsidRPr="00703E68" w:rsidTr="00E75531">
        <w:trPr>
          <w:cantSplit/>
          <w:trHeight w:val="480"/>
        </w:trPr>
        <w:tc>
          <w:tcPr>
            <w:tcW w:w="4785" w:type="dxa"/>
          </w:tcPr>
          <w:p w:rsidR="00E75531" w:rsidRPr="00703E68" w:rsidRDefault="00E75531" w:rsidP="00E75531"/>
          <w:p w:rsidR="00E75531" w:rsidRPr="00703E68" w:rsidRDefault="00E75531" w:rsidP="00E75531">
            <w:r w:rsidRPr="00703E68">
              <w:t>__________________________</w:t>
            </w:r>
          </w:p>
        </w:tc>
        <w:tc>
          <w:tcPr>
            <w:tcW w:w="2126" w:type="dxa"/>
            <w:tcBorders>
              <w:top w:val="single" w:sz="6" w:space="0" w:color="auto"/>
              <w:left w:val="single" w:sz="6" w:space="0" w:color="auto"/>
              <w:bottom w:val="single" w:sz="6" w:space="0" w:color="auto"/>
              <w:right w:val="single" w:sz="6" w:space="0" w:color="auto"/>
            </w:tcBorders>
          </w:tcPr>
          <w:p w:rsidR="00E75531" w:rsidRPr="00703E68" w:rsidRDefault="00E75531" w:rsidP="00E75531"/>
          <w:p w:rsidR="00E75531" w:rsidRPr="00703E68" w:rsidRDefault="002C60B6" w:rsidP="00E75531">
            <w:r>
              <w:t xml:space="preserve">  </w:t>
            </w:r>
            <w:r w:rsidR="000D2547">
              <w:t xml:space="preserve">      </w:t>
            </w:r>
            <w:r w:rsidR="00E75531" w:rsidRPr="00703E68">
              <w:t xml:space="preserve"> /</w:t>
            </w:r>
            <w:r>
              <w:t xml:space="preserve">   </w:t>
            </w:r>
            <w:r w:rsidR="000D2547">
              <w:t xml:space="preserve">    </w:t>
            </w:r>
            <w:r w:rsidR="00E75531" w:rsidRPr="00703E68">
              <w:t>/</w:t>
            </w:r>
            <w:r>
              <w:t xml:space="preserve">      </w:t>
            </w:r>
          </w:p>
        </w:tc>
      </w:tr>
    </w:tbl>
    <w:p w:rsidR="00703E68" w:rsidRDefault="00703E68" w:rsidP="00F87881"/>
    <w:p w:rsidR="007A5D3B" w:rsidRDefault="007A5D3B" w:rsidP="00F87881">
      <w:pPr>
        <w:sectPr w:rsidR="007A5D3B" w:rsidSect="00D62E38">
          <w:headerReference w:type="even" r:id="rId19"/>
          <w:headerReference w:type="default" r:id="rId20"/>
          <w:footerReference w:type="default" r:id="rId21"/>
          <w:headerReference w:type="first" r:id="rId22"/>
          <w:pgSz w:w="11906" w:h="16838"/>
          <w:pgMar w:top="1440" w:right="1440" w:bottom="1440" w:left="1440" w:header="708" w:footer="137" w:gutter="0"/>
          <w:pgNumType w:start="1"/>
          <w:cols w:space="708"/>
          <w:titlePg/>
          <w:docGrid w:linePitch="360"/>
        </w:sectPr>
      </w:pPr>
    </w:p>
    <w:p w:rsidR="007A5D3B" w:rsidRDefault="007A5D3B" w:rsidP="007A5D3B">
      <w:pPr>
        <w:pStyle w:val="Heading1"/>
        <w:numPr>
          <w:ilvl w:val="0"/>
          <w:numId w:val="0"/>
        </w:numPr>
      </w:pPr>
      <w:bookmarkStart w:id="103" w:name="_Toc521932860"/>
      <w:r>
        <w:lastRenderedPageBreak/>
        <w:t>Appendix 2 – Latrobe Valley Funding Initiatives</w:t>
      </w:r>
      <w:bookmarkEnd w:id="103"/>
    </w:p>
    <w:tbl>
      <w:tblPr>
        <w:tblStyle w:val="TableGrid"/>
        <w:tblW w:w="15310" w:type="dxa"/>
        <w:tblInd w:w="-743" w:type="dxa"/>
        <w:tblLook w:val="04A0" w:firstRow="1" w:lastRow="0" w:firstColumn="1" w:lastColumn="0" w:noHBand="0" w:noVBand="1"/>
        <w:tblCaption w:val="Appendix 2 - Latrobe Valley Funding Initiatives"/>
        <w:tblDescription w:val="Appendix 2 is a table providing additional information about the funding initiatives available to potential project proponents in the Latrobe Valley. The table includes information such as the name of the available fund, the total value of the fund, eligibility and assessment criteria, and any additional information. "/>
      </w:tblPr>
      <w:tblGrid>
        <w:gridCol w:w="1674"/>
        <w:gridCol w:w="1487"/>
        <w:gridCol w:w="6195"/>
        <w:gridCol w:w="5954"/>
      </w:tblGrid>
      <w:tr w:rsidR="007A5D3B" w:rsidRPr="007A5D3B" w:rsidTr="00240C94">
        <w:trPr>
          <w:cantSplit/>
          <w:tblHeader/>
        </w:trPr>
        <w:tc>
          <w:tcPr>
            <w:tcW w:w="1674" w:type="dxa"/>
            <w:shd w:val="clear" w:color="auto" w:fill="BFBFBF" w:themeFill="background1" w:themeFillShade="BF"/>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asciiTheme="minorHAnsi" w:eastAsiaTheme="minorHAnsi" w:hAnsiTheme="minorHAnsi" w:cstheme="minorBidi"/>
                <w:b/>
                <w:color w:val="auto"/>
                <w:sz w:val="22"/>
                <w:szCs w:val="22"/>
              </w:rPr>
              <w:t>NAME OF FUND</w:t>
            </w:r>
          </w:p>
        </w:tc>
        <w:tc>
          <w:tcPr>
            <w:tcW w:w="1487" w:type="dxa"/>
            <w:shd w:val="clear" w:color="auto" w:fill="BFBFBF" w:themeFill="background1" w:themeFillShade="BF"/>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asciiTheme="minorHAnsi" w:eastAsiaTheme="minorHAnsi" w:hAnsiTheme="minorHAnsi" w:cstheme="minorBidi"/>
                <w:b/>
                <w:color w:val="auto"/>
                <w:sz w:val="22"/>
                <w:szCs w:val="22"/>
              </w:rPr>
              <w:t>TOTAL VALUE</w:t>
            </w:r>
          </w:p>
        </w:tc>
        <w:tc>
          <w:tcPr>
            <w:tcW w:w="6195" w:type="dxa"/>
            <w:shd w:val="clear" w:color="auto" w:fill="BFBFBF" w:themeFill="background1" w:themeFillShade="BF"/>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asciiTheme="minorHAnsi" w:eastAsiaTheme="minorHAnsi" w:hAnsiTheme="minorHAnsi" w:cstheme="minorBidi"/>
                <w:b/>
                <w:color w:val="auto"/>
                <w:sz w:val="22"/>
                <w:szCs w:val="22"/>
              </w:rPr>
              <w:t>WHO IS ELIGIBLE AND APPLICATION ASSESSMENT CRITERIA</w:t>
            </w:r>
          </w:p>
        </w:tc>
        <w:tc>
          <w:tcPr>
            <w:tcW w:w="5954" w:type="dxa"/>
            <w:shd w:val="clear" w:color="auto" w:fill="BFBFBF" w:themeFill="background1" w:themeFillShade="BF"/>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asciiTheme="minorHAnsi" w:eastAsiaTheme="minorHAnsi" w:hAnsiTheme="minorHAnsi" w:cstheme="minorBidi"/>
                <w:b/>
                <w:color w:val="auto"/>
                <w:sz w:val="22"/>
                <w:szCs w:val="22"/>
              </w:rPr>
              <w:t>FURTHER DETAILS (incl. any examples)</w:t>
            </w:r>
          </w:p>
        </w:tc>
      </w:tr>
      <w:tr w:rsidR="007A5D3B" w:rsidRPr="007A5D3B" w:rsidTr="00BB7C3E">
        <w:trPr>
          <w:cantSplit/>
        </w:trPr>
        <w:tc>
          <w:tcPr>
            <w:tcW w:w="1674" w:type="dxa"/>
            <w:shd w:val="clear" w:color="auto" w:fill="F2F2F2" w:themeFill="background1" w:themeFillShade="F2"/>
          </w:tcPr>
          <w:p w:rsidR="007A5D3B" w:rsidRPr="007A5D3B" w:rsidRDefault="007A5D3B" w:rsidP="007A5D3B">
            <w:pPr>
              <w:spacing w:before="0" w:after="0"/>
              <w:rPr>
                <w:rFonts w:eastAsiaTheme="minorHAnsi" w:cs="Arial"/>
                <w:b/>
                <w:color w:val="auto"/>
                <w:szCs w:val="22"/>
              </w:rPr>
            </w:pPr>
            <w:r w:rsidRPr="007A5D3B">
              <w:rPr>
                <w:rFonts w:eastAsiaTheme="minorHAnsi" w:cs="Arial"/>
                <w:b/>
                <w:color w:val="auto"/>
                <w:szCs w:val="22"/>
              </w:rPr>
              <w:t>Latrobe Valley Ec</w:t>
            </w:r>
            <w:r w:rsidR="000D2547">
              <w:rPr>
                <w:rFonts w:eastAsiaTheme="minorHAnsi" w:cs="Arial"/>
                <w:b/>
                <w:color w:val="auto"/>
                <w:szCs w:val="22"/>
              </w:rPr>
              <w:t>onomic Facilitation Fund</w:t>
            </w:r>
          </w:p>
        </w:tc>
        <w:tc>
          <w:tcPr>
            <w:tcW w:w="1487" w:type="dxa"/>
          </w:tcPr>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$10 Million</w:t>
            </w:r>
          </w:p>
        </w:tc>
        <w:tc>
          <w:tcPr>
            <w:tcW w:w="6195" w:type="dxa"/>
          </w:tcPr>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Applications will be considered from:</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private sector businesses and agencies</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small and medium sized enterprises:</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small businesses (employing less than 20 people)</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medium enterprises (with 20-199 employees).</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business and industry groups</w:t>
            </w:r>
            <w:r>
              <w:rPr>
                <w:rFonts w:eastAsiaTheme="minorHAnsi" w:cs="Arial"/>
                <w:color w:val="auto"/>
                <w:szCs w:val="22"/>
              </w:rPr>
              <w:t>,</w:t>
            </w:r>
            <w:r w:rsidRPr="007A5D3B">
              <w:rPr>
                <w:rFonts w:eastAsiaTheme="minorHAnsi" w:cs="Arial"/>
                <w:color w:val="auto"/>
                <w:szCs w:val="22"/>
              </w:rPr>
              <w:t xml:space="preserve"> including:</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chambers of commerce and business associations</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industry peak bodies</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business and industry clusters and networks</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local government authorities</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not-for-profit organisations and community groups that;</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are an incorporated body, cooperative or association</w:t>
            </w:r>
          </w:p>
          <w:p w:rsidR="007A5D3B" w:rsidRPr="007A5D3B" w:rsidRDefault="007A5D3B" w:rsidP="00A76B9D">
            <w:pPr>
              <w:numPr>
                <w:ilvl w:val="1"/>
                <w:numId w:val="20"/>
              </w:numPr>
              <w:spacing w:before="0" w:after="0"/>
              <w:contextualSpacing/>
              <w:rPr>
                <w:rFonts w:eastAsiaTheme="minorHAnsi" w:cs="Arial"/>
                <w:color w:val="auto"/>
                <w:szCs w:val="22"/>
              </w:rPr>
            </w:pPr>
            <w:r w:rsidRPr="007A5D3B">
              <w:rPr>
                <w:rFonts w:eastAsiaTheme="minorHAnsi" w:cs="Arial"/>
                <w:color w:val="auto"/>
                <w:szCs w:val="22"/>
              </w:rPr>
              <w:t>have an Australian Business Number (ABN) or can provide written advice from the Australian Tax Office that no withholding tax is required from the grant payment</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higher education and private training institutions</w:t>
            </w:r>
          </w:p>
          <w:p w:rsidR="007A5D3B" w:rsidRPr="007A5D3B" w:rsidRDefault="007A5D3B" w:rsidP="00A76B9D">
            <w:pPr>
              <w:numPr>
                <w:ilvl w:val="0"/>
                <w:numId w:val="20"/>
              </w:numPr>
              <w:spacing w:before="0" w:after="0"/>
              <w:ind w:left="459" w:hanging="284"/>
              <w:contextualSpacing/>
              <w:rPr>
                <w:rFonts w:eastAsiaTheme="minorHAnsi" w:cs="Arial"/>
                <w:color w:val="auto"/>
                <w:szCs w:val="22"/>
              </w:rPr>
            </w:pPr>
            <w:r w:rsidRPr="007A5D3B">
              <w:rPr>
                <w:rFonts w:eastAsiaTheme="minorHAnsi" w:cs="Arial"/>
                <w:color w:val="auto"/>
                <w:szCs w:val="22"/>
              </w:rPr>
              <w:t>regional organisations e.g. regional planning alliances.</w:t>
            </w:r>
          </w:p>
          <w:p w:rsidR="007A5D3B" w:rsidRPr="007A5D3B" w:rsidRDefault="007A5D3B" w:rsidP="007A5D3B">
            <w:pPr>
              <w:spacing w:before="0" w:after="0"/>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Applicants will be required to demonstrate the project’s ability to address each of the following criteria:</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direct economic development benefits</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additional economic development benefits</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maximising value to the state</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social and environmental benefits</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alignment with state and regional/Latrobe Valley priorities and demonstrated project need</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demonstrated project feasibility and delivery</w:t>
            </w:r>
          </w:p>
          <w:p w:rsid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financial viability.</w:t>
            </w:r>
          </w:p>
          <w:p w:rsidR="00BB7C3E" w:rsidRPr="007A5D3B" w:rsidRDefault="00BB7C3E" w:rsidP="00BB7C3E">
            <w:pPr>
              <w:spacing w:before="0" w:after="0"/>
              <w:ind w:left="461"/>
              <w:contextualSpacing/>
              <w:rPr>
                <w:rFonts w:eastAsiaTheme="minorHAnsi" w:cs="Arial"/>
                <w:color w:val="auto"/>
                <w:szCs w:val="22"/>
              </w:rPr>
            </w:pPr>
          </w:p>
        </w:tc>
        <w:tc>
          <w:tcPr>
            <w:tcW w:w="5954" w:type="dxa"/>
          </w:tcPr>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 xml:space="preserve">Regional Development </w:t>
            </w:r>
            <w:r w:rsidR="000D2547">
              <w:rPr>
                <w:rFonts w:eastAsiaTheme="minorHAnsi" w:cs="Arial"/>
                <w:color w:val="auto"/>
                <w:szCs w:val="22"/>
              </w:rPr>
              <w:t>Victoria</w:t>
            </w:r>
            <w:r w:rsidRPr="007A5D3B">
              <w:rPr>
                <w:rFonts w:eastAsiaTheme="minorHAnsi" w:cs="Arial"/>
                <w:color w:val="auto"/>
                <w:szCs w:val="22"/>
              </w:rPr>
              <w:t xml:space="preserve"> is responsible for the assessment of applications and administration of </w:t>
            </w:r>
            <w:r w:rsidRPr="000D2547">
              <w:rPr>
                <w:rFonts w:eastAsiaTheme="minorHAnsi" w:cs="Arial"/>
                <w:color w:val="auto"/>
                <w:szCs w:val="22"/>
              </w:rPr>
              <w:t xml:space="preserve">grants under the </w:t>
            </w:r>
            <w:r w:rsidR="000D2547" w:rsidRPr="000D2547">
              <w:rPr>
                <w:rFonts w:eastAsiaTheme="minorHAnsi" w:cs="Arial"/>
                <w:color w:val="auto"/>
                <w:szCs w:val="22"/>
              </w:rPr>
              <w:t>Latrobe Valley Economic Facilitation Fund</w:t>
            </w:r>
            <w:r w:rsidRPr="000D2547">
              <w:rPr>
                <w:rFonts w:eastAsiaTheme="minorHAnsi" w:cs="Arial"/>
                <w:color w:val="auto"/>
                <w:szCs w:val="22"/>
              </w:rPr>
              <w:t>.</w:t>
            </w:r>
          </w:p>
          <w:p w:rsidR="007A5D3B" w:rsidRPr="007A5D3B" w:rsidRDefault="007A5D3B" w:rsidP="007A5D3B">
            <w:pPr>
              <w:spacing w:before="0" w:after="0"/>
              <w:ind w:left="461"/>
              <w:contextualSpacing/>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 xml:space="preserve">Projects funded </w:t>
            </w:r>
            <w:r w:rsidRPr="000D2547">
              <w:rPr>
                <w:rFonts w:eastAsiaTheme="minorHAnsi" w:cs="Arial"/>
                <w:color w:val="auto"/>
                <w:szCs w:val="22"/>
              </w:rPr>
              <w:t xml:space="preserve">under </w:t>
            </w:r>
            <w:r w:rsidR="000D2547" w:rsidRPr="000D2547">
              <w:rPr>
                <w:rFonts w:eastAsiaTheme="minorHAnsi" w:cs="Arial"/>
                <w:color w:val="auto"/>
                <w:szCs w:val="22"/>
              </w:rPr>
              <w:t xml:space="preserve">the Latrobe Valley Economic Facilitation Fund </w:t>
            </w:r>
            <w:r w:rsidRPr="000D2547">
              <w:rPr>
                <w:rFonts w:eastAsiaTheme="minorHAnsi" w:cs="Arial"/>
                <w:color w:val="auto"/>
                <w:szCs w:val="22"/>
              </w:rPr>
              <w:t>to date include:</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a $1.2 Million expansion to Victoria Valley meat exports in Trafalgar for an expansion of its meat processing facility.</w:t>
            </w:r>
          </w:p>
          <w:p w:rsidR="007A5D3B" w:rsidRPr="007A5D3B" w:rsidRDefault="007A5D3B" w:rsidP="00A76B9D">
            <w:pPr>
              <w:numPr>
                <w:ilvl w:val="0"/>
                <w:numId w:val="21"/>
              </w:numPr>
              <w:spacing w:before="0" w:after="0"/>
              <w:ind w:left="461" w:hanging="284"/>
              <w:contextualSpacing/>
              <w:rPr>
                <w:rFonts w:eastAsiaTheme="minorHAnsi" w:cs="Arial"/>
                <w:color w:val="auto"/>
                <w:szCs w:val="22"/>
              </w:rPr>
            </w:pPr>
            <w:r w:rsidRPr="007A5D3B">
              <w:rPr>
                <w:rFonts w:eastAsiaTheme="minorHAnsi" w:cs="Arial"/>
                <w:color w:val="auto"/>
                <w:szCs w:val="22"/>
              </w:rPr>
              <w:t>Funding to Onsite Machinery and Pipeline Services and Dynamic Industries to create a total of 34 new jobs and support in the order of $1.5 million in investment.</w:t>
            </w:r>
          </w:p>
          <w:p w:rsidR="007A5D3B" w:rsidRPr="007A5D3B" w:rsidRDefault="007A5D3B" w:rsidP="007A5D3B">
            <w:pPr>
              <w:spacing w:before="0" w:after="0"/>
              <w:ind w:left="461"/>
              <w:contextualSpacing/>
              <w:rPr>
                <w:rFonts w:asciiTheme="minorHAnsi" w:eastAsiaTheme="minorHAnsi" w:hAnsiTheme="minorHAnsi" w:cstheme="minorBidi"/>
                <w:color w:val="auto"/>
                <w:sz w:val="22"/>
                <w:szCs w:val="22"/>
              </w:rPr>
            </w:pPr>
          </w:p>
        </w:tc>
      </w:tr>
      <w:tr w:rsidR="007A5D3B" w:rsidRPr="007A5D3B" w:rsidTr="00BB7C3E">
        <w:trPr>
          <w:cantSplit/>
        </w:trPr>
        <w:tc>
          <w:tcPr>
            <w:tcW w:w="1674" w:type="dxa"/>
            <w:shd w:val="clear" w:color="auto" w:fill="F2F2F2" w:themeFill="background1" w:themeFillShade="F2"/>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eastAsiaTheme="minorHAnsi" w:cs="Arial"/>
                <w:b/>
                <w:color w:val="auto"/>
                <w:szCs w:val="22"/>
              </w:rPr>
              <w:lastRenderedPageBreak/>
              <w:t>Latrobe Valley Economic Growth Zone</w:t>
            </w:r>
          </w:p>
        </w:tc>
        <w:tc>
          <w:tcPr>
            <w:tcW w:w="1487" w:type="dxa"/>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eastAsiaTheme="minorHAnsi" w:cs="Arial"/>
                <w:color w:val="auto"/>
                <w:szCs w:val="22"/>
              </w:rPr>
              <w:t>Reimbursement Scheme only. Total value of the scheme is $50 million.</w:t>
            </w:r>
          </w:p>
        </w:tc>
        <w:tc>
          <w:tcPr>
            <w:tcW w:w="6195" w:type="dxa"/>
          </w:tcPr>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The Latrobe Valley Authority will reimburse land transfer duty on property purchases made by new or expanding commercial and industrial businesses in the Latrobe Valley, Baw Baw and Wellington Shire council areas.</w:t>
            </w:r>
          </w:p>
          <w:p w:rsidR="007A5D3B" w:rsidRPr="007A5D3B" w:rsidRDefault="007A5D3B" w:rsidP="007A5D3B">
            <w:pPr>
              <w:spacing w:before="0" w:after="0"/>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 xml:space="preserve">Eligible businesses are expected to remain in the region for an extended period of time, supporting economic activity in the Latrobe Valley not just now, but for years to come. </w:t>
            </w:r>
          </w:p>
          <w:p w:rsidR="007A5D3B" w:rsidRPr="007A5D3B" w:rsidRDefault="007A5D3B" w:rsidP="007A5D3B">
            <w:pPr>
              <w:spacing w:before="0" w:after="0"/>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To obtain the reimbursement, businesses must demonstrate:</w:t>
            </w:r>
          </w:p>
          <w:p w:rsidR="007A5D3B" w:rsidRPr="007A5D3B" w:rsidRDefault="007A5D3B" w:rsidP="007A5D3B">
            <w:pPr>
              <w:spacing w:before="0" w:after="0"/>
              <w:rPr>
                <w:rFonts w:eastAsiaTheme="minorHAnsi" w:cs="Arial"/>
                <w:color w:val="auto"/>
                <w:szCs w:val="22"/>
              </w:rPr>
            </w:pP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the property is located within the Latrobe Valley, Baw Baw or Wellington Council areas, is for commercial or industrial purposes and is to be used as an input to every day, ongoing operations.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the business has formed within 12 months of the property purchase.</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new jobs will be created and regional productivity and competitiveness increased.</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the contract of purchase for the property must have been entered into after 4 November 2016</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where a new business is being established, half of the stamp duty cost will be reimbursed up front, following payment to the State Revenue Office. The other half will be paid after six months, assuming the property is still held by the new business. In the event the property has been on sold within six months, the first instalment of the reimbursement is to be returned to the Latrobe Valley Authority.</w:t>
            </w:r>
          </w:p>
          <w:p w:rsidR="007A5D3B" w:rsidRPr="007A5D3B" w:rsidRDefault="007A5D3B" w:rsidP="007A5D3B">
            <w:pPr>
              <w:spacing w:before="0" w:after="0"/>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Furthermore, the fee or charge for which reimbursement is sought must:</w:t>
            </w:r>
          </w:p>
          <w:p w:rsidR="007A5D3B" w:rsidRPr="007A5D3B" w:rsidRDefault="007A5D3B" w:rsidP="007A5D3B">
            <w:pPr>
              <w:spacing w:before="0" w:after="0"/>
              <w:rPr>
                <w:rFonts w:eastAsiaTheme="minorHAnsi" w:cs="Arial"/>
                <w:color w:val="auto"/>
                <w:szCs w:val="22"/>
              </w:rPr>
            </w:pP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Relate to business activity located within the Latrobe Valley, Baw Baw, or Wellington Council areas.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Have been paid by a business to either the Latrobe City, Baw Baw or Wellington Councils, or a Victorian Government agency.</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Be on the list of fees and charges that are eligible for reimbursement or be approved on a case-by-case basis by the Latrobe Valley Authority (with some specific exclusions such as gaming costs and WorkSafe premiums).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Have been incurred on or after 4 November 2016.</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Ongoing fees and charges are not eligible for reimbursement.</w:t>
            </w:r>
          </w:p>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5954" w:type="dxa"/>
          </w:tcPr>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The Latrobe Valley Economic Growth Zone is administered by the Latrobe Valley Authority.</w:t>
            </w:r>
          </w:p>
          <w:p w:rsidR="007A5D3B" w:rsidRPr="007A5D3B" w:rsidRDefault="007A5D3B" w:rsidP="007A5D3B">
            <w:pPr>
              <w:spacing w:before="0" w:after="0"/>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p>
        </w:tc>
      </w:tr>
      <w:tr w:rsidR="007A5D3B" w:rsidRPr="007A5D3B" w:rsidTr="00BB7C3E">
        <w:trPr>
          <w:cantSplit/>
          <w:trHeight w:val="9204"/>
        </w:trPr>
        <w:tc>
          <w:tcPr>
            <w:tcW w:w="1674" w:type="dxa"/>
            <w:shd w:val="clear" w:color="auto" w:fill="F2F2F2" w:themeFill="background1" w:themeFillShade="F2"/>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eastAsiaTheme="minorHAnsi" w:cs="Arial"/>
                <w:b/>
                <w:color w:val="auto"/>
                <w:szCs w:val="22"/>
              </w:rPr>
              <w:lastRenderedPageBreak/>
              <w:t xml:space="preserve">Hazelwood Supply </w:t>
            </w:r>
            <w:r w:rsidR="000D2547">
              <w:rPr>
                <w:rFonts w:eastAsiaTheme="minorHAnsi" w:cs="Arial"/>
                <w:b/>
                <w:color w:val="auto"/>
                <w:szCs w:val="22"/>
              </w:rPr>
              <w:t>Chain Transition Program</w:t>
            </w:r>
          </w:p>
        </w:tc>
        <w:tc>
          <w:tcPr>
            <w:tcW w:w="1487" w:type="dxa"/>
          </w:tcPr>
          <w:p w:rsidR="007A5D3B" w:rsidRPr="007A5D3B" w:rsidRDefault="007A5D3B" w:rsidP="007A5D3B">
            <w:pPr>
              <w:spacing w:before="0" w:after="0"/>
              <w:rPr>
                <w:rFonts w:asciiTheme="minorHAnsi" w:eastAsiaTheme="minorHAnsi" w:hAnsiTheme="minorHAnsi" w:cstheme="minorBidi"/>
                <w:b/>
                <w:color w:val="auto"/>
                <w:sz w:val="22"/>
                <w:szCs w:val="22"/>
              </w:rPr>
            </w:pPr>
            <w:r w:rsidRPr="007A5D3B">
              <w:rPr>
                <w:rFonts w:eastAsiaTheme="minorHAnsi" w:cs="Arial"/>
                <w:color w:val="auto"/>
                <w:szCs w:val="22"/>
              </w:rPr>
              <w:t>$5 million capped at $71,000 per supply chain company.</w:t>
            </w:r>
          </w:p>
        </w:tc>
        <w:tc>
          <w:tcPr>
            <w:tcW w:w="6195" w:type="dxa"/>
          </w:tcPr>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Supply chain companies must meet all the following criteria to be eligible for assistance under the Hazelwood Supply Chain Transition Program:</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Have an Australian Business Number (ABN)</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Be incorporated in Victoria</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Have been trading continuously for the past four years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 xml:space="preserve">Be a Victorian based business, with at least 20 per cent of revenue* derived from the Hazelwood Power </w:t>
            </w:r>
            <w:r w:rsidR="00A76B9D" w:rsidRPr="007A5D3B">
              <w:rPr>
                <w:rFonts w:eastAsiaTheme="minorHAnsi" w:cs="Arial"/>
                <w:color w:val="auto"/>
                <w:szCs w:val="22"/>
              </w:rPr>
              <w:t>Station</w:t>
            </w:r>
            <w:r w:rsidR="002C60B6">
              <w:rPr>
                <w:rFonts w:eastAsiaTheme="minorHAnsi" w:cs="Arial"/>
                <w:color w:val="auto"/>
                <w:szCs w:val="22"/>
              </w:rPr>
              <w:t xml:space="preserve"> </w:t>
            </w:r>
            <w:r w:rsidRPr="007A5D3B">
              <w:rPr>
                <w:rFonts w:eastAsiaTheme="minorHAnsi" w:cs="Arial"/>
                <w:color w:val="auto"/>
                <w:szCs w:val="22"/>
              </w:rPr>
              <w:t>and Mine and their supply chain</w:t>
            </w:r>
          </w:p>
          <w:p w:rsidR="007A5D3B" w:rsidRPr="007A5D3B" w:rsidRDefault="007A5D3B" w:rsidP="007A5D3B">
            <w:pPr>
              <w:spacing w:before="0" w:after="0"/>
              <w:ind w:left="720"/>
              <w:contextualSpacing/>
              <w:rPr>
                <w:rFonts w:eastAsiaTheme="minorHAnsi" w:cs="Arial"/>
                <w:i/>
                <w:color w:val="auto"/>
                <w:sz w:val="14"/>
                <w:szCs w:val="22"/>
              </w:rPr>
            </w:pPr>
            <w:r w:rsidRPr="007A5D3B">
              <w:rPr>
                <w:rFonts w:eastAsiaTheme="minorHAnsi" w:cs="Arial"/>
                <w:i/>
                <w:color w:val="auto"/>
                <w:sz w:val="14"/>
                <w:szCs w:val="22"/>
              </w:rPr>
              <w:t>*Applicants must provide a statement from their accountant that confirms their revenue sources)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Be based in Latrobe Valley (Latrobe, Wellington, Baw Baw)</w:t>
            </w:r>
          </w:p>
          <w:p w:rsidR="007A5D3B" w:rsidRPr="007A5D3B" w:rsidRDefault="007A5D3B" w:rsidP="007A5D3B">
            <w:pPr>
              <w:spacing w:before="0" w:after="0"/>
              <w:rPr>
                <w:rFonts w:eastAsiaTheme="minorHAnsi" w:cs="Arial"/>
                <w:color w:val="auto"/>
                <w:szCs w:val="22"/>
              </w:rPr>
            </w:pP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 xml:space="preserve">The following are </w:t>
            </w:r>
            <w:r w:rsidRPr="007A5D3B">
              <w:rPr>
                <w:rFonts w:eastAsiaTheme="minorHAnsi" w:cs="Arial"/>
                <w:b/>
                <w:i/>
                <w:color w:val="auto"/>
                <w:szCs w:val="22"/>
              </w:rPr>
              <w:t xml:space="preserve">not eligible </w:t>
            </w:r>
            <w:r w:rsidR="000D2547">
              <w:rPr>
                <w:rFonts w:eastAsiaTheme="minorHAnsi" w:cs="Arial"/>
                <w:color w:val="auto"/>
                <w:szCs w:val="22"/>
              </w:rPr>
              <w:t>to be a</w:t>
            </w:r>
            <w:r w:rsidR="000D2547" w:rsidRPr="000D2547">
              <w:rPr>
                <w:rFonts w:eastAsiaTheme="minorHAnsi" w:cs="Arial"/>
                <w:color w:val="auto"/>
                <w:szCs w:val="22"/>
              </w:rPr>
              <w:t xml:space="preserve"> Hazelwood Supply Chain Transition Program</w:t>
            </w:r>
            <w:r w:rsidRPr="000D2547">
              <w:rPr>
                <w:rFonts w:eastAsiaTheme="minorHAnsi" w:cs="Arial"/>
                <w:color w:val="auto"/>
                <w:szCs w:val="22"/>
              </w:rPr>
              <w:t xml:space="preserve"> participant:</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Individuals, partnerships, or trusts, however an incorporated trustee can apply on behalf of a trust provided that the State is satisfied that the incorporated trustee will remain sufficiently liable for the performance or any agreement it signs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Commonwealth, State and Local Government agencies and bodies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Publicly funded research institutions</w:t>
            </w:r>
          </w:p>
          <w:p w:rsidR="007A5D3B" w:rsidRPr="007A5D3B" w:rsidRDefault="007A5D3B" w:rsidP="00A76B9D">
            <w:pPr>
              <w:numPr>
                <w:ilvl w:val="0"/>
                <w:numId w:val="22"/>
              </w:numPr>
              <w:spacing w:before="0" w:after="0"/>
              <w:contextualSpacing/>
              <w:rPr>
                <w:rFonts w:eastAsiaTheme="minorHAnsi" w:cs="Arial"/>
                <w:color w:val="auto"/>
                <w:szCs w:val="22"/>
              </w:rPr>
            </w:pPr>
            <w:r w:rsidRPr="007A5D3B">
              <w:rPr>
                <w:rFonts w:eastAsiaTheme="minorHAnsi" w:cs="Arial"/>
                <w:color w:val="auto"/>
                <w:szCs w:val="22"/>
              </w:rPr>
              <w:t>Not-for-profit organisations</w:t>
            </w:r>
          </w:p>
          <w:p w:rsidR="007A5D3B" w:rsidRPr="007A5D3B" w:rsidRDefault="007A5D3B" w:rsidP="00A76B9D">
            <w:pPr>
              <w:numPr>
                <w:ilvl w:val="0"/>
                <w:numId w:val="22"/>
              </w:numPr>
              <w:spacing w:before="0" w:after="0"/>
              <w:contextualSpacing/>
              <w:rPr>
                <w:rFonts w:asciiTheme="minorHAnsi" w:eastAsiaTheme="minorHAnsi" w:hAnsiTheme="minorHAnsi" w:cstheme="minorBidi"/>
                <w:b/>
                <w:color w:val="auto"/>
                <w:sz w:val="22"/>
                <w:szCs w:val="22"/>
              </w:rPr>
            </w:pPr>
            <w:r w:rsidRPr="007A5D3B">
              <w:rPr>
                <w:rFonts w:eastAsiaTheme="minorHAnsi" w:cs="Arial"/>
                <w:color w:val="auto"/>
                <w:szCs w:val="22"/>
              </w:rPr>
              <w:t>Community-based organisations.</w:t>
            </w:r>
          </w:p>
        </w:tc>
        <w:tc>
          <w:tcPr>
            <w:tcW w:w="5954" w:type="dxa"/>
          </w:tcPr>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The Hazelwood Supply Chain Transition Program</w:t>
            </w:r>
            <w:r w:rsidR="002C60B6">
              <w:rPr>
                <w:rFonts w:eastAsiaTheme="minorHAnsi" w:cs="Arial"/>
                <w:color w:val="auto"/>
                <w:szCs w:val="22"/>
              </w:rPr>
              <w:t xml:space="preserve"> </w:t>
            </w:r>
            <w:r w:rsidRPr="007A5D3B">
              <w:rPr>
                <w:rFonts w:eastAsiaTheme="minorHAnsi" w:cs="Arial"/>
                <w:color w:val="auto"/>
                <w:szCs w:val="22"/>
              </w:rPr>
              <w:t>is administered by the Latrobe Valley Authority and offers two separate stages of assistance:</w:t>
            </w:r>
          </w:p>
          <w:p w:rsidR="007A5D3B" w:rsidRPr="007A5D3B" w:rsidRDefault="007A5D3B" w:rsidP="00A76B9D">
            <w:pPr>
              <w:numPr>
                <w:ilvl w:val="0"/>
                <w:numId w:val="23"/>
              </w:numPr>
              <w:shd w:val="clear" w:color="auto" w:fill="FFFFFF"/>
              <w:spacing w:before="0" w:after="0"/>
              <w:ind w:left="317" w:hanging="317"/>
              <w:contextualSpacing/>
              <w:outlineLvl w:val="3"/>
              <w:rPr>
                <w:rFonts w:eastAsiaTheme="minorHAnsi" w:cs="Arial"/>
                <w:b/>
                <w:color w:val="auto"/>
                <w:szCs w:val="22"/>
              </w:rPr>
            </w:pPr>
            <w:r w:rsidRPr="007A5D3B">
              <w:rPr>
                <w:rFonts w:eastAsiaTheme="minorHAnsi" w:cs="Arial"/>
                <w:b/>
                <w:color w:val="auto"/>
                <w:szCs w:val="22"/>
              </w:rPr>
              <w:t>Business Transition Plan</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Independent Business Specialists will provide intensive support to participating companies, including the completion of a business diagnostic to help identify future opportunities and assistance required. The diagnostic outcomes will then form the basis of a Business Transition Plan, which will be developed by a Business Specialist and the participant. The Business Transition Plan (up to $16,00 support provided) will identify target sectors and markets for diversification as well as the strategies and capabilities the company needs to pursue in order to transition.</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Where a supply chain company has an established transition plan that was developed independently of t</w:t>
            </w:r>
            <w:r w:rsidRPr="000D2547">
              <w:rPr>
                <w:rFonts w:eastAsiaTheme="minorHAnsi" w:cs="Arial"/>
                <w:color w:val="auto"/>
                <w:szCs w:val="22"/>
              </w:rPr>
              <w:t xml:space="preserve">he </w:t>
            </w:r>
            <w:r w:rsidR="000D2547" w:rsidRPr="000D2547">
              <w:rPr>
                <w:rFonts w:eastAsiaTheme="minorHAnsi" w:cs="Arial"/>
                <w:color w:val="auto"/>
                <w:szCs w:val="22"/>
              </w:rPr>
              <w:t xml:space="preserve">Hazelwood Supply Chain Transition Program </w:t>
            </w:r>
            <w:r w:rsidRPr="000D2547">
              <w:rPr>
                <w:rFonts w:eastAsiaTheme="minorHAnsi" w:cs="Arial"/>
                <w:color w:val="auto"/>
                <w:szCs w:val="22"/>
              </w:rPr>
              <w:t>after November</w:t>
            </w:r>
            <w:r w:rsidRPr="007A5D3B">
              <w:rPr>
                <w:rFonts w:eastAsiaTheme="minorHAnsi" w:cs="Arial"/>
                <w:color w:val="auto"/>
                <w:szCs w:val="22"/>
              </w:rPr>
              <w:t xml:space="preserve"> 2016, a Business Specialist may be engaged to undertake a review of the existing plan (up to $5,000 provided to undertake review). The review will determine if appropriate strategies are in place to assist the supply chain company through the transition period, and make recommendations for change where appropriate. A supply chain company may be eligible for assistance to develop a revised Business Transition Plan if necessary.</w:t>
            </w:r>
          </w:p>
          <w:p w:rsidR="007A5D3B" w:rsidRPr="007A5D3B" w:rsidRDefault="007A5D3B" w:rsidP="00A76B9D">
            <w:pPr>
              <w:numPr>
                <w:ilvl w:val="0"/>
                <w:numId w:val="23"/>
              </w:numPr>
              <w:shd w:val="clear" w:color="auto" w:fill="FFFFFF"/>
              <w:spacing w:before="0" w:after="0"/>
              <w:ind w:left="317" w:hanging="317"/>
              <w:contextualSpacing/>
              <w:outlineLvl w:val="3"/>
              <w:rPr>
                <w:rFonts w:eastAsiaTheme="minorHAnsi" w:cs="Arial"/>
                <w:b/>
                <w:color w:val="auto"/>
                <w:szCs w:val="22"/>
              </w:rPr>
            </w:pPr>
            <w:r w:rsidRPr="007A5D3B">
              <w:rPr>
                <w:rFonts w:eastAsiaTheme="minorHAnsi" w:cs="Arial"/>
                <w:b/>
                <w:color w:val="auto"/>
                <w:szCs w:val="22"/>
              </w:rPr>
              <w:t>Business Transition Services and Merger Advisory Services</w:t>
            </w:r>
          </w:p>
          <w:p w:rsidR="007A5D3B" w:rsidRPr="007A5D3B" w:rsidRDefault="007A5D3B" w:rsidP="007A5D3B">
            <w:pPr>
              <w:shd w:val="clear" w:color="auto" w:fill="FFFFFF"/>
              <w:spacing w:before="0" w:after="0"/>
              <w:outlineLvl w:val="3"/>
              <w:rPr>
                <w:rFonts w:eastAsiaTheme="minorHAnsi" w:cs="Arial"/>
                <w:b/>
                <w:color w:val="auto"/>
                <w:szCs w:val="22"/>
              </w:rPr>
            </w:pPr>
            <w:r w:rsidRPr="007A5D3B">
              <w:rPr>
                <w:rFonts w:eastAsiaTheme="minorHAnsi" w:cs="Arial"/>
                <w:b/>
                <w:color w:val="auto"/>
                <w:szCs w:val="22"/>
              </w:rPr>
              <w:t>Business Transition Services (up to $55,000)</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At the completion of the Business Transition Plan stage, participating supply chain companies may be eligible to receive assistance towards business transition activities identified in their plan.</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The nature of support will depend on the outcomes identified in the Business Transition Plan.</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Where common needs are identified across a number of program participants, group delivery of specialist services may be appropriate and cost effective.</w:t>
            </w:r>
          </w:p>
          <w:p w:rsidR="007A5D3B" w:rsidRPr="007A5D3B" w:rsidRDefault="007A5D3B" w:rsidP="007A5D3B">
            <w:pPr>
              <w:shd w:val="clear" w:color="auto" w:fill="FFFFFF"/>
              <w:spacing w:before="0" w:after="0"/>
              <w:outlineLvl w:val="3"/>
              <w:rPr>
                <w:rFonts w:eastAsiaTheme="minorHAnsi" w:cs="Arial"/>
                <w:b/>
                <w:color w:val="auto"/>
                <w:szCs w:val="22"/>
              </w:rPr>
            </w:pPr>
            <w:r w:rsidRPr="007A5D3B">
              <w:rPr>
                <w:rFonts w:eastAsiaTheme="minorHAnsi" w:cs="Arial"/>
                <w:b/>
                <w:color w:val="auto"/>
                <w:szCs w:val="22"/>
              </w:rPr>
              <w:t>Merger Advisory Services (up to $10,000)</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Where a business merger has been identified in the Business Transition Plan as the appropriate course of action, support for Merger Advisory Services may be provided to maximise retention of industry capability and jobs.</w:t>
            </w:r>
          </w:p>
          <w:p w:rsidR="007A5D3B" w:rsidRPr="007A5D3B" w:rsidRDefault="007A5D3B" w:rsidP="007A5D3B">
            <w:pPr>
              <w:shd w:val="clear" w:color="auto" w:fill="FFFFFF"/>
              <w:spacing w:before="0" w:after="210"/>
              <w:rPr>
                <w:rFonts w:ascii="Helvetica" w:hAnsi="Helvetica" w:cs="Helvetica"/>
                <w:color w:val="464748"/>
                <w:sz w:val="17"/>
                <w:szCs w:val="17"/>
                <w:lang w:eastAsia="en-AU"/>
              </w:rPr>
            </w:pPr>
            <w:r w:rsidRPr="007A5D3B">
              <w:rPr>
                <w:rFonts w:eastAsiaTheme="minorHAnsi" w:cs="Arial"/>
                <w:color w:val="auto"/>
                <w:szCs w:val="22"/>
              </w:rPr>
              <w:t>Merger Advisory Services are designed to provide advice on the strategies required for a business merger.</w:t>
            </w:r>
          </w:p>
        </w:tc>
      </w:tr>
      <w:tr w:rsidR="007A5D3B" w:rsidRPr="007A5D3B" w:rsidTr="00BB7C3E">
        <w:trPr>
          <w:cantSplit/>
          <w:trHeight w:val="5802"/>
        </w:trPr>
        <w:tc>
          <w:tcPr>
            <w:tcW w:w="1674" w:type="dxa"/>
            <w:vMerge w:val="restart"/>
            <w:shd w:val="clear" w:color="auto" w:fill="F2F2F2" w:themeFill="background1" w:themeFillShade="F2"/>
          </w:tcPr>
          <w:p w:rsidR="007A5D3B" w:rsidRDefault="007A5D3B" w:rsidP="007A5D3B">
            <w:pPr>
              <w:spacing w:before="0" w:after="0"/>
              <w:rPr>
                <w:rFonts w:eastAsiaTheme="minorHAnsi" w:cs="Arial"/>
                <w:b/>
                <w:color w:val="auto"/>
                <w:szCs w:val="22"/>
              </w:rPr>
            </w:pPr>
            <w:r w:rsidRPr="007A5D3B">
              <w:rPr>
                <w:rFonts w:eastAsiaTheme="minorHAnsi" w:cs="Arial"/>
                <w:b/>
                <w:color w:val="auto"/>
                <w:szCs w:val="22"/>
              </w:rPr>
              <w:lastRenderedPageBreak/>
              <w:t>Latrobe Valley Community Facility Fund</w:t>
            </w: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r w:rsidRPr="007A5D3B">
              <w:rPr>
                <w:rFonts w:eastAsiaTheme="minorHAnsi" w:cs="Arial"/>
                <w:b/>
                <w:color w:val="auto"/>
                <w:szCs w:val="22"/>
              </w:rPr>
              <w:lastRenderedPageBreak/>
              <w:t>Latrobe Valley Community Facility Fund</w:t>
            </w: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Default="00BB7C3E" w:rsidP="007A5D3B">
            <w:pPr>
              <w:spacing w:before="0" w:after="0"/>
              <w:rPr>
                <w:rFonts w:eastAsiaTheme="minorHAnsi" w:cs="Arial"/>
                <w:b/>
                <w:color w:val="auto"/>
                <w:szCs w:val="22"/>
              </w:rPr>
            </w:pPr>
          </w:p>
          <w:p w:rsidR="00BB7C3E" w:rsidRPr="007A5D3B" w:rsidRDefault="00BB7C3E" w:rsidP="007A5D3B">
            <w:pPr>
              <w:spacing w:before="0" w:after="0"/>
              <w:rPr>
                <w:rFonts w:asciiTheme="minorHAnsi" w:eastAsiaTheme="minorHAnsi" w:hAnsiTheme="minorHAnsi" w:cstheme="minorBidi"/>
                <w:b/>
                <w:color w:val="auto"/>
                <w:sz w:val="22"/>
                <w:szCs w:val="22"/>
              </w:rPr>
            </w:pPr>
          </w:p>
        </w:tc>
        <w:tc>
          <w:tcPr>
            <w:tcW w:w="1487" w:type="dxa"/>
          </w:tcPr>
          <w:p w:rsidR="007A5D3B" w:rsidRPr="007A5D3B" w:rsidRDefault="007A5D3B" w:rsidP="007A5D3B">
            <w:pPr>
              <w:spacing w:before="0" w:after="0"/>
              <w:rPr>
                <w:rFonts w:eastAsiaTheme="minorHAnsi" w:cs="Arial"/>
                <w:color w:val="auto"/>
                <w:szCs w:val="22"/>
              </w:rPr>
            </w:pPr>
            <w:r w:rsidRPr="007A5D3B">
              <w:rPr>
                <w:rFonts w:eastAsiaTheme="minorHAnsi" w:cs="Arial"/>
                <w:b/>
                <w:color w:val="auto"/>
                <w:szCs w:val="22"/>
              </w:rPr>
              <w:lastRenderedPageBreak/>
              <w:t>Liveable Latrobe Valley Stream 1</w:t>
            </w:r>
            <w:r w:rsidRPr="007A5D3B">
              <w:rPr>
                <w:rFonts w:eastAsiaTheme="minorHAnsi" w:cs="Arial"/>
                <w:color w:val="auto"/>
                <w:szCs w:val="22"/>
              </w:rPr>
              <w:t xml:space="preserve"> – Up to $5,000 for community events*</w:t>
            </w: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w:t>
            </w:r>
            <w:r w:rsidRPr="007A5D3B">
              <w:rPr>
                <w:rFonts w:asciiTheme="minorHAnsi" w:eastAsiaTheme="minorHAnsi" w:hAnsiTheme="minorHAnsi" w:cstheme="minorBidi"/>
                <w:i/>
                <w:color w:val="auto"/>
                <w:sz w:val="22"/>
                <w:szCs w:val="22"/>
              </w:rPr>
              <w:t xml:space="preserve"> </w:t>
            </w:r>
            <w:r w:rsidRPr="007A5D3B">
              <w:rPr>
                <w:rFonts w:asciiTheme="minorHAnsi" w:eastAsiaTheme="minorHAnsi" w:hAnsiTheme="minorHAnsi" w:cstheme="minorBidi"/>
                <w:i/>
                <w:color w:val="auto"/>
                <w:szCs w:val="22"/>
              </w:rPr>
              <w:t>F</w:t>
            </w:r>
            <w:r w:rsidRPr="007A5D3B">
              <w:rPr>
                <w:rFonts w:eastAsiaTheme="minorHAnsi" w:cs="Arial"/>
                <w:i/>
                <w:color w:val="auto"/>
                <w:sz w:val="14"/>
                <w:szCs w:val="22"/>
              </w:rPr>
              <w:t>unding may be provided at this level for up to 3 years to a total of $15,000.</w:t>
            </w:r>
          </w:p>
        </w:tc>
        <w:tc>
          <w:tcPr>
            <w:tcW w:w="6195" w:type="dxa"/>
            <w:vMerge w:val="restart"/>
          </w:tcPr>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Who can apply:</w:t>
            </w:r>
          </w:p>
          <w:p w:rsidR="007A5D3B" w:rsidRPr="007A5D3B" w:rsidRDefault="007A5D3B" w:rsidP="00A76B9D">
            <w:pPr>
              <w:keepLines/>
              <w:numPr>
                <w:ilvl w:val="0"/>
                <w:numId w:val="25"/>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Local governments;</w:t>
            </w:r>
          </w:p>
          <w:p w:rsidR="007A5D3B" w:rsidRPr="007A5D3B" w:rsidRDefault="007A5D3B" w:rsidP="00A76B9D">
            <w:pPr>
              <w:keepLines/>
              <w:numPr>
                <w:ilvl w:val="0"/>
                <w:numId w:val="25"/>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Not for profit organisations and community groups that:</w:t>
            </w:r>
          </w:p>
          <w:p w:rsidR="007A5D3B" w:rsidRPr="007A5D3B" w:rsidRDefault="007A5D3B" w:rsidP="00A76B9D">
            <w:pPr>
              <w:keepLines/>
              <w:numPr>
                <w:ilvl w:val="1"/>
                <w:numId w:val="25"/>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Are an incorporated body, cooperative or association;</w:t>
            </w:r>
          </w:p>
          <w:p w:rsidR="007A5D3B" w:rsidRPr="007A5D3B" w:rsidRDefault="007A5D3B" w:rsidP="00A76B9D">
            <w:pPr>
              <w:keepLines/>
              <w:numPr>
                <w:ilvl w:val="1"/>
                <w:numId w:val="25"/>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Have an Australian Business Number (ABN) or can provide written advice from the Australian Tax Office that no withholding tax is required from the grant payment; and</w:t>
            </w:r>
          </w:p>
          <w:p w:rsidR="007A5D3B" w:rsidRPr="007A5D3B" w:rsidRDefault="007A5D3B" w:rsidP="00A76B9D">
            <w:pPr>
              <w:keepLines/>
              <w:numPr>
                <w:ilvl w:val="0"/>
                <w:numId w:val="25"/>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Consortia including local government, not for profit groups and private businesses.</w:t>
            </w:r>
          </w:p>
          <w:p w:rsidR="007A5D3B" w:rsidRPr="007A5D3B" w:rsidRDefault="007A5D3B" w:rsidP="007A5D3B">
            <w:pPr>
              <w:keepLines/>
              <w:suppressAutoHyphens/>
              <w:spacing w:before="0" w:line="220" w:lineRule="exact"/>
              <w:contextualSpacing/>
              <w:rPr>
                <w:rFonts w:eastAsiaTheme="minorHAnsi" w:cs="Arial"/>
                <w:color w:val="auto"/>
                <w:szCs w:val="22"/>
              </w:rPr>
            </w:pP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Please note that all projects will be required to be endorsed/supported by the relevant Local Government Authority.</w:t>
            </w:r>
          </w:p>
          <w:p w:rsidR="007A5D3B" w:rsidRPr="007A5D3B" w:rsidRDefault="007A5D3B" w:rsidP="007A5D3B">
            <w:pPr>
              <w:keepLines/>
              <w:suppressAutoHyphens/>
              <w:spacing w:before="0" w:line="220" w:lineRule="exact"/>
              <w:contextualSpacing/>
              <w:rPr>
                <w:rFonts w:eastAsiaTheme="minorHAnsi" w:cs="Arial"/>
                <w:color w:val="auto"/>
                <w:szCs w:val="22"/>
              </w:rPr>
            </w:pP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Who cannot apply:</w:t>
            </w:r>
          </w:p>
          <w:p w:rsidR="007A5D3B" w:rsidRPr="007A5D3B" w:rsidRDefault="007A5D3B" w:rsidP="00A76B9D">
            <w:pPr>
              <w:keepLines/>
              <w:numPr>
                <w:ilvl w:val="0"/>
                <w:numId w:val="26"/>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Private businesses as sole applicants; and</w:t>
            </w:r>
          </w:p>
          <w:p w:rsidR="007A5D3B" w:rsidRPr="007A5D3B" w:rsidRDefault="007A5D3B" w:rsidP="00A76B9D">
            <w:pPr>
              <w:keepLines/>
              <w:numPr>
                <w:ilvl w:val="0"/>
                <w:numId w:val="26"/>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Individuals.</w:t>
            </w:r>
          </w:p>
          <w:p w:rsidR="007A5D3B" w:rsidRPr="007A5D3B" w:rsidRDefault="007A5D3B" w:rsidP="007A5D3B">
            <w:pPr>
              <w:keepLines/>
              <w:suppressAutoHyphens/>
              <w:spacing w:before="0" w:line="220" w:lineRule="exact"/>
              <w:ind w:left="360"/>
              <w:contextualSpacing/>
              <w:rPr>
                <w:rFonts w:eastAsiaTheme="minorHAnsi" w:cs="Arial"/>
                <w:color w:val="auto"/>
                <w:szCs w:val="22"/>
              </w:rPr>
            </w:pP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Applicants can apply for more than one grant stream where relevant.</w:t>
            </w:r>
          </w:p>
          <w:p w:rsidR="007A5D3B" w:rsidRPr="007A5D3B" w:rsidRDefault="007A5D3B" w:rsidP="007A5D3B">
            <w:pPr>
              <w:keepLines/>
              <w:suppressAutoHyphens/>
              <w:spacing w:before="0" w:line="220" w:lineRule="exact"/>
              <w:contextualSpacing/>
              <w:rPr>
                <w:rFonts w:eastAsiaTheme="minorHAnsi" w:cs="Arial"/>
                <w:color w:val="auto"/>
                <w:szCs w:val="22"/>
              </w:rPr>
            </w:pP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Eligible applications will be assessed against their response to the questions and criteria listed below, as well as supporting documents. Weightings are provided as a guide to the relative importance of different criterion in the assessment process.</w:t>
            </w:r>
          </w:p>
          <w:p w:rsidR="007A5D3B" w:rsidRPr="007A5D3B" w:rsidRDefault="007A5D3B" w:rsidP="007A5D3B">
            <w:pPr>
              <w:keepLines/>
              <w:suppressAutoHyphens/>
              <w:spacing w:before="0" w:line="220" w:lineRule="exact"/>
              <w:contextualSpacing/>
              <w:rPr>
                <w:rFonts w:eastAsiaTheme="minorHAnsi" w:cs="Arial"/>
                <w:color w:val="auto"/>
                <w:szCs w:val="22"/>
              </w:rPr>
            </w:pPr>
          </w:p>
          <w:p w:rsidR="007A5D3B" w:rsidRPr="007A5D3B" w:rsidRDefault="007A5D3B" w:rsidP="007A5D3B">
            <w:pPr>
              <w:keepLines/>
              <w:suppressAutoHyphens/>
              <w:spacing w:before="0" w:line="220" w:lineRule="exact"/>
              <w:contextualSpacing/>
              <w:rPr>
                <w:rFonts w:eastAsiaTheme="minorHAnsi" w:cs="Arial"/>
                <w:b/>
                <w:color w:val="auto"/>
                <w:szCs w:val="22"/>
              </w:rPr>
            </w:pPr>
            <w:r w:rsidRPr="007A5D3B">
              <w:rPr>
                <w:rFonts w:eastAsiaTheme="minorHAnsi" w:cs="Arial"/>
                <w:b/>
                <w:color w:val="auto"/>
                <w:szCs w:val="22"/>
              </w:rPr>
              <w:t xml:space="preserve">30% - What will the project achieve? </w:t>
            </w: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Applications will need to demonstrate how the project will:</w:t>
            </w:r>
          </w:p>
          <w:p w:rsidR="007A5D3B" w:rsidRPr="007A5D3B" w:rsidRDefault="007A5D3B" w:rsidP="00A76B9D">
            <w:pPr>
              <w:keepLines/>
              <w:numPr>
                <w:ilvl w:val="0"/>
                <w:numId w:val="27"/>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Improve the liveability, resilience and competitiveness of the Latrobe Valley.</w:t>
            </w:r>
          </w:p>
          <w:p w:rsidR="007A5D3B" w:rsidRPr="007A5D3B" w:rsidRDefault="007A5D3B" w:rsidP="00A76B9D">
            <w:pPr>
              <w:keepLines/>
              <w:numPr>
                <w:ilvl w:val="0"/>
                <w:numId w:val="27"/>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Improve the attractiveness of the Latrobe Valley t</w:t>
            </w:r>
            <w:r w:rsidR="00A76B9D">
              <w:rPr>
                <w:rFonts w:eastAsiaTheme="minorHAnsi" w:cs="Arial"/>
                <w:color w:val="auto"/>
                <w:szCs w:val="22"/>
              </w:rPr>
              <w:t>o</w:t>
            </w:r>
            <w:r w:rsidRPr="007A5D3B">
              <w:rPr>
                <w:rFonts w:eastAsiaTheme="minorHAnsi" w:cs="Arial"/>
                <w:color w:val="auto"/>
                <w:szCs w:val="22"/>
              </w:rPr>
              <w:t xml:space="preserve"> businesses an</w:t>
            </w:r>
            <w:r w:rsidR="00A76B9D">
              <w:rPr>
                <w:rFonts w:eastAsiaTheme="minorHAnsi" w:cs="Arial"/>
                <w:color w:val="auto"/>
                <w:szCs w:val="22"/>
              </w:rPr>
              <w:t>d</w:t>
            </w:r>
            <w:r w:rsidRPr="007A5D3B">
              <w:rPr>
                <w:rFonts w:eastAsiaTheme="minorHAnsi" w:cs="Arial"/>
                <w:color w:val="auto"/>
                <w:szCs w:val="22"/>
              </w:rPr>
              <w:t xml:space="preserve"> families seeking to move to rural Victoria.</w:t>
            </w:r>
          </w:p>
          <w:p w:rsidR="007A5D3B" w:rsidRPr="007A5D3B" w:rsidRDefault="007A5D3B" w:rsidP="00A76B9D">
            <w:pPr>
              <w:keepLines/>
              <w:numPr>
                <w:ilvl w:val="0"/>
                <w:numId w:val="27"/>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Deliver beneficial economic impact. </w:t>
            </w:r>
          </w:p>
          <w:p w:rsidR="007A5D3B" w:rsidRPr="007A5D3B" w:rsidRDefault="007A5D3B" w:rsidP="007A5D3B">
            <w:pPr>
              <w:keepLines/>
              <w:suppressAutoHyphens/>
              <w:spacing w:before="0" w:line="220" w:lineRule="exact"/>
              <w:contextualSpacing/>
              <w:rPr>
                <w:rFonts w:eastAsiaTheme="minorHAnsi" w:cs="Arial"/>
                <w:b/>
                <w:color w:val="auto"/>
                <w:szCs w:val="22"/>
              </w:rPr>
            </w:pPr>
          </w:p>
          <w:p w:rsidR="007A5D3B" w:rsidRPr="007A5D3B" w:rsidRDefault="007A5D3B" w:rsidP="007A5D3B">
            <w:pPr>
              <w:keepLines/>
              <w:suppressAutoHyphens/>
              <w:spacing w:before="0" w:line="220" w:lineRule="exact"/>
              <w:contextualSpacing/>
              <w:rPr>
                <w:rFonts w:eastAsiaTheme="minorHAnsi" w:cs="Arial"/>
                <w:b/>
                <w:color w:val="auto"/>
                <w:szCs w:val="22"/>
              </w:rPr>
            </w:pPr>
            <w:r w:rsidRPr="007A5D3B">
              <w:rPr>
                <w:rFonts w:eastAsiaTheme="minorHAnsi" w:cs="Arial"/>
                <w:b/>
                <w:color w:val="auto"/>
                <w:szCs w:val="22"/>
              </w:rPr>
              <w:lastRenderedPageBreak/>
              <w:t xml:space="preserve">30% - Why is the project needed? </w:t>
            </w: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The application demonstrates the extent to which the project:</w:t>
            </w:r>
          </w:p>
          <w:p w:rsidR="007A5D3B" w:rsidRPr="007A5D3B" w:rsidRDefault="007A5D3B" w:rsidP="00A76B9D">
            <w:pPr>
              <w:keepLines/>
              <w:numPr>
                <w:ilvl w:val="0"/>
                <w:numId w:val="28"/>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Is supported by the local government authority, by the community and is consistent with local plans, shared priorities and the directions of regional strategic plans. </w:t>
            </w:r>
          </w:p>
          <w:p w:rsidR="007A5D3B" w:rsidRPr="007A5D3B" w:rsidRDefault="007A5D3B" w:rsidP="00A76B9D">
            <w:pPr>
              <w:keepLines/>
              <w:numPr>
                <w:ilvl w:val="0"/>
                <w:numId w:val="28"/>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Addresses an existing identified gap or issue. </w:t>
            </w:r>
          </w:p>
          <w:p w:rsidR="007A5D3B" w:rsidRPr="007A5D3B" w:rsidRDefault="007A5D3B" w:rsidP="00A76B9D">
            <w:pPr>
              <w:keepLines/>
              <w:numPr>
                <w:ilvl w:val="0"/>
                <w:numId w:val="28"/>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Has an identified need for the project or strategic planning supported by evidence of prev</w:t>
            </w:r>
            <w:r w:rsidR="000D2547">
              <w:rPr>
                <w:rFonts w:eastAsiaTheme="minorHAnsi" w:cs="Arial"/>
                <w:color w:val="auto"/>
                <w:szCs w:val="22"/>
              </w:rPr>
              <w:t>ious investigations undertaken.</w:t>
            </w:r>
          </w:p>
          <w:p w:rsidR="007A5D3B" w:rsidRPr="007A5D3B" w:rsidRDefault="007A5D3B" w:rsidP="00A76B9D">
            <w:pPr>
              <w:keepLines/>
              <w:numPr>
                <w:ilvl w:val="0"/>
                <w:numId w:val="28"/>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Is supported by local knowledge and information demonstrating the challenges being faced by the Latrobe Valley.</w:t>
            </w:r>
          </w:p>
          <w:p w:rsidR="007A5D3B" w:rsidRPr="007A5D3B" w:rsidRDefault="007A5D3B" w:rsidP="007A5D3B">
            <w:pPr>
              <w:keepLines/>
              <w:suppressAutoHyphens/>
              <w:spacing w:before="0" w:line="220" w:lineRule="exact"/>
              <w:contextualSpacing/>
              <w:rPr>
                <w:rFonts w:eastAsiaTheme="minorHAnsi" w:cs="Arial"/>
                <w:b/>
                <w:color w:val="auto"/>
                <w:szCs w:val="22"/>
              </w:rPr>
            </w:pPr>
          </w:p>
          <w:p w:rsidR="007A5D3B" w:rsidRPr="007A5D3B" w:rsidRDefault="007A5D3B" w:rsidP="007A5D3B">
            <w:pPr>
              <w:keepLines/>
              <w:suppressAutoHyphens/>
              <w:spacing w:before="0" w:line="220" w:lineRule="exact"/>
              <w:contextualSpacing/>
              <w:rPr>
                <w:rFonts w:eastAsiaTheme="minorHAnsi" w:cs="Arial"/>
                <w:b/>
                <w:color w:val="auto"/>
                <w:szCs w:val="22"/>
              </w:rPr>
            </w:pPr>
            <w:r w:rsidRPr="007A5D3B">
              <w:rPr>
                <w:rFonts w:eastAsiaTheme="minorHAnsi" w:cs="Arial"/>
                <w:b/>
                <w:color w:val="auto"/>
                <w:szCs w:val="22"/>
              </w:rPr>
              <w:t xml:space="preserve">20% - How will the project be delivered? </w:t>
            </w: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The application demonstrates the extent to which the project:</w:t>
            </w:r>
          </w:p>
          <w:p w:rsidR="007A5D3B" w:rsidRPr="007A5D3B" w:rsidRDefault="007A5D3B" w:rsidP="00A76B9D">
            <w:pPr>
              <w:keepLines/>
              <w:numPr>
                <w:ilvl w:val="0"/>
                <w:numId w:val="29"/>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Is investment ready, supported by a clear approach and realistic timeframes. </w:t>
            </w:r>
          </w:p>
          <w:p w:rsidR="007A5D3B" w:rsidRPr="007A5D3B" w:rsidRDefault="007A5D3B" w:rsidP="00A76B9D">
            <w:pPr>
              <w:keepLines/>
              <w:numPr>
                <w:ilvl w:val="0"/>
                <w:numId w:val="29"/>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Is financially viable, based on sound cost estimates and represents value for money. </w:t>
            </w:r>
          </w:p>
          <w:p w:rsidR="007A5D3B" w:rsidRPr="007A5D3B" w:rsidRDefault="007A5D3B" w:rsidP="00A76B9D">
            <w:pPr>
              <w:keepLines/>
              <w:numPr>
                <w:ilvl w:val="0"/>
                <w:numId w:val="29"/>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Incorporates principles of environmental sustainability and addresses Universal Design while complying with relevant anti-discrimination legislation (for infrastructure projects). </w:t>
            </w:r>
          </w:p>
          <w:p w:rsidR="007A5D3B" w:rsidRPr="007A5D3B" w:rsidRDefault="007A5D3B" w:rsidP="00A76B9D">
            <w:pPr>
              <w:keepLines/>
              <w:numPr>
                <w:ilvl w:val="0"/>
                <w:numId w:val="29"/>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Uses materials and resources to deliver the project which strengthen the Latrobe Valley community and economy. </w:t>
            </w:r>
          </w:p>
          <w:p w:rsidR="007A5D3B" w:rsidRPr="007A5D3B" w:rsidRDefault="007A5D3B" w:rsidP="007A5D3B">
            <w:pPr>
              <w:keepLines/>
              <w:suppressAutoHyphens/>
              <w:spacing w:before="0" w:line="220" w:lineRule="exact"/>
              <w:contextualSpacing/>
              <w:rPr>
                <w:rFonts w:eastAsiaTheme="minorHAnsi" w:cs="Arial"/>
                <w:b/>
                <w:color w:val="auto"/>
                <w:szCs w:val="22"/>
              </w:rPr>
            </w:pPr>
          </w:p>
          <w:p w:rsidR="007A5D3B" w:rsidRPr="007A5D3B" w:rsidRDefault="007A5D3B" w:rsidP="007A5D3B">
            <w:pPr>
              <w:keepLines/>
              <w:suppressAutoHyphens/>
              <w:spacing w:before="0" w:line="220" w:lineRule="exact"/>
              <w:contextualSpacing/>
              <w:rPr>
                <w:rFonts w:eastAsiaTheme="minorHAnsi" w:cs="Arial"/>
                <w:b/>
                <w:color w:val="auto"/>
                <w:szCs w:val="22"/>
              </w:rPr>
            </w:pPr>
            <w:r w:rsidRPr="007A5D3B">
              <w:rPr>
                <w:rFonts w:eastAsiaTheme="minorHAnsi" w:cs="Arial"/>
                <w:b/>
                <w:color w:val="auto"/>
                <w:szCs w:val="22"/>
              </w:rPr>
              <w:t xml:space="preserve">20% - Who is involved? </w:t>
            </w:r>
          </w:p>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The application demonstrates the extent to which the project:</w:t>
            </w:r>
          </w:p>
          <w:p w:rsidR="007A5D3B" w:rsidRPr="007A5D3B" w:rsidRDefault="007A5D3B" w:rsidP="00A76B9D">
            <w:pPr>
              <w:keepLines/>
              <w:numPr>
                <w:ilvl w:val="0"/>
                <w:numId w:val="30"/>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Employs a collaborative approach with a range of partners and indicates how they will contribute to the project;</w:t>
            </w:r>
            <w:r w:rsidR="002C60B6">
              <w:rPr>
                <w:rFonts w:eastAsiaTheme="minorHAnsi" w:cs="Arial"/>
                <w:color w:val="auto"/>
                <w:szCs w:val="22"/>
              </w:rPr>
              <w:t xml:space="preserve"> </w:t>
            </w:r>
          </w:p>
          <w:p w:rsidR="007A5D3B" w:rsidRPr="007A5D3B" w:rsidRDefault="007A5D3B" w:rsidP="00A76B9D">
            <w:pPr>
              <w:keepLines/>
              <w:numPr>
                <w:ilvl w:val="0"/>
                <w:numId w:val="30"/>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Is capable of being implemented or can draw upon personnel with expertise to manage the project; and </w:t>
            </w:r>
          </w:p>
          <w:p w:rsidR="007A5D3B" w:rsidRPr="007A5D3B" w:rsidRDefault="007A5D3B" w:rsidP="00A76B9D">
            <w:pPr>
              <w:keepLines/>
              <w:numPr>
                <w:ilvl w:val="0"/>
                <w:numId w:val="30"/>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Is proposed by a financially viable applicant who is capable of managing and completing the project. </w:t>
            </w:r>
          </w:p>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5954" w:type="dxa"/>
            <w:vMerge w:val="restart"/>
          </w:tcPr>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lastRenderedPageBreak/>
              <w:t>The Latr</w:t>
            </w:r>
            <w:r w:rsidR="000D2547">
              <w:rPr>
                <w:rFonts w:eastAsiaTheme="minorHAnsi" w:cs="Arial"/>
                <w:color w:val="auto"/>
                <w:szCs w:val="22"/>
              </w:rPr>
              <w:t>obe Valley C</w:t>
            </w:r>
            <w:r w:rsidRPr="007A5D3B">
              <w:rPr>
                <w:rFonts w:eastAsiaTheme="minorHAnsi" w:cs="Arial"/>
                <w:color w:val="auto"/>
                <w:szCs w:val="22"/>
              </w:rPr>
              <w:t>ommunity Facility Fund is administered by the Latrobe Valley Authority.</w:t>
            </w:r>
          </w:p>
          <w:p w:rsidR="007A5D3B" w:rsidRPr="007A5D3B" w:rsidRDefault="007A5D3B" w:rsidP="007A5D3B">
            <w:pPr>
              <w:shd w:val="clear" w:color="auto" w:fill="FFFFFF"/>
              <w:spacing w:before="0" w:after="210"/>
              <w:rPr>
                <w:rFonts w:eastAsiaTheme="minorHAnsi" w:cs="Arial"/>
                <w:color w:val="auto"/>
                <w:szCs w:val="22"/>
              </w:rPr>
            </w:pPr>
            <w:r w:rsidRPr="007A5D3B">
              <w:rPr>
                <w:rFonts w:eastAsiaTheme="minorHAnsi" w:cs="Arial"/>
                <w:color w:val="auto"/>
                <w:szCs w:val="22"/>
              </w:rPr>
              <w:t>These three program streams will support projects that will make the Latrobe Valley a better place to live, attracting new businesses and residents and helping people to make a difference in their own community. Supported projects may include (but are not limited to):</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Town beautification and streetscape projects;</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Infrastructure that connects communities, links recreation to retail precincts, and attracts visitors;</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 xml:space="preserve">Heritage and cultural initiatives of economic significance to the local community such as renewal of historic buildings and sites, arts and cultural centres or resource facilities; </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Public hall upgrades;</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Development of shared community spaces;</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Upgrades of community spaces that enhance wellbeing and social connectedness;</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Visitor attractions; and</w:t>
            </w:r>
          </w:p>
          <w:p w:rsidR="007A5D3B" w:rsidRPr="007A5D3B" w:rsidRDefault="007A5D3B" w:rsidP="00A76B9D">
            <w:pPr>
              <w:numPr>
                <w:ilvl w:val="0"/>
                <w:numId w:val="24"/>
              </w:numPr>
              <w:shd w:val="clear" w:color="auto" w:fill="FFFFFF"/>
              <w:spacing w:before="0" w:after="210"/>
              <w:contextualSpacing/>
              <w:rPr>
                <w:rFonts w:eastAsiaTheme="minorHAnsi" w:cs="Arial"/>
                <w:color w:val="auto"/>
                <w:szCs w:val="22"/>
              </w:rPr>
            </w:pPr>
            <w:r w:rsidRPr="007A5D3B">
              <w:rPr>
                <w:rFonts w:eastAsiaTheme="minorHAnsi" w:cs="Arial"/>
                <w:color w:val="auto"/>
                <w:szCs w:val="22"/>
              </w:rPr>
              <w:t>Community events that bring people together to celebrate the place where they live and/or to work together to achieve community goals.</w:t>
            </w:r>
          </w:p>
        </w:tc>
      </w:tr>
      <w:tr w:rsidR="007A5D3B" w:rsidRPr="007A5D3B" w:rsidTr="00BB7C3E">
        <w:trPr>
          <w:cantSplit/>
        </w:trPr>
        <w:tc>
          <w:tcPr>
            <w:tcW w:w="1674" w:type="dxa"/>
            <w:vMerge/>
            <w:shd w:val="clear" w:color="auto" w:fill="F2F2F2" w:themeFill="background1" w:themeFillShade="F2"/>
          </w:tcPr>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1487" w:type="dxa"/>
          </w:tcPr>
          <w:p w:rsidR="007A5D3B" w:rsidRDefault="007A5D3B" w:rsidP="007A5D3B">
            <w:pPr>
              <w:spacing w:before="0" w:after="0"/>
              <w:rPr>
                <w:rFonts w:eastAsiaTheme="minorHAnsi" w:cs="Arial"/>
                <w:color w:val="auto"/>
                <w:szCs w:val="22"/>
              </w:rPr>
            </w:pPr>
            <w:r w:rsidRPr="007A5D3B">
              <w:rPr>
                <w:rFonts w:eastAsiaTheme="minorHAnsi" w:cs="Arial"/>
                <w:b/>
                <w:color w:val="auto"/>
                <w:szCs w:val="22"/>
              </w:rPr>
              <w:t>Liveable Latrobe Valley Stream 2</w:t>
            </w:r>
            <w:r w:rsidRPr="007A5D3B">
              <w:rPr>
                <w:rFonts w:eastAsiaTheme="minorHAnsi" w:cs="Arial"/>
                <w:color w:val="auto"/>
                <w:szCs w:val="22"/>
              </w:rPr>
              <w:t xml:space="preserve"> – Up to $50,000 for community space upgrades</w:t>
            </w:r>
          </w:p>
          <w:p w:rsidR="00BB7C3E" w:rsidRPr="007A5D3B" w:rsidRDefault="00BB7C3E" w:rsidP="007A5D3B">
            <w:pPr>
              <w:spacing w:before="0" w:after="0"/>
              <w:rPr>
                <w:rFonts w:eastAsiaTheme="minorHAnsi" w:cs="Arial"/>
                <w:color w:val="auto"/>
                <w:szCs w:val="22"/>
              </w:rPr>
            </w:pPr>
          </w:p>
        </w:tc>
        <w:tc>
          <w:tcPr>
            <w:tcW w:w="6195" w:type="dxa"/>
            <w:vMerge/>
          </w:tcPr>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5954" w:type="dxa"/>
            <w:vMerge/>
          </w:tcPr>
          <w:p w:rsidR="007A5D3B" w:rsidRPr="007A5D3B" w:rsidRDefault="007A5D3B" w:rsidP="007A5D3B">
            <w:pPr>
              <w:spacing w:before="0" w:after="0"/>
              <w:rPr>
                <w:rFonts w:asciiTheme="minorHAnsi" w:eastAsiaTheme="minorHAnsi" w:hAnsiTheme="minorHAnsi" w:cstheme="minorBidi"/>
                <w:b/>
                <w:color w:val="auto"/>
                <w:sz w:val="22"/>
                <w:szCs w:val="22"/>
              </w:rPr>
            </w:pPr>
          </w:p>
        </w:tc>
      </w:tr>
      <w:tr w:rsidR="007A5D3B" w:rsidRPr="007A5D3B" w:rsidTr="00BB7C3E">
        <w:trPr>
          <w:cantSplit/>
          <w:trHeight w:val="3782"/>
        </w:trPr>
        <w:tc>
          <w:tcPr>
            <w:tcW w:w="1674" w:type="dxa"/>
            <w:vMerge/>
            <w:tcBorders>
              <w:bottom w:val="single" w:sz="4" w:space="0" w:color="auto"/>
            </w:tcBorders>
            <w:shd w:val="clear" w:color="auto" w:fill="F2F2F2" w:themeFill="background1" w:themeFillShade="F2"/>
          </w:tcPr>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1487" w:type="dxa"/>
            <w:tcBorders>
              <w:bottom w:val="single" w:sz="4" w:space="0" w:color="auto"/>
            </w:tcBorders>
          </w:tcPr>
          <w:p w:rsidR="007A5D3B" w:rsidRPr="007A5D3B" w:rsidRDefault="007A5D3B" w:rsidP="007A5D3B">
            <w:pPr>
              <w:spacing w:before="0" w:after="0"/>
              <w:rPr>
                <w:rFonts w:eastAsiaTheme="minorHAnsi" w:cs="Arial"/>
                <w:color w:val="auto"/>
                <w:szCs w:val="22"/>
              </w:rPr>
            </w:pPr>
            <w:r w:rsidRPr="007A5D3B">
              <w:rPr>
                <w:rFonts w:eastAsiaTheme="minorHAnsi" w:cs="Arial"/>
                <w:b/>
                <w:color w:val="auto"/>
                <w:szCs w:val="22"/>
              </w:rPr>
              <w:t>Liveable Latrobe Valley Stream 3</w:t>
            </w:r>
            <w:r w:rsidRPr="007A5D3B">
              <w:rPr>
                <w:rFonts w:eastAsiaTheme="minorHAnsi" w:cs="Arial"/>
                <w:color w:val="auto"/>
                <w:szCs w:val="22"/>
              </w:rPr>
              <w:t xml:space="preserve"> – Between $50,000 and $999,999 for town infrastructure developments and major upgrades**</w:t>
            </w:r>
          </w:p>
          <w:p w:rsidR="007A5D3B" w:rsidRPr="007A5D3B" w:rsidRDefault="007A5D3B" w:rsidP="007A5D3B">
            <w:pPr>
              <w:spacing w:before="0" w:after="0"/>
              <w:rPr>
                <w:rFonts w:eastAsiaTheme="minorHAnsi" w:cs="Arial"/>
                <w:color w:val="auto"/>
                <w:szCs w:val="22"/>
              </w:rPr>
            </w:pPr>
            <w:r w:rsidRPr="007A5D3B">
              <w:rPr>
                <w:rFonts w:eastAsiaTheme="minorHAnsi" w:cs="Arial"/>
                <w:color w:val="auto"/>
                <w:szCs w:val="22"/>
              </w:rPr>
              <w:t>**</w:t>
            </w:r>
            <w:r w:rsidRPr="007A5D3B">
              <w:rPr>
                <w:rFonts w:asciiTheme="minorHAnsi" w:eastAsiaTheme="minorHAnsi" w:hAnsiTheme="minorHAnsi" w:cstheme="minorBidi"/>
                <w:i/>
                <w:color w:val="auto"/>
                <w:sz w:val="22"/>
                <w:szCs w:val="22"/>
              </w:rPr>
              <w:t xml:space="preserve"> </w:t>
            </w:r>
            <w:r w:rsidRPr="007A5D3B">
              <w:rPr>
                <w:rFonts w:eastAsiaTheme="minorHAnsi" w:cs="Arial"/>
                <w:i/>
                <w:color w:val="auto"/>
                <w:sz w:val="14"/>
                <w:szCs w:val="22"/>
              </w:rPr>
              <w:t>It is anticipated that projects of this size would be managed by organisations with a strong track record of similar projects, or are led by Local Government.</w:t>
            </w:r>
          </w:p>
        </w:tc>
        <w:tc>
          <w:tcPr>
            <w:tcW w:w="6195" w:type="dxa"/>
            <w:vMerge/>
            <w:tcBorders>
              <w:bottom w:val="single" w:sz="4" w:space="0" w:color="auto"/>
            </w:tcBorders>
          </w:tcPr>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5954" w:type="dxa"/>
            <w:vMerge/>
            <w:tcBorders>
              <w:bottom w:val="single" w:sz="4" w:space="0" w:color="auto"/>
            </w:tcBorders>
          </w:tcPr>
          <w:p w:rsidR="007A5D3B" w:rsidRPr="007A5D3B" w:rsidRDefault="007A5D3B" w:rsidP="007A5D3B">
            <w:pPr>
              <w:spacing w:before="0" w:after="0"/>
              <w:rPr>
                <w:rFonts w:asciiTheme="minorHAnsi" w:eastAsiaTheme="minorHAnsi" w:hAnsiTheme="minorHAnsi" w:cstheme="minorBidi"/>
                <w:b/>
                <w:color w:val="auto"/>
                <w:sz w:val="22"/>
                <w:szCs w:val="22"/>
              </w:rPr>
            </w:pPr>
          </w:p>
        </w:tc>
      </w:tr>
      <w:tr w:rsidR="007A5D3B" w:rsidRPr="007A5D3B" w:rsidTr="00BB7C3E">
        <w:trPr>
          <w:cantSplit/>
        </w:trPr>
        <w:tc>
          <w:tcPr>
            <w:tcW w:w="1674" w:type="dxa"/>
            <w:shd w:val="clear" w:color="auto" w:fill="F2F2F2" w:themeFill="background1" w:themeFillShade="F2"/>
          </w:tcPr>
          <w:p w:rsidR="007A5D3B" w:rsidRPr="007A5D3B" w:rsidRDefault="00BB7C3E" w:rsidP="007A5D3B">
            <w:pPr>
              <w:spacing w:before="0" w:after="0"/>
              <w:rPr>
                <w:rFonts w:asciiTheme="minorHAnsi" w:eastAsiaTheme="minorHAnsi" w:hAnsiTheme="minorHAnsi" w:cstheme="minorBidi"/>
                <w:b/>
                <w:color w:val="auto"/>
                <w:sz w:val="22"/>
                <w:szCs w:val="22"/>
              </w:rPr>
            </w:pPr>
            <w:r w:rsidRPr="007A5D3B">
              <w:rPr>
                <w:rFonts w:eastAsiaTheme="minorHAnsi" w:cs="Arial"/>
                <w:b/>
                <w:color w:val="auto"/>
                <w:szCs w:val="22"/>
              </w:rPr>
              <w:lastRenderedPageBreak/>
              <w:t>Latrobe Valley Community Facility Fund</w:t>
            </w:r>
          </w:p>
        </w:tc>
        <w:tc>
          <w:tcPr>
            <w:tcW w:w="1487" w:type="dxa"/>
          </w:tcPr>
          <w:p w:rsidR="007A5D3B" w:rsidRPr="007A5D3B" w:rsidRDefault="007A5D3B" w:rsidP="007A5D3B">
            <w:pPr>
              <w:spacing w:before="0" w:after="0"/>
              <w:rPr>
                <w:rFonts w:eastAsiaTheme="minorHAnsi" w:cs="Arial"/>
                <w:color w:val="auto"/>
                <w:szCs w:val="22"/>
              </w:rPr>
            </w:pPr>
            <w:r w:rsidRPr="007A5D3B">
              <w:rPr>
                <w:rFonts w:eastAsiaTheme="minorHAnsi" w:cs="Arial"/>
                <w:b/>
                <w:color w:val="auto"/>
                <w:szCs w:val="22"/>
              </w:rPr>
              <w:t xml:space="preserve">Active Latrobe Valley Stream 4 – </w:t>
            </w:r>
            <w:r w:rsidRPr="007A5D3B">
              <w:rPr>
                <w:rFonts w:eastAsiaTheme="minorHAnsi" w:cs="Arial"/>
                <w:color w:val="auto"/>
                <w:szCs w:val="22"/>
              </w:rPr>
              <w:t>up to $1 million</w:t>
            </w:r>
          </w:p>
        </w:tc>
        <w:tc>
          <w:tcPr>
            <w:tcW w:w="6195" w:type="dxa"/>
          </w:tcPr>
          <w:p w:rsidR="007A5D3B" w:rsidRPr="007A5D3B" w:rsidRDefault="007A5D3B" w:rsidP="007A5D3B">
            <w:pPr>
              <w:spacing w:before="0" w:after="0"/>
              <w:rPr>
                <w:rFonts w:asciiTheme="minorHAnsi" w:eastAsiaTheme="minorHAnsi" w:hAnsiTheme="minorHAnsi" w:cstheme="minorBidi"/>
                <w:b/>
                <w:color w:val="auto"/>
                <w:sz w:val="22"/>
                <w:szCs w:val="22"/>
              </w:rPr>
            </w:pPr>
          </w:p>
        </w:tc>
        <w:tc>
          <w:tcPr>
            <w:tcW w:w="5954" w:type="dxa"/>
          </w:tcPr>
          <w:p w:rsidR="007A5D3B" w:rsidRPr="007A5D3B" w:rsidRDefault="007A5D3B" w:rsidP="007A5D3B">
            <w:pPr>
              <w:keepLines/>
              <w:suppressAutoHyphens/>
              <w:spacing w:before="0" w:line="220" w:lineRule="exact"/>
              <w:contextualSpacing/>
              <w:rPr>
                <w:rFonts w:eastAsiaTheme="minorHAnsi" w:cs="Arial"/>
                <w:color w:val="auto"/>
                <w:szCs w:val="22"/>
              </w:rPr>
            </w:pPr>
            <w:r w:rsidRPr="007A5D3B">
              <w:rPr>
                <w:rFonts w:eastAsiaTheme="minorHAnsi" w:cs="Arial"/>
                <w:color w:val="auto"/>
                <w:szCs w:val="22"/>
              </w:rPr>
              <w:t>This program stream will support projects designed to make communities a healthier place to live, concentrating on sport and recreation, including open space improvements for families, residents and visitors to enjoy. Supported projects may include (but are not limited to):</w:t>
            </w:r>
          </w:p>
          <w:p w:rsidR="007A5D3B" w:rsidRPr="007A5D3B" w:rsidRDefault="007A5D3B" w:rsidP="00A76B9D">
            <w:pPr>
              <w:keepLines/>
              <w:numPr>
                <w:ilvl w:val="0"/>
                <w:numId w:val="31"/>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Parks, playgrounds and passive recreational area development;</w:t>
            </w:r>
          </w:p>
          <w:p w:rsidR="007A5D3B" w:rsidRPr="007A5D3B" w:rsidRDefault="007A5D3B" w:rsidP="00A76B9D">
            <w:pPr>
              <w:keepLines/>
              <w:numPr>
                <w:ilvl w:val="0"/>
                <w:numId w:val="31"/>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Recreational precinct upgrades;</w:t>
            </w:r>
          </w:p>
          <w:p w:rsidR="007A5D3B" w:rsidRPr="007A5D3B" w:rsidRDefault="007A5D3B" w:rsidP="00A76B9D">
            <w:pPr>
              <w:keepLines/>
              <w:numPr>
                <w:ilvl w:val="0"/>
                <w:numId w:val="31"/>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 xml:space="preserve">Sporting facilities and precincts; </w:t>
            </w:r>
          </w:p>
          <w:p w:rsidR="007A5D3B" w:rsidRPr="007A5D3B" w:rsidRDefault="007A5D3B" w:rsidP="00A76B9D">
            <w:pPr>
              <w:keepLines/>
              <w:numPr>
                <w:ilvl w:val="0"/>
                <w:numId w:val="31"/>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Rail trails and walking tracks; and</w:t>
            </w:r>
          </w:p>
          <w:p w:rsidR="007A5D3B" w:rsidRPr="007A5D3B" w:rsidRDefault="007A5D3B" w:rsidP="00A76B9D">
            <w:pPr>
              <w:keepLines/>
              <w:numPr>
                <w:ilvl w:val="0"/>
                <w:numId w:val="31"/>
              </w:numPr>
              <w:suppressAutoHyphens/>
              <w:spacing w:before="0" w:after="0" w:line="220" w:lineRule="exact"/>
              <w:contextualSpacing/>
              <w:rPr>
                <w:rFonts w:eastAsiaTheme="minorHAnsi" w:cs="Arial"/>
                <w:color w:val="auto"/>
                <w:szCs w:val="22"/>
              </w:rPr>
            </w:pPr>
            <w:r w:rsidRPr="007A5D3B">
              <w:rPr>
                <w:rFonts w:eastAsiaTheme="minorHAnsi" w:cs="Arial"/>
                <w:color w:val="auto"/>
                <w:szCs w:val="22"/>
              </w:rPr>
              <w:t>Bicycle paths.</w:t>
            </w:r>
          </w:p>
        </w:tc>
      </w:tr>
    </w:tbl>
    <w:p w:rsidR="007A5D3B" w:rsidRPr="007A5D3B" w:rsidRDefault="007A5D3B" w:rsidP="007A5D3B">
      <w:pPr>
        <w:pStyle w:val="bodyCopy"/>
      </w:pPr>
    </w:p>
    <w:sectPr w:rsidR="007A5D3B" w:rsidRPr="007A5D3B" w:rsidSect="00D62E38">
      <w:pgSz w:w="16838" w:h="11906" w:orient="landscape"/>
      <w:pgMar w:top="1440" w:right="1440" w:bottom="1440" w:left="1440" w:header="708" w:footer="1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6AD" w:rsidRDefault="00C256AD" w:rsidP="00BF2BA6">
      <w:pPr>
        <w:spacing w:before="0" w:after="0"/>
      </w:pPr>
      <w:r>
        <w:separator/>
      </w:r>
    </w:p>
  </w:endnote>
  <w:endnote w:type="continuationSeparator" w:id="0">
    <w:p w:rsidR="00C256AD" w:rsidRDefault="00C256AD" w:rsidP="00BF2B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Default="002C6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238877"/>
      <w:docPartObj>
        <w:docPartGallery w:val="Page Numbers (Bottom of Page)"/>
        <w:docPartUnique/>
      </w:docPartObj>
    </w:sdtPr>
    <w:sdtEndPr/>
    <w:sdtContent>
      <w:sdt>
        <w:sdtPr>
          <w:id w:val="-617300010"/>
          <w:docPartObj>
            <w:docPartGallery w:val="Page Numbers (Top of Page)"/>
            <w:docPartUnique/>
          </w:docPartObj>
        </w:sdtPr>
        <w:sdtEndPr/>
        <w:sdtContent>
          <w:p w:rsidR="002C60B6" w:rsidRDefault="002C60B6">
            <w:pPr>
              <w:pStyle w:val="Footer"/>
              <w:jc w:val="right"/>
            </w:pPr>
            <w:r>
              <w:rPr>
                <w:b/>
                <w:bCs/>
                <w:sz w:val="24"/>
                <w:szCs w:val="24"/>
              </w:rPr>
              <w:fldChar w:fldCharType="begin"/>
            </w:r>
            <w:r>
              <w:rPr>
                <w:b/>
                <w:bCs/>
              </w:rPr>
              <w:instrText xml:space="preserve"> PAGE </w:instrText>
            </w:r>
            <w:r>
              <w:rPr>
                <w:b/>
                <w:bCs/>
                <w:sz w:val="24"/>
                <w:szCs w:val="24"/>
              </w:rPr>
              <w:fldChar w:fldCharType="separate"/>
            </w:r>
            <w:r>
              <w:rPr>
                <w:b/>
                <w:bCs/>
                <w:noProof/>
              </w:rPr>
              <w:t>iii</w:t>
            </w:r>
            <w:r>
              <w:rPr>
                <w:b/>
                <w:bCs/>
                <w:sz w:val="24"/>
                <w:szCs w:val="24"/>
              </w:rPr>
              <w:fldChar w:fldCharType="end"/>
            </w:r>
          </w:p>
        </w:sdtContent>
      </w:sdt>
    </w:sdtContent>
  </w:sdt>
  <w:p w:rsidR="002C60B6" w:rsidRPr="00663F75" w:rsidRDefault="002C60B6" w:rsidP="00663F7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353575"/>
      <w:docPartObj>
        <w:docPartGallery w:val="Page Numbers (Top of Page)"/>
        <w:docPartUnique/>
      </w:docPartObj>
    </w:sdtPr>
    <w:sdtEndPr>
      <w:rPr>
        <w:szCs w:val="18"/>
      </w:rPr>
    </w:sdtEndPr>
    <w:sdtContent>
      <w:p w:rsidR="002C60B6" w:rsidRPr="00943705" w:rsidRDefault="002C60B6" w:rsidP="00943705">
        <w:pPr>
          <w:pStyle w:val="Footer"/>
          <w:jc w:val="right"/>
          <w:rPr>
            <w:szCs w:val="18"/>
          </w:rPr>
        </w:pPr>
        <w:r>
          <w:t xml:space="preserve">Appendices </w:t>
        </w:r>
        <w:r w:rsidRPr="00943705">
          <w:rPr>
            <w:szCs w:val="18"/>
          </w:rPr>
          <w:t xml:space="preserve">Page </w:t>
        </w:r>
        <w:r w:rsidRPr="00943705">
          <w:rPr>
            <w:b/>
            <w:bCs/>
            <w:szCs w:val="18"/>
          </w:rPr>
          <w:fldChar w:fldCharType="begin"/>
        </w:r>
        <w:r w:rsidRPr="00943705">
          <w:rPr>
            <w:b/>
            <w:bCs/>
            <w:szCs w:val="18"/>
          </w:rPr>
          <w:instrText xml:space="preserve"> PAGE </w:instrText>
        </w:r>
        <w:r w:rsidRPr="00943705">
          <w:rPr>
            <w:b/>
            <w:bCs/>
            <w:szCs w:val="18"/>
          </w:rPr>
          <w:fldChar w:fldCharType="separate"/>
        </w:r>
        <w:r>
          <w:rPr>
            <w:b/>
            <w:bCs/>
            <w:noProof/>
            <w:szCs w:val="18"/>
          </w:rPr>
          <w:t>1</w:t>
        </w:r>
        <w:r w:rsidRPr="00943705">
          <w:rPr>
            <w:b/>
            <w:bCs/>
            <w:szCs w:val="18"/>
          </w:rPr>
          <w:fldChar w:fldCharType="end"/>
        </w:r>
      </w:p>
    </w:sdtContent>
  </w:sdt>
  <w:p w:rsidR="002C60B6" w:rsidRDefault="002C60B6" w:rsidP="0094370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298678"/>
      <w:docPartObj>
        <w:docPartGallery w:val="Page Numbers (Bottom of Page)"/>
        <w:docPartUnique/>
      </w:docPartObj>
    </w:sdtPr>
    <w:sdtEndPr/>
    <w:sdtContent>
      <w:sdt>
        <w:sdtPr>
          <w:id w:val="1196811279"/>
          <w:docPartObj>
            <w:docPartGallery w:val="Page Numbers (Top of Page)"/>
            <w:docPartUnique/>
          </w:docPartObj>
        </w:sdtPr>
        <w:sdtEndPr/>
        <w:sdtContent>
          <w:p w:rsidR="002C60B6" w:rsidRDefault="002C60B6">
            <w:pPr>
              <w:pStyle w:val="Footer"/>
              <w:jc w:val="right"/>
            </w:pPr>
            <w:r w:rsidRPr="00943705">
              <w:rPr>
                <w:szCs w:val="18"/>
              </w:rPr>
              <w:t xml:space="preserve">Page </w:t>
            </w:r>
            <w:r w:rsidRPr="00943705">
              <w:rPr>
                <w:b/>
                <w:bCs/>
                <w:szCs w:val="18"/>
              </w:rPr>
              <w:fldChar w:fldCharType="begin"/>
            </w:r>
            <w:r w:rsidRPr="00943705">
              <w:rPr>
                <w:b/>
                <w:bCs/>
                <w:szCs w:val="18"/>
              </w:rPr>
              <w:instrText xml:space="preserve"> PAGE </w:instrText>
            </w:r>
            <w:r w:rsidRPr="00943705">
              <w:rPr>
                <w:b/>
                <w:bCs/>
                <w:szCs w:val="18"/>
              </w:rPr>
              <w:fldChar w:fldCharType="separate"/>
            </w:r>
            <w:r>
              <w:rPr>
                <w:b/>
                <w:bCs/>
                <w:noProof/>
                <w:szCs w:val="18"/>
              </w:rPr>
              <w:t>16</w:t>
            </w:r>
            <w:r w:rsidRPr="00943705">
              <w:rPr>
                <w:b/>
                <w:bCs/>
                <w:szCs w:val="18"/>
              </w:rPr>
              <w:fldChar w:fldCharType="end"/>
            </w:r>
            <w:r w:rsidRPr="00943705">
              <w:rPr>
                <w:szCs w:val="18"/>
              </w:rPr>
              <w:t xml:space="preserve"> of </w:t>
            </w:r>
            <w:r w:rsidRPr="00943705">
              <w:rPr>
                <w:b/>
                <w:bCs/>
                <w:szCs w:val="18"/>
              </w:rPr>
              <w:fldChar w:fldCharType="begin"/>
            </w:r>
            <w:r w:rsidRPr="00943705">
              <w:rPr>
                <w:b/>
                <w:bCs/>
                <w:szCs w:val="18"/>
              </w:rPr>
              <w:instrText xml:space="preserve"> SECTIONPAGES  </w:instrText>
            </w:r>
            <w:r w:rsidRPr="00943705">
              <w:rPr>
                <w:b/>
                <w:bCs/>
                <w:szCs w:val="18"/>
              </w:rPr>
              <w:fldChar w:fldCharType="separate"/>
            </w:r>
            <w:r w:rsidR="00BE3296">
              <w:rPr>
                <w:b/>
                <w:bCs/>
                <w:noProof/>
                <w:szCs w:val="18"/>
              </w:rPr>
              <w:t>15</w:t>
            </w:r>
            <w:r w:rsidRPr="00943705">
              <w:rPr>
                <w:b/>
                <w:bCs/>
                <w:szCs w:val="18"/>
              </w:rPr>
              <w:fldChar w:fldCharType="end"/>
            </w:r>
          </w:p>
        </w:sdtContent>
      </w:sdt>
    </w:sdtContent>
  </w:sdt>
  <w:p w:rsidR="002C60B6" w:rsidRPr="00663F75" w:rsidRDefault="002C60B6" w:rsidP="00663F75">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316328"/>
      <w:docPartObj>
        <w:docPartGallery w:val="Page Numbers (Top of Page)"/>
        <w:docPartUnique/>
      </w:docPartObj>
    </w:sdtPr>
    <w:sdtEndPr/>
    <w:sdtContent>
      <w:p w:rsidR="002C60B6" w:rsidRDefault="002C60B6" w:rsidP="009B4AB2">
        <w:pPr>
          <w:pStyle w:val="Footer"/>
          <w:jc w:val="right"/>
        </w:pPr>
        <w:r>
          <w:t xml:space="preserve">Appendices </w:t>
        </w:r>
        <w:r w:rsidRPr="00943705">
          <w:rPr>
            <w:szCs w:val="18"/>
          </w:rPr>
          <w:t xml:space="preserve">Page </w:t>
        </w:r>
        <w:r w:rsidRPr="00943705">
          <w:rPr>
            <w:b/>
            <w:bCs/>
            <w:szCs w:val="18"/>
          </w:rPr>
          <w:fldChar w:fldCharType="begin"/>
        </w:r>
        <w:r w:rsidRPr="00943705">
          <w:rPr>
            <w:b/>
            <w:bCs/>
            <w:szCs w:val="18"/>
          </w:rPr>
          <w:instrText xml:space="preserve"> PAGE </w:instrText>
        </w:r>
        <w:r w:rsidRPr="00943705">
          <w:rPr>
            <w:b/>
            <w:bCs/>
            <w:szCs w:val="18"/>
          </w:rPr>
          <w:fldChar w:fldCharType="separate"/>
        </w:r>
        <w:r>
          <w:rPr>
            <w:b/>
            <w:bCs/>
            <w:noProof/>
            <w:szCs w:val="18"/>
          </w:rPr>
          <w:t>5</w:t>
        </w:r>
        <w:r w:rsidRPr="00943705">
          <w:rPr>
            <w:b/>
            <w:bCs/>
            <w:szCs w:val="18"/>
          </w:rPr>
          <w:fldChar w:fldCharType="end"/>
        </w:r>
      </w:p>
    </w:sdtContent>
  </w:sdt>
  <w:p w:rsidR="002C60B6" w:rsidRPr="009B4AB2" w:rsidRDefault="002C60B6" w:rsidP="009B4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6AD" w:rsidRDefault="00C256AD" w:rsidP="00BF2BA6">
      <w:pPr>
        <w:spacing w:before="0" w:after="0"/>
      </w:pPr>
      <w:r>
        <w:separator/>
      </w:r>
    </w:p>
  </w:footnote>
  <w:footnote w:type="continuationSeparator" w:id="0">
    <w:p w:rsidR="00C256AD" w:rsidRDefault="00C256AD" w:rsidP="00BF2BA6">
      <w:pPr>
        <w:spacing w:before="0" w:after="0"/>
      </w:pPr>
      <w:r>
        <w:continuationSeparator/>
      </w:r>
    </w:p>
  </w:footnote>
  <w:footnote w:id="1">
    <w:p w:rsidR="002C60B6" w:rsidRDefault="002C60B6" w:rsidP="004673C8">
      <w:pPr>
        <w:spacing w:before="240" w:after="0"/>
      </w:pPr>
      <w:r>
        <w:rPr>
          <w:rStyle w:val="FootnoteReference"/>
        </w:rPr>
        <w:footnoteRef/>
      </w:r>
      <w:r>
        <w:t xml:space="preserve"> </w:t>
      </w:r>
      <w:r w:rsidRPr="004673C8">
        <w:rPr>
          <w:sz w:val="16"/>
          <w:szCs w:val="16"/>
        </w:rPr>
        <w:t>The 27,000 tonne threshold reflects the scale of projects in which the Framework is designed to capture (those on a commercial pathway).</w:t>
      </w:r>
      <w:r>
        <w:rPr>
          <w:sz w:val="16"/>
          <w:szCs w:val="16"/>
        </w:rPr>
        <w:t xml:space="preserve"> </w:t>
      </w:r>
      <w:r w:rsidRPr="004673C8">
        <w:rPr>
          <w:sz w:val="16"/>
          <w:szCs w:val="16"/>
        </w:rPr>
        <w:t>In addition, 27,000 tonnes of brown coal is approximately equivalent to 25,000 tonnes of carbon dioxide equivalent when combusted.</w:t>
      </w:r>
      <w:r>
        <w:rPr>
          <w:sz w:val="16"/>
          <w:szCs w:val="16"/>
        </w:rPr>
        <w:t xml:space="preserve"> </w:t>
      </w:r>
      <w:r w:rsidRPr="004673C8">
        <w:rPr>
          <w:sz w:val="16"/>
          <w:szCs w:val="16"/>
        </w:rPr>
        <w:t>This figure forms the threshold for mandatory greenhouse gas emissions reporting under the National Greenhous</w:t>
      </w:r>
      <w:r>
        <w:rPr>
          <w:sz w:val="16"/>
          <w:szCs w:val="16"/>
        </w:rPr>
        <w:t>e Energy Reporting System, and is consistent with the threshold for application of the emissions standard set out in the Coal Statement</w:t>
      </w:r>
      <w:r w:rsidRPr="004673C8">
        <w:rPr>
          <w:sz w:val="16"/>
          <w:szCs w:val="16"/>
        </w:rPr>
        <w:t>.</w:t>
      </w:r>
    </w:p>
  </w:footnote>
  <w:footnote w:id="2">
    <w:p w:rsidR="002C60B6" w:rsidRDefault="002C60B6">
      <w:pPr>
        <w:pStyle w:val="FootnoteText"/>
      </w:pPr>
      <w:r>
        <w:rPr>
          <w:rStyle w:val="FootnoteReference"/>
        </w:rPr>
        <w:footnoteRef/>
      </w:r>
      <w:r>
        <w:t xml:space="preserve"> </w:t>
      </w:r>
      <w:r w:rsidRPr="00DE2725">
        <w:rPr>
          <w:sz w:val="16"/>
          <w:szCs w:val="16"/>
        </w:rPr>
        <w:t xml:space="preserve">Assessing </w:t>
      </w:r>
      <w:r>
        <w:rPr>
          <w:sz w:val="16"/>
          <w:szCs w:val="16"/>
        </w:rPr>
        <w:t xml:space="preserve">individual </w:t>
      </w:r>
      <w:r w:rsidRPr="00DE2725">
        <w:rPr>
          <w:sz w:val="16"/>
          <w:szCs w:val="16"/>
        </w:rPr>
        <w:t xml:space="preserve">projects </w:t>
      </w:r>
      <w:r>
        <w:rPr>
          <w:sz w:val="16"/>
          <w:szCs w:val="16"/>
        </w:rPr>
        <w:t>at the research and/or pilot</w:t>
      </w:r>
      <w:r w:rsidRPr="00DE2725">
        <w:rPr>
          <w:sz w:val="16"/>
          <w:szCs w:val="16"/>
        </w:rPr>
        <w:t xml:space="preserve"> scale via a ‘relative net benefit’ approach is not appropriate and as such, proposals to utilise less than 27,000 tonnes of brown coal per annum will be considered via processes outside the scope of the 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Default="002C6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Pr="00914E64" w:rsidRDefault="002C60B6" w:rsidP="00914E64">
    <w:pPr>
      <w:pStyle w:val="Header"/>
    </w:pPr>
    <w:r>
      <w:rPr>
        <w:noProof/>
        <w:lang w:eastAsia="en-AU"/>
      </w:rPr>
      <w:drawing>
        <wp:anchor distT="0" distB="0" distL="114300" distR="114300" simplePos="0" relativeHeight="251658752" behindDoc="1" locked="0" layoutInCell="1" allowOverlap="1" wp14:anchorId="724C12FB" wp14:editId="6B812091">
          <wp:simplePos x="0" y="0"/>
          <wp:positionH relativeFrom="page">
            <wp:posOffset>22051</wp:posOffset>
          </wp:positionH>
          <wp:positionV relativeFrom="page">
            <wp:posOffset>12700</wp:posOffset>
          </wp:positionV>
          <wp:extent cx="7560000" cy="72000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20Elements/Header.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Default="002C60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Default="002C60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Default="002C60B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B6" w:rsidRPr="00E75531" w:rsidRDefault="002C60B6" w:rsidP="00E75531">
    <w:pPr>
      <w:pStyle w:val="Header"/>
      <w:jc w:val="right"/>
      <w:rPr>
        <w:b/>
        <w:color w:val="365F91" w:themeColor="accent1" w:themeShade="BF"/>
        <w:sz w:val="22"/>
      </w:rPr>
    </w:pPr>
    <w:r w:rsidRPr="00E75531">
      <w:rPr>
        <w:b/>
        <w:color w:val="365F91" w:themeColor="accent1" w:themeShade="BF"/>
        <w:sz w:val="22"/>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1A05"/>
    <w:multiLevelType w:val="hybridMultilevel"/>
    <w:tmpl w:val="0B3AF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EF545F"/>
    <w:multiLevelType w:val="hybridMultilevel"/>
    <w:tmpl w:val="CB5E7E9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440" w:hanging="72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923185"/>
    <w:multiLevelType w:val="hybridMultilevel"/>
    <w:tmpl w:val="E0D4D4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E90E36"/>
    <w:multiLevelType w:val="hybridMultilevel"/>
    <w:tmpl w:val="37261AC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AAD02B9"/>
    <w:multiLevelType w:val="hybridMultilevel"/>
    <w:tmpl w:val="37261AC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2D73A1"/>
    <w:multiLevelType w:val="hybridMultilevel"/>
    <w:tmpl w:val="6A3E69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7D0D97"/>
    <w:multiLevelType w:val="hybridMultilevel"/>
    <w:tmpl w:val="3D44DAC0"/>
    <w:lvl w:ilvl="0" w:tplc="0C09000F">
      <w:start w:val="1"/>
      <w:numFmt w:val="decimal"/>
      <w:lvlText w:val="%1."/>
      <w:lvlJc w:val="left"/>
      <w:pPr>
        <w:ind w:left="1080" w:hanging="360"/>
      </w:pPr>
    </w:lvl>
    <w:lvl w:ilvl="1" w:tplc="7CE028E4">
      <w:start w:val="1"/>
      <w:numFmt w:val="bullet"/>
      <w:lvlText w:val=""/>
      <w:lvlJc w:val="left"/>
      <w:pPr>
        <w:ind w:left="1800" w:hanging="360"/>
      </w:pPr>
      <w:rPr>
        <w:rFonts w:ascii="Symbol" w:hAnsi="Symbol" w:hint="default"/>
        <w:sz w:val="16"/>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B256241"/>
    <w:multiLevelType w:val="hybridMultilevel"/>
    <w:tmpl w:val="569031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183D75"/>
    <w:multiLevelType w:val="singleLevel"/>
    <w:tmpl w:val="20665938"/>
    <w:lvl w:ilvl="0">
      <w:start w:val="1"/>
      <w:numFmt w:val="bullet"/>
      <w:pStyle w:val="bullet"/>
      <w:lvlText w:val=""/>
      <w:lvlJc w:val="left"/>
      <w:pPr>
        <w:tabs>
          <w:tab w:val="num" w:pos="360"/>
        </w:tabs>
        <w:ind w:left="360" w:hanging="360"/>
      </w:pPr>
      <w:rPr>
        <w:rFonts w:ascii="Symbol" w:hAnsi="Symbol" w:hint="default"/>
        <w:sz w:val="20"/>
      </w:rPr>
    </w:lvl>
  </w:abstractNum>
  <w:abstractNum w:abstractNumId="9" w15:restartNumberingAfterBreak="0">
    <w:nsid w:val="389F5AE6"/>
    <w:multiLevelType w:val="hybridMultilevel"/>
    <w:tmpl w:val="DF28B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373E0B"/>
    <w:multiLevelType w:val="hybridMultilevel"/>
    <w:tmpl w:val="D94851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123AA"/>
    <w:multiLevelType w:val="hybridMultilevel"/>
    <w:tmpl w:val="4C7210A6"/>
    <w:lvl w:ilvl="0" w:tplc="FF006E40">
      <w:start w:val="1"/>
      <w:numFmt w:val="bullet"/>
      <w:pStyle w:val="bulletL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425D340C"/>
    <w:multiLevelType w:val="hybridMultilevel"/>
    <w:tmpl w:val="CBC86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F31FAB"/>
    <w:multiLevelType w:val="hybridMultilevel"/>
    <w:tmpl w:val="13E80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857BB9"/>
    <w:multiLevelType w:val="hybridMultilevel"/>
    <w:tmpl w:val="D69E2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3107B0"/>
    <w:multiLevelType w:val="hybridMultilevel"/>
    <w:tmpl w:val="3C64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9C4ABD"/>
    <w:multiLevelType w:val="hybridMultilevel"/>
    <w:tmpl w:val="FCB682B8"/>
    <w:lvl w:ilvl="0" w:tplc="0C090001">
      <w:start w:val="1"/>
      <w:numFmt w:val="bullet"/>
      <w:lvlText w:val=""/>
      <w:lvlJc w:val="left"/>
      <w:pPr>
        <w:ind w:left="720" w:hanging="360"/>
      </w:pPr>
      <w:rPr>
        <w:rFonts w:ascii="Symbol" w:hAnsi="Symbol" w:hint="default"/>
      </w:rPr>
    </w:lvl>
    <w:lvl w:ilvl="1" w:tplc="43F0A472">
      <w:start w:val="5"/>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266BA0"/>
    <w:multiLevelType w:val="hybridMultilevel"/>
    <w:tmpl w:val="5D200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E0256"/>
    <w:multiLevelType w:val="hybridMultilevel"/>
    <w:tmpl w:val="90464C6A"/>
    <w:lvl w:ilvl="0" w:tplc="FFFFFFFF">
      <w:start w:val="1"/>
      <w:numFmt w:val="bullet"/>
      <w:pStyle w:val="Style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52632"/>
    <w:multiLevelType w:val="hybridMultilevel"/>
    <w:tmpl w:val="15F6FC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DB68FC"/>
    <w:multiLevelType w:val="hybridMultilevel"/>
    <w:tmpl w:val="098CB3D8"/>
    <w:lvl w:ilvl="0" w:tplc="2C16D78E">
      <w:start w:val="1"/>
      <w:numFmt w:val="bullet"/>
      <w:pStyle w:val="bulletL1"/>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C05C51"/>
    <w:multiLevelType w:val="hybridMultilevel"/>
    <w:tmpl w:val="37261ACA"/>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D2C3854"/>
    <w:multiLevelType w:val="hybridMultilevel"/>
    <w:tmpl w:val="7CAEA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A2091B"/>
    <w:multiLevelType w:val="hybridMultilevel"/>
    <w:tmpl w:val="12769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D56696"/>
    <w:multiLevelType w:val="hybridMultilevel"/>
    <w:tmpl w:val="CD68C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FB7AAC"/>
    <w:multiLevelType w:val="hybridMultilevel"/>
    <w:tmpl w:val="C35C5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5B3754"/>
    <w:multiLevelType w:val="hybridMultilevel"/>
    <w:tmpl w:val="8B3A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9B050B"/>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95B723E"/>
    <w:multiLevelType w:val="hybridMultilevel"/>
    <w:tmpl w:val="2114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AB7D7E"/>
    <w:multiLevelType w:val="hybridMultilevel"/>
    <w:tmpl w:val="18CA5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CD060B"/>
    <w:multiLevelType w:val="hybridMultilevel"/>
    <w:tmpl w:val="F62C79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EE0603"/>
    <w:multiLevelType w:val="hybridMultilevel"/>
    <w:tmpl w:val="963AD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C8262E"/>
    <w:multiLevelType w:val="hybridMultilevel"/>
    <w:tmpl w:val="F16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47CB9"/>
    <w:multiLevelType w:val="hybridMultilevel"/>
    <w:tmpl w:val="485C5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1"/>
  </w:num>
  <w:num w:numId="3">
    <w:abstractNumId w:val="19"/>
  </w:num>
  <w:num w:numId="4">
    <w:abstractNumId w:val="27"/>
  </w:num>
  <w:num w:numId="5">
    <w:abstractNumId w:val="8"/>
  </w:num>
  <w:num w:numId="6">
    <w:abstractNumId w:val="18"/>
  </w:num>
  <w:num w:numId="7">
    <w:abstractNumId w:val="33"/>
  </w:num>
  <w:num w:numId="8">
    <w:abstractNumId w:val="7"/>
  </w:num>
  <w:num w:numId="9">
    <w:abstractNumId w:val="16"/>
  </w:num>
  <w:num w:numId="10">
    <w:abstractNumId w:val="1"/>
  </w:num>
  <w:num w:numId="11">
    <w:abstractNumId w:val="21"/>
  </w:num>
  <w:num w:numId="12">
    <w:abstractNumId w:val="5"/>
  </w:num>
  <w:num w:numId="13">
    <w:abstractNumId w:val="2"/>
  </w:num>
  <w:num w:numId="14">
    <w:abstractNumId w:val="12"/>
  </w:num>
  <w:num w:numId="15">
    <w:abstractNumId w:val="15"/>
  </w:num>
  <w:num w:numId="16">
    <w:abstractNumId w:val="32"/>
  </w:num>
  <w:num w:numId="17">
    <w:abstractNumId w:val="28"/>
  </w:num>
  <w:num w:numId="18">
    <w:abstractNumId w:val="13"/>
  </w:num>
  <w:num w:numId="19">
    <w:abstractNumId w:val="29"/>
  </w:num>
  <w:num w:numId="20">
    <w:abstractNumId w:val="30"/>
  </w:num>
  <w:num w:numId="21">
    <w:abstractNumId w:val="9"/>
  </w:num>
  <w:num w:numId="22">
    <w:abstractNumId w:val="17"/>
  </w:num>
  <w:num w:numId="23">
    <w:abstractNumId w:val="0"/>
  </w:num>
  <w:num w:numId="24">
    <w:abstractNumId w:val="22"/>
  </w:num>
  <w:num w:numId="25">
    <w:abstractNumId w:val="10"/>
  </w:num>
  <w:num w:numId="26">
    <w:abstractNumId w:val="14"/>
  </w:num>
  <w:num w:numId="27">
    <w:abstractNumId w:val="24"/>
  </w:num>
  <w:num w:numId="28">
    <w:abstractNumId w:val="25"/>
  </w:num>
  <w:num w:numId="29">
    <w:abstractNumId w:val="23"/>
  </w:num>
  <w:num w:numId="30">
    <w:abstractNumId w:val="26"/>
  </w:num>
  <w:num w:numId="31">
    <w:abstractNumId w:val="31"/>
  </w:num>
  <w:num w:numId="32">
    <w:abstractNumId w:val="4"/>
  </w:num>
  <w:num w:numId="33">
    <w:abstractNumId w:val="6"/>
  </w:num>
  <w:num w:numId="34">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B9E"/>
    <w:rsid w:val="000001DE"/>
    <w:rsid w:val="00000AAD"/>
    <w:rsid w:val="00000DCB"/>
    <w:rsid w:val="00002820"/>
    <w:rsid w:val="00002C85"/>
    <w:rsid w:val="000045D7"/>
    <w:rsid w:val="00004834"/>
    <w:rsid w:val="00006BE6"/>
    <w:rsid w:val="0000762E"/>
    <w:rsid w:val="00010820"/>
    <w:rsid w:val="00011188"/>
    <w:rsid w:val="00013CAF"/>
    <w:rsid w:val="00015A87"/>
    <w:rsid w:val="00015BFD"/>
    <w:rsid w:val="00016657"/>
    <w:rsid w:val="000224DB"/>
    <w:rsid w:val="0002704A"/>
    <w:rsid w:val="00027DD7"/>
    <w:rsid w:val="0003049E"/>
    <w:rsid w:val="0003174A"/>
    <w:rsid w:val="0003190A"/>
    <w:rsid w:val="00034053"/>
    <w:rsid w:val="00036B5D"/>
    <w:rsid w:val="00037787"/>
    <w:rsid w:val="00037F54"/>
    <w:rsid w:val="0004322F"/>
    <w:rsid w:val="00044DC5"/>
    <w:rsid w:val="00045873"/>
    <w:rsid w:val="00053AC7"/>
    <w:rsid w:val="0005489E"/>
    <w:rsid w:val="0005788B"/>
    <w:rsid w:val="00060302"/>
    <w:rsid w:val="00060B5C"/>
    <w:rsid w:val="000623B9"/>
    <w:rsid w:val="000633CB"/>
    <w:rsid w:val="00064005"/>
    <w:rsid w:val="000664EC"/>
    <w:rsid w:val="00067CF3"/>
    <w:rsid w:val="0007391E"/>
    <w:rsid w:val="00074D6C"/>
    <w:rsid w:val="000809CD"/>
    <w:rsid w:val="0008255C"/>
    <w:rsid w:val="00083105"/>
    <w:rsid w:val="00083B3D"/>
    <w:rsid w:val="00083F3A"/>
    <w:rsid w:val="0008461C"/>
    <w:rsid w:val="00087F9B"/>
    <w:rsid w:val="00090053"/>
    <w:rsid w:val="00092D6A"/>
    <w:rsid w:val="000938A0"/>
    <w:rsid w:val="000944A9"/>
    <w:rsid w:val="000A1DFA"/>
    <w:rsid w:val="000A3689"/>
    <w:rsid w:val="000A3F56"/>
    <w:rsid w:val="000A499A"/>
    <w:rsid w:val="000A560E"/>
    <w:rsid w:val="000A5879"/>
    <w:rsid w:val="000A5BA8"/>
    <w:rsid w:val="000B2BD7"/>
    <w:rsid w:val="000B2E4A"/>
    <w:rsid w:val="000B5CE2"/>
    <w:rsid w:val="000B7103"/>
    <w:rsid w:val="000C0B88"/>
    <w:rsid w:val="000C1E44"/>
    <w:rsid w:val="000C1E7D"/>
    <w:rsid w:val="000C2BC9"/>
    <w:rsid w:val="000C689E"/>
    <w:rsid w:val="000C7596"/>
    <w:rsid w:val="000C7D82"/>
    <w:rsid w:val="000C7F68"/>
    <w:rsid w:val="000D1323"/>
    <w:rsid w:val="000D2547"/>
    <w:rsid w:val="000D35A1"/>
    <w:rsid w:val="000D47A8"/>
    <w:rsid w:val="000E0C37"/>
    <w:rsid w:val="000E392D"/>
    <w:rsid w:val="000E5610"/>
    <w:rsid w:val="000E5B35"/>
    <w:rsid w:val="000E6DAC"/>
    <w:rsid w:val="000F0296"/>
    <w:rsid w:val="000F1037"/>
    <w:rsid w:val="000F135B"/>
    <w:rsid w:val="000F147F"/>
    <w:rsid w:val="000F3C7F"/>
    <w:rsid w:val="000F5090"/>
    <w:rsid w:val="000F7643"/>
    <w:rsid w:val="000F7CD5"/>
    <w:rsid w:val="001011D7"/>
    <w:rsid w:val="0010242D"/>
    <w:rsid w:val="0010576C"/>
    <w:rsid w:val="00105DE4"/>
    <w:rsid w:val="00106B24"/>
    <w:rsid w:val="00112C79"/>
    <w:rsid w:val="0011374D"/>
    <w:rsid w:val="00117B36"/>
    <w:rsid w:val="00121F19"/>
    <w:rsid w:val="00122C0A"/>
    <w:rsid w:val="00123B8D"/>
    <w:rsid w:val="001266CB"/>
    <w:rsid w:val="0013104A"/>
    <w:rsid w:val="0013118C"/>
    <w:rsid w:val="00131F2F"/>
    <w:rsid w:val="00133F06"/>
    <w:rsid w:val="0013531C"/>
    <w:rsid w:val="00135B6F"/>
    <w:rsid w:val="0013640E"/>
    <w:rsid w:val="001417FE"/>
    <w:rsid w:val="001418E1"/>
    <w:rsid w:val="00142549"/>
    <w:rsid w:val="00144342"/>
    <w:rsid w:val="00144A15"/>
    <w:rsid w:val="00144B25"/>
    <w:rsid w:val="00145A83"/>
    <w:rsid w:val="0014646C"/>
    <w:rsid w:val="00147119"/>
    <w:rsid w:val="001511A2"/>
    <w:rsid w:val="00152E48"/>
    <w:rsid w:val="00153A6F"/>
    <w:rsid w:val="00153CD3"/>
    <w:rsid w:val="00154E79"/>
    <w:rsid w:val="00155397"/>
    <w:rsid w:val="00156192"/>
    <w:rsid w:val="001603F8"/>
    <w:rsid w:val="0016070E"/>
    <w:rsid w:val="00160E2B"/>
    <w:rsid w:val="00160EC3"/>
    <w:rsid w:val="001618CA"/>
    <w:rsid w:val="00162CEF"/>
    <w:rsid w:val="001642AA"/>
    <w:rsid w:val="00164461"/>
    <w:rsid w:val="0016452A"/>
    <w:rsid w:val="0016459F"/>
    <w:rsid w:val="00164987"/>
    <w:rsid w:val="001650A0"/>
    <w:rsid w:val="0016543A"/>
    <w:rsid w:val="00165C74"/>
    <w:rsid w:val="00165DD3"/>
    <w:rsid w:val="00165FDC"/>
    <w:rsid w:val="00166003"/>
    <w:rsid w:val="001662E0"/>
    <w:rsid w:val="00166869"/>
    <w:rsid w:val="00166ACE"/>
    <w:rsid w:val="00166B32"/>
    <w:rsid w:val="00167CD4"/>
    <w:rsid w:val="00170753"/>
    <w:rsid w:val="00175860"/>
    <w:rsid w:val="0017643B"/>
    <w:rsid w:val="001774D2"/>
    <w:rsid w:val="00181A04"/>
    <w:rsid w:val="001858C2"/>
    <w:rsid w:val="001867A4"/>
    <w:rsid w:val="00186B61"/>
    <w:rsid w:val="0018740F"/>
    <w:rsid w:val="00190A16"/>
    <w:rsid w:val="00191037"/>
    <w:rsid w:val="001914B1"/>
    <w:rsid w:val="00191609"/>
    <w:rsid w:val="001923AF"/>
    <w:rsid w:val="001969C5"/>
    <w:rsid w:val="00197359"/>
    <w:rsid w:val="001978D9"/>
    <w:rsid w:val="001A0BA4"/>
    <w:rsid w:val="001A109F"/>
    <w:rsid w:val="001A125C"/>
    <w:rsid w:val="001A2191"/>
    <w:rsid w:val="001A4BEA"/>
    <w:rsid w:val="001A653B"/>
    <w:rsid w:val="001A71C7"/>
    <w:rsid w:val="001A7BF1"/>
    <w:rsid w:val="001C11AD"/>
    <w:rsid w:val="001C2A10"/>
    <w:rsid w:val="001C485F"/>
    <w:rsid w:val="001C75F4"/>
    <w:rsid w:val="001D2104"/>
    <w:rsid w:val="001D567C"/>
    <w:rsid w:val="001D5993"/>
    <w:rsid w:val="001D5ABC"/>
    <w:rsid w:val="001D6814"/>
    <w:rsid w:val="001D76D9"/>
    <w:rsid w:val="001E30E7"/>
    <w:rsid w:val="001E5909"/>
    <w:rsid w:val="001F0A49"/>
    <w:rsid w:val="001F20C9"/>
    <w:rsid w:val="001F2C3A"/>
    <w:rsid w:val="001F433D"/>
    <w:rsid w:val="001F4718"/>
    <w:rsid w:val="001F5C29"/>
    <w:rsid w:val="001F76F6"/>
    <w:rsid w:val="001F7FE5"/>
    <w:rsid w:val="00202495"/>
    <w:rsid w:val="00202D4E"/>
    <w:rsid w:val="00204AF3"/>
    <w:rsid w:val="00211516"/>
    <w:rsid w:val="0021262D"/>
    <w:rsid w:val="00216CD7"/>
    <w:rsid w:val="002176B5"/>
    <w:rsid w:val="00217A72"/>
    <w:rsid w:val="00225606"/>
    <w:rsid w:val="00227C8E"/>
    <w:rsid w:val="002320EE"/>
    <w:rsid w:val="00234355"/>
    <w:rsid w:val="00240644"/>
    <w:rsid w:val="00240C94"/>
    <w:rsid w:val="0024231D"/>
    <w:rsid w:val="00243E49"/>
    <w:rsid w:val="00246C10"/>
    <w:rsid w:val="00247396"/>
    <w:rsid w:val="00251971"/>
    <w:rsid w:val="0025292F"/>
    <w:rsid w:val="00252E38"/>
    <w:rsid w:val="002537A5"/>
    <w:rsid w:val="00254F84"/>
    <w:rsid w:val="00256176"/>
    <w:rsid w:val="0025656F"/>
    <w:rsid w:val="00262060"/>
    <w:rsid w:val="002623F1"/>
    <w:rsid w:val="00262A51"/>
    <w:rsid w:val="00262BC9"/>
    <w:rsid w:val="0026762F"/>
    <w:rsid w:val="002701D1"/>
    <w:rsid w:val="00270AA0"/>
    <w:rsid w:val="00270CB2"/>
    <w:rsid w:val="00271028"/>
    <w:rsid w:val="002711AC"/>
    <w:rsid w:val="00272870"/>
    <w:rsid w:val="00275C41"/>
    <w:rsid w:val="0027645E"/>
    <w:rsid w:val="00277A1E"/>
    <w:rsid w:val="00282A96"/>
    <w:rsid w:val="00282B44"/>
    <w:rsid w:val="0028327E"/>
    <w:rsid w:val="00284282"/>
    <w:rsid w:val="00284657"/>
    <w:rsid w:val="002848F0"/>
    <w:rsid w:val="002851C2"/>
    <w:rsid w:val="002858E6"/>
    <w:rsid w:val="00285C3E"/>
    <w:rsid w:val="00285F2C"/>
    <w:rsid w:val="00286CB2"/>
    <w:rsid w:val="002876BF"/>
    <w:rsid w:val="00290556"/>
    <w:rsid w:val="00292254"/>
    <w:rsid w:val="00292627"/>
    <w:rsid w:val="00294079"/>
    <w:rsid w:val="002947B9"/>
    <w:rsid w:val="00294EEF"/>
    <w:rsid w:val="002A1AF0"/>
    <w:rsid w:val="002A1B68"/>
    <w:rsid w:val="002A249B"/>
    <w:rsid w:val="002A56CF"/>
    <w:rsid w:val="002A72B2"/>
    <w:rsid w:val="002B04E4"/>
    <w:rsid w:val="002B0A79"/>
    <w:rsid w:val="002B1170"/>
    <w:rsid w:val="002B3C68"/>
    <w:rsid w:val="002B5841"/>
    <w:rsid w:val="002B5997"/>
    <w:rsid w:val="002B732B"/>
    <w:rsid w:val="002C2F1F"/>
    <w:rsid w:val="002C2FBB"/>
    <w:rsid w:val="002C469A"/>
    <w:rsid w:val="002C4FCB"/>
    <w:rsid w:val="002C60B6"/>
    <w:rsid w:val="002C6EF4"/>
    <w:rsid w:val="002C70F5"/>
    <w:rsid w:val="002C7BFE"/>
    <w:rsid w:val="002D02FF"/>
    <w:rsid w:val="002D06AC"/>
    <w:rsid w:val="002D25EB"/>
    <w:rsid w:val="002D2EBA"/>
    <w:rsid w:val="002D3FBF"/>
    <w:rsid w:val="002D72DB"/>
    <w:rsid w:val="002D7538"/>
    <w:rsid w:val="002E04F8"/>
    <w:rsid w:val="002E0D6C"/>
    <w:rsid w:val="002E1117"/>
    <w:rsid w:val="002E1518"/>
    <w:rsid w:val="002E2275"/>
    <w:rsid w:val="002E2791"/>
    <w:rsid w:val="002E318C"/>
    <w:rsid w:val="002E3C2C"/>
    <w:rsid w:val="002E3FF2"/>
    <w:rsid w:val="002E7440"/>
    <w:rsid w:val="002F02FD"/>
    <w:rsid w:val="002F46D4"/>
    <w:rsid w:val="002F4BC9"/>
    <w:rsid w:val="002F5B95"/>
    <w:rsid w:val="002F7988"/>
    <w:rsid w:val="0030019B"/>
    <w:rsid w:val="00300D80"/>
    <w:rsid w:val="0030197D"/>
    <w:rsid w:val="003061A3"/>
    <w:rsid w:val="0030699D"/>
    <w:rsid w:val="00310873"/>
    <w:rsid w:val="00311E13"/>
    <w:rsid w:val="003169C9"/>
    <w:rsid w:val="00316B3F"/>
    <w:rsid w:val="0032190D"/>
    <w:rsid w:val="003219ED"/>
    <w:rsid w:val="00322AE7"/>
    <w:rsid w:val="003255CA"/>
    <w:rsid w:val="00325C0D"/>
    <w:rsid w:val="00326B66"/>
    <w:rsid w:val="00327EC0"/>
    <w:rsid w:val="0033111B"/>
    <w:rsid w:val="00333031"/>
    <w:rsid w:val="00340DD4"/>
    <w:rsid w:val="0034243C"/>
    <w:rsid w:val="003432CF"/>
    <w:rsid w:val="00343C90"/>
    <w:rsid w:val="00353D57"/>
    <w:rsid w:val="00355FE3"/>
    <w:rsid w:val="00356483"/>
    <w:rsid w:val="00356A58"/>
    <w:rsid w:val="003603BD"/>
    <w:rsid w:val="00360FDE"/>
    <w:rsid w:val="003628E3"/>
    <w:rsid w:val="00363BFF"/>
    <w:rsid w:val="00364050"/>
    <w:rsid w:val="00365462"/>
    <w:rsid w:val="0036573A"/>
    <w:rsid w:val="00372F61"/>
    <w:rsid w:val="003742A1"/>
    <w:rsid w:val="00375CC0"/>
    <w:rsid w:val="00375F08"/>
    <w:rsid w:val="00376D73"/>
    <w:rsid w:val="003803BE"/>
    <w:rsid w:val="0038047C"/>
    <w:rsid w:val="0038297E"/>
    <w:rsid w:val="00383213"/>
    <w:rsid w:val="00385CEE"/>
    <w:rsid w:val="0038701B"/>
    <w:rsid w:val="00391A43"/>
    <w:rsid w:val="0039459E"/>
    <w:rsid w:val="003966DD"/>
    <w:rsid w:val="00397BE9"/>
    <w:rsid w:val="003A042E"/>
    <w:rsid w:val="003A05AF"/>
    <w:rsid w:val="003A07CE"/>
    <w:rsid w:val="003A2780"/>
    <w:rsid w:val="003A49E8"/>
    <w:rsid w:val="003B20B6"/>
    <w:rsid w:val="003B31C0"/>
    <w:rsid w:val="003B37BD"/>
    <w:rsid w:val="003B386B"/>
    <w:rsid w:val="003B4F2D"/>
    <w:rsid w:val="003B6FD4"/>
    <w:rsid w:val="003B77EB"/>
    <w:rsid w:val="003C0884"/>
    <w:rsid w:val="003C18EC"/>
    <w:rsid w:val="003C46F3"/>
    <w:rsid w:val="003C6139"/>
    <w:rsid w:val="003D00D1"/>
    <w:rsid w:val="003D0796"/>
    <w:rsid w:val="003D17A8"/>
    <w:rsid w:val="003D44AD"/>
    <w:rsid w:val="003D67E3"/>
    <w:rsid w:val="003E078D"/>
    <w:rsid w:val="003E09B2"/>
    <w:rsid w:val="003E15A4"/>
    <w:rsid w:val="003E4FC6"/>
    <w:rsid w:val="003E5C97"/>
    <w:rsid w:val="003E648B"/>
    <w:rsid w:val="003E690A"/>
    <w:rsid w:val="003E7089"/>
    <w:rsid w:val="003E746F"/>
    <w:rsid w:val="003F0A8D"/>
    <w:rsid w:val="003F7B0D"/>
    <w:rsid w:val="00403641"/>
    <w:rsid w:val="00403B66"/>
    <w:rsid w:val="00404404"/>
    <w:rsid w:val="0041011D"/>
    <w:rsid w:val="004105D5"/>
    <w:rsid w:val="00410FF1"/>
    <w:rsid w:val="00412227"/>
    <w:rsid w:val="004135FE"/>
    <w:rsid w:val="0041503C"/>
    <w:rsid w:val="00417EF8"/>
    <w:rsid w:val="00421E8D"/>
    <w:rsid w:val="00422F1C"/>
    <w:rsid w:val="00423386"/>
    <w:rsid w:val="00424589"/>
    <w:rsid w:val="00425FA1"/>
    <w:rsid w:val="00427C63"/>
    <w:rsid w:val="00431811"/>
    <w:rsid w:val="00431CED"/>
    <w:rsid w:val="00435FAC"/>
    <w:rsid w:val="00435FCF"/>
    <w:rsid w:val="004371F6"/>
    <w:rsid w:val="00440DF0"/>
    <w:rsid w:val="004422A1"/>
    <w:rsid w:val="004428C6"/>
    <w:rsid w:val="00444113"/>
    <w:rsid w:val="00444E47"/>
    <w:rsid w:val="00445758"/>
    <w:rsid w:val="0044617A"/>
    <w:rsid w:val="004477B6"/>
    <w:rsid w:val="00447820"/>
    <w:rsid w:val="00450480"/>
    <w:rsid w:val="00451B6A"/>
    <w:rsid w:val="00454934"/>
    <w:rsid w:val="004600E0"/>
    <w:rsid w:val="004602BE"/>
    <w:rsid w:val="004605F0"/>
    <w:rsid w:val="004621A0"/>
    <w:rsid w:val="004635EE"/>
    <w:rsid w:val="00466ECC"/>
    <w:rsid w:val="004673C8"/>
    <w:rsid w:val="004703EC"/>
    <w:rsid w:val="00471C92"/>
    <w:rsid w:val="00473724"/>
    <w:rsid w:val="00474BB9"/>
    <w:rsid w:val="004856D5"/>
    <w:rsid w:val="0048708F"/>
    <w:rsid w:val="0048709B"/>
    <w:rsid w:val="00487FF9"/>
    <w:rsid w:val="00490BAE"/>
    <w:rsid w:val="00494D10"/>
    <w:rsid w:val="00494D4B"/>
    <w:rsid w:val="00494EF7"/>
    <w:rsid w:val="00496D2B"/>
    <w:rsid w:val="004A0A5C"/>
    <w:rsid w:val="004A147F"/>
    <w:rsid w:val="004A1A40"/>
    <w:rsid w:val="004A42AD"/>
    <w:rsid w:val="004A5503"/>
    <w:rsid w:val="004A6CB8"/>
    <w:rsid w:val="004A7531"/>
    <w:rsid w:val="004A7EAD"/>
    <w:rsid w:val="004B3631"/>
    <w:rsid w:val="004B3FC2"/>
    <w:rsid w:val="004B5E2C"/>
    <w:rsid w:val="004B674C"/>
    <w:rsid w:val="004C0750"/>
    <w:rsid w:val="004C0FD5"/>
    <w:rsid w:val="004C145C"/>
    <w:rsid w:val="004C41E1"/>
    <w:rsid w:val="004C5942"/>
    <w:rsid w:val="004C65DF"/>
    <w:rsid w:val="004C73E0"/>
    <w:rsid w:val="004C757C"/>
    <w:rsid w:val="004D653B"/>
    <w:rsid w:val="004D6963"/>
    <w:rsid w:val="004D780B"/>
    <w:rsid w:val="004E041D"/>
    <w:rsid w:val="004E071B"/>
    <w:rsid w:val="004E0BC0"/>
    <w:rsid w:val="004E12E9"/>
    <w:rsid w:val="004E19B2"/>
    <w:rsid w:val="004E1B5C"/>
    <w:rsid w:val="004E2E41"/>
    <w:rsid w:val="004E37EA"/>
    <w:rsid w:val="004E40E1"/>
    <w:rsid w:val="004E4BBD"/>
    <w:rsid w:val="004E7CF2"/>
    <w:rsid w:val="004F0B7D"/>
    <w:rsid w:val="004F1E91"/>
    <w:rsid w:val="004F4745"/>
    <w:rsid w:val="004F551E"/>
    <w:rsid w:val="004F63F9"/>
    <w:rsid w:val="004F6708"/>
    <w:rsid w:val="004F7B15"/>
    <w:rsid w:val="005001F0"/>
    <w:rsid w:val="005014D0"/>
    <w:rsid w:val="00503324"/>
    <w:rsid w:val="00503925"/>
    <w:rsid w:val="00506A93"/>
    <w:rsid w:val="005073B4"/>
    <w:rsid w:val="00507B63"/>
    <w:rsid w:val="005104E6"/>
    <w:rsid w:val="00514D16"/>
    <w:rsid w:val="005163FE"/>
    <w:rsid w:val="00517EF8"/>
    <w:rsid w:val="00520246"/>
    <w:rsid w:val="00525C71"/>
    <w:rsid w:val="00526B9C"/>
    <w:rsid w:val="005276EB"/>
    <w:rsid w:val="0052780E"/>
    <w:rsid w:val="0053024F"/>
    <w:rsid w:val="00530782"/>
    <w:rsid w:val="00531094"/>
    <w:rsid w:val="00533DE2"/>
    <w:rsid w:val="00534865"/>
    <w:rsid w:val="005355BC"/>
    <w:rsid w:val="00535B02"/>
    <w:rsid w:val="00536787"/>
    <w:rsid w:val="00537F3D"/>
    <w:rsid w:val="00541AED"/>
    <w:rsid w:val="00543187"/>
    <w:rsid w:val="0054512D"/>
    <w:rsid w:val="00546BCF"/>
    <w:rsid w:val="00552222"/>
    <w:rsid w:val="005543EE"/>
    <w:rsid w:val="005555D9"/>
    <w:rsid w:val="00556B94"/>
    <w:rsid w:val="0055706E"/>
    <w:rsid w:val="005656A1"/>
    <w:rsid w:val="005670F3"/>
    <w:rsid w:val="00567E8F"/>
    <w:rsid w:val="00567F4A"/>
    <w:rsid w:val="0057130B"/>
    <w:rsid w:val="005715BB"/>
    <w:rsid w:val="00571B77"/>
    <w:rsid w:val="0057400D"/>
    <w:rsid w:val="00575E4E"/>
    <w:rsid w:val="005763EC"/>
    <w:rsid w:val="00581E14"/>
    <w:rsid w:val="0058327C"/>
    <w:rsid w:val="00584C01"/>
    <w:rsid w:val="00585115"/>
    <w:rsid w:val="00585D55"/>
    <w:rsid w:val="005908A4"/>
    <w:rsid w:val="00591895"/>
    <w:rsid w:val="00591B46"/>
    <w:rsid w:val="00593A79"/>
    <w:rsid w:val="00593C01"/>
    <w:rsid w:val="00596D80"/>
    <w:rsid w:val="00597C7D"/>
    <w:rsid w:val="005A0C53"/>
    <w:rsid w:val="005A1112"/>
    <w:rsid w:val="005A38A7"/>
    <w:rsid w:val="005A71BE"/>
    <w:rsid w:val="005B0813"/>
    <w:rsid w:val="005B0F0A"/>
    <w:rsid w:val="005B1A3A"/>
    <w:rsid w:val="005B2EFD"/>
    <w:rsid w:val="005B49D3"/>
    <w:rsid w:val="005B62A2"/>
    <w:rsid w:val="005C00A5"/>
    <w:rsid w:val="005C0307"/>
    <w:rsid w:val="005C06CA"/>
    <w:rsid w:val="005C12D2"/>
    <w:rsid w:val="005C22A9"/>
    <w:rsid w:val="005C3686"/>
    <w:rsid w:val="005C3B9C"/>
    <w:rsid w:val="005C435D"/>
    <w:rsid w:val="005C4D41"/>
    <w:rsid w:val="005C5064"/>
    <w:rsid w:val="005C6091"/>
    <w:rsid w:val="005D06E9"/>
    <w:rsid w:val="005D4B13"/>
    <w:rsid w:val="005E01EB"/>
    <w:rsid w:val="005E2D55"/>
    <w:rsid w:val="005E5F95"/>
    <w:rsid w:val="005E7DB6"/>
    <w:rsid w:val="005F0868"/>
    <w:rsid w:val="005F0BF0"/>
    <w:rsid w:val="005F0C59"/>
    <w:rsid w:val="005F10E2"/>
    <w:rsid w:val="005F143D"/>
    <w:rsid w:val="005F2420"/>
    <w:rsid w:val="005F2907"/>
    <w:rsid w:val="005F31D0"/>
    <w:rsid w:val="005F48FA"/>
    <w:rsid w:val="005F5076"/>
    <w:rsid w:val="005F655D"/>
    <w:rsid w:val="00600A12"/>
    <w:rsid w:val="00600FAF"/>
    <w:rsid w:val="00600FE5"/>
    <w:rsid w:val="00603D86"/>
    <w:rsid w:val="00604D7C"/>
    <w:rsid w:val="00612897"/>
    <w:rsid w:val="0061394D"/>
    <w:rsid w:val="00617763"/>
    <w:rsid w:val="00617D8F"/>
    <w:rsid w:val="00617ECE"/>
    <w:rsid w:val="00625114"/>
    <w:rsid w:val="00625FCC"/>
    <w:rsid w:val="006266A6"/>
    <w:rsid w:val="00626A97"/>
    <w:rsid w:val="006314BA"/>
    <w:rsid w:val="006324B2"/>
    <w:rsid w:val="00634C78"/>
    <w:rsid w:val="00635E23"/>
    <w:rsid w:val="00640A39"/>
    <w:rsid w:val="00644AFC"/>
    <w:rsid w:val="0064514D"/>
    <w:rsid w:val="006459F7"/>
    <w:rsid w:val="00645A41"/>
    <w:rsid w:val="0064636E"/>
    <w:rsid w:val="006522E5"/>
    <w:rsid w:val="006537F9"/>
    <w:rsid w:val="006538CB"/>
    <w:rsid w:val="0065450F"/>
    <w:rsid w:val="00654512"/>
    <w:rsid w:val="00654B68"/>
    <w:rsid w:val="00655489"/>
    <w:rsid w:val="00657598"/>
    <w:rsid w:val="0066014F"/>
    <w:rsid w:val="00663462"/>
    <w:rsid w:val="00663F75"/>
    <w:rsid w:val="006656EE"/>
    <w:rsid w:val="00665B9D"/>
    <w:rsid w:val="00665FF0"/>
    <w:rsid w:val="006664B6"/>
    <w:rsid w:val="006669E0"/>
    <w:rsid w:val="006711D3"/>
    <w:rsid w:val="0067218C"/>
    <w:rsid w:val="00674590"/>
    <w:rsid w:val="00674DA1"/>
    <w:rsid w:val="00674FCF"/>
    <w:rsid w:val="00675782"/>
    <w:rsid w:val="00677E57"/>
    <w:rsid w:val="00680113"/>
    <w:rsid w:val="00680279"/>
    <w:rsid w:val="00680D4D"/>
    <w:rsid w:val="00683E63"/>
    <w:rsid w:val="00685AFE"/>
    <w:rsid w:val="00685B7E"/>
    <w:rsid w:val="00685C4B"/>
    <w:rsid w:val="00687148"/>
    <w:rsid w:val="006905F9"/>
    <w:rsid w:val="00690FE7"/>
    <w:rsid w:val="006932C4"/>
    <w:rsid w:val="00696044"/>
    <w:rsid w:val="00696640"/>
    <w:rsid w:val="006972C7"/>
    <w:rsid w:val="006A008B"/>
    <w:rsid w:val="006A00E8"/>
    <w:rsid w:val="006A0A7E"/>
    <w:rsid w:val="006A2FFA"/>
    <w:rsid w:val="006A30A1"/>
    <w:rsid w:val="006A4C34"/>
    <w:rsid w:val="006A6607"/>
    <w:rsid w:val="006A694C"/>
    <w:rsid w:val="006A6CFE"/>
    <w:rsid w:val="006A7896"/>
    <w:rsid w:val="006B0CEC"/>
    <w:rsid w:val="006B25B4"/>
    <w:rsid w:val="006B4A21"/>
    <w:rsid w:val="006B778A"/>
    <w:rsid w:val="006C0F74"/>
    <w:rsid w:val="006C2B82"/>
    <w:rsid w:val="006C44D8"/>
    <w:rsid w:val="006C4AA8"/>
    <w:rsid w:val="006C50DC"/>
    <w:rsid w:val="006C7DEC"/>
    <w:rsid w:val="006D19B5"/>
    <w:rsid w:val="006D374E"/>
    <w:rsid w:val="006D39A4"/>
    <w:rsid w:val="006D496C"/>
    <w:rsid w:val="006D54AE"/>
    <w:rsid w:val="006D594B"/>
    <w:rsid w:val="006D707A"/>
    <w:rsid w:val="006E039E"/>
    <w:rsid w:val="006E0486"/>
    <w:rsid w:val="006E0631"/>
    <w:rsid w:val="006E1DCD"/>
    <w:rsid w:val="006E1FA0"/>
    <w:rsid w:val="006E6385"/>
    <w:rsid w:val="006E6885"/>
    <w:rsid w:val="006E6BB6"/>
    <w:rsid w:val="006E6D2F"/>
    <w:rsid w:val="006E7AF7"/>
    <w:rsid w:val="006F01F2"/>
    <w:rsid w:val="006F0E7E"/>
    <w:rsid w:val="006F0ECE"/>
    <w:rsid w:val="006F1617"/>
    <w:rsid w:val="006F1AA2"/>
    <w:rsid w:val="006F23F8"/>
    <w:rsid w:val="006F32B4"/>
    <w:rsid w:val="006F33FA"/>
    <w:rsid w:val="006F478F"/>
    <w:rsid w:val="006F5C21"/>
    <w:rsid w:val="006F6135"/>
    <w:rsid w:val="006F6E7F"/>
    <w:rsid w:val="0070082C"/>
    <w:rsid w:val="00700B64"/>
    <w:rsid w:val="00701BEE"/>
    <w:rsid w:val="00703B39"/>
    <w:rsid w:val="00703D50"/>
    <w:rsid w:val="00703E68"/>
    <w:rsid w:val="00704178"/>
    <w:rsid w:val="00704AF9"/>
    <w:rsid w:val="00704FF4"/>
    <w:rsid w:val="00707F05"/>
    <w:rsid w:val="00710763"/>
    <w:rsid w:val="00711F99"/>
    <w:rsid w:val="00712935"/>
    <w:rsid w:val="00712D5A"/>
    <w:rsid w:val="007137BD"/>
    <w:rsid w:val="007177A4"/>
    <w:rsid w:val="0072259D"/>
    <w:rsid w:val="00723A14"/>
    <w:rsid w:val="0072425B"/>
    <w:rsid w:val="00730369"/>
    <w:rsid w:val="00734156"/>
    <w:rsid w:val="0073472C"/>
    <w:rsid w:val="00734911"/>
    <w:rsid w:val="00740629"/>
    <w:rsid w:val="007431E7"/>
    <w:rsid w:val="007444DD"/>
    <w:rsid w:val="007456E8"/>
    <w:rsid w:val="00747ABB"/>
    <w:rsid w:val="007506AD"/>
    <w:rsid w:val="00750D10"/>
    <w:rsid w:val="00752F2F"/>
    <w:rsid w:val="0075451A"/>
    <w:rsid w:val="00754534"/>
    <w:rsid w:val="00756CEC"/>
    <w:rsid w:val="00757523"/>
    <w:rsid w:val="00762904"/>
    <w:rsid w:val="00762C5D"/>
    <w:rsid w:val="007646AA"/>
    <w:rsid w:val="007652DE"/>
    <w:rsid w:val="007653EA"/>
    <w:rsid w:val="007674F8"/>
    <w:rsid w:val="007703A9"/>
    <w:rsid w:val="007704D2"/>
    <w:rsid w:val="00770803"/>
    <w:rsid w:val="00771777"/>
    <w:rsid w:val="00772BF6"/>
    <w:rsid w:val="00775F45"/>
    <w:rsid w:val="00775FF2"/>
    <w:rsid w:val="00776CB1"/>
    <w:rsid w:val="00781EF2"/>
    <w:rsid w:val="007826AC"/>
    <w:rsid w:val="0078337E"/>
    <w:rsid w:val="00785A85"/>
    <w:rsid w:val="00787205"/>
    <w:rsid w:val="00787801"/>
    <w:rsid w:val="0079647D"/>
    <w:rsid w:val="0079652A"/>
    <w:rsid w:val="0079699B"/>
    <w:rsid w:val="0079771E"/>
    <w:rsid w:val="007A0A7A"/>
    <w:rsid w:val="007A40BE"/>
    <w:rsid w:val="007A4B7E"/>
    <w:rsid w:val="007A5339"/>
    <w:rsid w:val="007A5707"/>
    <w:rsid w:val="007A5A8B"/>
    <w:rsid w:val="007A5D3B"/>
    <w:rsid w:val="007B0271"/>
    <w:rsid w:val="007B2701"/>
    <w:rsid w:val="007B373F"/>
    <w:rsid w:val="007B3F7B"/>
    <w:rsid w:val="007B6D2D"/>
    <w:rsid w:val="007C36D5"/>
    <w:rsid w:val="007C38A1"/>
    <w:rsid w:val="007C47B0"/>
    <w:rsid w:val="007C5495"/>
    <w:rsid w:val="007C6A92"/>
    <w:rsid w:val="007C7B97"/>
    <w:rsid w:val="007D2BB0"/>
    <w:rsid w:val="007D3E23"/>
    <w:rsid w:val="007D6B0D"/>
    <w:rsid w:val="007D719C"/>
    <w:rsid w:val="007E01B3"/>
    <w:rsid w:val="007E097A"/>
    <w:rsid w:val="007E0F1C"/>
    <w:rsid w:val="007E4196"/>
    <w:rsid w:val="007E6BE7"/>
    <w:rsid w:val="007E73DD"/>
    <w:rsid w:val="007F2078"/>
    <w:rsid w:val="007F2279"/>
    <w:rsid w:val="007F54C3"/>
    <w:rsid w:val="00800AC9"/>
    <w:rsid w:val="00801ED8"/>
    <w:rsid w:val="00802506"/>
    <w:rsid w:val="008027EC"/>
    <w:rsid w:val="008036E6"/>
    <w:rsid w:val="00804EF1"/>
    <w:rsid w:val="00805A02"/>
    <w:rsid w:val="00805E7C"/>
    <w:rsid w:val="00807889"/>
    <w:rsid w:val="00807ACB"/>
    <w:rsid w:val="00810192"/>
    <w:rsid w:val="00811636"/>
    <w:rsid w:val="00813295"/>
    <w:rsid w:val="008133F5"/>
    <w:rsid w:val="00814984"/>
    <w:rsid w:val="008151D9"/>
    <w:rsid w:val="0081546A"/>
    <w:rsid w:val="00817583"/>
    <w:rsid w:val="00817667"/>
    <w:rsid w:val="00817DE7"/>
    <w:rsid w:val="00821AA6"/>
    <w:rsid w:val="00821D06"/>
    <w:rsid w:val="00822FEF"/>
    <w:rsid w:val="008237BA"/>
    <w:rsid w:val="00824CB5"/>
    <w:rsid w:val="008325C0"/>
    <w:rsid w:val="00832D01"/>
    <w:rsid w:val="00833796"/>
    <w:rsid w:val="00836C73"/>
    <w:rsid w:val="00836D0E"/>
    <w:rsid w:val="00837D8E"/>
    <w:rsid w:val="00841F4B"/>
    <w:rsid w:val="0084227D"/>
    <w:rsid w:val="008427DB"/>
    <w:rsid w:val="008434AC"/>
    <w:rsid w:val="00844575"/>
    <w:rsid w:val="00845D15"/>
    <w:rsid w:val="0084612A"/>
    <w:rsid w:val="008474E9"/>
    <w:rsid w:val="008476CE"/>
    <w:rsid w:val="00847A4D"/>
    <w:rsid w:val="00850A33"/>
    <w:rsid w:val="008523FE"/>
    <w:rsid w:val="0085372E"/>
    <w:rsid w:val="008551A5"/>
    <w:rsid w:val="0085593A"/>
    <w:rsid w:val="00855D60"/>
    <w:rsid w:val="00856778"/>
    <w:rsid w:val="00856DAA"/>
    <w:rsid w:val="008571B4"/>
    <w:rsid w:val="0086158E"/>
    <w:rsid w:val="00862D82"/>
    <w:rsid w:val="00863CC3"/>
    <w:rsid w:val="00863DFB"/>
    <w:rsid w:val="00864B2F"/>
    <w:rsid w:val="00865B9E"/>
    <w:rsid w:val="00865C82"/>
    <w:rsid w:val="0086771D"/>
    <w:rsid w:val="0087121B"/>
    <w:rsid w:val="008730BD"/>
    <w:rsid w:val="00875987"/>
    <w:rsid w:val="00877AF9"/>
    <w:rsid w:val="0088092C"/>
    <w:rsid w:val="00882EDE"/>
    <w:rsid w:val="00884D7B"/>
    <w:rsid w:val="008864A6"/>
    <w:rsid w:val="0089280B"/>
    <w:rsid w:val="00892F06"/>
    <w:rsid w:val="008973FA"/>
    <w:rsid w:val="00897AC9"/>
    <w:rsid w:val="008A0B67"/>
    <w:rsid w:val="008A0B8E"/>
    <w:rsid w:val="008A18E8"/>
    <w:rsid w:val="008A19BF"/>
    <w:rsid w:val="008A1EB0"/>
    <w:rsid w:val="008A1ED4"/>
    <w:rsid w:val="008A2F8B"/>
    <w:rsid w:val="008A3CBE"/>
    <w:rsid w:val="008A42E4"/>
    <w:rsid w:val="008A5882"/>
    <w:rsid w:val="008B1D87"/>
    <w:rsid w:val="008B4C29"/>
    <w:rsid w:val="008B756D"/>
    <w:rsid w:val="008B7990"/>
    <w:rsid w:val="008C0669"/>
    <w:rsid w:val="008C11A4"/>
    <w:rsid w:val="008C7064"/>
    <w:rsid w:val="008C716F"/>
    <w:rsid w:val="008C7501"/>
    <w:rsid w:val="008D11AB"/>
    <w:rsid w:val="008D182A"/>
    <w:rsid w:val="008D28BD"/>
    <w:rsid w:val="008D521A"/>
    <w:rsid w:val="008D53C3"/>
    <w:rsid w:val="008D6770"/>
    <w:rsid w:val="008D677E"/>
    <w:rsid w:val="008D6936"/>
    <w:rsid w:val="008E13AD"/>
    <w:rsid w:val="008E210B"/>
    <w:rsid w:val="008E2F64"/>
    <w:rsid w:val="008E34C0"/>
    <w:rsid w:val="008E45EE"/>
    <w:rsid w:val="008E4A82"/>
    <w:rsid w:val="008E5483"/>
    <w:rsid w:val="008E7D7A"/>
    <w:rsid w:val="008F0080"/>
    <w:rsid w:val="008F3B2A"/>
    <w:rsid w:val="008F3DE0"/>
    <w:rsid w:val="008F53BC"/>
    <w:rsid w:val="008F58F7"/>
    <w:rsid w:val="008F7548"/>
    <w:rsid w:val="00900B23"/>
    <w:rsid w:val="00902862"/>
    <w:rsid w:val="00902E05"/>
    <w:rsid w:val="00907B77"/>
    <w:rsid w:val="00907F21"/>
    <w:rsid w:val="00913117"/>
    <w:rsid w:val="00914885"/>
    <w:rsid w:val="00914E64"/>
    <w:rsid w:val="00916DCD"/>
    <w:rsid w:val="009178DB"/>
    <w:rsid w:val="009265CD"/>
    <w:rsid w:val="0093205D"/>
    <w:rsid w:val="00933348"/>
    <w:rsid w:val="00933377"/>
    <w:rsid w:val="00940A69"/>
    <w:rsid w:val="00941646"/>
    <w:rsid w:val="00942086"/>
    <w:rsid w:val="00943705"/>
    <w:rsid w:val="00944564"/>
    <w:rsid w:val="00944A96"/>
    <w:rsid w:val="00946BE6"/>
    <w:rsid w:val="00952299"/>
    <w:rsid w:val="00955F0D"/>
    <w:rsid w:val="009567E4"/>
    <w:rsid w:val="00957311"/>
    <w:rsid w:val="00961C45"/>
    <w:rsid w:val="00961E35"/>
    <w:rsid w:val="00963368"/>
    <w:rsid w:val="00965A99"/>
    <w:rsid w:val="00965E6E"/>
    <w:rsid w:val="009679F8"/>
    <w:rsid w:val="00972674"/>
    <w:rsid w:val="00974135"/>
    <w:rsid w:val="00975F0E"/>
    <w:rsid w:val="00980845"/>
    <w:rsid w:val="0098292B"/>
    <w:rsid w:val="00983FCB"/>
    <w:rsid w:val="0098731C"/>
    <w:rsid w:val="009920A0"/>
    <w:rsid w:val="00992736"/>
    <w:rsid w:val="00994E70"/>
    <w:rsid w:val="009960AA"/>
    <w:rsid w:val="00996CBF"/>
    <w:rsid w:val="009A260E"/>
    <w:rsid w:val="009A60B6"/>
    <w:rsid w:val="009B079D"/>
    <w:rsid w:val="009B19F1"/>
    <w:rsid w:val="009B1C60"/>
    <w:rsid w:val="009B2180"/>
    <w:rsid w:val="009B4AB2"/>
    <w:rsid w:val="009B7818"/>
    <w:rsid w:val="009B7979"/>
    <w:rsid w:val="009C1807"/>
    <w:rsid w:val="009C2EAA"/>
    <w:rsid w:val="009C48F6"/>
    <w:rsid w:val="009D10D5"/>
    <w:rsid w:val="009D1C3A"/>
    <w:rsid w:val="009D28E2"/>
    <w:rsid w:val="009D44FC"/>
    <w:rsid w:val="009E178D"/>
    <w:rsid w:val="009E45CF"/>
    <w:rsid w:val="009E4AA3"/>
    <w:rsid w:val="009E692C"/>
    <w:rsid w:val="009E7574"/>
    <w:rsid w:val="009F191B"/>
    <w:rsid w:val="009F35E9"/>
    <w:rsid w:val="009F57A9"/>
    <w:rsid w:val="009F6B4D"/>
    <w:rsid w:val="00A0001D"/>
    <w:rsid w:val="00A008DF"/>
    <w:rsid w:val="00A013D3"/>
    <w:rsid w:val="00A01D7D"/>
    <w:rsid w:val="00A0375B"/>
    <w:rsid w:val="00A0508A"/>
    <w:rsid w:val="00A0687D"/>
    <w:rsid w:val="00A06A39"/>
    <w:rsid w:val="00A06AB0"/>
    <w:rsid w:val="00A06D8F"/>
    <w:rsid w:val="00A11752"/>
    <w:rsid w:val="00A1199A"/>
    <w:rsid w:val="00A134A7"/>
    <w:rsid w:val="00A14CED"/>
    <w:rsid w:val="00A1590C"/>
    <w:rsid w:val="00A16159"/>
    <w:rsid w:val="00A173BC"/>
    <w:rsid w:val="00A207B9"/>
    <w:rsid w:val="00A22810"/>
    <w:rsid w:val="00A229E7"/>
    <w:rsid w:val="00A22F97"/>
    <w:rsid w:val="00A25E8A"/>
    <w:rsid w:val="00A25F81"/>
    <w:rsid w:val="00A264DC"/>
    <w:rsid w:val="00A34096"/>
    <w:rsid w:val="00A34C56"/>
    <w:rsid w:val="00A4012D"/>
    <w:rsid w:val="00A40BE3"/>
    <w:rsid w:val="00A41A0F"/>
    <w:rsid w:val="00A421E1"/>
    <w:rsid w:val="00A43B7F"/>
    <w:rsid w:val="00A44759"/>
    <w:rsid w:val="00A465E3"/>
    <w:rsid w:val="00A52459"/>
    <w:rsid w:val="00A52815"/>
    <w:rsid w:val="00A529EA"/>
    <w:rsid w:val="00A54D86"/>
    <w:rsid w:val="00A56556"/>
    <w:rsid w:val="00A5663D"/>
    <w:rsid w:val="00A576DA"/>
    <w:rsid w:val="00A617EF"/>
    <w:rsid w:val="00A6196F"/>
    <w:rsid w:val="00A6204B"/>
    <w:rsid w:val="00A62C5C"/>
    <w:rsid w:val="00A6436E"/>
    <w:rsid w:val="00A66E80"/>
    <w:rsid w:val="00A67025"/>
    <w:rsid w:val="00A67D5B"/>
    <w:rsid w:val="00A7148B"/>
    <w:rsid w:val="00A71E7C"/>
    <w:rsid w:val="00A71EEF"/>
    <w:rsid w:val="00A74DA4"/>
    <w:rsid w:val="00A75181"/>
    <w:rsid w:val="00A75E3B"/>
    <w:rsid w:val="00A769AC"/>
    <w:rsid w:val="00A76B9D"/>
    <w:rsid w:val="00A77F01"/>
    <w:rsid w:val="00A80A10"/>
    <w:rsid w:val="00A840FE"/>
    <w:rsid w:val="00A85723"/>
    <w:rsid w:val="00A86311"/>
    <w:rsid w:val="00A8646E"/>
    <w:rsid w:val="00A9235D"/>
    <w:rsid w:val="00A94BA4"/>
    <w:rsid w:val="00A94CD5"/>
    <w:rsid w:val="00A951F1"/>
    <w:rsid w:val="00A954B7"/>
    <w:rsid w:val="00AA051F"/>
    <w:rsid w:val="00AA1131"/>
    <w:rsid w:val="00AA148E"/>
    <w:rsid w:val="00AA44D7"/>
    <w:rsid w:val="00AA7555"/>
    <w:rsid w:val="00AB116C"/>
    <w:rsid w:val="00AB1B6E"/>
    <w:rsid w:val="00AB218F"/>
    <w:rsid w:val="00AB25EF"/>
    <w:rsid w:val="00AB2E25"/>
    <w:rsid w:val="00AB4773"/>
    <w:rsid w:val="00AB6291"/>
    <w:rsid w:val="00AC034F"/>
    <w:rsid w:val="00AC2B01"/>
    <w:rsid w:val="00AC4EDE"/>
    <w:rsid w:val="00AC5E33"/>
    <w:rsid w:val="00AD211E"/>
    <w:rsid w:val="00AD3BFC"/>
    <w:rsid w:val="00AD41EB"/>
    <w:rsid w:val="00AD5D91"/>
    <w:rsid w:val="00AD62F6"/>
    <w:rsid w:val="00AD7309"/>
    <w:rsid w:val="00AE14C6"/>
    <w:rsid w:val="00AE1EAC"/>
    <w:rsid w:val="00AE6758"/>
    <w:rsid w:val="00AE6778"/>
    <w:rsid w:val="00AF152C"/>
    <w:rsid w:val="00AF1D15"/>
    <w:rsid w:val="00AF47E0"/>
    <w:rsid w:val="00AF4B8F"/>
    <w:rsid w:val="00AF548A"/>
    <w:rsid w:val="00AF6825"/>
    <w:rsid w:val="00AF6BF0"/>
    <w:rsid w:val="00AF7FCE"/>
    <w:rsid w:val="00B00599"/>
    <w:rsid w:val="00B01438"/>
    <w:rsid w:val="00B03728"/>
    <w:rsid w:val="00B03E32"/>
    <w:rsid w:val="00B053ED"/>
    <w:rsid w:val="00B10E07"/>
    <w:rsid w:val="00B147D6"/>
    <w:rsid w:val="00B15D48"/>
    <w:rsid w:val="00B23B7F"/>
    <w:rsid w:val="00B24D74"/>
    <w:rsid w:val="00B2532F"/>
    <w:rsid w:val="00B2728F"/>
    <w:rsid w:val="00B309C1"/>
    <w:rsid w:val="00B32DE5"/>
    <w:rsid w:val="00B33D08"/>
    <w:rsid w:val="00B34345"/>
    <w:rsid w:val="00B349EC"/>
    <w:rsid w:val="00B34CBF"/>
    <w:rsid w:val="00B34D60"/>
    <w:rsid w:val="00B36294"/>
    <w:rsid w:val="00B411E5"/>
    <w:rsid w:val="00B420FC"/>
    <w:rsid w:val="00B42A07"/>
    <w:rsid w:val="00B430F6"/>
    <w:rsid w:val="00B44C11"/>
    <w:rsid w:val="00B4622A"/>
    <w:rsid w:val="00B46C94"/>
    <w:rsid w:val="00B5046E"/>
    <w:rsid w:val="00B50F3B"/>
    <w:rsid w:val="00B52FAC"/>
    <w:rsid w:val="00B54F49"/>
    <w:rsid w:val="00B55271"/>
    <w:rsid w:val="00B55C43"/>
    <w:rsid w:val="00B5785D"/>
    <w:rsid w:val="00B6056F"/>
    <w:rsid w:val="00B605C0"/>
    <w:rsid w:val="00B60E16"/>
    <w:rsid w:val="00B62A2A"/>
    <w:rsid w:val="00B65A9C"/>
    <w:rsid w:val="00B66377"/>
    <w:rsid w:val="00B67CD5"/>
    <w:rsid w:val="00B75B70"/>
    <w:rsid w:val="00B760AE"/>
    <w:rsid w:val="00B765C6"/>
    <w:rsid w:val="00B82BD3"/>
    <w:rsid w:val="00B83FEC"/>
    <w:rsid w:val="00B84BA9"/>
    <w:rsid w:val="00B863CD"/>
    <w:rsid w:val="00B87196"/>
    <w:rsid w:val="00B8721A"/>
    <w:rsid w:val="00B87377"/>
    <w:rsid w:val="00B87426"/>
    <w:rsid w:val="00B87C9E"/>
    <w:rsid w:val="00B9114B"/>
    <w:rsid w:val="00B914F0"/>
    <w:rsid w:val="00B91692"/>
    <w:rsid w:val="00B919B3"/>
    <w:rsid w:val="00B938A7"/>
    <w:rsid w:val="00B93FD6"/>
    <w:rsid w:val="00B9590F"/>
    <w:rsid w:val="00B973EE"/>
    <w:rsid w:val="00B97D82"/>
    <w:rsid w:val="00BA03D9"/>
    <w:rsid w:val="00BA1BE7"/>
    <w:rsid w:val="00BA390F"/>
    <w:rsid w:val="00BA3F38"/>
    <w:rsid w:val="00BA49D6"/>
    <w:rsid w:val="00BA616A"/>
    <w:rsid w:val="00BB468A"/>
    <w:rsid w:val="00BB7C3E"/>
    <w:rsid w:val="00BC0AD1"/>
    <w:rsid w:val="00BC2827"/>
    <w:rsid w:val="00BC4ABE"/>
    <w:rsid w:val="00BC4B89"/>
    <w:rsid w:val="00BC5326"/>
    <w:rsid w:val="00BC6EFB"/>
    <w:rsid w:val="00BC7F53"/>
    <w:rsid w:val="00BD32A7"/>
    <w:rsid w:val="00BD3A4B"/>
    <w:rsid w:val="00BD4B7B"/>
    <w:rsid w:val="00BD51AC"/>
    <w:rsid w:val="00BD536B"/>
    <w:rsid w:val="00BD63C0"/>
    <w:rsid w:val="00BD63C7"/>
    <w:rsid w:val="00BD7808"/>
    <w:rsid w:val="00BE1172"/>
    <w:rsid w:val="00BE131F"/>
    <w:rsid w:val="00BE1929"/>
    <w:rsid w:val="00BE3296"/>
    <w:rsid w:val="00BE34BF"/>
    <w:rsid w:val="00BE4E07"/>
    <w:rsid w:val="00BE54CA"/>
    <w:rsid w:val="00BE6D88"/>
    <w:rsid w:val="00BF1807"/>
    <w:rsid w:val="00BF1B5E"/>
    <w:rsid w:val="00BF2815"/>
    <w:rsid w:val="00BF281E"/>
    <w:rsid w:val="00BF2BA6"/>
    <w:rsid w:val="00BF40BA"/>
    <w:rsid w:val="00BF50DD"/>
    <w:rsid w:val="00BF533D"/>
    <w:rsid w:val="00BF538E"/>
    <w:rsid w:val="00BF5660"/>
    <w:rsid w:val="00C00E04"/>
    <w:rsid w:val="00C00E24"/>
    <w:rsid w:val="00C0208B"/>
    <w:rsid w:val="00C045FA"/>
    <w:rsid w:val="00C0550E"/>
    <w:rsid w:val="00C05EDF"/>
    <w:rsid w:val="00C10ADD"/>
    <w:rsid w:val="00C10E3F"/>
    <w:rsid w:val="00C122E4"/>
    <w:rsid w:val="00C12BF2"/>
    <w:rsid w:val="00C1318B"/>
    <w:rsid w:val="00C141AE"/>
    <w:rsid w:val="00C1599C"/>
    <w:rsid w:val="00C16C39"/>
    <w:rsid w:val="00C16F60"/>
    <w:rsid w:val="00C2051F"/>
    <w:rsid w:val="00C2157D"/>
    <w:rsid w:val="00C21830"/>
    <w:rsid w:val="00C2298A"/>
    <w:rsid w:val="00C231C1"/>
    <w:rsid w:val="00C256AD"/>
    <w:rsid w:val="00C31652"/>
    <w:rsid w:val="00C35335"/>
    <w:rsid w:val="00C40F26"/>
    <w:rsid w:val="00C422C3"/>
    <w:rsid w:val="00C44241"/>
    <w:rsid w:val="00C469A2"/>
    <w:rsid w:val="00C552DF"/>
    <w:rsid w:val="00C60485"/>
    <w:rsid w:val="00C640D9"/>
    <w:rsid w:val="00C648EB"/>
    <w:rsid w:val="00C702BA"/>
    <w:rsid w:val="00C707E5"/>
    <w:rsid w:val="00C73282"/>
    <w:rsid w:val="00C7472A"/>
    <w:rsid w:val="00C7564B"/>
    <w:rsid w:val="00C77EEC"/>
    <w:rsid w:val="00C804F6"/>
    <w:rsid w:val="00C80E10"/>
    <w:rsid w:val="00C81B8D"/>
    <w:rsid w:val="00C829C6"/>
    <w:rsid w:val="00C83322"/>
    <w:rsid w:val="00C83B66"/>
    <w:rsid w:val="00C83E7A"/>
    <w:rsid w:val="00C848DC"/>
    <w:rsid w:val="00C85D19"/>
    <w:rsid w:val="00C86118"/>
    <w:rsid w:val="00C862DE"/>
    <w:rsid w:val="00C8669D"/>
    <w:rsid w:val="00C90057"/>
    <w:rsid w:val="00C90D51"/>
    <w:rsid w:val="00C91437"/>
    <w:rsid w:val="00C92603"/>
    <w:rsid w:val="00C930E1"/>
    <w:rsid w:val="00C93C3B"/>
    <w:rsid w:val="00C94EE0"/>
    <w:rsid w:val="00C97883"/>
    <w:rsid w:val="00CA1597"/>
    <w:rsid w:val="00CA1765"/>
    <w:rsid w:val="00CA35FB"/>
    <w:rsid w:val="00CA7761"/>
    <w:rsid w:val="00CB0E4C"/>
    <w:rsid w:val="00CB4A0F"/>
    <w:rsid w:val="00CC3998"/>
    <w:rsid w:val="00CC72D9"/>
    <w:rsid w:val="00CD1695"/>
    <w:rsid w:val="00CD37A1"/>
    <w:rsid w:val="00CD4EC1"/>
    <w:rsid w:val="00CD520C"/>
    <w:rsid w:val="00CD7BC4"/>
    <w:rsid w:val="00CD7E6A"/>
    <w:rsid w:val="00CD7F3D"/>
    <w:rsid w:val="00CE2C81"/>
    <w:rsid w:val="00CE370E"/>
    <w:rsid w:val="00CE4527"/>
    <w:rsid w:val="00CE4C66"/>
    <w:rsid w:val="00CE520B"/>
    <w:rsid w:val="00CE7662"/>
    <w:rsid w:val="00CF372C"/>
    <w:rsid w:val="00CF6568"/>
    <w:rsid w:val="00CF6EB4"/>
    <w:rsid w:val="00D0001E"/>
    <w:rsid w:val="00D00610"/>
    <w:rsid w:val="00D026D2"/>
    <w:rsid w:val="00D03921"/>
    <w:rsid w:val="00D03C6B"/>
    <w:rsid w:val="00D04834"/>
    <w:rsid w:val="00D0735A"/>
    <w:rsid w:val="00D07527"/>
    <w:rsid w:val="00D120F8"/>
    <w:rsid w:val="00D15433"/>
    <w:rsid w:val="00D23413"/>
    <w:rsid w:val="00D24815"/>
    <w:rsid w:val="00D25460"/>
    <w:rsid w:val="00D26D52"/>
    <w:rsid w:val="00D2787A"/>
    <w:rsid w:val="00D307A0"/>
    <w:rsid w:val="00D32B19"/>
    <w:rsid w:val="00D3350D"/>
    <w:rsid w:val="00D340D0"/>
    <w:rsid w:val="00D34C2F"/>
    <w:rsid w:val="00D3515E"/>
    <w:rsid w:val="00D35E25"/>
    <w:rsid w:val="00D3696F"/>
    <w:rsid w:val="00D413D7"/>
    <w:rsid w:val="00D42C26"/>
    <w:rsid w:val="00D444E9"/>
    <w:rsid w:val="00D450AB"/>
    <w:rsid w:val="00D450CD"/>
    <w:rsid w:val="00D453C1"/>
    <w:rsid w:val="00D5731B"/>
    <w:rsid w:val="00D573CC"/>
    <w:rsid w:val="00D57742"/>
    <w:rsid w:val="00D57B81"/>
    <w:rsid w:val="00D57F45"/>
    <w:rsid w:val="00D61CC7"/>
    <w:rsid w:val="00D62E38"/>
    <w:rsid w:val="00D63004"/>
    <w:rsid w:val="00D647F5"/>
    <w:rsid w:val="00D649E6"/>
    <w:rsid w:val="00D651F4"/>
    <w:rsid w:val="00D701C2"/>
    <w:rsid w:val="00D72882"/>
    <w:rsid w:val="00D729FA"/>
    <w:rsid w:val="00D742BA"/>
    <w:rsid w:val="00D75280"/>
    <w:rsid w:val="00D75D03"/>
    <w:rsid w:val="00D76844"/>
    <w:rsid w:val="00D81EAF"/>
    <w:rsid w:val="00D83167"/>
    <w:rsid w:val="00D847DA"/>
    <w:rsid w:val="00D84B90"/>
    <w:rsid w:val="00D84C49"/>
    <w:rsid w:val="00D8542D"/>
    <w:rsid w:val="00D8609C"/>
    <w:rsid w:val="00D86CCC"/>
    <w:rsid w:val="00D906BF"/>
    <w:rsid w:val="00D90783"/>
    <w:rsid w:val="00D907E1"/>
    <w:rsid w:val="00D92CAD"/>
    <w:rsid w:val="00D94EE9"/>
    <w:rsid w:val="00DA064E"/>
    <w:rsid w:val="00DA2BD0"/>
    <w:rsid w:val="00DA6EFC"/>
    <w:rsid w:val="00DA73D6"/>
    <w:rsid w:val="00DA7CD2"/>
    <w:rsid w:val="00DB0B55"/>
    <w:rsid w:val="00DB0DED"/>
    <w:rsid w:val="00DB1E27"/>
    <w:rsid w:val="00DB2E8B"/>
    <w:rsid w:val="00DB59D4"/>
    <w:rsid w:val="00DB6F90"/>
    <w:rsid w:val="00DC318B"/>
    <w:rsid w:val="00DC3B81"/>
    <w:rsid w:val="00DC4912"/>
    <w:rsid w:val="00DC5193"/>
    <w:rsid w:val="00DC5635"/>
    <w:rsid w:val="00DC5778"/>
    <w:rsid w:val="00DC709C"/>
    <w:rsid w:val="00DC72CA"/>
    <w:rsid w:val="00DD0810"/>
    <w:rsid w:val="00DD0EF4"/>
    <w:rsid w:val="00DD2B9C"/>
    <w:rsid w:val="00DD2FB6"/>
    <w:rsid w:val="00DD79ED"/>
    <w:rsid w:val="00DE2725"/>
    <w:rsid w:val="00DE45C4"/>
    <w:rsid w:val="00DE5D59"/>
    <w:rsid w:val="00DE623C"/>
    <w:rsid w:val="00DE76AB"/>
    <w:rsid w:val="00DF572F"/>
    <w:rsid w:val="00DF6190"/>
    <w:rsid w:val="00DF66B7"/>
    <w:rsid w:val="00DF7B55"/>
    <w:rsid w:val="00E017A7"/>
    <w:rsid w:val="00E037ED"/>
    <w:rsid w:val="00E0408D"/>
    <w:rsid w:val="00E06648"/>
    <w:rsid w:val="00E06D21"/>
    <w:rsid w:val="00E07321"/>
    <w:rsid w:val="00E0792E"/>
    <w:rsid w:val="00E10204"/>
    <w:rsid w:val="00E109F4"/>
    <w:rsid w:val="00E10C62"/>
    <w:rsid w:val="00E14245"/>
    <w:rsid w:val="00E1507C"/>
    <w:rsid w:val="00E204A4"/>
    <w:rsid w:val="00E2106F"/>
    <w:rsid w:val="00E2142B"/>
    <w:rsid w:val="00E22A18"/>
    <w:rsid w:val="00E241D8"/>
    <w:rsid w:val="00E25444"/>
    <w:rsid w:val="00E354A3"/>
    <w:rsid w:val="00E35916"/>
    <w:rsid w:val="00E4069B"/>
    <w:rsid w:val="00E409B6"/>
    <w:rsid w:val="00E42AB8"/>
    <w:rsid w:val="00E45D83"/>
    <w:rsid w:val="00E46240"/>
    <w:rsid w:val="00E4672C"/>
    <w:rsid w:val="00E50FD9"/>
    <w:rsid w:val="00E511FA"/>
    <w:rsid w:val="00E5136B"/>
    <w:rsid w:val="00E536D7"/>
    <w:rsid w:val="00E53B4F"/>
    <w:rsid w:val="00E53C9F"/>
    <w:rsid w:val="00E54687"/>
    <w:rsid w:val="00E54C2F"/>
    <w:rsid w:val="00E5567F"/>
    <w:rsid w:val="00E57C8F"/>
    <w:rsid w:val="00E6335E"/>
    <w:rsid w:val="00E64719"/>
    <w:rsid w:val="00E67293"/>
    <w:rsid w:val="00E71953"/>
    <w:rsid w:val="00E72A0D"/>
    <w:rsid w:val="00E72A39"/>
    <w:rsid w:val="00E72F0F"/>
    <w:rsid w:val="00E73FBF"/>
    <w:rsid w:val="00E73FF7"/>
    <w:rsid w:val="00E746CF"/>
    <w:rsid w:val="00E75531"/>
    <w:rsid w:val="00E75DCE"/>
    <w:rsid w:val="00E779FE"/>
    <w:rsid w:val="00E806E9"/>
    <w:rsid w:val="00E81C0B"/>
    <w:rsid w:val="00E831FC"/>
    <w:rsid w:val="00E84CBA"/>
    <w:rsid w:val="00E85CDC"/>
    <w:rsid w:val="00E86251"/>
    <w:rsid w:val="00E90716"/>
    <w:rsid w:val="00E91E7B"/>
    <w:rsid w:val="00E935C4"/>
    <w:rsid w:val="00E94389"/>
    <w:rsid w:val="00E96AE0"/>
    <w:rsid w:val="00EA0165"/>
    <w:rsid w:val="00EA0BDE"/>
    <w:rsid w:val="00EA72C5"/>
    <w:rsid w:val="00EB36A6"/>
    <w:rsid w:val="00EB46A3"/>
    <w:rsid w:val="00EB5602"/>
    <w:rsid w:val="00EB5CE6"/>
    <w:rsid w:val="00EC7F3D"/>
    <w:rsid w:val="00EC7FC8"/>
    <w:rsid w:val="00ED11B9"/>
    <w:rsid w:val="00ED2069"/>
    <w:rsid w:val="00ED265F"/>
    <w:rsid w:val="00ED4F1A"/>
    <w:rsid w:val="00ED5C66"/>
    <w:rsid w:val="00ED73A3"/>
    <w:rsid w:val="00ED7623"/>
    <w:rsid w:val="00ED7FC5"/>
    <w:rsid w:val="00EE00A0"/>
    <w:rsid w:val="00EE0222"/>
    <w:rsid w:val="00EE03FF"/>
    <w:rsid w:val="00EE107C"/>
    <w:rsid w:val="00EE1BC7"/>
    <w:rsid w:val="00EE2946"/>
    <w:rsid w:val="00EE7530"/>
    <w:rsid w:val="00EE7CA8"/>
    <w:rsid w:val="00F02DF2"/>
    <w:rsid w:val="00F06025"/>
    <w:rsid w:val="00F064E2"/>
    <w:rsid w:val="00F075E3"/>
    <w:rsid w:val="00F076A8"/>
    <w:rsid w:val="00F10652"/>
    <w:rsid w:val="00F11A2B"/>
    <w:rsid w:val="00F13573"/>
    <w:rsid w:val="00F166AC"/>
    <w:rsid w:val="00F170BD"/>
    <w:rsid w:val="00F17745"/>
    <w:rsid w:val="00F22260"/>
    <w:rsid w:val="00F242C5"/>
    <w:rsid w:val="00F245B1"/>
    <w:rsid w:val="00F31C0B"/>
    <w:rsid w:val="00F32E76"/>
    <w:rsid w:val="00F3707D"/>
    <w:rsid w:val="00F376E8"/>
    <w:rsid w:val="00F433EB"/>
    <w:rsid w:val="00F45267"/>
    <w:rsid w:val="00F4526C"/>
    <w:rsid w:val="00F459F1"/>
    <w:rsid w:val="00F45D9E"/>
    <w:rsid w:val="00F479FF"/>
    <w:rsid w:val="00F50F25"/>
    <w:rsid w:val="00F512BD"/>
    <w:rsid w:val="00F52063"/>
    <w:rsid w:val="00F54BD1"/>
    <w:rsid w:val="00F57AB9"/>
    <w:rsid w:val="00F61DE6"/>
    <w:rsid w:val="00F65161"/>
    <w:rsid w:val="00F65B3E"/>
    <w:rsid w:val="00F65E0B"/>
    <w:rsid w:val="00F669A4"/>
    <w:rsid w:val="00F67446"/>
    <w:rsid w:val="00F67529"/>
    <w:rsid w:val="00F71F68"/>
    <w:rsid w:val="00F7254D"/>
    <w:rsid w:val="00F72E33"/>
    <w:rsid w:val="00F732CD"/>
    <w:rsid w:val="00F76DA4"/>
    <w:rsid w:val="00F8079C"/>
    <w:rsid w:val="00F824C0"/>
    <w:rsid w:val="00F83457"/>
    <w:rsid w:val="00F84A35"/>
    <w:rsid w:val="00F86653"/>
    <w:rsid w:val="00F86AA7"/>
    <w:rsid w:val="00F87881"/>
    <w:rsid w:val="00F93EBE"/>
    <w:rsid w:val="00F9423E"/>
    <w:rsid w:val="00F943E9"/>
    <w:rsid w:val="00F97073"/>
    <w:rsid w:val="00F97945"/>
    <w:rsid w:val="00FA15CA"/>
    <w:rsid w:val="00FA3E64"/>
    <w:rsid w:val="00FA61A0"/>
    <w:rsid w:val="00FB05D6"/>
    <w:rsid w:val="00FB11D1"/>
    <w:rsid w:val="00FB2723"/>
    <w:rsid w:val="00FB33C5"/>
    <w:rsid w:val="00FB5A61"/>
    <w:rsid w:val="00FB6259"/>
    <w:rsid w:val="00FB713C"/>
    <w:rsid w:val="00FC33AE"/>
    <w:rsid w:val="00FC3E24"/>
    <w:rsid w:val="00FC62E0"/>
    <w:rsid w:val="00FC6526"/>
    <w:rsid w:val="00FC6ABC"/>
    <w:rsid w:val="00FC6C42"/>
    <w:rsid w:val="00FD14D4"/>
    <w:rsid w:val="00FD636E"/>
    <w:rsid w:val="00FD6B69"/>
    <w:rsid w:val="00FD6C5F"/>
    <w:rsid w:val="00FE0570"/>
    <w:rsid w:val="00FE13BF"/>
    <w:rsid w:val="00FE27EF"/>
    <w:rsid w:val="00FE36DE"/>
    <w:rsid w:val="00FE4448"/>
    <w:rsid w:val="00FE5053"/>
    <w:rsid w:val="00FF03FE"/>
    <w:rsid w:val="00FF0597"/>
    <w:rsid w:val="00FF2D2B"/>
    <w:rsid w:val="00FF4601"/>
    <w:rsid w:val="00FF59D6"/>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2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3E9"/>
    <w:pPr>
      <w:spacing w:before="120" w:after="120" w:line="240" w:lineRule="auto"/>
    </w:pPr>
    <w:rPr>
      <w:rFonts w:ascii="Arial" w:eastAsia="Times New Roman" w:hAnsi="Arial" w:cs="Times New Roman"/>
      <w:color w:val="53565A"/>
      <w:sz w:val="18"/>
      <w:szCs w:val="20"/>
    </w:rPr>
  </w:style>
  <w:style w:type="paragraph" w:styleId="Heading1">
    <w:name w:val="heading 1"/>
    <w:basedOn w:val="Normal"/>
    <w:next w:val="bodyCopy"/>
    <w:link w:val="Heading1Char"/>
    <w:uiPriority w:val="9"/>
    <w:qFormat/>
    <w:rsid w:val="004B3631"/>
    <w:pPr>
      <w:keepNext/>
      <w:keepLines/>
      <w:numPr>
        <w:numId w:val="4"/>
      </w:numPr>
      <w:spacing w:before="280" w:after="240"/>
      <w:outlineLvl w:val="0"/>
    </w:pPr>
    <w:rPr>
      <w:b/>
      <w:bCs/>
      <w:color w:val="064EA8"/>
      <w:sz w:val="36"/>
      <w:szCs w:val="32"/>
    </w:rPr>
  </w:style>
  <w:style w:type="paragraph" w:styleId="Heading2">
    <w:name w:val="heading 2"/>
    <w:basedOn w:val="Normal"/>
    <w:next w:val="bodyCopy"/>
    <w:link w:val="Heading2Char"/>
    <w:uiPriority w:val="9"/>
    <w:qFormat/>
    <w:rsid w:val="007A5707"/>
    <w:pPr>
      <w:keepNext/>
      <w:keepLines/>
      <w:numPr>
        <w:ilvl w:val="1"/>
        <w:numId w:val="4"/>
      </w:numPr>
      <w:spacing w:before="400" w:after="200"/>
      <w:outlineLvl w:val="1"/>
    </w:pPr>
    <w:rPr>
      <w:b/>
      <w:bCs/>
      <w:color w:val="064EA8"/>
      <w:sz w:val="28"/>
      <w:szCs w:val="26"/>
    </w:rPr>
  </w:style>
  <w:style w:type="paragraph" w:styleId="Heading3">
    <w:name w:val="heading 3"/>
    <w:basedOn w:val="Normal"/>
    <w:next w:val="bodyCopy"/>
    <w:link w:val="Heading3Char"/>
    <w:uiPriority w:val="9"/>
    <w:qFormat/>
    <w:rsid w:val="00914E64"/>
    <w:pPr>
      <w:keepNext/>
      <w:keepLines/>
      <w:numPr>
        <w:ilvl w:val="2"/>
        <w:numId w:val="4"/>
      </w:numPr>
      <w:spacing w:before="320" w:after="160"/>
      <w:outlineLvl w:val="2"/>
    </w:pPr>
    <w:rPr>
      <w:b/>
      <w:bCs/>
      <w:color w:val="064EA8"/>
      <w:sz w:val="22"/>
    </w:rPr>
  </w:style>
  <w:style w:type="paragraph" w:styleId="Heading4">
    <w:name w:val="heading 4"/>
    <w:basedOn w:val="Normal"/>
    <w:next w:val="bodyCopy"/>
    <w:link w:val="Heading4Char"/>
    <w:uiPriority w:val="9"/>
    <w:unhideWhenUsed/>
    <w:rsid w:val="006B778A"/>
    <w:pPr>
      <w:keepNext/>
      <w:keepLines/>
      <w:numPr>
        <w:ilvl w:val="3"/>
        <w:numId w:val="4"/>
      </w:numPr>
      <w:spacing w:before="280" w:after="0"/>
      <w:outlineLvl w:val="3"/>
    </w:pPr>
    <w:rPr>
      <w:rFonts w:eastAsiaTheme="majorEastAsia" w:cstheme="majorBidi"/>
      <w:b/>
      <w:bCs/>
      <w:iCs/>
      <w:color w:val="000000" w:themeColor="text1"/>
    </w:rPr>
  </w:style>
  <w:style w:type="paragraph" w:styleId="Heading5">
    <w:name w:val="heading 5"/>
    <w:basedOn w:val="Normal"/>
    <w:next w:val="bodyCopy"/>
    <w:link w:val="Heading5Char"/>
    <w:uiPriority w:val="9"/>
    <w:unhideWhenUsed/>
    <w:rsid w:val="00892F06"/>
    <w:pPr>
      <w:keepNext/>
      <w:keepLines/>
      <w:numPr>
        <w:ilvl w:val="4"/>
        <w:numId w:val="4"/>
      </w:numPr>
      <w:spacing w:before="28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DB0DE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4"/>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4"/>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31"/>
    <w:rPr>
      <w:rFonts w:ascii="Arial" w:eastAsia="Times New Roman" w:hAnsi="Arial" w:cs="Times New Roman"/>
      <w:b/>
      <w:bCs/>
      <w:color w:val="064EA8"/>
      <w:sz w:val="36"/>
      <w:szCs w:val="32"/>
    </w:rPr>
  </w:style>
  <w:style w:type="character" w:customStyle="1" w:styleId="Heading2Char">
    <w:name w:val="Heading 2 Char"/>
    <w:basedOn w:val="DefaultParagraphFont"/>
    <w:link w:val="Heading2"/>
    <w:uiPriority w:val="9"/>
    <w:rsid w:val="007A5707"/>
    <w:rPr>
      <w:rFonts w:ascii="Arial" w:eastAsia="Times New Roman" w:hAnsi="Arial" w:cs="Times New Roman"/>
      <w:b/>
      <w:bCs/>
      <w:color w:val="064EA8"/>
      <w:sz w:val="28"/>
      <w:szCs w:val="26"/>
    </w:rPr>
  </w:style>
  <w:style w:type="character" w:customStyle="1" w:styleId="Heading3Char">
    <w:name w:val="Heading 3 Char"/>
    <w:basedOn w:val="DefaultParagraphFont"/>
    <w:link w:val="Heading3"/>
    <w:uiPriority w:val="9"/>
    <w:rsid w:val="00914E64"/>
    <w:rPr>
      <w:rFonts w:ascii="Arial" w:eastAsia="Times New Roman" w:hAnsi="Arial" w:cs="Times New Roman"/>
      <w:b/>
      <w:bCs/>
      <w:color w:val="064EA8"/>
      <w:szCs w:val="20"/>
    </w:rPr>
  </w:style>
  <w:style w:type="paragraph" w:styleId="DocumentMap">
    <w:name w:val="Document Map"/>
    <w:basedOn w:val="Normal"/>
    <w:link w:val="DocumentMapChar"/>
    <w:semiHidden/>
    <w:rsid w:val="00135B6F"/>
    <w:pPr>
      <w:shd w:val="clear" w:color="auto" w:fill="C6D5EC"/>
    </w:pPr>
    <w:rPr>
      <w:rFonts w:ascii="Lucida Grande" w:hAnsi="Lucida Grande"/>
      <w:szCs w:val="24"/>
    </w:rPr>
  </w:style>
  <w:style w:type="character" w:customStyle="1" w:styleId="DocumentMapChar">
    <w:name w:val="Document Map Char"/>
    <w:basedOn w:val="DefaultParagraphFont"/>
    <w:link w:val="DocumentMap"/>
    <w:semiHidden/>
    <w:rsid w:val="00135B6F"/>
    <w:rPr>
      <w:rFonts w:ascii="Lucida Grande" w:eastAsia="Times New Roman" w:hAnsi="Lucida Grande" w:cs="Times New Roman"/>
      <w:sz w:val="20"/>
      <w:szCs w:val="24"/>
      <w:shd w:val="clear" w:color="auto" w:fill="C6D5EC"/>
    </w:rPr>
  </w:style>
  <w:style w:type="paragraph" w:customStyle="1" w:styleId="bodyCopy">
    <w:name w:val="#  body Copy"/>
    <w:basedOn w:val="Normal"/>
    <w:rsid w:val="00707F05"/>
    <w:pPr>
      <w:spacing w:after="200"/>
    </w:pPr>
  </w:style>
  <w:style w:type="paragraph" w:customStyle="1" w:styleId="bulletL1">
    <w:name w:val="# bullet L1"/>
    <w:basedOn w:val="Normal"/>
    <w:rsid w:val="001A653B"/>
    <w:pPr>
      <w:numPr>
        <w:numId w:val="1"/>
      </w:numPr>
      <w:spacing w:before="0" w:after="60"/>
    </w:pPr>
  </w:style>
  <w:style w:type="paragraph" w:customStyle="1" w:styleId="bulletL2">
    <w:name w:val="# bullet L2"/>
    <w:basedOn w:val="Normal"/>
    <w:rsid w:val="001A653B"/>
    <w:pPr>
      <w:numPr>
        <w:numId w:val="2"/>
      </w:numPr>
      <w:spacing w:before="0" w:after="60"/>
      <w:ind w:left="851" w:hanging="425"/>
    </w:pPr>
  </w:style>
  <w:style w:type="character" w:styleId="FollowedHyperlink">
    <w:name w:val="FollowedHyperlink"/>
    <w:basedOn w:val="DefaultParagraphFont"/>
    <w:rsid w:val="007444DD"/>
    <w:rPr>
      <w:rFonts w:ascii="Tahoma" w:hAnsi="Tahoma"/>
      <w:color w:val="auto"/>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F732CD"/>
    <w:rPr>
      <w:color w:val="595959" w:themeColor="text1" w:themeTint="A6"/>
      <w:u w:val="single"/>
    </w:rPr>
  </w:style>
  <w:style w:type="character" w:styleId="PageNumber">
    <w:name w:val="page number"/>
    <w:basedOn w:val="DefaultParagraphFont"/>
    <w:unhideWhenUsed/>
    <w:rsid w:val="00135B6F"/>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000000" w:themeColor="text1"/>
      <w:sz w:val="18"/>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customStyle="1" w:styleId="appendices">
    <w:name w:val="# appendices"/>
    <w:basedOn w:val="Normal"/>
    <w:link w:val="appendicesChar"/>
    <w:qFormat/>
    <w:rsid w:val="001858C2"/>
    <w:pPr>
      <w:spacing w:before="0" w:after="400"/>
    </w:pPr>
    <w:rPr>
      <w:b/>
      <w:caps/>
      <w:sz w:val="36"/>
    </w:rPr>
  </w:style>
  <w:style w:type="paragraph" w:styleId="TOCHeading">
    <w:name w:val="TOC Heading"/>
    <w:basedOn w:val="Heading1"/>
    <w:next w:val="Normal"/>
    <w:uiPriority w:val="39"/>
    <w:unhideWhenUsed/>
    <w:qFormat/>
    <w:rsid w:val="00440DF0"/>
    <w:pPr>
      <w:numPr>
        <w:numId w:val="0"/>
      </w:numPr>
      <w:spacing w:before="480" w:after="0" w:line="276" w:lineRule="auto"/>
      <w:outlineLvl w:val="9"/>
    </w:pPr>
    <w:rPr>
      <w:rFonts w:asciiTheme="majorHAnsi" w:eastAsiaTheme="majorEastAsia" w:hAnsiTheme="majorHAnsi" w:cstheme="majorBidi"/>
      <w:b w:val="0"/>
      <w:color w:val="365F91" w:themeColor="accent1" w:themeShade="BF"/>
      <w:sz w:val="28"/>
      <w:szCs w:val="28"/>
      <w:lang w:val="en-US" w:eastAsia="ja-JP"/>
    </w:rPr>
  </w:style>
  <w:style w:type="character" w:customStyle="1" w:styleId="appendicesChar">
    <w:name w:val="# appendices Char"/>
    <w:basedOn w:val="DefaultParagraphFont"/>
    <w:link w:val="appendices"/>
    <w:rsid w:val="001858C2"/>
    <w:rPr>
      <w:rFonts w:ascii="Arial" w:eastAsia="Times New Roman" w:hAnsi="Arial" w:cs="Times New Roman"/>
      <w:b/>
      <w:caps/>
      <w:color w:val="53565A"/>
      <w:sz w:val="36"/>
      <w:szCs w:val="20"/>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243F60"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paragraph" w:customStyle="1" w:styleId="contentfiguresheading">
    <w:name w:val="# content/figures heading"/>
    <w:basedOn w:val="Normal"/>
    <w:link w:val="contentfiguresheadingChar"/>
    <w:qFormat/>
    <w:rsid w:val="001858C2"/>
    <w:pPr>
      <w:spacing w:before="0" w:after="400"/>
    </w:pPr>
    <w:rPr>
      <w:b/>
      <w:caps/>
      <w:sz w:val="36"/>
      <w:szCs w:val="48"/>
    </w:rPr>
  </w:style>
  <w:style w:type="paragraph" w:customStyle="1" w:styleId="instructions">
    <w:name w:val="# instructions"/>
    <w:basedOn w:val="Normal"/>
    <w:link w:val="instructionsChar"/>
    <w:qFormat/>
    <w:rsid w:val="00BC4B89"/>
    <w:pPr>
      <w:spacing w:before="60"/>
    </w:pPr>
    <w:rPr>
      <w:color w:val="C0504D" w:themeColor="accent2"/>
    </w:rPr>
  </w:style>
  <w:style w:type="character" w:customStyle="1" w:styleId="contentfiguresheadingChar">
    <w:name w:val="# content/figures heading Char"/>
    <w:basedOn w:val="DefaultParagraphFont"/>
    <w:link w:val="contentfiguresheading"/>
    <w:rsid w:val="001858C2"/>
    <w:rPr>
      <w:rFonts w:ascii="Arial" w:eastAsia="Times New Roman" w:hAnsi="Arial" w:cs="Times New Roman"/>
      <w:b/>
      <w:caps/>
      <w:color w:val="53565A"/>
      <w:sz w:val="36"/>
      <w:szCs w:val="48"/>
    </w:rPr>
  </w:style>
  <w:style w:type="table" w:styleId="TableGrid">
    <w:name w:val="Table Grid"/>
    <w:basedOn w:val="TableNormal"/>
    <w:uiPriority w:val="59"/>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Char">
    <w:name w:val="# instructions Char"/>
    <w:basedOn w:val="DefaultParagraphFont"/>
    <w:link w:val="instructions"/>
    <w:rsid w:val="00BC4B89"/>
    <w:rPr>
      <w:rFonts w:ascii="Verdana" w:eastAsia="Times New Roman" w:hAnsi="Verdana" w:cs="Times New Roman"/>
      <w:color w:val="C0504D" w:themeColor="accent2"/>
      <w:sz w:val="20"/>
      <w:szCs w:val="20"/>
    </w:r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EEECE1"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bodyCopy"/>
    <w:uiPriority w:val="24"/>
    <w:unhideWhenUsed/>
    <w:qFormat/>
    <w:rsid w:val="008027EC"/>
    <w:pPr>
      <w:spacing w:after="200"/>
    </w:pPr>
    <w:rPr>
      <w:b/>
      <w:bCs/>
      <w:szCs w:val="18"/>
    </w:rPr>
  </w:style>
  <w:style w:type="paragraph" w:styleId="TOC1">
    <w:name w:val="toc 1"/>
    <w:basedOn w:val="Normal"/>
    <w:next w:val="Normal"/>
    <w:autoRedefine/>
    <w:uiPriority w:val="39"/>
    <w:unhideWhenUsed/>
    <w:rsid w:val="00FB2723"/>
    <w:pPr>
      <w:tabs>
        <w:tab w:val="left" w:pos="600"/>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footerinfo">
    <w:name w:val="footer info"/>
    <w:basedOn w:val="bodyCopy"/>
    <w:qFormat/>
    <w:rsid w:val="00965E6E"/>
    <w:pPr>
      <w:spacing w:before="0" w:after="0"/>
    </w:pPr>
  </w:style>
  <w:style w:type="paragraph" w:customStyle="1" w:styleId="covertitle">
    <w:name w:val="# cover title"/>
    <w:basedOn w:val="Normal"/>
    <w:next w:val="Normal"/>
    <w:qFormat/>
    <w:rsid w:val="00292254"/>
    <w:pPr>
      <w:spacing w:before="0" w:line="420" w:lineRule="exact"/>
    </w:pPr>
    <w:rPr>
      <w:b/>
      <w:color w:val="FFFFFF"/>
      <w:sz w:val="44"/>
    </w:rPr>
  </w:style>
  <w:style w:type="paragraph" w:customStyle="1" w:styleId="introparagraph">
    <w:name w:val="# intro paragraph"/>
    <w:basedOn w:val="bodyCopy"/>
    <w:next w:val="bodyCopy"/>
    <w:qFormat/>
    <w:rsid w:val="00914E64"/>
    <w:rPr>
      <w:color w:val="808080" w:themeColor="background1" w:themeShade="80"/>
      <w:sz w:val="28"/>
    </w:rPr>
  </w:style>
  <w:style w:type="paragraph" w:styleId="ListParagraph">
    <w:name w:val="List Paragraph"/>
    <w:basedOn w:val="Normal"/>
    <w:uiPriority w:val="34"/>
    <w:qFormat/>
    <w:rsid w:val="00C930E1"/>
    <w:pPr>
      <w:spacing w:before="0" w:after="60"/>
      <w:ind w:left="720"/>
    </w:pPr>
    <w:rPr>
      <w:szCs w:val="24"/>
      <w:lang w:eastAsia="en-AU"/>
    </w:rPr>
  </w:style>
  <w:style w:type="paragraph" w:customStyle="1" w:styleId="authorisedby">
    <w:name w:val="# authorised by"/>
    <w:basedOn w:val="Normal"/>
    <w:qFormat/>
    <w:rsid w:val="00A465E3"/>
    <w:rPr>
      <w:rFonts w:eastAsiaTheme="minorHAnsi"/>
    </w:rPr>
  </w:style>
  <w:style w:type="paragraph" w:customStyle="1" w:styleId="coversub-title">
    <w:name w:val="# cover sub-title"/>
    <w:basedOn w:val="Normal"/>
    <w:rsid w:val="00292254"/>
    <w:pPr>
      <w:spacing w:before="180"/>
    </w:pPr>
    <w:rPr>
      <w:color w:val="FFFFFF"/>
      <w:sz w:val="32"/>
    </w:rPr>
  </w:style>
  <w:style w:type="paragraph" w:customStyle="1" w:styleId="instructions0">
    <w:name w:val="instructions"/>
    <w:basedOn w:val="Normal"/>
    <w:link w:val="instructionsChar0"/>
    <w:qFormat/>
    <w:rsid w:val="00D76844"/>
    <w:pPr>
      <w:spacing w:before="60"/>
    </w:pPr>
    <w:rPr>
      <w:color w:val="C0504D" w:themeColor="accent2"/>
    </w:rPr>
  </w:style>
  <w:style w:type="character" w:customStyle="1" w:styleId="instructionsChar0">
    <w:name w:val="instructions Char"/>
    <w:basedOn w:val="DefaultParagraphFont"/>
    <w:link w:val="instructions0"/>
    <w:rsid w:val="00D76844"/>
    <w:rPr>
      <w:rFonts w:ascii="Tahoma" w:eastAsia="Times New Roman" w:hAnsi="Tahoma" w:cs="Times New Roman"/>
      <w:color w:val="C0504D" w:themeColor="accent2"/>
      <w:sz w:val="20"/>
      <w:szCs w:val="20"/>
    </w:rPr>
  </w:style>
  <w:style w:type="paragraph" w:customStyle="1" w:styleId="tablename">
    <w:name w:val="# table name"/>
    <w:basedOn w:val="Normal"/>
    <w:link w:val="tablenameChar"/>
    <w:qFormat/>
    <w:rsid w:val="001A653B"/>
    <w:pPr>
      <w:keepNext/>
      <w:spacing w:before="240"/>
    </w:pPr>
    <w:rPr>
      <w:rFonts w:cs="Arial"/>
      <w:b/>
      <w:color w:val="064EA8"/>
      <w:szCs w:val="18"/>
      <w:lang w:eastAsia="en-AU"/>
    </w:rPr>
  </w:style>
  <w:style w:type="paragraph" w:customStyle="1" w:styleId="tabletitles">
    <w:name w:val="# table titles"/>
    <w:basedOn w:val="Normal"/>
    <w:qFormat/>
    <w:rsid w:val="001A653B"/>
    <w:pPr>
      <w:spacing w:before="60" w:after="60"/>
    </w:pPr>
    <w:rPr>
      <w:rFonts w:cs="Arial"/>
      <w:b/>
      <w:color w:val="FFFFFF"/>
      <w:lang w:eastAsia="en-AU"/>
    </w:rPr>
  </w:style>
  <w:style w:type="paragraph" w:customStyle="1" w:styleId="tabletext">
    <w:name w:val="# table text"/>
    <w:basedOn w:val="Normal"/>
    <w:qFormat/>
    <w:rsid w:val="001A653B"/>
    <w:pPr>
      <w:spacing w:before="60" w:after="60"/>
    </w:pPr>
    <w:rPr>
      <w:rFonts w:cs="Arial"/>
      <w:szCs w:val="18"/>
      <w:lang w:eastAsia="en-AU"/>
    </w:rPr>
  </w:style>
  <w:style w:type="character" w:customStyle="1" w:styleId="DTPLIinstructionsChar">
    <w:name w:val="DTPLI instructions Char"/>
    <w:basedOn w:val="DefaultParagraphFont"/>
    <w:link w:val="DTPLIinstructions"/>
    <w:locked/>
    <w:rsid w:val="00B93FD6"/>
    <w:rPr>
      <w:rFonts w:ascii="Tahoma" w:eastAsia="Times New Roman" w:hAnsi="Tahoma" w:cs="Times New Roman"/>
      <w:color w:val="C0504D" w:themeColor="accent2"/>
      <w:sz w:val="20"/>
      <w:szCs w:val="20"/>
    </w:rPr>
  </w:style>
  <w:style w:type="paragraph" w:customStyle="1" w:styleId="DTPLIinstructions">
    <w:name w:val="DTPLI instructions"/>
    <w:basedOn w:val="Normal"/>
    <w:link w:val="DTPLIinstructionsChar"/>
    <w:qFormat/>
    <w:rsid w:val="00B93FD6"/>
    <w:pPr>
      <w:spacing w:before="60"/>
    </w:pPr>
    <w:rPr>
      <w:rFonts w:ascii="Tahoma" w:hAnsi="Tahoma"/>
      <w:color w:val="C0504D" w:themeColor="accent2"/>
      <w:sz w:val="20"/>
    </w:rPr>
  </w:style>
  <w:style w:type="paragraph" w:customStyle="1" w:styleId="Heading4-NoNum">
    <w:name w:val="Heading 4 - No Num"/>
    <w:basedOn w:val="Heading3"/>
    <w:next w:val="Normal"/>
    <w:link w:val="Heading4-NoNumChar"/>
    <w:qFormat/>
    <w:rsid w:val="003F7B0D"/>
    <w:pPr>
      <w:numPr>
        <w:ilvl w:val="0"/>
        <w:numId w:val="0"/>
      </w:numPr>
      <w:ind w:left="720" w:hanging="720"/>
    </w:pPr>
  </w:style>
  <w:style w:type="character" w:styleId="IntenseEmphasis">
    <w:name w:val="Intense Emphasis"/>
    <w:basedOn w:val="DefaultParagraphFont"/>
    <w:uiPriority w:val="21"/>
    <w:qFormat/>
    <w:rsid w:val="00F166AC"/>
    <w:rPr>
      <w:b/>
      <w:bCs/>
      <w:i/>
      <w:iCs/>
      <w:color w:val="4F81BD" w:themeColor="accent1"/>
    </w:rPr>
  </w:style>
  <w:style w:type="character" w:customStyle="1" w:styleId="Heading4-NoNumChar">
    <w:name w:val="Heading 4 - No Num Char"/>
    <w:basedOn w:val="Heading3Char"/>
    <w:link w:val="Heading4-NoNum"/>
    <w:rsid w:val="003F7B0D"/>
    <w:rPr>
      <w:rFonts w:ascii="Arial" w:eastAsia="Times New Roman" w:hAnsi="Arial" w:cs="Times New Roman"/>
      <w:b/>
      <w:bCs/>
      <w:color w:val="064EA8"/>
      <w:szCs w:val="20"/>
    </w:rPr>
  </w:style>
  <w:style w:type="paragraph" w:styleId="NormalWeb">
    <w:name w:val="Normal (Web)"/>
    <w:basedOn w:val="Normal"/>
    <w:uiPriority w:val="99"/>
    <w:semiHidden/>
    <w:unhideWhenUsed/>
    <w:rsid w:val="003F7B0D"/>
    <w:rPr>
      <w:rFonts w:ascii="Times New Roman" w:hAnsi="Times New Roman"/>
      <w:sz w:val="24"/>
      <w:szCs w:val="24"/>
    </w:rPr>
  </w:style>
  <w:style w:type="paragraph" w:customStyle="1" w:styleId="TextBoxHeading">
    <w:name w:val="Text Box Heading"/>
    <w:basedOn w:val="tablename"/>
    <w:next w:val="Normal"/>
    <w:link w:val="TextBoxHeadingChar"/>
    <w:qFormat/>
    <w:rsid w:val="00D907E1"/>
    <w:pPr>
      <w:spacing w:before="0"/>
    </w:pPr>
  </w:style>
  <w:style w:type="character" w:customStyle="1" w:styleId="tablenameChar">
    <w:name w:val="# table name Char"/>
    <w:basedOn w:val="DefaultParagraphFont"/>
    <w:link w:val="tablename"/>
    <w:rsid w:val="00D907E1"/>
    <w:rPr>
      <w:rFonts w:ascii="Arial" w:eastAsia="Times New Roman" w:hAnsi="Arial" w:cs="Arial"/>
      <w:b/>
      <w:color w:val="064EA8"/>
      <w:sz w:val="18"/>
      <w:szCs w:val="18"/>
      <w:lang w:eastAsia="en-AU"/>
    </w:rPr>
  </w:style>
  <w:style w:type="character" w:customStyle="1" w:styleId="TextBoxHeadingChar">
    <w:name w:val="Text Box Heading Char"/>
    <w:basedOn w:val="tablenameChar"/>
    <w:link w:val="TextBoxHeading"/>
    <w:rsid w:val="00D907E1"/>
    <w:rPr>
      <w:rFonts w:ascii="Arial" w:eastAsia="Times New Roman" w:hAnsi="Arial" w:cs="Arial"/>
      <w:b/>
      <w:color w:val="064EA8"/>
      <w:sz w:val="18"/>
      <w:szCs w:val="18"/>
      <w:lang w:eastAsia="en-AU"/>
    </w:rPr>
  </w:style>
  <w:style w:type="table" w:styleId="LightList-Accent1">
    <w:name w:val="Light List Accent 1"/>
    <w:basedOn w:val="TableNormal"/>
    <w:uiPriority w:val="61"/>
    <w:rsid w:val="00BD3A4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251971"/>
    <w:rPr>
      <w:sz w:val="16"/>
      <w:szCs w:val="16"/>
    </w:rPr>
  </w:style>
  <w:style w:type="paragraph" w:styleId="CommentText">
    <w:name w:val="annotation text"/>
    <w:basedOn w:val="Normal"/>
    <w:link w:val="CommentTextChar"/>
    <w:uiPriority w:val="99"/>
    <w:unhideWhenUsed/>
    <w:rsid w:val="00251971"/>
    <w:rPr>
      <w:sz w:val="20"/>
    </w:rPr>
  </w:style>
  <w:style w:type="character" w:customStyle="1" w:styleId="CommentTextChar">
    <w:name w:val="Comment Text Char"/>
    <w:basedOn w:val="DefaultParagraphFont"/>
    <w:link w:val="CommentText"/>
    <w:uiPriority w:val="99"/>
    <w:rsid w:val="00251971"/>
    <w:rPr>
      <w:rFonts w:ascii="Arial" w:eastAsia="Times New Roman" w:hAnsi="Arial" w:cs="Times New Roman"/>
      <w:color w:val="53565A"/>
      <w:sz w:val="20"/>
      <w:szCs w:val="20"/>
    </w:rPr>
  </w:style>
  <w:style w:type="paragraph" w:styleId="CommentSubject">
    <w:name w:val="annotation subject"/>
    <w:basedOn w:val="CommentText"/>
    <w:next w:val="CommentText"/>
    <w:link w:val="CommentSubjectChar"/>
    <w:uiPriority w:val="99"/>
    <w:semiHidden/>
    <w:unhideWhenUsed/>
    <w:rsid w:val="00251971"/>
    <w:rPr>
      <w:b/>
      <w:bCs/>
    </w:rPr>
  </w:style>
  <w:style w:type="character" w:customStyle="1" w:styleId="CommentSubjectChar">
    <w:name w:val="Comment Subject Char"/>
    <w:basedOn w:val="CommentTextChar"/>
    <w:link w:val="CommentSubject"/>
    <w:uiPriority w:val="99"/>
    <w:semiHidden/>
    <w:rsid w:val="00251971"/>
    <w:rPr>
      <w:rFonts w:ascii="Arial" w:eastAsia="Times New Roman" w:hAnsi="Arial" w:cs="Times New Roman"/>
      <w:b/>
      <w:bCs/>
      <w:color w:val="53565A"/>
      <w:sz w:val="20"/>
      <w:szCs w:val="20"/>
    </w:rPr>
  </w:style>
  <w:style w:type="paragraph" w:styleId="BodyText">
    <w:name w:val="Body Text"/>
    <w:basedOn w:val="Normal"/>
    <w:link w:val="BodyTextChar"/>
    <w:autoRedefine/>
    <w:rsid w:val="00805A02"/>
    <w:pPr>
      <w:widowControl w:val="0"/>
      <w:spacing w:before="0" w:after="0"/>
    </w:pPr>
    <w:rPr>
      <w:rFonts w:ascii="Times New Roman" w:hAnsi="Times New Roman"/>
      <w:snapToGrid w:val="0"/>
      <w:color w:val="auto"/>
      <w:sz w:val="22"/>
      <w:szCs w:val="22"/>
    </w:rPr>
  </w:style>
  <w:style w:type="character" w:customStyle="1" w:styleId="BodyTextChar">
    <w:name w:val="Body Text Char"/>
    <w:basedOn w:val="DefaultParagraphFont"/>
    <w:link w:val="BodyText"/>
    <w:rsid w:val="00805A02"/>
    <w:rPr>
      <w:rFonts w:ascii="Times New Roman" w:eastAsia="Times New Roman" w:hAnsi="Times New Roman" w:cs="Times New Roman"/>
      <w:snapToGrid w:val="0"/>
    </w:rPr>
  </w:style>
  <w:style w:type="paragraph" w:customStyle="1" w:styleId="bullet">
    <w:name w:val="bullet"/>
    <w:basedOn w:val="Normal"/>
    <w:rsid w:val="00805A02"/>
    <w:pPr>
      <w:numPr>
        <w:numId w:val="5"/>
      </w:numPr>
      <w:spacing w:before="0" w:after="0"/>
      <w:jc w:val="both"/>
    </w:pPr>
    <w:rPr>
      <w:color w:val="auto"/>
      <w:sz w:val="22"/>
      <w:lang w:eastAsia="en-AU"/>
    </w:rPr>
  </w:style>
  <w:style w:type="paragraph" w:styleId="BodyTextIndent3">
    <w:name w:val="Body Text Indent 3"/>
    <w:basedOn w:val="Normal"/>
    <w:link w:val="BodyTextIndent3Char"/>
    <w:rsid w:val="00805A02"/>
    <w:pPr>
      <w:tabs>
        <w:tab w:val="left" w:pos="7371"/>
        <w:tab w:val="left" w:pos="7655"/>
        <w:tab w:val="left" w:pos="8505"/>
        <w:tab w:val="left" w:pos="8789"/>
      </w:tabs>
      <w:spacing w:before="0" w:after="0"/>
      <w:ind w:left="990" w:hanging="990"/>
      <w:jc w:val="both"/>
    </w:pPr>
    <w:rPr>
      <w:b/>
      <w:color w:val="auto"/>
      <w:sz w:val="21"/>
      <w:lang w:eastAsia="en-AU"/>
    </w:rPr>
  </w:style>
  <w:style w:type="character" w:customStyle="1" w:styleId="BodyTextIndent3Char">
    <w:name w:val="Body Text Indent 3 Char"/>
    <w:basedOn w:val="DefaultParagraphFont"/>
    <w:link w:val="BodyTextIndent3"/>
    <w:rsid w:val="00805A02"/>
    <w:rPr>
      <w:rFonts w:ascii="Arial" w:eastAsia="Times New Roman" w:hAnsi="Arial" w:cs="Times New Roman"/>
      <w:b/>
      <w:sz w:val="21"/>
      <w:szCs w:val="20"/>
      <w:lang w:eastAsia="en-AU"/>
    </w:rPr>
  </w:style>
  <w:style w:type="paragraph" w:styleId="BodyText3">
    <w:name w:val="Body Text 3"/>
    <w:basedOn w:val="Normal"/>
    <w:link w:val="BodyText3Char"/>
    <w:rsid w:val="00805A02"/>
    <w:pPr>
      <w:widowControl w:val="0"/>
      <w:spacing w:before="0" w:after="0"/>
      <w:jc w:val="both"/>
    </w:pPr>
    <w:rPr>
      <w:snapToGrid w:val="0"/>
      <w:color w:val="000000"/>
      <w:sz w:val="22"/>
    </w:rPr>
  </w:style>
  <w:style w:type="character" w:customStyle="1" w:styleId="BodyText3Char">
    <w:name w:val="Body Text 3 Char"/>
    <w:basedOn w:val="DefaultParagraphFont"/>
    <w:link w:val="BodyText3"/>
    <w:rsid w:val="00805A02"/>
    <w:rPr>
      <w:rFonts w:ascii="Arial" w:eastAsia="Times New Roman" w:hAnsi="Arial" w:cs="Times New Roman"/>
      <w:snapToGrid w:val="0"/>
      <w:color w:val="000000"/>
      <w:szCs w:val="20"/>
    </w:rPr>
  </w:style>
  <w:style w:type="paragraph" w:customStyle="1" w:styleId="Style1">
    <w:name w:val="Style1"/>
    <w:basedOn w:val="Normal"/>
    <w:rsid w:val="00805A02"/>
    <w:pPr>
      <w:numPr>
        <w:numId w:val="6"/>
      </w:numPr>
      <w:spacing w:before="0" w:after="0"/>
    </w:pPr>
    <w:rPr>
      <w:rFonts w:ascii="Times New Roman" w:hAnsi="Times New Roman"/>
      <w:color w:val="auto"/>
      <w:sz w:val="24"/>
      <w:lang w:val="en-GB"/>
    </w:rPr>
  </w:style>
  <w:style w:type="paragraph" w:customStyle="1" w:styleId="StyleBodyTextIndent3ArialBold12ptAllcaps">
    <w:name w:val="Style Body Text Indent 3 + Arial Bold 12 pt All caps"/>
    <w:basedOn w:val="BodyTextIndent3"/>
    <w:autoRedefine/>
    <w:rsid w:val="00805A02"/>
    <w:pPr>
      <w:spacing w:before="120" w:after="120"/>
      <w:ind w:left="0" w:firstLine="0"/>
    </w:pPr>
    <w:rPr>
      <w:rFonts w:ascii="Times New Roman" w:hAnsi="Times New Roman"/>
      <w:b w:val="0"/>
      <w:bCs/>
      <w:sz w:val="22"/>
      <w:szCs w:val="22"/>
    </w:rPr>
  </w:style>
  <w:style w:type="paragraph" w:customStyle="1" w:styleId="Heading2A">
    <w:name w:val="Heading 2A"/>
    <w:basedOn w:val="BodyTextIndent3"/>
    <w:qFormat/>
    <w:rsid w:val="00805A02"/>
    <w:pPr>
      <w:tabs>
        <w:tab w:val="clear" w:pos="7371"/>
        <w:tab w:val="clear" w:pos="7655"/>
        <w:tab w:val="clear" w:pos="8505"/>
        <w:tab w:val="clear" w:pos="8789"/>
      </w:tabs>
      <w:ind w:left="0" w:firstLine="0"/>
    </w:pPr>
    <w:rPr>
      <w:rFonts w:ascii="Times New Roman" w:hAnsi="Times New Roman"/>
      <w:caps/>
      <w:sz w:val="28"/>
      <w:szCs w:val="24"/>
    </w:rPr>
  </w:style>
  <w:style w:type="paragraph" w:styleId="FootnoteText">
    <w:name w:val="footnote text"/>
    <w:basedOn w:val="Normal"/>
    <w:link w:val="FootnoteTextChar"/>
    <w:uiPriority w:val="99"/>
    <w:semiHidden/>
    <w:unhideWhenUsed/>
    <w:rsid w:val="00645A41"/>
    <w:pPr>
      <w:spacing w:before="0" w:after="0"/>
    </w:pPr>
    <w:rPr>
      <w:sz w:val="20"/>
    </w:rPr>
  </w:style>
  <w:style w:type="character" w:customStyle="1" w:styleId="FootnoteTextChar">
    <w:name w:val="Footnote Text Char"/>
    <w:basedOn w:val="DefaultParagraphFont"/>
    <w:link w:val="FootnoteText"/>
    <w:uiPriority w:val="99"/>
    <w:semiHidden/>
    <w:rsid w:val="00645A41"/>
    <w:rPr>
      <w:rFonts w:ascii="Arial" w:eastAsia="Times New Roman" w:hAnsi="Arial" w:cs="Times New Roman"/>
      <w:color w:val="53565A"/>
      <w:sz w:val="20"/>
      <w:szCs w:val="20"/>
    </w:rPr>
  </w:style>
  <w:style w:type="character" w:styleId="FootnoteReference">
    <w:name w:val="footnote reference"/>
    <w:basedOn w:val="DefaultParagraphFont"/>
    <w:uiPriority w:val="99"/>
    <w:semiHidden/>
    <w:unhideWhenUsed/>
    <w:rsid w:val="00645A41"/>
    <w:rPr>
      <w:vertAlign w:val="superscript"/>
    </w:rPr>
  </w:style>
  <w:style w:type="paragraph" w:styleId="Revision">
    <w:name w:val="Revision"/>
    <w:hidden/>
    <w:uiPriority w:val="99"/>
    <w:semiHidden/>
    <w:rsid w:val="00626A97"/>
    <w:pPr>
      <w:spacing w:after="0" w:line="240" w:lineRule="auto"/>
    </w:pPr>
    <w:rPr>
      <w:rFonts w:ascii="Arial" w:eastAsia="Times New Roman" w:hAnsi="Arial" w:cs="Times New Roman"/>
      <w:color w:val="53565A"/>
      <w:sz w:val="18"/>
      <w:szCs w:val="20"/>
    </w:rPr>
  </w:style>
  <w:style w:type="paragraph" w:customStyle="1" w:styleId="Para0">
    <w:name w:val="Para 0"/>
    <w:basedOn w:val="Normal"/>
    <w:link w:val="Para0Char"/>
    <w:qFormat/>
    <w:rsid w:val="00D649E6"/>
    <w:pPr>
      <w:spacing w:before="240" w:line="240" w:lineRule="atLeast"/>
    </w:pPr>
    <w:rPr>
      <w:rFonts w:eastAsiaTheme="minorEastAsia" w:cstheme="minorBidi"/>
      <w:color w:val="auto"/>
      <w:sz w:val="20"/>
      <w:szCs w:val="24"/>
      <w:lang w:val="en-GB"/>
    </w:rPr>
  </w:style>
  <w:style w:type="character" w:customStyle="1" w:styleId="Para0Char">
    <w:name w:val="Para 0 Char"/>
    <w:basedOn w:val="DefaultParagraphFont"/>
    <w:link w:val="Para0"/>
    <w:rsid w:val="00D649E6"/>
    <w:rPr>
      <w:rFonts w:ascii="Arial" w:eastAsiaTheme="minorEastAsia" w:hAnsi="Arial"/>
      <w:sz w:val="20"/>
      <w:szCs w:val="24"/>
      <w:lang w:val="en-GB"/>
    </w:rPr>
  </w:style>
  <w:style w:type="table" w:customStyle="1" w:styleId="TableGrid1">
    <w:name w:val="Table Grid1"/>
    <w:basedOn w:val="TableNormal"/>
    <w:next w:val="TableGrid"/>
    <w:uiPriority w:val="59"/>
    <w:rsid w:val="00D649E6"/>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6682">
      <w:bodyDiv w:val="1"/>
      <w:marLeft w:val="0"/>
      <w:marRight w:val="0"/>
      <w:marTop w:val="0"/>
      <w:marBottom w:val="0"/>
      <w:divBdr>
        <w:top w:val="none" w:sz="0" w:space="0" w:color="auto"/>
        <w:left w:val="none" w:sz="0" w:space="0" w:color="auto"/>
        <w:bottom w:val="none" w:sz="0" w:space="0" w:color="auto"/>
        <w:right w:val="none" w:sz="0" w:space="0" w:color="auto"/>
      </w:divBdr>
    </w:div>
    <w:div w:id="357780720">
      <w:bodyDiv w:val="1"/>
      <w:marLeft w:val="0"/>
      <w:marRight w:val="0"/>
      <w:marTop w:val="0"/>
      <w:marBottom w:val="0"/>
      <w:divBdr>
        <w:top w:val="none" w:sz="0" w:space="0" w:color="auto"/>
        <w:left w:val="none" w:sz="0" w:space="0" w:color="auto"/>
        <w:bottom w:val="none" w:sz="0" w:space="0" w:color="auto"/>
        <w:right w:val="none" w:sz="0" w:space="0" w:color="auto"/>
      </w:divBdr>
    </w:div>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oalframework@ecodev.vic.gov.a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lasd\Downloads\DEDJTR-A4-report-template-portrait_blu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89D7A-5AA3-4C6D-B895-0FD08523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DEDJTR-A4-report-template-portrait_blue-cover-.dotx</Template>
  <TotalTime>0</TotalTime>
  <Pages>30</Pages>
  <Words>9330</Words>
  <Characters>53184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2018-09-17T23:37:00Z</dcterms:created>
  <dcterms:modified xsi:type="dcterms:W3CDTF">2018-09-17T23:38:00Z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765ce083-e62e-4d88-a0a6-37d19c95e273</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Lewis D Stoll (DEDJTR)</vt:lpwstr>
  </property>
</Properties>
</file>