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A5A36" w14:textId="77777777" w:rsidR="00606B6E" w:rsidRPr="00A43558" w:rsidRDefault="00FE5BB6" w:rsidP="00FE5BB6">
      <w:pPr>
        <w:pStyle w:val="Title"/>
        <w:rPr>
          <w:sz w:val="36"/>
          <w:szCs w:val="36"/>
        </w:rPr>
      </w:pPr>
      <w:bookmarkStart w:id="0" w:name="_GoBack"/>
      <w:bookmarkEnd w:id="0"/>
      <w:r w:rsidRPr="00A43558">
        <w:rPr>
          <w:rStyle w:val="TitleChar"/>
          <w:bCs/>
          <w:sz w:val="36"/>
          <w:szCs w:val="36"/>
        </w:rPr>
        <w:t>Department of Jobs,</w:t>
      </w:r>
      <w:r w:rsidRPr="00A43558">
        <w:rPr>
          <w:rStyle w:val="TitleChar"/>
          <w:bCs/>
          <w:sz w:val="36"/>
          <w:szCs w:val="36"/>
        </w:rPr>
        <w:br/>
        <w:t>Precincts and Regions</w:t>
      </w:r>
    </w:p>
    <w:sdt>
      <w:sdtPr>
        <w:rPr>
          <w:rStyle w:val="TitleChar"/>
          <w:noProof w:val="0"/>
          <w:color w:val="FFFFFF" w:themeColor="background1"/>
          <w:lang w:val="en-AU" w:eastAsia="en-US"/>
        </w:rPr>
        <w:id w:val="2122263188"/>
        <w:placeholder>
          <w:docPart w:val="DFD82C9D684B44DB85A46229336590E9"/>
        </w:placeholder>
      </w:sdtPr>
      <w:sdtEndPr>
        <w:rPr>
          <w:rStyle w:val="TitleChar"/>
        </w:rPr>
      </w:sdtEndPr>
      <w:sdtContent>
        <w:p w14:paraId="27E38377" w14:textId="77777777" w:rsidR="00A43558" w:rsidRDefault="00A43558" w:rsidP="00FE5BB6">
          <w:pPr>
            <w:pStyle w:val="Reporttitle"/>
            <w:rPr>
              <w:rStyle w:val="TitleChar"/>
              <w:noProof w:val="0"/>
              <w:color w:val="FFFFFF" w:themeColor="background1"/>
              <w:lang w:val="en-AU" w:eastAsia="en-US"/>
            </w:rPr>
          </w:pPr>
        </w:p>
        <w:p w14:paraId="5E372865" w14:textId="77777777" w:rsidR="00FE5BB6" w:rsidRDefault="00863C2A" w:rsidP="00FE5BB6">
          <w:pPr>
            <w:pStyle w:val="Reporttitle"/>
            <w:rPr>
              <w:rStyle w:val="TitleChar"/>
              <w:noProof w:val="0"/>
              <w:color w:val="FFFFFF" w:themeColor="background1"/>
              <w:lang w:val="en-AU" w:eastAsia="en-US"/>
            </w:rPr>
          </w:pPr>
          <w:r w:rsidRPr="00863C2A">
            <w:rPr>
              <w:rStyle w:val="TitleChar"/>
              <w:noProof w:val="0"/>
              <w:color w:val="FFFFFF" w:themeColor="background1"/>
              <w:lang w:val="en-AU" w:eastAsia="en-US"/>
            </w:rPr>
            <w:t>Maintenance requirements during the onshore petroleum moratorium</w:t>
          </w:r>
        </w:p>
      </w:sdtContent>
    </w:sdt>
    <w:sdt>
      <w:sdtPr>
        <w:id w:val="-1272693036"/>
        <w:placeholder>
          <w:docPart w:val="42BDBA87A4DB4722A75FFDC916C10370"/>
        </w:placeholder>
      </w:sdtPr>
      <w:sdtEndPr>
        <w:rPr>
          <w:sz w:val="24"/>
          <w:szCs w:val="24"/>
        </w:rPr>
      </w:sdtEndPr>
      <w:sdtContent>
        <w:p w14:paraId="0515A56E" w14:textId="77777777" w:rsidR="00A43558" w:rsidRDefault="00A43558" w:rsidP="00FE5BB6">
          <w:pPr>
            <w:pStyle w:val="Subtitle"/>
          </w:pPr>
        </w:p>
        <w:p w14:paraId="2A780E4E" w14:textId="77777777" w:rsidR="00FE5BB6" w:rsidRPr="00A43558" w:rsidRDefault="00A43558" w:rsidP="00FE5BB6">
          <w:pPr>
            <w:pStyle w:val="Subtitle"/>
            <w:rPr>
              <w:sz w:val="24"/>
              <w:szCs w:val="24"/>
            </w:rPr>
          </w:pPr>
          <w:r w:rsidRPr="00A43558">
            <w:rPr>
              <w:sz w:val="24"/>
              <w:szCs w:val="24"/>
            </w:rPr>
            <w:t xml:space="preserve">GUIDANCE NOTE FOR AUTHORITY HOLDERS UNDER THE </w:t>
          </w:r>
          <w:r w:rsidRPr="00527F4D">
            <w:rPr>
              <w:i/>
              <w:iCs/>
              <w:sz w:val="24"/>
              <w:szCs w:val="24"/>
            </w:rPr>
            <w:t>PETROLEUM ACT 1998</w:t>
          </w:r>
        </w:p>
      </w:sdtContent>
    </w:sdt>
    <w:p w14:paraId="5AC999A8" w14:textId="77777777" w:rsidR="00FE5BB6" w:rsidRDefault="00FE5BB6" w:rsidP="00FE5BB6"/>
    <w:p w14:paraId="4E160388" w14:textId="77777777" w:rsidR="00FE5BB6" w:rsidRPr="00FE5BB6" w:rsidRDefault="00FE5BB6" w:rsidP="00FE5BB6">
      <w:pPr>
        <w:sectPr w:rsidR="00FE5BB6" w:rsidRPr="00FE5BB6" w:rsidSect="003E73DE">
          <w:headerReference w:type="default" r:id="rId11"/>
          <w:footerReference w:type="default" r:id="rId12"/>
          <w:headerReference w:type="first" r:id="rId13"/>
          <w:pgSz w:w="11906" w:h="16838"/>
          <w:pgMar w:top="3402" w:right="4111" w:bottom="4505" w:left="1134" w:header="709" w:footer="136" w:gutter="0"/>
          <w:pgNumType w:fmt="lowerRoman" w:start="0"/>
          <w:cols w:space="708"/>
          <w:titlePg/>
          <w:docGrid w:linePitch="360"/>
        </w:sectPr>
      </w:pPr>
    </w:p>
    <w:p w14:paraId="3D926128" w14:textId="77777777" w:rsidR="00863C2A" w:rsidRPr="00550987" w:rsidRDefault="00863C2A" w:rsidP="00550987">
      <w:pPr>
        <w:pStyle w:val="Heading1"/>
      </w:pPr>
      <w:r w:rsidRPr="00550987">
        <w:lastRenderedPageBreak/>
        <w:t>Background</w:t>
      </w:r>
    </w:p>
    <w:p w14:paraId="33A612D3" w14:textId="77777777" w:rsidR="00863C2A" w:rsidRPr="00C177A5" w:rsidRDefault="00863C2A" w:rsidP="00CE7E53">
      <w:pPr>
        <w:pStyle w:val="Heading2"/>
        <w:rPr>
          <w:color w:val="100249" w:themeColor="accent4"/>
        </w:rPr>
      </w:pPr>
      <w:r w:rsidRPr="00C177A5">
        <w:rPr>
          <w:color w:val="100249" w:themeColor="accent4"/>
        </w:rPr>
        <w:t>Purpose of this guidance note</w:t>
      </w:r>
    </w:p>
    <w:p w14:paraId="052CF396" w14:textId="77777777" w:rsidR="00863C2A" w:rsidRPr="00863C2A" w:rsidRDefault="00863C2A" w:rsidP="00443553">
      <w:pPr>
        <w:rPr>
          <w:rFonts w:eastAsia="Arial"/>
          <w:lang w:val="en-GB"/>
        </w:rPr>
      </w:pPr>
      <w:bookmarkStart w:id="1" w:name="_Toc315765092"/>
      <w:r w:rsidRPr="00863C2A">
        <w:rPr>
          <w:rFonts w:eastAsia="Arial"/>
          <w:lang w:val="en-GB"/>
        </w:rPr>
        <w:t>The purpose of this guidance note is to advise onshore petroleum authority holders of:</w:t>
      </w:r>
    </w:p>
    <w:p w14:paraId="2889672F" w14:textId="77777777" w:rsidR="00863C2A" w:rsidRPr="00291E1C" w:rsidRDefault="00863C2A" w:rsidP="00443553">
      <w:pPr>
        <w:pStyle w:val="ListParagraph"/>
        <w:numPr>
          <w:ilvl w:val="0"/>
          <w:numId w:val="8"/>
        </w:numPr>
        <w:spacing w:after="120" w:line="276" w:lineRule="auto"/>
        <w:ind w:left="357" w:hanging="357"/>
        <w:rPr>
          <w:rFonts w:ascii="Arial" w:eastAsia="Arial" w:hAnsi="Arial" w:cs="Arial"/>
          <w:color w:val="53565A" w:themeColor="accent2"/>
          <w:sz w:val="18"/>
          <w:szCs w:val="18"/>
        </w:rPr>
      </w:pPr>
      <w:r w:rsidRPr="00291E1C">
        <w:rPr>
          <w:rFonts w:ascii="Arial" w:eastAsia="Arial" w:hAnsi="Arial" w:cs="Arial"/>
          <w:color w:val="53565A" w:themeColor="accent2"/>
          <w:sz w:val="18"/>
          <w:szCs w:val="18"/>
        </w:rPr>
        <w:t xml:space="preserve">their maintenance responsibilities under the Petroleum Act 1998 (the Act); </w:t>
      </w:r>
    </w:p>
    <w:p w14:paraId="3A483790" w14:textId="77777777" w:rsidR="00863C2A" w:rsidRPr="00291E1C" w:rsidRDefault="00863C2A" w:rsidP="00443553">
      <w:pPr>
        <w:pStyle w:val="ListParagraph"/>
        <w:numPr>
          <w:ilvl w:val="0"/>
          <w:numId w:val="8"/>
        </w:numPr>
        <w:spacing w:after="120" w:line="276" w:lineRule="auto"/>
        <w:ind w:left="357" w:hanging="357"/>
        <w:rPr>
          <w:rFonts w:ascii="Arial" w:eastAsia="Arial" w:hAnsi="Arial" w:cs="Arial"/>
          <w:color w:val="53565A" w:themeColor="accent2"/>
          <w:sz w:val="18"/>
          <w:szCs w:val="18"/>
        </w:rPr>
      </w:pPr>
      <w:r w:rsidRPr="00291E1C">
        <w:rPr>
          <w:rFonts w:ascii="Arial" w:eastAsia="Arial" w:hAnsi="Arial" w:cs="Arial"/>
          <w:color w:val="53565A" w:themeColor="accent2"/>
          <w:sz w:val="18"/>
          <w:szCs w:val="18"/>
        </w:rPr>
        <w:t>best practice maintenance of onshore petroleum facilities;</w:t>
      </w:r>
    </w:p>
    <w:p w14:paraId="7F885FB5" w14:textId="77777777" w:rsidR="00863C2A" w:rsidRPr="00291E1C" w:rsidRDefault="00863C2A" w:rsidP="00443553">
      <w:pPr>
        <w:pStyle w:val="ListParagraph"/>
        <w:numPr>
          <w:ilvl w:val="0"/>
          <w:numId w:val="8"/>
        </w:numPr>
        <w:spacing w:after="120" w:line="276" w:lineRule="auto"/>
        <w:ind w:left="357" w:hanging="357"/>
        <w:rPr>
          <w:rFonts w:ascii="Arial" w:eastAsia="Arial" w:hAnsi="Arial" w:cs="Arial"/>
          <w:color w:val="53565A" w:themeColor="accent2"/>
          <w:sz w:val="18"/>
          <w:szCs w:val="18"/>
        </w:rPr>
      </w:pPr>
      <w:r w:rsidRPr="00291E1C">
        <w:rPr>
          <w:rFonts w:ascii="Arial" w:eastAsia="Arial" w:hAnsi="Arial" w:cs="Arial"/>
          <w:color w:val="53565A" w:themeColor="accent2"/>
          <w:sz w:val="18"/>
          <w:szCs w:val="18"/>
        </w:rPr>
        <w:t>prohibited activities during the onshore petroleum moratorium; and</w:t>
      </w:r>
    </w:p>
    <w:p w14:paraId="2DCC9F23" w14:textId="77777777" w:rsidR="00863C2A" w:rsidRPr="00291E1C" w:rsidRDefault="00863C2A" w:rsidP="00443553">
      <w:pPr>
        <w:pStyle w:val="ListParagraph"/>
        <w:numPr>
          <w:ilvl w:val="0"/>
          <w:numId w:val="8"/>
        </w:numPr>
        <w:spacing w:after="120" w:line="276" w:lineRule="auto"/>
        <w:ind w:left="357" w:hanging="357"/>
        <w:rPr>
          <w:rFonts w:ascii="Arial" w:eastAsia="Arial" w:hAnsi="Arial" w:cs="Arial"/>
          <w:color w:val="53565A" w:themeColor="accent2"/>
          <w:sz w:val="18"/>
          <w:szCs w:val="18"/>
        </w:rPr>
      </w:pPr>
      <w:r w:rsidRPr="00291E1C">
        <w:rPr>
          <w:rFonts w:ascii="Arial" w:eastAsia="Arial" w:hAnsi="Arial" w:cs="Arial"/>
          <w:color w:val="53565A" w:themeColor="accent2"/>
          <w:sz w:val="18"/>
          <w:szCs w:val="18"/>
        </w:rPr>
        <w:t>the process for undertaking maintenance activities during the onshore petroleum moratorium.</w:t>
      </w:r>
    </w:p>
    <w:p w14:paraId="1E01C946" w14:textId="77777777" w:rsidR="00863C2A" w:rsidRPr="00C177A5" w:rsidRDefault="00863C2A" w:rsidP="00CE7E53">
      <w:pPr>
        <w:pStyle w:val="Heading2"/>
        <w:rPr>
          <w:color w:val="100249" w:themeColor="accent4"/>
        </w:rPr>
      </w:pPr>
      <w:r w:rsidRPr="00C177A5">
        <w:rPr>
          <w:color w:val="100249" w:themeColor="accent4"/>
        </w:rPr>
        <w:t>Scope of this guidance note</w:t>
      </w:r>
    </w:p>
    <w:p w14:paraId="459347D0" w14:textId="77777777" w:rsidR="00863C2A" w:rsidRPr="00916909" w:rsidRDefault="00863C2A" w:rsidP="00443553">
      <w:pPr>
        <w:rPr>
          <w:rFonts w:eastAsia="Arial"/>
          <w:spacing w:val="-4"/>
          <w:lang w:val="en-GB"/>
        </w:rPr>
      </w:pPr>
      <w:r w:rsidRPr="00916909">
        <w:rPr>
          <w:rFonts w:eastAsia="Arial"/>
          <w:spacing w:val="-4"/>
          <w:lang w:val="en-GB"/>
        </w:rPr>
        <w:t xml:space="preserve">The scope of this guidance note includes undertaking </w:t>
      </w:r>
      <w:r w:rsidRPr="00916909">
        <w:rPr>
          <w:rFonts w:eastAsia="Arial"/>
        </w:rPr>
        <w:t>maintenance activities during the onshore petroleum moratorium.</w:t>
      </w:r>
    </w:p>
    <w:p w14:paraId="3E36D80B" w14:textId="77777777" w:rsidR="00863C2A" w:rsidRPr="00550987" w:rsidRDefault="00863C2A" w:rsidP="00550987">
      <w:pPr>
        <w:pStyle w:val="Heading1"/>
      </w:pPr>
      <w:r w:rsidRPr="00550987">
        <w:t>Authority holders’ maintenance responsibilities during the onshore petroleum moratorium</w:t>
      </w:r>
    </w:p>
    <w:p w14:paraId="590B03E6" w14:textId="77777777" w:rsidR="00863C2A" w:rsidRPr="00916909" w:rsidRDefault="00863C2A" w:rsidP="00443553">
      <w:pPr>
        <w:rPr>
          <w:rFonts w:eastAsia="Arial"/>
          <w:lang w:val="en-GB"/>
        </w:rPr>
      </w:pPr>
      <w:r w:rsidRPr="00916909">
        <w:rPr>
          <w:rFonts w:eastAsia="Arial"/>
          <w:lang w:val="en-GB"/>
        </w:rPr>
        <w:t>Section 17A of the Act</w:t>
      </w:r>
      <w:r w:rsidRPr="00916909">
        <w:rPr>
          <w:rFonts w:eastAsia="Arial"/>
          <w:i/>
          <w:lang w:val="en-GB"/>
        </w:rPr>
        <w:t xml:space="preserve"> </w:t>
      </w:r>
      <w:r w:rsidRPr="00916909">
        <w:rPr>
          <w:rFonts w:eastAsia="Arial"/>
          <w:lang w:val="en-GB"/>
        </w:rPr>
        <w:t>sets out that under a relevant authority, the carrying out of petroleum exploration or petroleum production is not authorised during the moratorium period. However, section 17</w:t>
      </w:r>
      <w:proofErr w:type="gramStart"/>
      <w:r w:rsidRPr="00916909">
        <w:rPr>
          <w:rFonts w:eastAsia="Arial"/>
          <w:lang w:val="en-GB"/>
        </w:rPr>
        <w:t>A(</w:t>
      </w:r>
      <w:proofErr w:type="gramEnd"/>
      <w:r w:rsidRPr="00916909">
        <w:rPr>
          <w:rFonts w:eastAsia="Arial"/>
          <w:lang w:val="en-GB"/>
        </w:rPr>
        <w:t xml:space="preserve">2) of the Act establishes that the moratorium does not affect any requirement or obligation imposed on the authority holder under this Act during the moratorium period. </w:t>
      </w:r>
    </w:p>
    <w:p w14:paraId="16A16998" w14:textId="77777777" w:rsidR="00863C2A" w:rsidRPr="00916909" w:rsidRDefault="00863C2A" w:rsidP="00443553">
      <w:pPr>
        <w:rPr>
          <w:rFonts w:eastAsia="Arial"/>
          <w:lang w:val="en-GB"/>
        </w:rPr>
      </w:pPr>
      <w:r w:rsidRPr="00916909">
        <w:rPr>
          <w:rFonts w:eastAsia="Arial"/>
          <w:lang w:val="en-GB"/>
        </w:rPr>
        <w:t xml:space="preserve">Section 166 of the Act sets out that an authority holder must maintain in good condition and repair all structures, equipment and other property in the authority area that is used in connection with petroleum operations being carried out. Consequently, authority holders must undertake maintenance activities during the moratorium period. </w:t>
      </w:r>
    </w:p>
    <w:p w14:paraId="495CBA4B" w14:textId="77777777" w:rsidR="00DE58F3" w:rsidRPr="00550987" w:rsidRDefault="00DE58F3" w:rsidP="00550987">
      <w:pPr>
        <w:pStyle w:val="Heading1"/>
      </w:pPr>
      <w:r w:rsidRPr="00550987">
        <w:t>Best practice maintenance of onshore petroleum facilities</w:t>
      </w:r>
    </w:p>
    <w:p w14:paraId="0563B36E" w14:textId="77777777" w:rsidR="00863C2A" w:rsidRPr="00C177A5" w:rsidRDefault="00863C2A" w:rsidP="00DE58F3">
      <w:pPr>
        <w:pStyle w:val="Heading2"/>
        <w:rPr>
          <w:color w:val="100249" w:themeColor="accent4"/>
        </w:rPr>
      </w:pPr>
      <w:r w:rsidRPr="00C177A5">
        <w:rPr>
          <w:color w:val="100249" w:themeColor="accent4"/>
        </w:rPr>
        <w:t>Wellhead maintenance</w:t>
      </w:r>
    </w:p>
    <w:p w14:paraId="5CE730D1" w14:textId="77777777" w:rsidR="00863C2A" w:rsidRPr="00916909" w:rsidRDefault="00863C2A" w:rsidP="00863C2A">
      <w:pPr>
        <w:spacing w:after="120" w:line="276" w:lineRule="auto"/>
        <w:rPr>
          <w:rFonts w:eastAsia="Arial" w:cs="Arial"/>
          <w:szCs w:val="18"/>
        </w:rPr>
      </w:pPr>
      <w:r w:rsidRPr="00916909">
        <w:rPr>
          <w:rFonts w:eastAsia="Arial" w:cs="Arial"/>
          <w:szCs w:val="18"/>
        </w:rPr>
        <w:t>Wellhead maintenance should ensure that:</w:t>
      </w:r>
    </w:p>
    <w:p w14:paraId="2C48A20F" w14:textId="77777777" w:rsidR="00863C2A" w:rsidRPr="00916909" w:rsidRDefault="00863C2A" w:rsidP="00443553">
      <w:pPr>
        <w:pStyle w:val="ListParagraph"/>
        <w:numPr>
          <w:ilvl w:val="0"/>
          <w:numId w:val="8"/>
        </w:numPr>
        <w:spacing w:after="120" w:line="276" w:lineRule="auto"/>
        <w:ind w:left="357" w:hanging="357"/>
        <w:rPr>
          <w:rFonts w:ascii="Arial" w:hAnsi="Arial" w:cs="Arial"/>
          <w:color w:val="53565A" w:themeColor="accent2"/>
          <w:sz w:val="18"/>
          <w:szCs w:val="18"/>
        </w:rPr>
      </w:pPr>
      <w:r w:rsidRPr="00916909">
        <w:rPr>
          <w:rFonts w:ascii="Arial" w:eastAsia="Arial" w:hAnsi="Arial" w:cs="Arial"/>
          <w:color w:val="53565A" w:themeColor="accent2"/>
          <w:sz w:val="18"/>
          <w:szCs w:val="18"/>
        </w:rPr>
        <w:t>there are no wellhead leaks;</w:t>
      </w:r>
    </w:p>
    <w:p w14:paraId="797DF502" w14:textId="77777777" w:rsidR="00863C2A" w:rsidRPr="00916909" w:rsidRDefault="00863C2A" w:rsidP="00443553">
      <w:pPr>
        <w:pStyle w:val="ListParagraph"/>
        <w:numPr>
          <w:ilvl w:val="0"/>
          <w:numId w:val="8"/>
        </w:numPr>
        <w:spacing w:after="120" w:line="276" w:lineRule="auto"/>
        <w:ind w:left="357" w:hanging="357"/>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pressure recordings are taken from all annuli and production conduits;</w:t>
      </w:r>
    </w:p>
    <w:p w14:paraId="702D4C94" w14:textId="77777777" w:rsidR="00863C2A" w:rsidRPr="00916909" w:rsidRDefault="00863C2A" w:rsidP="00443553">
      <w:pPr>
        <w:pStyle w:val="ListParagraph"/>
        <w:numPr>
          <w:ilvl w:val="0"/>
          <w:numId w:val="8"/>
        </w:numPr>
        <w:spacing w:after="120" w:line="276" w:lineRule="auto"/>
        <w:ind w:left="357" w:hanging="357"/>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bull plugs or blind flanges with needle valves are installed on all outlets;</w:t>
      </w:r>
    </w:p>
    <w:p w14:paraId="14DFB78A" w14:textId="3E83731F" w:rsidR="00863C2A" w:rsidRDefault="00863C2A" w:rsidP="00443553">
      <w:pPr>
        <w:pStyle w:val="ListParagraph"/>
        <w:numPr>
          <w:ilvl w:val="0"/>
          <w:numId w:val="8"/>
        </w:numPr>
        <w:spacing w:after="120" w:line="276" w:lineRule="auto"/>
        <w:ind w:left="357" w:hanging="357"/>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all valves are chained and locked or valve handles are removed; and</w:t>
      </w:r>
    </w:p>
    <w:p w14:paraId="610C79C3" w14:textId="1CC45378" w:rsidR="00850AD0" w:rsidRPr="00916909" w:rsidRDefault="00850AD0" w:rsidP="00443553">
      <w:pPr>
        <w:pStyle w:val="ListParagraph"/>
        <w:numPr>
          <w:ilvl w:val="0"/>
          <w:numId w:val="8"/>
        </w:numPr>
        <w:spacing w:after="120" w:line="276" w:lineRule="auto"/>
        <w:ind w:left="357" w:hanging="357"/>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flowlines are isolated from the wellhead</w:t>
      </w:r>
      <w:r w:rsidRPr="00CF17D6">
        <w:rPr>
          <w:rFonts w:ascii="Arial" w:eastAsia="Arial" w:hAnsi="Arial" w:cs="Arial"/>
          <w:color w:val="53565A" w:themeColor="accent2"/>
          <w:sz w:val="18"/>
          <w:szCs w:val="18"/>
        </w:rPr>
        <w:t>.</w:t>
      </w:r>
    </w:p>
    <w:p w14:paraId="0207575D" w14:textId="77777777" w:rsidR="00863C2A" w:rsidRPr="00C177A5" w:rsidRDefault="00863C2A" w:rsidP="00CE7E53">
      <w:pPr>
        <w:pStyle w:val="Heading2"/>
        <w:rPr>
          <w:color w:val="100249" w:themeColor="accent4"/>
        </w:rPr>
      </w:pPr>
      <w:r w:rsidRPr="00C177A5">
        <w:rPr>
          <w:color w:val="100249" w:themeColor="accent4"/>
        </w:rPr>
        <w:t>Pressure testing seals</w:t>
      </w:r>
    </w:p>
    <w:p w14:paraId="6EAF4574" w14:textId="77777777" w:rsidR="00863C2A" w:rsidRPr="00916909" w:rsidRDefault="00863C2A" w:rsidP="00443553">
      <w:pPr>
        <w:rPr>
          <w:rFonts w:eastAsia="Arial"/>
        </w:rPr>
      </w:pPr>
      <w:r w:rsidRPr="00916909">
        <w:rPr>
          <w:rFonts w:eastAsia="Arial"/>
        </w:rPr>
        <w:t>Pressure testing of seals is not required if well integrity can be proven.</w:t>
      </w:r>
    </w:p>
    <w:p w14:paraId="55085599" w14:textId="77777777" w:rsidR="00863C2A" w:rsidRPr="00916909" w:rsidRDefault="00863C2A" w:rsidP="00443553">
      <w:pPr>
        <w:rPr>
          <w:rFonts w:eastAsia="Arial"/>
        </w:rPr>
      </w:pPr>
      <w:r w:rsidRPr="00916909">
        <w:rPr>
          <w:rFonts w:eastAsia="Arial"/>
        </w:rPr>
        <w:t>The criteria for proving well integrity are that:</w:t>
      </w:r>
    </w:p>
    <w:p w14:paraId="3BC8B310" w14:textId="77777777" w:rsidR="00863C2A" w:rsidRPr="00916909" w:rsidRDefault="00863C2A" w:rsidP="00EC6256">
      <w:pPr>
        <w:pStyle w:val="ListParagraph"/>
        <w:numPr>
          <w:ilvl w:val="0"/>
          <w:numId w:val="9"/>
        </w:numPr>
        <w:spacing w:before="120" w:after="120" w:line="276" w:lineRule="auto"/>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 xml:space="preserve">a positive pressure test is achieved on the casing string of which the seals are isolating; and </w:t>
      </w:r>
    </w:p>
    <w:p w14:paraId="1D8A368B" w14:textId="77777777" w:rsidR="00863C2A" w:rsidRPr="00916909" w:rsidRDefault="00863C2A" w:rsidP="00EC6256">
      <w:pPr>
        <w:pStyle w:val="ListParagraph"/>
        <w:numPr>
          <w:ilvl w:val="0"/>
          <w:numId w:val="9"/>
        </w:numPr>
        <w:spacing w:before="120" w:after="120" w:line="276" w:lineRule="auto"/>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there is no evidence of failed seals based on the pressure in the intermediate casing string.</w:t>
      </w:r>
    </w:p>
    <w:p w14:paraId="5A5B4225" w14:textId="77777777" w:rsidR="00863C2A" w:rsidRPr="00916909" w:rsidRDefault="00863C2A" w:rsidP="00443553">
      <w:pPr>
        <w:rPr>
          <w:rFonts w:eastAsia="Arial"/>
        </w:rPr>
      </w:pPr>
      <w:r w:rsidRPr="00916909">
        <w:rPr>
          <w:rFonts w:eastAsia="Arial"/>
        </w:rPr>
        <w:lastRenderedPageBreak/>
        <w:t>For wellheads that do not have adequate test ports, pressure tests may be omitted and visual and audible observation for leaks is acceptable. An explanatory note should be included in the annual report.</w:t>
      </w:r>
    </w:p>
    <w:p w14:paraId="7A056280" w14:textId="77777777" w:rsidR="00863C2A" w:rsidRPr="00C177A5" w:rsidRDefault="00863C2A" w:rsidP="00F55364">
      <w:pPr>
        <w:pStyle w:val="Heading2"/>
        <w:rPr>
          <w:color w:val="100249" w:themeColor="accent4"/>
        </w:rPr>
      </w:pPr>
      <w:r w:rsidRPr="00C177A5">
        <w:rPr>
          <w:color w:val="100249" w:themeColor="accent4"/>
        </w:rPr>
        <w:t>Signage and hazards</w:t>
      </w:r>
    </w:p>
    <w:p w14:paraId="3BA0B945" w14:textId="77777777" w:rsidR="00863C2A" w:rsidRPr="00916909" w:rsidRDefault="00863C2A" w:rsidP="00443553">
      <w:pPr>
        <w:rPr>
          <w:rFonts w:eastAsia="Arial"/>
        </w:rPr>
      </w:pPr>
      <w:r w:rsidRPr="00916909">
        <w:rPr>
          <w:rFonts w:eastAsia="Arial"/>
        </w:rPr>
        <w:t>Signage should be installed to indicate:</w:t>
      </w:r>
    </w:p>
    <w:p w14:paraId="1FF04DC8" w14:textId="77777777" w:rsidR="00863C2A" w:rsidRPr="00916909" w:rsidRDefault="00863C2A" w:rsidP="00443553">
      <w:pPr>
        <w:pStyle w:val="ListParagraph"/>
        <w:numPr>
          <w:ilvl w:val="0"/>
          <w:numId w:val="10"/>
        </w:numPr>
        <w:spacing w:after="120" w:line="276" w:lineRule="auto"/>
        <w:ind w:left="357" w:hanging="357"/>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 xml:space="preserve">the well’s surface location; </w:t>
      </w:r>
    </w:p>
    <w:p w14:paraId="60E4B098" w14:textId="77777777" w:rsidR="00863C2A" w:rsidRPr="00916909" w:rsidRDefault="00863C2A" w:rsidP="00443553">
      <w:pPr>
        <w:pStyle w:val="ListParagraph"/>
        <w:numPr>
          <w:ilvl w:val="0"/>
          <w:numId w:val="10"/>
        </w:numPr>
        <w:spacing w:after="120" w:line="276" w:lineRule="auto"/>
        <w:ind w:left="357" w:hanging="357"/>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 xml:space="preserve">the current authority holder; </w:t>
      </w:r>
    </w:p>
    <w:p w14:paraId="4057A73D" w14:textId="77777777" w:rsidR="00863C2A" w:rsidRPr="00916909" w:rsidRDefault="00863C2A" w:rsidP="00443553">
      <w:pPr>
        <w:pStyle w:val="ListParagraph"/>
        <w:numPr>
          <w:ilvl w:val="0"/>
          <w:numId w:val="10"/>
        </w:numPr>
        <w:spacing w:after="120" w:line="276" w:lineRule="auto"/>
        <w:ind w:left="357" w:hanging="357"/>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the current authority holder’s emergency contact number; and</w:t>
      </w:r>
    </w:p>
    <w:p w14:paraId="7DB797D6" w14:textId="77777777" w:rsidR="00863C2A" w:rsidRPr="00916909" w:rsidRDefault="00863C2A" w:rsidP="00443553">
      <w:pPr>
        <w:pStyle w:val="ListParagraph"/>
        <w:numPr>
          <w:ilvl w:val="0"/>
          <w:numId w:val="10"/>
        </w:numPr>
        <w:spacing w:after="120" w:line="276" w:lineRule="auto"/>
        <w:ind w:left="357" w:hanging="357"/>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appropriate warning symbols.</w:t>
      </w:r>
    </w:p>
    <w:p w14:paraId="0748F44B" w14:textId="77777777" w:rsidR="00863C2A" w:rsidRPr="00916909" w:rsidRDefault="00863C2A" w:rsidP="00443553">
      <w:pPr>
        <w:rPr>
          <w:rFonts w:eastAsia="Arial"/>
        </w:rPr>
      </w:pPr>
      <w:r w:rsidRPr="00916909">
        <w:rPr>
          <w:rFonts w:eastAsia="Arial"/>
        </w:rPr>
        <w:t>An appropriate area around the wellhead and ancillary equipment should be secured. The size of this area should be commensurate with the consequences of potential impacts to the wellhead.</w:t>
      </w:r>
    </w:p>
    <w:p w14:paraId="14D084FD" w14:textId="77777777" w:rsidR="00863C2A" w:rsidRPr="00916909" w:rsidRDefault="00863C2A" w:rsidP="00443553">
      <w:pPr>
        <w:rPr>
          <w:rFonts w:eastAsia="Arial"/>
        </w:rPr>
      </w:pPr>
      <w:r w:rsidRPr="00916909">
        <w:rPr>
          <w:rFonts w:eastAsia="Arial"/>
        </w:rPr>
        <w:t xml:space="preserve">Hazards associated with, but not limited to, pits, the rat hole and storage materials should be eliminated or minimised. </w:t>
      </w:r>
    </w:p>
    <w:p w14:paraId="1E8AAA0A" w14:textId="77777777" w:rsidR="00863C2A" w:rsidRPr="00C177A5" w:rsidRDefault="00863C2A" w:rsidP="00F55364">
      <w:pPr>
        <w:pStyle w:val="Heading2"/>
        <w:rPr>
          <w:color w:val="100249" w:themeColor="accent4"/>
        </w:rPr>
      </w:pPr>
      <w:r w:rsidRPr="00C177A5">
        <w:rPr>
          <w:color w:val="100249" w:themeColor="accent4"/>
        </w:rPr>
        <w:t>Visual inspection</w:t>
      </w:r>
    </w:p>
    <w:p w14:paraId="48AA0A17" w14:textId="77777777" w:rsidR="00863C2A" w:rsidRPr="00916909" w:rsidRDefault="00863C2A" w:rsidP="00443553">
      <w:pPr>
        <w:rPr>
          <w:rFonts w:eastAsia="Arial"/>
        </w:rPr>
      </w:pPr>
      <w:r w:rsidRPr="00916909">
        <w:rPr>
          <w:rFonts w:eastAsia="Arial"/>
        </w:rPr>
        <w:t>A visual inspection of the lease and wellhead should be conducted at least yearly to observe wellhead integrity, weeds and other hazards.</w:t>
      </w:r>
    </w:p>
    <w:p w14:paraId="3E51E0A2" w14:textId="77777777" w:rsidR="00863C2A" w:rsidRPr="00C177A5" w:rsidRDefault="00863C2A" w:rsidP="00F55364">
      <w:pPr>
        <w:pStyle w:val="Heading2"/>
        <w:rPr>
          <w:color w:val="100249" w:themeColor="accent4"/>
        </w:rPr>
      </w:pPr>
      <w:r w:rsidRPr="00C177A5">
        <w:rPr>
          <w:color w:val="100249" w:themeColor="accent4"/>
        </w:rPr>
        <w:t>Well classification and wellhead servicing frequency</w:t>
      </w:r>
    </w:p>
    <w:p w14:paraId="66237D3E" w14:textId="77777777" w:rsidR="00863C2A" w:rsidRPr="00916909" w:rsidRDefault="00863C2A" w:rsidP="00916909">
      <w:pPr>
        <w:rPr>
          <w:b/>
          <w:bCs/>
          <w:sz w:val="20"/>
        </w:rPr>
      </w:pPr>
      <w:r w:rsidRPr="00916909">
        <w:rPr>
          <w:b/>
          <w:bCs/>
          <w:sz w:val="20"/>
        </w:rPr>
        <w:t>Low maintenance well characteristics:</w:t>
      </w:r>
    </w:p>
    <w:p w14:paraId="7A889DEB" w14:textId="77777777" w:rsidR="00863C2A" w:rsidRPr="00916909" w:rsidRDefault="00863C2A" w:rsidP="00EC6256">
      <w:pPr>
        <w:pStyle w:val="ListParagraph"/>
        <w:numPr>
          <w:ilvl w:val="0"/>
          <w:numId w:val="8"/>
        </w:numPr>
        <w:spacing w:before="120" w:after="120" w:line="276" w:lineRule="auto"/>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The well has no perforations and is unable to self-flow; and</w:t>
      </w:r>
    </w:p>
    <w:p w14:paraId="661F3DE0" w14:textId="77777777" w:rsidR="00863C2A" w:rsidRPr="00916909" w:rsidRDefault="00863C2A" w:rsidP="00EC6256">
      <w:pPr>
        <w:pStyle w:val="ListParagraph"/>
        <w:numPr>
          <w:ilvl w:val="0"/>
          <w:numId w:val="8"/>
        </w:numPr>
        <w:spacing w:before="120" w:after="120" w:line="276" w:lineRule="auto"/>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did not encounter H</w:t>
      </w:r>
      <w:r w:rsidRPr="00916909">
        <w:rPr>
          <w:rFonts w:ascii="Arial" w:eastAsia="Arial" w:hAnsi="Arial" w:cs="Arial"/>
          <w:color w:val="53565A" w:themeColor="accent2"/>
          <w:sz w:val="18"/>
          <w:szCs w:val="18"/>
          <w:vertAlign w:val="subscript"/>
        </w:rPr>
        <w:t>2</w:t>
      </w:r>
      <w:r w:rsidRPr="00916909">
        <w:rPr>
          <w:rFonts w:ascii="Arial" w:eastAsia="Arial" w:hAnsi="Arial" w:cs="Arial"/>
          <w:color w:val="53565A" w:themeColor="accent2"/>
          <w:sz w:val="18"/>
          <w:szCs w:val="18"/>
        </w:rPr>
        <w:t>S during drilling; and</w:t>
      </w:r>
    </w:p>
    <w:p w14:paraId="57959DCE" w14:textId="77777777" w:rsidR="00863C2A" w:rsidRPr="00916909" w:rsidRDefault="00863C2A" w:rsidP="00EC6256">
      <w:pPr>
        <w:pStyle w:val="ListParagraph"/>
        <w:numPr>
          <w:ilvl w:val="0"/>
          <w:numId w:val="8"/>
        </w:numPr>
        <w:spacing w:before="120" w:after="120" w:line="276" w:lineRule="auto"/>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 xml:space="preserve">is cased; and </w:t>
      </w:r>
    </w:p>
    <w:p w14:paraId="21D3C31A" w14:textId="77777777" w:rsidR="00863C2A" w:rsidRPr="00916909" w:rsidRDefault="00863C2A" w:rsidP="00EC6256">
      <w:pPr>
        <w:pStyle w:val="ListParagraph"/>
        <w:numPr>
          <w:ilvl w:val="0"/>
          <w:numId w:val="8"/>
        </w:numPr>
        <w:spacing w:before="120" w:after="120" w:line="276" w:lineRule="auto"/>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has no or low pressure.</w:t>
      </w:r>
    </w:p>
    <w:p w14:paraId="53F07910" w14:textId="77777777" w:rsidR="00863C2A" w:rsidRPr="00916909" w:rsidRDefault="00863C2A" w:rsidP="00863C2A">
      <w:pPr>
        <w:spacing w:after="120" w:line="276" w:lineRule="auto"/>
        <w:rPr>
          <w:rFonts w:eastAsia="Arial" w:cs="Arial"/>
          <w:szCs w:val="18"/>
        </w:rPr>
      </w:pPr>
      <w:r w:rsidRPr="00916909">
        <w:rPr>
          <w:rFonts w:eastAsia="Arial" w:cs="Arial"/>
          <w:szCs w:val="18"/>
        </w:rPr>
        <w:t>Servicing frequency should be at the time of suspension and then at least every three years.</w:t>
      </w:r>
    </w:p>
    <w:p w14:paraId="4B6132A1" w14:textId="77777777" w:rsidR="00863C2A" w:rsidRPr="00916909" w:rsidRDefault="00863C2A" w:rsidP="00916909">
      <w:pPr>
        <w:rPr>
          <w:b/>
          <w:bCs/>
          <w:sz w:val="20"/>
        </w:rPr>
      </w:pPr>
      <w:r w:rsidRPr="00916909">
        <w:rPr>
          <w:b/>
          <w:bCs/>
          <w:sz w:val="20"/>
        </w:rPr>
        <w:t>Medium maintenance well characteristics:</w:t>
      </w:r>
    </w:p>
    <w:p w14:paraId="6AE01FD4" w14:textId="77777777" w:rsidR="00863C2A" w:rsidRPr="00916909" w:rsidRDefault="00863C2A" w:rsidP="00EC6256">
      <w:pPr>
        <w:pStyle w:val="ListParagraph"/>
        <w:numPr>
          <w:ilvl w:val="0"/>
          <w:numId w:val="8"/>
        </w:numPr>
        <w:spacing w:before="120" w:after="120" w:line="276" w:lineRule="auto"/>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 xml:space="preserve">The well </w:t>
      </w:r>
      <w:proofErr w:type="gramStart"/>
      <w:r w:rsidRPr="00916909">
        <w:rPr>
          <w:rFonts w:ascii="Arial" w:eastAsia="Arial" w:hAnsi="Arial" w:cs="Arial"/>
          <w:color w:val="53565A" w:themeColor="accent2"/>
          <w:sz w:val="18"/>
          <w:szCs w:val="18"/>
        </w:rPr>
        <w:t>is able to</w:t>
      </w:r>
      <w:proofErr w:type="gramEnd"/>
      <w:r w:rsidRPr="00916909">
        <w:rPr>
          <w:rFonts w:ascii="Arial" w:eastAsia="Arial" w:hAnsi="Arial" w:cs="Arial"/>
          <w:color w:val="53565A" w:themeColor="accent2"/>
          <w:sz w:val="18"/>
          <w:szCs w:val="18"/>
        </w:rPr>
        <w:t xml:space="preserve"> </w:t>
      </w:r>
      <w:proofErr w:type="spellStart"/>
      <w:r w:rsidRPr="00916909">
        <w:rPr>
          <w:rFonts w:ascii="Arial" w:eastAsia="Arial" w:hAnsi="Arial" w:cs="Arial"/>
          <w:color w:val="53565A" w:themeColor="accent2"/>
          <w:sz w:val="18"/>
          <w:szCs w:val="18"/>
        </w:rPr>
        <w:t>self flow</w:t>
      </w:r>
      <w:proofErr w:type="spellEnd"/>
      <w:r w:rsidRPr="00916909">
        <w:rPr>
          <w:rFonts w:ascii="Arial" w:eastAsia="Arial" w:hAnsi="Arial" w:cs="Arial"/>
          <w:color w:val="53565A" w:themeColor="accent2"/>
          <w:sz w:val="18"/>
          <w:szCs w:val="18"/>
        </w:rPr>
        <w:t>; and</w:t>
      </w:r>
    </w:p>
    <w:p w14:paraId="333203F3" w14:textId="77777777" w:rsidR="00863C2A" w:rsidRPr="00916909" w:rsidRDefault="00863C2A" w:rsidP="00EC6256">
      <w:pPr>
        <w:pStyle w:val="ListParagraph"/>
        <w:numPr>
          <w:ilvl w:val="0"/>
          <w:numId w:val="8"/>
        </w:numPr>
        <w:spacing w:before="120" w:after="120" w:line="276" w:lineRule="auto"/>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 xml:space="preserve">is cased; and </w:t>
      </w:r>
    </w:p>
    <w:p w14:paraId="20CE458A" w14:textId="77777777" w:rsidR="00863C2A" w:rsidRPr="00916909" w:rsidRDefault="00863C2A" w:rsidP="00EC6256">
      <w:pPr>
        <w:pStyle w:val="ListParagraph"/>
        <w:numPr>
          <w:ilvl w:val="0"/>
          <w:numId w:val="8"/>
        </w:numPr>
        <w:spacing w:before="120" w:after="120" w:line="276" w:lineRule="auto"/>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has encountered H</w:t>
      </w:r>
      <w:r w:rsidRPr="00916909">
        <w:rPr>
          <w:rFonts w:ascii="Arial" w:eastAsia="Arial" w:hAnsi="Arial" w:cs="Arial"/>
          <w:color w:val="53565A" w:themeColor="accent2"/>
          <w:sz w:val="18"/>
          <w:szCs w:val="18"/>
          <w:vertAlign w:val="subscript"/>
        </w:rPr>
        <w:t>2</w:t>
      </w:r>
      <w:r w:rsidRPr="00916909">
        <w:rPr>
          <w:rFonts w:ascii="Arial" w:eastAsia="Arial" w:hAnsi="Arial" w:cs="Arial"/>
          <w:color w:val="53565A" w:themeColor="accent2"/>
          <w:sz w:val="18"/>
          <w:szCs w:val="18"/>
        </w:rPr>
        <w:t xml:space="preserve">S during drilling; or </w:t>
      </w:r>
    </w:p>
    <w:p w14:paraId="244E84D1" w14:textId="77777777" w:rsidR="00863C2A" w:rsidRPr="00916909" w:rsidRDefault="00863C2A" w:rsidP="00EC6256">
      <w:pPr>
        <w:pStyle w:val="ListParagraph"/>
        <w:numPr>
          <w:ilvl w:val="0"/>
          <w:numId w:val="8"/>
        </w:numPr>
        <w:spacing w:before="120" w:after="120" w:line="276" w:lineRule="auto"/>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 xml:space="preserve">has a wellhead pressure of less than </w:t>
      </w:r>
      <w:proofErr w:type="gramStart"/>
      <w:r w:rsidRPr="00916909">
        <w:rPr>
          <w:rFonts w:ascii="Arial" w:eastAsia="Arial" w:hAnsi="Arial" w:cs="Arial"/>
          <w:color w:val="53565A" w:themeColor="accent2"/>
          <w:sz w:val="18"/>
          <w:szCs w:val="18"/>
        </w:rPr>
        <w:t>500psi.</w:t>
      </w:r>
      <w:proofErr w:type="gramEnd"/>
      <w:r w:rsidRPr="00916909">
        <w:rPr>
          <w:rFonts w:ascii="Arial" w:eastAsia="Arial" w:hAnsi="Arial" w:cs="Arial"/>
          <w:color w:val="53565A" w:themeColor="accent2"/>
          <w:sz w:val="18"/>
          <w:szCs w:val="18"/>
        </w:rPr>
        <w:t xml:space="preserve"> </w:t>
      </w:r>
    </w:p>
    <w:p w14:paraId="734A1CEA" w14:textId="77777777" w:rsidR="00863C2A" w:rsidRPr="00916909" w:rsidRDefault="00863C2A" w:rsidP="00863C2A">
      <w:pPr>
        <w:spacing w:after="120" w:line="276" w:lineRule="auto"/>
        <w:rPr>
          <w:rFonts w:eastAsia="Arial" w:cs="Arial"/>
          <w:szCs w:val="18"/>
        </w:rPr>
      </w:pPr>
      <w:r w:rsidRPr="00916909">
        <w:rPr>
          <w:rFonts w:eastAsia="Arial" w:cs="Arial"/>
          <w:szCs w:val="18"/>
        </w:rPr>
        <w:t>Servicing frequency should be at the time of suspension and then once every two years.</w:t>
      </w:r>
    </w:p>
    <w:p w14:paraId="7D4438C9" w14:textId="77777777" w:rsidR="00863C2A" w:rsidRPr="00916909" w:rsidRDefault="00863C2A" w:rsidP="00916909">
      <w:pPr>
        <w:rPr>
          <w:b/>
          <w:bCs/>
          <w:sz w:val="20"/>
        </w:rPr>
      </w:pPr>
      <w:r w:rsidRPr="00916909">
        <w:rPr>
          <w:b/>
          <w:bCs/>
          <w:sz w:val="20"/>
        </w:rPr>
        <w:t>High maintenance well characteristics:</w:t>
      </w:r>
    </w:p>
    <w:p w14:paraId="3D4379EB" w14:textId="77777777" w:rsidR="00863C2A" w:rsidRPr="00916909" w:rsidRDefault="00863C2A" w:rsidP="00EC6256">
      <w:pPr>
        <w:pStyle w:val="ListParagraph"/>
        <w:numPr>
          <w:ilvl w:val="0"/>
          <w:numId w:val="8"/>
        </w:numPr>
        <w:spacing w:before="120" w:after="120" w:line="276" w:lineRule="auto"/>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 xml:space="preserve">The well </w:t>
      </w:r>
      <w:proofErr w:type="gramStart"/>
      <w:r w:rsidRPr="00916909">
        <w:rPr>
          <w:rFonts w:ascii="Arial" w:eastAsia="Arial" w:hAnsi="Arial" w:cs="Arial"/>
          <w:color w:val="53565A" w:themeColor="accent2"/>
          <w:sz w:val="18"/>
          <w:szCs w:val="18"/>
        </w:rPr>
        <w:t>is able to</w:t>
      </w:r>
      <w:proofErr w:type="gramEnd"/>
      <w:r w:rsidRPr="00916909">
        <w:rPr>
          <w:rFonts w:ascii="Arial" w:eastAsia="Arial" w:hAnsi="Arial" w:cs="Arial"/>
          <w:color w:val="53565A" w:themeColor="accent2"/>
          <w:sz w:val="18"/>
          <w:szCs w:val="18"/>
        </w:rPr>
        <w:t xml:space="preserve"> </w:t>
      </w:r>
      <w:proofErr w:type="spellStart"/>
      <w:r w:rsidRPr="00916909">
        <w:rPr>
          <w:rFonts w:ascii="Arial" w:eastAsia="Arial" w:hAnsi="Arial" w:cs="Arial"/>
          <w:color w:val="53565A" w:themeColor="accent2"/>
          <w:sz w:val="18"/>
          <w:szCs w:val="18"/>
        </w:rPr>
        <w:t>self</w:t>
      </w:r>
      <w:r w:rsidR="00A43558">
        <w:rPr>
          <w:rFonts w:ascii="Arial" w:eastAsia="Arial" w:hAnsi="Arial" w:cs="Arial"/>
          <w:color w:val="53565A" w:themeColor="accent2"/>
          <w:sz w:val="18"/>
          <w:szCs w:val="18"/>
        </w:rPr>
        <w:sym w:font="Symbol" w:char="F02D"/>
      </w:r>
      <w:r w:rsidRPr="00916909">
        <w:rPr>
          <w:rFonts w:ascii="Arial" w:eastAsia="Arial" w:hAnsi="Arial" w:cs="Arial"/>
          <w:color w:val="53565A" w:themeColor="accent2"/>
          <w:sz w:val="18"/>
          <w:szCs w:val="18"/>
        </w:rPr>
        <w:t>flow</w:t>
      </w:r>
      <w:proofErr w:type="spellEnd"/>
      <w:r w:rsidRPr="00916909">
        <w:rPr>
          <w:rFonts w:ascii="Arial" w:eastAsia="Arial" w:hAnsi="Arial" w:cs="Arial"/>
          <w:color w:val="53565A" w:themeColor="accent2"/>
          <w:sz w:val="18"/>
          <w:szCs w:val="18"/>
        </w:rPr>
        <w:t xml:space="preserve">; </w:t>
      </w:r>
      <w:r w:rsidR="00A41701">
        <w:rPr>
          <w:rFonts w:ascii="Arial" w:eastAsia="Arial" w:hAnsi="Arial" w:cs="Arial"/>
          <w:color w:val="53565A" w:themeColor="accent2"/>
          <w:sz w:val="18"/>
          <w:szCs w:val="18"/>
        </w:rPr>
        <w:t>and</w:t>
      </w:r>
    </w:p>
    <w:p w14:paraId="60A912CC" w14:textId="77777777" w:rsidR="00863C2A" w:rsidRPr="00916909" w:rsidRDefault="00863C2A" w:rsidP="00EC6256">
      <w:pPr>
        <w:pStyle w:val="ListParagraph"/>
        <w:numPr>
          <w:ilvl w:val="0"/>
          <w:numId w:val="8"/>
        </w:numPr>
        <w:spacing w:before="120" w:after="120" w:line="276" w:lineRule="auto"/>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 xml:space="preserve">is not cased: or </w:t>
      </w:r>
    </w:p>
    <w:p w14:paraId="51430190" w14:textId="77777777" w:rsidR="00863C2A" w:rsidRPr="00916909" w:rsidRDefault="00863C2A" w:rsidP="00EC6256">
      <w:pPr>
        <w:pStyle w:val="ListParagraph"/>
        <w:numPr>
          <w:ilvl w:val="0"/>
          <w:numId w:val="8"/>
        </w:numPr>
        <w:spacing w:before="120" w:after="120" w:line="276" w:lineRule="auto"/>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the well is classified as a sour well; or</w:t>
      </w:r>
    </w:p>
    <w:p w14:paraId="129FC8E8" w14:textId="77777777" w:rsidR="00863C2A" w:rsidRPr="00916909" w:rsidRDefault="00863C2A" w:rsidP="00EC6256">
      <w:pPr>
        <w:pStyle w:val="ListParagraph"/>
        <w:numPr>
          <w:ilvl w:val="0"/>
          <w:numId w:val="8"/>
        </w:numPr>
        <w:spacing w:before="120" w:after="120" w:line="276" w:lineRule="auto"/>
        <w:rPr>
          <w:rFonts w:ascii="Arial" w:eastAsia="Arial" w:hAnsi="Arial" w:cs="Arial"/>
          <w:color w:val="53565A" w:themeColor="accent2"/>
          <w:sz w:val="18"/>
          <w:szCs w:val="18"/>
        </w:rPr>
      </w:pPr>
      <w:r w:rsidRPr="00916909">
        <w:rPr>
          <w:rFonts w:ascii="Arial" w:eastAsia="Arial" w:hAnsi="Arial" w:cs="Arial"/>
          <w:color w:val="53565A" w:themeColor="accent2"/>
          <w:sz w:val="18"/>
          <w:szCs w:val="18"/>
        </w:rPr>
        <w:t>the wellhead pressure is more than 500psi.</w:t>
      </w:r>
    </w:p>
    <w:p w14:paraId="16EB2CB9" w14:textId="77777777" w:rsidR="007360AC" w:rsidRDefault="00863C2A" w:rsidP="00443553">
      <w:pPr>
        <w:rPr>
          <w:rFonts w:eastAsia="Arial"/>
        </w:rPr>
      </w:pPr>
      <w:r w:rsidRPr="00CE7E53">
        <w:rPr>
          <w:rFonts w:eastAsia="Arial"/>
        </w:rPr>
        <w:t>Servicing frequency should be at the time of suspension and then once every year.</w:t>
      </w:r>
    </w:p>
    <w:p w14:paraId="0D6D454A" w14:textId="77777777" w:rsidR="007360AC" w:rsidRDefault="007360AC">
      <w:pPr>
        <w:spacing w:before="0" w:line="276" w:lineRule="auto"/>
        <w:rPr>
          <w:rFonts w:eastAsia="Arial"/>
        </w:rPr>
      </w:pPr>
      <w:r>
        <w:rPr>
          <w:rFonts w:eastAsia="Arial"/>
        </w:rPr>
        <w:br w:type="page"/>
      </w:r>
    </w:p>
    <w:p w14:paraId="571F70C6" w14:textId="77777777" w:rsidR="00863C2A" w:rsidRPr="00F55364" w:rsidRDefault="00863C2A" w:rsidP="00F55364">
      <w:pPr>
        <w:pStyle w:val="Heading1"/>
        <w:ind w:left="431" w:hanging="431"/>
      </w:pPr>
      <w:r w:rsidRPr="00F55364">
        <w:lastRenderedPageBreak/>
        <w:t>Prohibited activities</w:t>
      </w:r>
    </w:p>
    <w:p w14:paraId="6C364547" w14:textId="77777777" w:rsidR="00863C2A" w:rsidRPr="00C177A5" w:rsidRDefault="00863C2A" w:rsidP="00F55364">
      <w:pPr>
        <w:pStyle w:val="Heading2"/>
        <w:rPr>
          <w:color w:val="100249" w:themeColor="accent4"/>
        </w:rPr>
      </w:pPr>
      <w:r w:rsidRPr="00C177A5">
        <w:rPr>
          <w:color w:val="100249" w:themeColor="accent4"/>
        </w:rPr>
        <w:t>Well testing</w:t>
      </w:r>
    </w:p>
    <w:p w14:paraId="790C9D77" w14:textId="77777777" w:rsidR="00863C2A" w:rsidRPr="00916909" w:rsidRDefault="00863C2A" w:rsidP="00443553">
      <w:r w:rsidRPr="00916909">
        <w:t>Well testing activities fall within the definition of petroleum exploration (definition included in section 7 of the Act) and are therefore not authorised during the moratorium period.</w:t>
      </w:r>
    </w:p>
    <w:p w14:paraId="031A988F" w14:textId="059AFFF2" w:rsidR="00500D99" w:rsidRPr="00916909" w:rsidRDefault="00863C2A" w:rsidP="00443553">
      <w:r w:rsidRPr="00916909">
        <w:t>Maintenance activities must not involve well testing and must first be approved by Earth Resources Regulation.</w:t>
      </w:r>
    </w:p>
    <w:p w14:paraId="0554EA5F" w14:textId="77777777" w:rsidR="00863C2A" w:rsidRPr="00F55364" w:rsidRDefault="00863C2A" w:rsidP="00F55364">
      <w:pPr>
        <w:pStyle w:val="Heading1"/>
        <w:ind w:left="431" w:hanging="431"/>
      </w:pPr>
      <w:r w:rsidRPr="00F55364">
        <w:t>The process for undertaking maintenance activities</w:t>
      </w:r>
    </w:p>
    <w:p w14:paraId="25AFE6C0" w14:textId="77777777" w:rsidR="00863C2A" w:rsidRPr="00916909" w:rsidRDefault="00863C2A" w:rsidP="00443553">
      <w:r w:rsidRPr="00916909">
        <w:t xml:space="preserve">If up-to-date maintenance details are not included in an accepted operation plan, authority holders must </w:t>
      </w:r>
      <w:r w:rsidRPr="00916909">
        <w:rPr>
          <w:b/>
          <w:bCs/>
        </w:rPr>
        <w:t>vary an accepted operation plan and submit it</w:t>
      </w:r>
      <w:r w:rsidRPr="00916909">
        <w:t>. The following regulations set out the information required to be included in an application to vary an accepted operation plan:</w:t>
      </w:r>
    </w:p>
    <w:p w14:paraId="68341BFB" w14:textId="77777777" w:rsidR="00863C2A" w:rsidRPr="00CE7E53" w:rsidRDefault="00863C2A" w:rsidP="00443553">
      <w:pPr>
        <w:pStyle w:val="ListBullet1"/>
        <w:rPr>
          <w:rFonts w:eastAsia="Arial"/>
        </w:rPr>
      </w:pPr>
      <w:r w:rsidRPr="00CE7E53">
        <w:rPr>
          <w:rFonts w:eastAsia="Arial"/>
        </w:rPr>
        <w:t xml:space="preserve">Regulation 7(1)(a) of the Petroleum Regulations requires an operation plan to include details of the maintenance of the facility. </w:t>
      </w:r>
    </w:p>
    <w:p w14:paraId="322249EC" w14:textId="77777777" w:rsidR="00863C2A" w:rsidRPr="00916909" w:rsidRDefault="00863C2A" w:rsidP="00443553">
      <w:pPr>
        <w:pStyle w:val="ListBullet1"/>
        <w:rPr>
          <w:lang w:eastAsia="en-AU"/>
        </w:rPr>
      </w:pPr>
      <w:r w:rsidRPr="00916909">
        <w:rPr>
          <w:lang w:eastAsia="en-AU"/>
        </w:rPr>
        <w:t xml:space="preserve">Regulation 13(1)(c)(iii) requires the well operation management plan included in the operation plan to detail how modifications, maintenance and repairs to a well are to be managed: and </w:t>
      </w:r>
    </w:p>
    <w:p w14:paraId="687A9F20" w14:textId="77777777" w:rsidR="00863C2A" w:rsidRPr="00916909" w:rsidRDefault="00863C2A" w:rsidP="00443553">
      <w:pPr>
        <w:pStyle w:val="ListBullet1"/>
        <w:rPr>
          <w:rFonts w:eastAsia="Arial"/>
        </w:rPr>
      </w:pPr>
      <w:r w:rsidRPr="00916909">
        <w:rPr>
          <w:lang w:eastAsia="en-AU"/>
        </w:rPr>
        <w:t xml:space="preserve">Regulation 13(1)(d) requires the well operation management plan to identify the risks associated with the </w:t>
      </w:r>
      <w:r w:rsidRPr="00916909">
        <w:rPr>
          <w:rFonts w:eastAsia="Arial"/>
        </w:rPr>
        <w:t>well activity and state how the holder of the authority proposes to eliminate or minimise those risks.</w:t>
      </w:r>
    </w:p>
    <w:p w14:paraId="1F17B053" w14:textId="5A797115" w:rsidR="00863C2A" w:rsidRPr="00773231" w:rsidRDefault="00863C2A" w:rsidP="00863C2A">
      <w:pPr>
        <w:rPr>
          <w:rFonts w:cs="Arial"/>
          <w:szCs w:val="18"/>
        </w:rPr>
      </w:pPr>
      <w:r w:rsidRPr="00916909">
        <w:rPr>
          <w:rFonts w:cs="Arial"/>
          <w:szCs w:val="18"/>
        </w:rPr>
        <w:t xml:space="preserve">In order to satisfy the above regulatory requirements, the application to vary an accepted operation plan should include the information in sections </w:t>
      </w:r>
      <w:r w:rsidRPr="00916909">
        <w:rPr>
          <w:rFonts w:cs="Arial"/>
          <w:b/>
          <w:bCs/>
          <w:szCs w:val="18"/>
        </w:rPr>
        <w:t>5.1, 5.2 and 5.3</w:t>
      </w:r>
      <w:r w:rsidRPr="00916909">
        <w:rPr>
          <w:rFonts w:cs="Arial"/>
          <w:szCs w:val="18"/>
        </w:rPr>
        <w:t xml:space="preserve">. </w:t>
      </w:r>
    </w:p>
    <w:p w14:paraId="41FF9443" w14:textId="77777777" w:rsidR="00863C2A" w:rsidRPr="00C177A5" w:rsidRDefault="00863C2A" w:rsidP="00C177A5">
      <w:pPr>
        <w:pStyle w:val="Heading2"/>
        <w:rPr>
          <w:color w:val="100249" w:themeColor="accent4"/>
        </w:rPr>
      </w:pPr>
      <w:r w:rsidRPr="00C177A5">
        <w:rPr>
          <w:color w:val="100249" w:themeColor="accent4"/>
        </w:rPr>
        <w:t>Details of the facility’s maintenance program</w:t>
      </w:r>
    </w:p>
    <w:p w14:paraId="04E7A2CA" w14:textId="77777777" w:rsidR="00863C2A" w:rsidRPr="00916909" w:rsidRDefault="00863C2A" w:rsidP="00443553">
      <w:pPr>
        <w:rPr>
          <w:lang w:eastAsia="en-AU"/>
        </w:rPr>
      </w:pPr>
      <w:r w:rsidRPr="00916909">
        <w:rPr>
          <w:lang w:eastAsia="en-AU"/>
        </w:rPr>
        <w:t>Authority holders are required to provide the following information for any maintenance activities (if it is not provided in an accepted operation plan):</w:t>
      </w:r>
    </w:p>
    <w:p w14:paraId="455CC7B2" w14:textId="77777777" w:rsidR="00863C2A" w:rsidRPr="00D229B5"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Details of the entire maintenance program (i.e. activity, scope, objectives and timing/frequency) for all well components (not just valves) including:</w:t>
      </w:r>
    </w:p>
    <w:p w14:paraId="1365C6DE" w14:textId="77777777" w:rsidR="00863C2A" w:rsidRPr="00916909" w:rsidRDefault="00863C2A" w:rsidP="00EC6256">
      <w:pPr>
        <w:pStyle w:val="ListParagraph"/>
        <w:numPr>
          <w:ilvl w:val="0"/>
          <w:numId w:val="5"/>
        </w:numPr>
        <w:autoSpaceDE w:val="0"/>
        <w:autoSpaceDN w:val="0"/>
        <w:adjustRightInd w:val="0"/>
        <w:spacing w:after="0"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wellhead/Christmas tree specifications, including pressure ratings, and the manufacturer’s recommended servicing timelines; and</w:t>
      </w:r>
    </w:p>
    <w:p w14:paraId="428AE5E6" w14:textId="77777777" w:rsidR="00863C2A" w:rsidRPr="00916909" w:rsidRDefault="00863C2A" w:rsidP="00EC6256">
      <w:pPr>
        <w:pStyle w:val="ListParagraph"/>
        <w:numPr>
          <w:ilvl w:val="0"/>
          <w:numId w:val="5"/>
        </w:numPr>
        <w:autoSpaceDE w:val="0"/>
        <w:autoSpaceDN w:val="0"/>
        <w:adjustRightInd w:val="0"/>
        <w:spacing w:after="0"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wellhead/Christmas tree maintenance logs (from installation of the wellhead/Christmas tree until the date of the submission of the operation plan variation).</w:t>
      </w:r>
    </w:p>
    <w:p w14:paraId="65A28BAF" w14:textId="77777777" w:rsidR="00863C2A" w:rsidRPr="00D229B5"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Details/specifications of the equipment that will be used for maintenance activities including the design, installation and suitability (as a minimum) to carry out the proposed activities.</w:t>
      </w:r>
    </w:p>
    <w:p w14:paraId="27D59E54" w14:textId="77777777" w:rsidR="00863C2A" w:rsidRPr="00D229B5" w:rsidRDefault="00863C2A" w:rsidP="00D229B5">
      <w:pPr>
        <w:pStyle w:val="Heading3"/>
        <w:rPr>
          <w:b w:val="0"/>
          <w:bCs w:val="0"/>
          <w:color w:val="53565A" w:themeColor="accent2"/>
          <w:spacing w:val="-4"/>
          <w:sz w:val="18"/>
          <w:szCs w:val="18"/>
        </w:rPr>
      </w:pPr>
      <w:r w:rsidRPr="00D229B5">
        <w:rPr>
          <w:b w:val="0"/>
          <w:bCs w:val="0"/>
          <w:color w:val="53565A" w:themeColor="accent2"/>
          <w:spacing w:val="-4"/>
          <w:sz w:val="18"/>
          <w:szCs w:val="18"/>
        </w:rPr>
        <w:t>Proposals for the decommissioning of the equipment used for each maintenance activity.</w:t>
      </w:r>
    </w:p>
    <w:p w14:paraId="4927C99E" w14:textId="77777777" w:rsidR="00863C2A" w:rsidRPr="00D229B5"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 xml:space="preserve">Details of: </w:t>
      </w:r>
    </w:p>
    <w:p w14:paraId="166E88B8" w14:textId="77777777" w:rsidR="00863C2A" w:rsidRPr="00916909" w:rsidRDefault="00863C2A" w:rsidP="00EC6256">
      <w:pPr>
        <w:pStyle w:val="ListParagraph"/>
        <w:numPr>
          <w:ilvl w:val="0"/>
          <w:numId w:val="7"/>
        </w:numPr>
        <w:autoSpaceDE w:val="0"/>
        <w:autoSpaceDN w:val="0"/>
        <w:adjustRightInd w:val="0"/>
        <w:spacing w:after="0"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the well design philosophy and criteria for the design, construction, operational activity and management of the well and ancillary equipment;</w:t>
      </w:r>
    </w:p>
    <w:p w14:paraId="297FB7E9" w14:textId="77777777" w:rsidR="00863C2A" w:rsidRPr="00916909" w:rsidRDefault="00863C2A" w:rsidP="00EC6256">
      <w:pPr>
        <w:pStyle w:val="ListParagraph"/>
        <w:numPr>
          <w:ilvl w:val="0"/>
          <w:numId w:val="7"/>
        </w:numPr>
        <w:autoSpaceDE w:val="0"/>
        <w:autoSpaceDN w:val="0"/>
        <w:adjustRightInd w:val="0"/>
        <w:spacing w:after="0"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the well design, including current well schematics;</w:t>
      </w:r>
    </w:p>
    <w:p w14:paraId="23BF40E9" w14:textId="77777777" w:rsidR="00863C2A" w:rsidRPr="00916909" w:rsidRDefault="00863C2A" w:rsidP="00EC6256">
      <w:pPr>
        <w:pStyle w:val="ListParagraph"/>
        <w:numPr>
          <w:ilvl w:val="0"/>
          <w:numId w:val="7"/>
        </w:numPr>
        <w:autoSpaceDE w:val="0"/>
        <w:autoSpaceDN w:val="0"/>
        <w:adjustRightInd w:val="0"/>
        <w:spacing w:after="0"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proposed well barriers during the maintenance activities (including well barrier schematics);</w:t>
      </w:r>
    </w:p>
    <w:p w14:paraId="7B29E742" w14:textId="77777777" w:rsidR="00863C2A" w:rsidRPr="00916909" w:rsidRDefault="00863C2A" w:rsidP="00EC6256">
      <w:pPr>
        <w:pStyle w:val="ListParagraph"/>
        <w:numPr>
          <w:ilvl w:val="0"/>
          <w:numId w:val="7"/>
        </w:numPr>
        <w:autoSpaceDE w:val="0"/>
        <w:autoSpaceDN w:val="0"/>
        <w:adjustRightInd w:val="0"/>
        <w:spacing w:after="0"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the shut-in wellhead pressure and temperature;</w:t>
      </w:r>
    </w:p>
    <w:p w14:paraId="1199CD29" w14:textId="77777777" w:rsidR="00863C2A" w:rsidRPr="00916909" w:rsidRDefault="00863C2A" w:rsidP="00EC6256">
      <w:pPr>
        <w:pStyle w:val="ListParagraph"/>
        <w:numPr>
          <w:ilvl w:val="0"/>
          <w:numId w:val="7"/>
        </w:numPr>
        <w:autoSpaceDE w:val="0"/>
        <w:autoSpaceDN w:val="0"/>
        <w:adjustRightInd w:val="0"/>
        <w:spacing w:after="0"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the components to be tested on each wellhead (e.g. valves, seals);</w:t>
      </w:r>
    </w:p>
    <w:p w14:paraId="54604CE0" w14:textId="77777777" w:rsidR="00863C2A" w:rsidRPr="00916909" w:rsidRDefault="00863C2A" w:rsidP="00EC6256">
      <w:pPr>
        <w:pStyle w:val="ListParagraph"/>
        <w:numPr>
          <w:ilvl w:val="0"/>
          <w:numId w:val="7"/>
        </w:numPr>
        <w:autoSpaceDE w:val="0"/>
        <w:autoSpaceDN w:val="0"/>
        <w:adjustRightInd w:val="0"/>
        <w:spacing w:after="0"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the lengths and specifications of the casing and tubing installed;</w:t>
      </w:r>
    </w:p>
    <w:p w14:paraId="0D7202F2" w14:textId="77777777" w:rsidR="00863C2A" w:rsidRPr="00916909" w:rsidRDefault="00863C2A" w:rsidP="00EC6256">
      <w:pPr>
        <w:pStyle w:val="ListParagraph"/>
        <w:numPr>
          <w:ilvl w:val="0"/>
          <w:numId w:val="7"/>
        </w:numPr>
        <w:autoSpaceDE w:val="0"/>
        <w:autoSpaceDN w:val="0"/>
        <w:adjustRightInd w:val="0"/>
        <w:spacing w:after="0"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the plugs and packers installed, and any that will be removed and/or re-installed as part of the proposed maintenance activities;</w:t>
      </w:r>
    </w:p>
    <w:p w14:paraId="69E7C206" w14:textId="77777777" w:rsidR="00863C2A" w:rsidRPr="00916909" w:rsidRDefault="00863C2A" w:rsidP="00EC6256">
      <w:pPr>
        <w:pStyle w:val="ListParagraph"/>
        <w:numPr>
          <w:ilvl w:val="0"/>
          <w:numId w:val="7"/>
        </w:numPr>
        <w:autoSpaceDE w:val="0"/>
        <w:autoSpaceDN w:val="0"/>
        <w:adjustRightInd w:val="0"/>
        <w:spacing w:after="0"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the formation pressure and temperature expectations;</w:t>
      </w:r>
    </w:p>
    <w:p w14:paraId="7B0B3E49" w14:textId="77777777" w:rsidR="00863C2A" w:rsidRPr="00916909" w:rsidRDefault="00863C2A" w:rsidP="00EC6256">
      <w:pPr>
        <w:pStyle w:val="ListParagraph"/>
        <w:numPr>
          <w:ilvl w:val="0"/>
          <w:numId w:val="7"/>
        </w:numPr>
        <w:autoSpaceDE w:val="0"/>
        <w:autoSpaceDN w:val="0"/>
        <w:adjustRightInd w:val="0"/>
        <w:spacing w:after="0"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the formation fluid data (e.g. gravity, density and composition); and</w:t>
      </w:r>
    </w:p>
    <w:p w14:paraId="79617C1D" w14:textId="566C5753" w:rsidR="00660456" w:rsidRDefault="00863C2A" w:rsidP="00EC6256">
      <w:pPr>
        <w:pStyle w:val="ListParagraph"/>
        <w:numPr>
          <w:ilvl w:val="0"/>
          <w:numId w:val="7"/>
        </w:numPr>
        <w:autoSpaceDE w:val="0"/>
        <w:autoSpaceDN w:val="0"/>
        <w:adjustRightInd w:val="0"/>
        <w:spacing w:after="0"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lastRenderedPageBreak/>
        <w:t>the predicted flow rate for exhausting the volume within the wellbore, including the calculated expected volume, during maintenance activity</w:t>
      </w:r>
      <w:r w:rsidR="00F431E4">
        <w:rPr>
          <w:rFonts w:ascii="Arial" w:hAnsi="Arial" w:cs="Arial"/>
          <w:color w:val="53565A" w:themeColor="accent2"/>
          <w:sz w:val="18"/>
          <w:szCs w:val="18"/>
          <w:lang w:eastAsia="en-AU"/>
        </w:rPr>
        <w:t>.</w:t>
      </w:r>
    </w:p>
    <w:p w14:paraId="2BE35FA5" w14:textId="56CA080C" w:rsidR="00863C2A" w:rsidRPr="00C177A5" w:rsidRDefault="00863C2A" w:rsidP="00C177A5">
      <w:pPr>
        <w:pStyle w:val="Heading2"/>
        <w:rPr>
          <w:color w:val="100249" w:themeColor="accent4"/>
        </w:rPr>
      </w:pPr>
      <w:r w:rsidRPr="00C177A5">
        <w:rPr>
          <w:color w:val="100249" w:themeColor="accent4"/>
        </w:rPr>
        <w:t>Assessment of risk</w:t>
      </w:r>
    </w:p>
    <w:p w14:paraId="4CD90133" w14:textId="77777777" w:rsidR="00863C2A" w:rsidRPr="00916909" w:rsidRDefault="00863C2A" w:rsidP="00443553">
      <w:pPr>
        <w:rPr>
          <w:lang w:eastAsia="en-AU"/>
        </w:rPr>
      </w:pPr>
      <w:r w:rsidRPr="00916909">
        <w:rPr>
          <w:lang w:eastAsia="en-AU"/>
        </w:rPr>
        <w:t xml:space="preserve">Section 161(1)(a) of the Act requires that an operation plan must identify the risks that the operation may pose to the environment, members of the public, land or property in the vicinity of the operation and to any petroleum, source of petroleum or reservoir that the operation might affect. </w:t>
      </w:r>
    </w:p>
    <w:p w14:paraId="3C0FED93" w14:textId="77777777" w:rsidR="00863C2A" w:rsidRPr="00916909" w:rsidRDefault="00863C2A" w:rsidP="00443553">
      <w:pPr>
        <w:rPr>
          <w:lang w:eastAsia="en-AU"/>
        </w:rPr>
      </w:pPr>
      <w:r w:rsidRPr="00916909">
        <w:rPr>
          <w:lang w:eastAsia="en-AU"/>
        </w:rPr>
        <w:t>Requirements under section 161(1)(a) and (b) include setting out the risks posed by undertaking maintenance activities. If authority holders have not included this information in an accepted operation plan, they will need to vary an accepted operation plan submit it.</w:t>
      </w:r>
    </w:p>
    <w:p w14:paraId="4A19F765" w14:textId="77777777" w:rsidR="00863C2A" w:rsidRPr="00916909" w:rsidRDefault="00863C2A" w:rsidP="00443553">
      <w:pPr>
        <w:rPr>
          <w:rFonts w:cs="Arial"/>
          <w:szCs w:val="18"/>
          <w:lang w:eastAsia="en-AU"/>
        </w:rPr>
      </w:pPr>
      <w:r w:rsidRPr="00916909">
        <w:rPr>
          <w:rFonts w:cs="Arial"/>
          <w:szCs w:val="18"/>
          <w:lang w:eastAsia="en-AU"/>
        </w:rPr>
        <w:t>Authority holders’ risk assessment of maintenance activities should identify the following;</w:t>
      </w:r>
    </w:p>
    <w:p w14:paraId="6134B31C" w14:textId="77777777" w:rsidR="00863C2A" w:rsidRPr="00CE7E53" w:rsidRDefault="00863C2A" w:rsidP="00EC6256">
      <w:pPr>
        <w:pStyle w:val="ListParagraph"/>
        <w:numPr>
          <w:ilvl w:val="0"/>
          <w:numId w:val="8"/>
        </w:numPr>
        <w:spacing w:before="120" w:after="120" w:line="276" w:lineRule="auto"/>
        <w:rPr>
          <w:rFonts w:ascii="Arial" w:eastAsia="Arial" w:hAnsi="Arial" w:cs="Arial"/>
          <w:color w:val="53565A" w:themeColor="accent2"/>
          <w:sz w:val="18"/>
          <w:szCs w:val="18"/>
        </w:rPr>
      </w:pPr>
      <w:r w:rsidRPr="00CE7E53">
        <w:rPr>
          <w:rFonts w:ascii="Arial" w:eastAsia="Arial" w:hAnsi="Arial" w:cs="Arial"/>
          <w:color w:val="53565A" w:themeColor="accent2"/>
          <w:sz w:val="18"/>
          <w:szCs w:val="18"/>
        </w:rPr>
        <w:t>hazards (the sources of potential risks);</w:t>
      </w:r>
    </w:p>
    <w:p w14:paraId="3DC815B5" w14:textId="77777777" w:rsidR="00863C2A" w:rsidRPr="00CE7E53" w:rsidRDefault="00863C2A" w:rsidP="00EC6256">
      <w:pPr>
        <w:pStyle w:val="ListParagraph"/>
        <w:numPr>
          <w:ilvl w:val="0"/>
          <w:numId w:val="8"/>
        </w:numPr>
        <w:spacing w:before="120" w:after="120" w:line="276" w:lineRule="auto"/>
        <w:rPr>
          <w:rFonts w:ascii="Arial" w:eastAsia="Arial" w:hAnsi="Arial" w:cs="Arial"/>
          <w:color w:val="53565A" w:themeColor="accent2"/>
          <w:sz w:val="18"/>
          <w:szCs w:val="18"/>
        </w:rPr>
      </w:pPr>
      <w:r w:rsidRPr="00CE7E53">
        <w:rPr>
          <w:rFonts w:ascii="Arial" w:eastAsia="Arial" w:hAnsi="Arial" w:cs="Arial"/>
          <w:color w:val="53565A" w:themeColor="accent2"/>
          <w:sz w:val="18"/>
          <w:szCs w:val="18"/>
        </w:rPr>
        <w:t xml:space="preserve">the potential impacts of the hazard; and </w:t>
      </w:r>
    </w:p>
    <w:p w14:paraId="4E18954B" w14:textId="0EA0CC47" w:rsidR="00863C2A" w:rsidRPr="001D624F" w:rsidRDefault="00863C2A" w:rsidP="005236FA">
      <w:pPr>
        <w:pStyle w:val="ListParagraph"/>
        <w:numPr>
          <w:ilvl w:val="0"/>
          <w:numId w:val="8"/>
        </w:numPr>
        <w:spacing w:before="120" w:after="240" w:line="276" w:lineRule="auto"/>
        <w:ind w:left="357" w:hanging="357"/>
        <w:rPr>
          <w:rFonts w:ascii="Arial" w:eastAsia="Arial" w:hAnsi="Arial" w:cs="Arial"/>
          <w:color w:val="53565A" w:themeColor="accent2"/>
          <w:sz w:val="18"/>
          <w:szCs w:val="18"/>
        </w:rPr>
      </w:pPr>
      <w:r w:rsidRPr="00CE7E53">
        <w:rPr>
          <w:rFonts w:ascii="Arial" w:eastAsia="Arial" w:hAnsi="Arial" w:cs="Arial"/>
          <w:color w:val="53565A" w:themeColor="accent2"/>
          <w:sz w:val="18"/>
          <w:szCs w:val="18"/>
        </w:rPr>
        <w:t>the likelihood of the hazard occurring.</w:t>
      </w:r>
    </w:p>
    <w:p w14:paraId="202439F6" w14:textId="77777777" w:rsidR="00863C2A" w:rsidRPr="00916909" w:rsidRDefault="00863C2A" w:rsidP="00863C2A">
      <w:pPr>
        <w:autoSpaceDE w:val="0"/>
        <w:autoSpaceDN w:val="0"/>
        <w:adjustRightInd w:val="0"/>
        <w:spacing w:line="276" w:lineRule="auto"/>
        <w:rPr>
          <w:rFonts w:cs="Arial"/>
          <w:szCs w:val="18"/>
          <w:lang w:eastAsia="en-AU"/>
        </w:rPr>
      </w:pPr>
      <w:r w:rsidRPr="00916909">
        <w:rPr>
          <w:rFonts w:cs="Arial"/>
          <w:szCs w:val="18"/>
          <w:lang w:eastAsia="en-AU"/>
        </w:rPr>
        <w:t>Hazards that authority holders should identify, at a minimum, include the following:</w:t>
      </w:r>
    </w:p>
    <w:p w14:paraId="28D0526F" w14:textId="77777777" w:rsidR="00863C2A" w:rsidRPr="00916909"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The loss of containment (both at surface and subsurface).</w:t>
      </w:r>
    </w:p>
    <w:p w14:paraId="5AF72B6A" w14:textId="77777777" w:rsidR="00863C2A" w:rsidRPr="00916909"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Significant volumes of fluids being produced.</w:t>
      </w:r>
    </w:p>
    <w:p w14:paraId="57495919" w14:textId="77777777" w:rsidR="00863C2A" w:rsidRPr="00D229B5" w:rsidRDefault="00863C2A" w:rsidP="00D229B5">
      <w:pPr>
        <w:pStyle w:val="Heading3"/>
        <w:rPr>
          <w:b w:val="0"/>
          <w:bCs w:val="0"/>
          <w:color w:val="53565A" w:themeColor="accent2"/>
          <w:spacing w:val="-4"/>
          <w:sz w:val="18"/>
          <w:szCs w:val="18"/>
        </w:rPr>
      </w:pPr>
      <w:r w:rsidRPr="00D229B5">
        <w:rPr>
          <w:b w:val="0"/>
          <w:bCs w:val="0"/>
          <w:color w:val="53565A" w:themeColor="accent2"/>
          <w:spacing w:val="-4"/>
          <w:sz w:val="18"/>
          <w:szCs w:val="18"/>
        </w:rPr>
        <w:t>Hazards that could result in soil erosion, soil contamination or damage to flora and fauna.</w:t>
      </w:r>
    </w:p>
    <w:p w14:paraId="33EBFAE2" w14:textId="77777777" w:rsidR="00863C2A" w:rsidRPr="00D229B5" w:rsidRDefault="00863C2A" w:rsidP="00D229B5">
      <w:pPr>
        <w:pStyle w:val="Heading3"/>
        <w:rPr>
          <w:b w:val="0"/>
          <w:bCs w:val="0"/>
          <w:color w:val="53565A" w:themeColor="accent2"/>
          <w:spacing w:val="-4"/>
          <w:sz w:val="18"/>
          <w:szCs w:val="18"/>
        </w:rPr>
      </w:pPr>
      <w:r w:rsidRPr="00D229B5">
        <w:rPr>
          <w:b w:val="0"/>
          <w:bCs w:val="0"/>
          <w:color w:val="53565A" w:themeColor="accent2"/>
          <w:spacing w:val="-4"/>
          <w:sz w:val="18"/>
          <w:szCs w:val="18"/>
        </w:rPr>
        <w:t>Hazards resulting in excessive noise.</w:t>
      </w:r>
    </w:p>
    <w:p w14:paraId="7F049208" w14:textId="77777777" w:rsidR="00863C2A" w:rsidRPr="00D229B5" w:rsidRDefault="00863C2A" w:rsidP="00D229B5">
      <w:pPr>
        <w:pStyle w:val="Heading3"/>
        <w:rPr>
          <w:b w:val="0"/>
          <w:bCs w:val="0"/>
          <w:color w:val="53565A" w:themeColor="accent2"/>
          <w:spacing w:val="-4"/>
          <w:sz w:val="18"/>
          <w:szCs w:val="18"/>
        </w:rPr>
      </w:pPr>
      <w:r w:rsidRPr="00D229B5">
        <w:rPr>
          <w:b w:val="0"/>
          <w:bCs w:val="0"/>
          <w:color w:val="53565A" w:themeColor="accent2"/>
          <w:spacing w:val="-4"/>
          <w:sz w:val="18"/>
          <w:szCs w:val="18"/>
        </w:rPr>
        <w:t>Hazards resulting in emissions to air.</w:t>
      </w:r>
    </w:p>
    <w:p w14:paraId="6D632641" w14:textId="77777777" w:rsidR="00863C2A" w:rsidRPr="00D229B5" w:rsidRDefault="00863C2A" w:rsidP="00647136">
      <w:pPr>
        <w:pStyle w:val="Heading3"/>
        <w:spacing w:after="240"/>
        <w:rPr>
          <w:b w:val="0"/>
          <w:bCs w:val="0"/>
          <w:color w:val="53565A" w:themeColor="accent2"/>
          <w:spacing w:val="-4"/>
          <w:sz w:val="18"/>
          <w:szCs w:val="18"/>
        </w:rPr>
      </w:pPr>
      <w:r w:rsidRPr="00D229B5">
        <w:rPr>
          <w:b w:val="0"/>
          <w:bCs w:val="0"/>
          <w:color w:val="53565A" w:themeColor="accent2"/>
          <w:spacing w:val="-4"/>
          <w:sz w:val="18"/>
          <w:szCs w:val="18"/>
        </w:rPr>
        <w:t>Hazards resulting in fire (i.e. the potential for fire caused by maintenance activities).</w:t>
      </w:r>
    </w:p>
    <w:p w14:paraId="0FBF7471" w14:textId="77777777" w:rsidR="00863C2A" w:rsidRPr="00916909" w:rsidRDefault="00863C2A" w:rsidP="00443553">
      <w:pPr>
        <w:rPr>
          <w:b/>
          <w:lang w:eastAsia="en-AU"/>
        </w:rPr>
      </w:pPr>
      <w:r w:rsidRPr="00916909">
        <w:rPr>
          <w:lang w:eastAsia="en-AU"/>
        </w:rPr>
        <w:t>Risk assessments of the hazards identified should take into consideration the following:</w:t>
      </w:r>
    </w:p>
    <w:p w14:paraId="3EE2CB06" w14:textId="77777777" w:rsidR="00863C2A" w:rsidRPr="00CE7E53" w:rsidRDefault="00863C2A" w:rsidP="00EC6256">
      <w:pPr>
        <w:pStyle w:val="ListParagraph"/>
        <w:numPr>
          <w:ilvl w:val="0"/>
          <w:numId w:val="8"/>
        </w:numPr>
        <w:spacing w:before="120" w:after="120" w:line="276" w:lineRule="auto"/>
        <w:rPr>
          <w:rFonts w:ascii="Arial" w:eastAsia="Arial" w:hAnsi="Arial" w:cs="Arial"/>
          <w:color w:val="53565A" w:themeColor="accent2"/>
          <w:sz w:val="18"/>
          <w:szCs w:val="18"/>
        </w:rPr>
      </w:pPr>
      <w:r w:rsidRPr="00CE7E53">
        <w:rPr>
          <w:rFonts w:ascii="Arial" w:eastAsia="Arial" w:hAnsi="Arial" w:cs="Arial"/>
          <w:color w:val="53565A" w:themeColor="accent2"/>
          <w:sz w:val="18"/>
          <w:szCs w:val="18"/>
        </w:rPr>
        <w:t>Christmas tree / wellhead integrity.</w:t>
      </w:r>
    </w:p>
    <w:p w14:paraId="1D9372F5" w14:textId="77777777" w:rsidR="00863C2A" w:rsidRPr="00916909" w:rsidRDefault="00863C2A" w:rsidP="00EC6256">
      <w:pPr>
        <w:pStyle w:val="ListParagraph"/>
        <w:numPr>
          <w:ilvl w:val="0"/>
          <w:numId w:val="6"/>
        </w:numPr>
        <w:autoSpaceDE w:val="0"/>
        <w:autoSpaceDN w:val="0"/>
        <w:adjustRightInd w:val="0"/>
        <w:spacing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Aquifers that were encountered when the well was drilled.</w:t>
      </w:r>
    </w:p>
    <w:p w14:paraId="3CADE94F" w14:textId="77777777" w:rsidR="00863C2A" w:rsidRPr="00916909" w:rsidRDefault="00863C2A" w:rsidP="00EC6256">
      <w:pPr>
        <w:pStyle w:val="ListParagraph"/>
        <w:numPr>
          <w:ilvl w:val="0"/>
          <w:numId w:val="6"/>
        </w:numPr>
        <w:autoSpaceDE w:val="0"/>
        <w:autoSpaceDN w:val="0"/>
        <w:adjustRightInd w:val="0"/>
        <w:spacing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Cement integrity.</w:t>
      </w:r>
    </w:p>
    <w:p w14:paraId="76DC6066" w14:textId="77777777" w:rsidR="00863C2A" w:rsidRPr="00916909" w:rsidRDefault="00863C2A" w:rsidP="00EC6256">
      <w:pPr>
        <w:pStyle w:val="ListParagraph"/>
        <w:numPr>
          <w:ilvl w:val="0"/>
          <w:numId w:val="6"/>
        </w:numPr>
        <w:autoSpaceDE w:val="0"/>
        <w:autoSpaceDN w:val="0"/>
        <w:adjustRightInd w:val="0"/>
        <w:spacing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Cement plug locations.</w:t>
      </w:r>
    </w:p>
    <w:p w14:paraId="7F6B2E0D" w14:textId="77777777" w:rsidR="00863C2A" w:rsidRPr="00916909" w:rsidRDefault="00863C2A" w:rsidP="00EC6256">
      <w:pPr>
        <w:pStyle w:val="ListParagraph"/>
        <w:numPr>
          <w:ilvl w:val="0"/>
          <w:numId w:val="6"/>
        </w:numPr>
        <w:autoSpaceDE w:val="0"/>
        <w:autoSpaceDN w:val="0"/>
        <w:adjustRightInd w:val="0"/>
        <w:spacing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Tubing integrity.</w:t>
      </w:r>
    </w:p>
    <w:p w14:paraId="4DD29272" w14:textId="77777777" w:rsidR="00863C2A" w:rsidRPr="00916909" w:rsidRDefault="00863C2A" w:rsidP="00EC6256">
      <w:pPr>
        <w:pStyle w:val="ListParagraph"/>
        <w:numPr>
          <w:ilvl w:val="0"/>
          <w:numId w:val="6"/>
        </w:numPr>
        <w:autoSpaceDE w:val="0"/>
        <w:autoSpaceDN w:val="0"/>
        <w:adjustRightInd w:val="0"/>
        <w:spacing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Annulus pressure validation.</w:t>
      </w:r>
    </w:p>
    <w:p w14:paraId="224904A5" w14:textId="77777777" w:rsidR="00863C2A" w:rsidRPr="00916909" w:rsidRDefault="00863C2A" w:rsidP="00EC6256">
      <w:pPr>
        <w:pStyle w:val="ListParagraph"/>
        <w:numPr>
          <w:ilvl w:val="0"/>
          <w:numId w:val="6"/>
        </w:numPr>
        <w:autoSpaceDE w:val="0"/>
        <w:autoSpaceDN w:val="0"/>
        <w:adjustRightInd w:val="0"/>
        <w:spacing w:line="276" w:lineRule="auto"/>
        <w:rPr>
          <w:rFonts w:ascii="Arial" w:hAnsi="Arial" w:cs="Arial"/>
          <w:color w:val="53565A" w:themeColor="accent2"/>
          <w:sz w:val="18"/>
          <w:szCs w:val="18"/>
          <w:lang w:eastAsia="en-AU"/>
        </w:rPr>
      </w:pPr>
      <w:r w:rsidRPr="00916909">
        <w:rPr>
          <w:rFonts w:ascii="Arial" w:hAnsi="Arial" w:cs="Arial"/>
          <w:color w:val="53565A" w:themeColor="accent2"/>
          <w:sz w:val="18"/>
          <w:szCs w:val="18"/>
          <w:lang w:eastAsia="en-AU"/>
        </w:rPr>
        <w:t>Well barrier analysis.</w:t>
      </w:r>
    </w:p>
    <w:p w14:paraId="3DFFD51D" w14:textId="779CB910" w:rsidR="003C2409" w:rsidRDefault="00863C2A" w:rsidP="00443553">
      <w:pPr>
        <w:rPr>
          <w:lang w:eastAsia="en-AU"/>
        </w:rPr>
      </w:pPr>
      <w:r w:rsidRPr="00916909">
        <w:rPr>
          <w:lang w:eastAsia="en-AU"/>
        </w:rPr>
        <w:t xml:space="preserve">Note – risk assessments must consider the risks that the activities may pose to the environment, members of the public (i.e. landowners and the neighbouring community, </w:t>
      </w:r>
      <w:r w:rsidRPr="00916909">
        <w:rPr>
          <w:u w:val="single"/>
          <w:lang w:eastAsia="en-AU"/>
        </w:rPr>
        <w:t>not</w:t>
      </w:r>
      <w:r w:rsidRPr="00916909">
        <w:rPr>
          <w:lang w:eastAsia="en-AU"/>
        </w:rPr>
        <w:t xml:space="preserve"> employees or contractors), land or property in the vicinity of the operation and to any petroleum, source of petroleum or reservoir that the operation might affect. Risk to the health and safety of employees/contractors, or scheduling, and their controls are not relevant for an operation plan. The Act does not require this information and the information is not within its jurisdiction. Health and safety risks are regulated by WorkSafe under the </w:t>
      </w:r>
      <w:r w:rsidRPr="00916909">
        <w:rPr>
          <w:i/>
          <w:iCs/>
          <w:lang w:eastAsia="en-AU"/>
        </w:rPr>
        <w:t>Occupational Health and Safety Act 2004</w:t>
      </w:r>
      <w:r w:rsidRPr="00916909">
        <w:rPr>
          <w:lang w:eastAsia="en-AU"/>
        </w:rPr>
        <w:t>.</w:t>
      </w:r>
    </w:p>
    <w:p w14:paraId="12699599" w14:textId="7373B5AC" w:rsidR="00500D99" w:rsidRPr="00916909" w:rsidRDefault="003C2409" w:rsidP="004F30BD">
      <w:pPr>
        <w:spacing w:before="0" w:line="276" w:lineRule="auto"/>
        <w:rPr>
          <w:rFonts w:cs="Arial"/>
          <w:szCs w:val="18"/>
          <w:lang w:eastAsia="en-AU"/>
        </w:rPr>
      </w:pPr>
      <w:r>
        <w:rPr>
          <w:lang w:eastAsia="en-AU"/>
        </w:rPr>
        <w:br w:type="page"/>
      </w:r>
    </w:p>
    <w:p w14:paraId="57731D4A" w14:textId="77777777" w:rsidR="00863C2A" w:rsidRPr="00C177A5" w:rsidRDefault="00863C2A" w:rsidP="00C177A5">
      <w:pPr>
        <w:pStyle w:val="Heading2"/>
        <w:rPr>
          <w:color w:val="100249" w:themeColor="accent4"/>
        </w:rPr>
      </w:pPr>
      <w:r w:rsidRPr="00C177A5">
        <w:rPr>
          <w:color w:val="100249" w:themeColor="accent4"/>
        </w:rPr>
        <w:lastRenderedPageBreak/>
        <w:t>Risk controls (management)</w:t>
      </w:r>
    </w:p>
    <w:p w14:paraId="763780B0" w14:textId="77777777" w:rsidR="00863C2A" w:rsidRPr="00916909" w:rsidRDefault="00863C2A" w:rsidP="00443553">
      <w:pPr>
        <w:rPr>
          <w:lang w:eastAsia="en-AU"/>
        </w:rPr>
      </w:pPr>
      <w:r w:rsidRPr="00916909">
        <w:rPr>
          <w:lang w:eastAsia="en-AU"/>
        </w:rPr>
        <w:t>Section 161(1)(b) of the Act requires that an operation plan must specify what will be done to eliminate or minimise those risks. This requirement applies to all activities described in operation plans.</w:t>
      </w:r>
      <w:r w:rsidRPr="00916909" w:rsidDel="004544F0">
        <w:rPr>
          <w:lang w:eastAsia="en-AU"/>
        </w:rPr>
        <w:t xml:space="preserve"> </w:t>
      </w:r>
      <w:r w:rsidRPr="00916909">
        <w:rPr>
          <w:lang w:eastAsia="en-AU"/>
        </w:rPr>
        <w:t>Authority holders must provide details of the following mitigation measures:</w:t>
      </w:r>
    </w:p>
    <w:p w14:paraId="4A50D3DA" w14:textId="77777777" w:rsidR="00863C2A" w:rsidRPr="00D229B5" w:rsidRDefault="00863C2A" w:rsidP="00D229B5">
      <w:pPr>
        <w:pStyle w:val="Heading3"/>
        <w:rPr>
          <w:b w:val="0"/>
          <w:bCs w:val="0"/>
          <w:color w:val="53565A" w:themeColor="accent2"/>
          <w:spacing w:val="-4"/>
          <w:sz w:val="18"/>
          <w:szCs w:val="18"/>
        </w:rPr>
      </w:pPr>
      <w:r w:rsidRPr="00D229B5">
        <w:rPr>
          <w:b w:val="0"/>
          <w:bCs w:val="0"/>
          <w:color w:val="53565A" w:themeColor="accent2"/>
          <w:spacing w:val="-4"/>
          <w:sz w:val="18"/>
          <w:szCs w:val="18"/>
        </w:rPr>
        <w:t>Controls to manage the risk of loss of containment (e.g. well control arrangements), including well schematics.</w:t>
      </w:r>
    </w:p>
    <w:p w14:paraId="19DC2C09" w14:textId="77777777" w:rsidR="00863C2A" w:rsidRPr="00D229B5" w:rsidRDefault="00863C2A" w:rsidP="00D229B5">
      <w:pPr>
        <w:pStyle w:val="Heading3"/>
        <w:rPr>
          <w:b w:val="0"/>
          <w:bCs w:val="0"/>
          <w:color w:val="53565A" w:themeColor="accent2"/>
          <w:spacing w:val="-4"/>
          <w:sz w:val="18"/>
          <w:szCs w:val="18"/>
        </w:rPr>
      </w:pPr>
      <w:r w:rsidRPr="00D229B5">
        <w:rPr>
          <w:b w:val="0"/>
          <w:bCs w:val="0"/>
          <w:color w:val="53565A" w:themeColor="accent2"/>
          <w:spacing w:val="-4"/>
          <w:sz w:val="18"/>
          <w:szCs w:val="18"/>
        </w:rPr>
        <w:t>Controls to manage the risk of any significant volumes of fluids being produced when carrying out any maintenance activities.</w:t>
      </w:r>
    </w:p>
    <w:p w14:paraId="2E9226F1" w14:textId="77777777" w:rsidR="00863C2A" w:rsidRPr="00D229B5" w:rsidRDefault="00863C2A" w:rsidP="00D229B5">
      <w:pPr>
        <w:pStyle w:val="Heading3"/>
        <w:rPr>
          <w:b w:val="0"/>
          <w:bCs w:val="0"/>
          <w:color w:val="53565A" w:themeColor="accent2"/>
          <w:spacing w:val="-4"/>
          <w:sz w:val="18"/>
          <w:szCs w:val="18"/>
        </w:rPr>
      </w:pPr>
      <w:r w:rsidRPr="00D229B5">
        <w:rPr>
          <w:b w:val="0"/>
          <w:bCs w:val="0"/>
          <w:color w:val="53565A" w:themeColor="accent2"/>
          <w:spacing w:val="-4"/>
          <w:sz w:val="18"/>
          <w:szCs w:val="18"/>
        </w:rPr>
        <w:t>Controls to manage the other impacts from maintenance activities (e.g. noise, light, soil erosion, soil contamination, fire, all of which may impact landowners, the community, flora and fauna), if they will be different to those specified in the accepted operation plans.</w:t>
      </w:r>
    </w:p>
    <w:p w14:paraId="37ECC4F1" w14:textId="77777777" w:rsidR="00863C2A" w:rsidRPr="00D229B5" w:rsidRDefault="00863C2A" w:rsidP="00D229B5">
      <w:pPr>
        <w:pStyle w:val="Heading3"/>
        <w:rPr>
          <w:b w:val="0"/>
          <w:bCs w:val="0"/>
          <w:color w:val="53565A" w:themeColor="accent2"/>
          <w:spacing w:val="-4"/>
          <w:sz w:val="18"/>
          <w:szCs w:val="18"/>
        </w:rPr>
      </w:pPr>
      <w:r w:rsidRPr="00D229B5">
        <w:rPr>
          <w:b w:val="0"/>
          <w:bCs w:val="0"/>
          <w:color w:val="53565A" w:themeColor="accent2"/>
          <w:spacing w:val="-4"/>
          <w:sz w:val="18"/>
          <w:szCs w:val="18"/>
        </w:rPr>
        <w:t xml:space="preserve">Management of any foreseeable but unplanned activities. Include descriptions of what will occur if any unexpected (but foreseeable) circumstances arise and how they will be managed. </w:t>
      </w:r>
    </w:p>
    <w:p w14:paraId="114C1FC7" w14:textId="77777777" w:rsidR="00863C2A" w:rsidRPr="00916909"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The chain of command for maintenance activities, and officers’ full roles and responsibilities, if the contractors/service companies to carry out the maintenance activities will be different than those described in the accepted operation plan.</w:t>
      </w:r>
    </w:p>
    <w:p w14:paraId="306BE10C" w14:textId="77777777" w:rsidR="00863C2A" w:rsidRPr="00916909"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Include details of the key personnel involved in the design of the maintenance activities.</w:t>
      </w:r>
    </w:p>
    <w:p w14:paraId="35A55556" w14:textId="77777777" w:rsidR="00863C2A" w:rsidRPr="00916909"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The well control training (e.g. training certified under the International Well Control Forum) for maintenance activities, if the contractors/service companies to carry out the maintenance activities will be different than those described in the accepted operation plan.</w:t>
      </w:r>
    </w:p>
    <w:p w14:paraId="22C7A520" w14:textId="77777777" w:rsidR="00863C2A" w:rsidRPr="00916909"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The approach to ensure that all personnel involved in maintenance activities have the appropriate skills and training.</w:t>
      </w:r>
    </w:p>
    <w:p w14:paraId="60169124" w14:textId="77777777" w:rsidR="00863C2A" w:rsidRPr="00916909"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Updated Emergency Response Plan.</w:t>
      </w:r>
    </w:p>
    <w:p w14:paraId="5CCB0E15" w14:textId="77777777" w:rsidR="00863C2A" w:rsidRPr="00916909"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Details of the emergency response equipment to deal with any well integrity hazard.</w:t>
      </w:r>
    </w:p>
    <w:p w14:paraId="74E82D11" w14:textId="77777777" w:rsidR="00863C2A" w:rsidRPr="00916909"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Management of the well after completion of the maintenance activities.</w:t>
      </w:r>
    </w:p>
    <w:p w14:paraId="0A15E588" w14:textId="77777777" w:rsidR="00863C2A" w:rsidRPr="00916909"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 xml:space="preserve">Details of how wellhead pressure will be monitored. </w:t>
      </w:r>
    </w:p>
    <w:p w14:paraId="05134BBB" w14:textId="77777777" w:rsidR="00863C2A" w:rsidRPr="00916909"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Details of how well annulus pressure will be managed.</w:t>
      </w:r>
    </w:p>
    <w:p w14:paraId="504CF6AF" w14:textId="77777777" w:rsidR="00863C2A" w:rsidRPr="00916909"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Details regarding annular or packer fluids monitoring, and top-up.</w:t>
      </w:r>
    </w:p>
    <w:p w14:paraId="33A088CB" w14:textId="77777777" w:rsidR="00863C2A" w:rsidRPr="00916909"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 xml:space="preserve">The procedure for suspension, if the well will be suspended after maintenance activities, and well barrier diagrams for suspending the well. </w:t>
      </w:r>
    </w:p>
    <w:p w14:paraId="30AC98D5" w14:textId="77777777" w:rsidR="00863C2A" w:rsidRPr="00916909"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If the well will not be suspended after maintenance activities, the well barrier diagram after the completion of the maintenance activities.</w:t>
      </w:r>
    </w:p>
    <w:p w14:paraId="686FE8FC" w14:textId="77777777" w:rsidR="00863C2A" w:rsidRPr="00916909" w:rsidRDefault="00863C2A" w:rsidP="00D229B5">
      <w:pPr>
        <w:pStyle w:val="Heading3"/>
        <w:rPr>
          <w:b w:val="0"/>
          <w:bCs w:val="0"/>
          <w:color w:val="53565A" w:themeColor="accent2"/>
          <w:spacing w:val="-4"/>
          <w:sz w:val="18"/>
          <w:szCs w:val="18"/>
        </w:rPr>
      </w:pPr>
      <w:r w:rsidRPr="00916909">
        <w:rPr>
          <w:b w:val="0"/>
          <w:bCs w:val="0"/>
          <w:color w:val="53565A" w:themeColor="accent2"/>
          <w:spacing w:val="-4"/>
          <w:sz w:val="18"/>
          <w:szCs w:val="18"/>
        </w:rPr>
        <w:t>Updated information of any consultation that has occurred with the landowners, interested people and organisations setting out how any issues raised will be, or have been, addressed.</w:t>
      </w:r>
    </w:p>
    <w:p w14:paraId="5D0F8098" w14:textId="6041A362" w:rsidR="005C0A59" w:rsidRPr="00C969A8" w:rsidRDefault="00863C2A" w:rsidP="00C969A8">
      <w:pPr>
        <w:pStyle w:val="Heading3"/>
        <w:rPr>
          <w:b w:val="0"/>
          <w:bCs w:val="0"/>
          <w:color w:val="53565A" w:themeColor="accent2"/>
          <w:spacing w:val="-4"/>
          <w:sz w:val="18"/>
          <w:szCs w:val="18"/>
        </w:rPr>
      </w:pPr>
      <w:r w:rsidRPr="00916909">
        <w:rPr>
          <w:b w:val="0"/>
          <w:bCs w:val="0"/>
          <w:color w:val="53565A" w:themeColor="accent2"/>
          <w:spacing w:val="-4"/>
          <w:sz w:val="18"/>
          <w:szCs w:val="18"/>
        </w:rPr>
        <w:t xml:space="preserve">Details of any remediation works that may need to be carried out if the results of maintenance activities find unacceptable outcomes (e.g. leak remediation). </w:t>
      </w:r>
    </w:p>
    <w:p w14:paraId="3A39075D" w14:textId="77777777" w:rsidR="00863C2A" w:rsidRPr="00527F4D" w:rsidRDefault="00863C2A" w:rsidP="00EA650F">
      <w:pPr>
        <w:spacing w:before="0" w:after="120"/>
        <w:rPr>
          <w:b/>
          <w:bCs/>
          <w:sz w:val="20"/>
        </w:rPr>
      </w:pPr>
      <w:r w:rsidRPr="00527F4D">
        <w:rPr>
          <w:b/>
          <w:bCs/>
          <w:sz w:val="20"/>
        </w:rPr>
        <w:t>Example of a template for risk assessment and management of maintenance activities:</w:t>
      </w:r>
    </w:p>
    <w:tbl>
      <w:tblPr>
        <w:tblStyle w:val="TableGrid"/>
        <w:tblW w:w="0" w:type="auto"/>
        <w:tblLook w:val="04A0" w:firstRow="1" w:lastRow="0" w:firstColumn="1" w:lastColumn="0" w:noHBand="0" w:noVBand="1"/>
      </w:tblPr>
      <w:tblGrid>
        <w:gridCol w:w="1470"/>
        <w:gridCol w:w="1567"/>
        <w:gridCol w:w="1679"/>
        <w:gridCol w:w="1798"/>
        <w:gridCol w:w="2502"/>
      </w:tblGrid>
      <w:tr w:rsidR="00863C2A" w14:paraId="389DE73B" w14:textId="77777777" w:rsidTr="00C177A5">
        <w:tc>
          <w:tcPr>
            <w:tcW w:w="1470" w:type="dxa"/>
            <w:shd w:val="clear" w:color="auto" w:fill="D9D9D6" w:themeFill="background2"/>
          </w:tcPr>
          <w:p w14:paraId="38DC56F3" w14:textId="77777777" w:rsidR="00863C2A" w:rsidRPr="00527F4D" w:rsidRDefault="00863C2A" w:rsidP="00C177A5">
            <w:pPr>
              <w:keepNext/>
              <w:autoSpaceDE w:val="0"/>
              <w:autoSpaceDN w:val="0"/>
              <w:adjustRightInd w:val="0"/>
              <w:spacing w:line="276" w:lineRule="auto"/>
              <w:rPr>
                <w:rFonts w:cs="Arial"/>
                <w:b/>
                <w:bCs/>
              </w:rPr>
            </w:pPr>
            <w:r w:rsidRPr="00527F4D">
              <w:rPr>
                <w:rFonts w:cs="Arial"/>
                <w:b/>
                <w:bCs/>
              </w:rPr>
              <w:t>Hazard (source of risk)</w:t>
            </w:r>
          </w:p>
        </w:tc>
        <w:tc>
          <w:tcPr>
            <w:tcW w:w="1567" w:type="dxa"/>
            <w:shd w:val="clear" w:color="auto" w:fill="D9D9D6" w:themeFill="background2"/>
          </w:tcPr>
          <w:p w14:paraId="78006BC9" w14:textId="77777777" w:rsidR="00863C2A" w:rsidRPr="00527F4D" w:rsidRDefault="00863C2A" w:rsidP="00C177A5">
            <w:pPr>
              <w:keepNext/>
              <w:autoSpaceDE w:val="0"/>
              <w:autoSpaceDN w:val="0"/>
              <w:adjustRightInd w:val="0"/>
              <w:spacing w:line="276" w:lineRule="auto"/>
              <w:rPr>
                <w:rFonts w:cs="Arial"/>
                <w:b/>
                <w:bCs/>
              </w:rPr>
            </w:pPr>
            <w:r w:rsidRPr="00527F4D">
              <w:rPr>
                <w:rFonts w:cs="Arial"/>
                <w:b/>
                <w:bCs/>
              </w:rPr>
              <w:t>Potential Impact</w:t>
            </w:r>
          </w:p>
        </w:tc>
        <w:tc>
          <w:tcPr>
            <w:tcW w:w="1679" w:type="dxa"/>
            <w:shd w:val="clear" w:color="auto" w:fill="D9D9D6" w:themeFill="background2"/>
          </w:tcPr>
          <w:p w14:paraId="4333F11C" w14:textId="77777777" w:rsidR="00863C2A" w:rsidRPr="00527F4D" w:rsidRDefault="00863C2A" w:rsidP="00C177A5">
            <w:pPr>
              <w:keepNext/>
              <w:autoSpaceDE w:val="0"/>
              <w:autoSpaceDN w:val="0"/>
              <w:adjustRightInd w:val="0"/>
              <w:spacing w:line="276" w:lineRule="auto"/>
              <w:rPr>
                <w:rFonts w:cs="Arial"/>
                <w:b/>
                <w:bCs/>
              </w:rPr>
            </w:pPr>
            <w:r w:rsidRPr="00527F4D">
              <w:rPr>
                <w:rFonts w:cs="Arial"/>
                <w:b/>
                <w:bCs/>
              </w:rPr>
              <w:t xml:space="preserve">Likelihood </w:t>
            </w:r>
          </w:p>
        </w:tc>
        <w:tc>
          <w:tcPr>
            <w:tcW w:w="1798" w:type="dxa"/>
            <w:shd w:val="clear" w:color="auto" w:fill="D9D9D6" w:themeFill="background2"/>
          </w:tcPr>
          <w:p w14:paraId="3AB59903" w14:textId="77777777" w:rsidR="00863C2A" w:rsidRPr="00527F4D" w:rsidRDefault="00863C2A" w:rsidP="00C177A5">
            <w:pPr>
              <w:keepNext/>
              <w:autoSpaceDE w:val="0"/>
              <w:autoSpaceDN w:val="0"/>
              <w:adjustRightInd w:val="0"/>
              <w:spacing w:line="276" w:lineRule="auto"/>
              <w:rPr>
                <w:rFonts w:cs="Arial"/>
                <w:b/>
                <w:bCs/>
              </w:rPr>
            </w:pPr>
            <w:r w:rsidRPr="00527F4D">
              <w:rPr>
                <w:rFonts w:cs="Arial"/>
                <w:b/>
                <w:bCs/>
              </w:rPr>
              <w:t xml:space="preserve">Consequence </w:t>
            </w:r>
          </w:p>
        </w:tc>
        <w:tc>
          <w:tcPr>
            <w:tcW w:w="2502" w:type="dxa"/>
            <w:shd w:val="clear" w:color="auto" w:fill="D9D9D6" w:themeFill="background2"/>
          </w:tcPr>
          <w:p w14:paraId="63BBD9C3" w14:textId="77777777" w:rsidR="00863C2A" w:rsidRPr="00527F4D" w:rsidRDefault="00863C2A" w:rsidP="00C177A5">
            <w:pPr>
              <w:keepNext/>
              <w:autoSpaceDE w:val="0"/>
              <w:autoSpaceDN w:val="0"/>
              <w:adjustRightInd w:val="0"/>
              <w:spacing w:line="276" w:lineRule="auto"/>
              <w:rPr>
                <w:rFonts w:cs="Arial"/>
                <w:b/>
                <w:bCs/>
              </w:rPr>
            </w:pPr>
            <w:r w:rsidRPr="00527F4D">
              <w:rPr>
                <w:rFonts w:cs="Arial"/>
                <w:b/>
                <w:bCs/>
              </w:rPr>
              <w:t>Controls (to reduce risk)</w:t>
            </w:r>
          </w:p>
        </w:tc>
      </w:tr>
      <w:tr w:rsidR="00863C2A" w14:paraId="22658750" w14:textId="77777777" w:rsidTr="00C177A5">
        <w:trPr>
          <w:trHeight w:val="502"/>
        </w:trPr>
        <w:tc>
          <w:tcPr>
            <w:tcW w:w="1470" w:type="dxa"/>
          </w:tcPr>
          <w:p w14:paraId="1CBC90A9" w14:textId="77777777" w:rsidR="00863C2A" w:rsidRDefault="00863C2A" w:rsidP="00C177A5">
            <w:pPr>
              <w:autoSpaceDE w:val="0"/>
              <w:autoSpaceDN w:val="0"/>
              <w:adjustRightInd w:val="0"/>
              <w:spacing w:line="276" w:lineRule="auto"/>
              <w:rPr>
                <w:rFonts w:cs="Arial"/>
                <w:color w:val="212121"/>
              </w:rPr>
            </w:pPr>
          </w:p>
        </w:tc>
        <w:tc>
          <w:tcPr>
            <w:tcW w:w="1567" w:type="dxa"/>
          </w:tcPr>
          <w:p w14:paraId="09066F27" w14:textId="77777777" w:rsidR="00863C2A" w:rsidRDefault="00863C2A" w:rsidP="00C177A5">
            <w:pPr>
              <w:autoSpaceDE w:val="0"/>
              <w:autoSpaceDN w:val="0"/>
              <w:adjustRightInd w:val="0"/>
              <w:spacing w:line="276" w:lineRule="auto"/>
              <w:rPr>
                <w:rFonts w:cs="Arial"/>
                <w:color w:val="212121"/>
              </w:rPr>
            </w:pPr>
          </w:p>
        </w:tc>
        <w:tc>
          <w:tcPr>
            <w:tcW w:w="1679" w:type="dxa"/>
          </w:tcPr>
          <w:p w14:paraId="56E2D0C8" w14:textId="77777777" w:rsidR="00863C2A" w:rsidRDefault="00863C2A" w:rsidP="00C177A5">
            <w:pPr>
              <w:autoSpaceDE w:val="0"/>
              <w:autoSpaceDN w:val="0"/>
              <w:adjustRightInd w:val="0"/>
              <w:spacing w:line="276" w:lineRule="auto"/>
              <w:rPr>
                <w:rFonts w:cs="Arial"/>
                <w:color w:val="212121"/>
              </w:rPr>
            </w:pPr>
          </w:p>
        </w:tc>
        <w:tc>
          <w:tcPr>
            <w:tcW w:w="1798" w:type="dxa"/>
          </w:tcPr>
          <w:p w14:paraId="5670698A" w14:textId="77777777" w:rsidR="00863C2A" w:rsidRDefault="00863C2A" w:rsidP="00C177A5">
            <w:pPr>
              <w:autoSpaceDE w:val="0"/>
              <w:autoSpaceDN w:val="0"/>
              <w:adjustRightInd w:val="0"/>
              <w:spacing w:line="276" w:lineRule="auto"/>
              <w:rPr>
                <w:rFonts w:cs="Arial"/>
                <w:color w:val="212121"/>
              </w:rPr>
            </w:pPr>
          </w:p>
        </w:tc>
        <w:tc>
          <w:tcPr>
            <w:tcW w:w="2502" w:type="dxa"/>
          </w:tcPr>
          <w:p w14:paraId="318DA7A7" w14:textId="77777777" w:rsidR="00863C2A" w:rsidRDefault="00863C2A" w:rsidP="00C177A5">
            <w:pPr>
              <w:autoSpaceDE w:val="0"/>
              <w:autoSpaceDN w:val="0"/>
              <w:adjustRightInd w:val="0"/>
              <w:spacing w:line="276" w:lineRule="auto"/>
              <w:rPr>
                <w:rFonts w:cs="Arial"/>
                <w:color w:val="212121"/>
              </w:rPr>
            </w:pPr>
          </w:p>
        </w:tc>
      </w:tr>
    </w:tbl>
    <w:p w14:paraId="2C04D324" w14:textId="77777777" w:rsidR="00863C2A" w:rsidRPr="00C177A5" w:rsidRDefault="00863C2A" w:rsidP="00C177A5">
      <w:pPr>
        <w:pStyle w:val="Heading1"/>
        <w:ind w:left="431" w:hanging="431"/>
      </w:pPr>
      <w:r w:rsidRPr="00C177A5">
        <w:t xml:space="preserve">Contacting Earth Resources Regulation </w:t>
      </w:r>
    </w:p>
    <w:p w14:paraId="5024E611" w14:textId="4CBB44DD" w:rsidR="00863C2A" w:rsidRPr="00CE7E53" w:rsidRDefault="00863C2A" w:rsidP="00863C2A">
      <w:pPr>
        <w:spacing w:after="0" w:line="276" w:lineRule="auto"/>
        <w:rPr>
          <w:szCs w:val="18"/>
        </w:rPr>
      </w:pPr>
      <w:r w:rsidRPr="00916909">
        <w:rPr>
          <w:rFonts w:eastAsia="Arial" w:cs="Arial"/>
          <w:szCs w:val="18"/>
        </w:rPr>
        <w:t xml:space="preserve">You may contact Earth Resources Regulation via email at: </w:t>
      </w:r>
      <w:hyperlink r:id="rId14" w:history="1">
        <w:r w:rsidR="00911DFE" w:rsidRPr="009122EA">
          <w:rPr>
            <w:rStyle w:val="Hyperlink"/>
            <w:rFonts w:eastAsia="Arial" w:cs="Arial"/>
            <w:szCs w:val="18"/>
          </w:rPr>
          <w:t>workplan.approvals@ecodev.vic.gov.au</w:t>
        </w:r>
      </w:hyperlink>
      <w:r w:rsidR="00911DFE">
        <w:rPr>
          <w:rFonts w:eastAsia="Arial" w:cs="Arial"/>
          <w:szCs w:val="18"/>
        </w:rPr>
        <w:t xml:space="preserve"> </w:t>
      </w:r>
    </w:p>
    <w:p w14:paraId="329AF9C9" w14:textId="77777777" w:rsidR="00527F4D" w:rsidRDefault="00863C2A" w:rsidP="00863C2A">
      <w:pPr>
        <w:spacing w:after="0" w:line="276" w:lineRule="auto"/>
        <w:rPr>
          <w:rFonts w:eastAsia="Arial" w:cs="Arial"/>
          <w:szCs w:val="18"/>
        </w:rPr>
      </w:pPr>
      <w:r w:rsidRPr="00916909">
        <w:rPr>
          <w:rFonts w:eastAsia="Arial" w:cs="Arial"/>
          <w:szCs w:val="18"/>
        </w:rPr>
        <w:t>or via phone on 1300</w:t>
      </w:r>
      <w:r w:rsidRPr="00916909">
        <w:rPr>
          <w:szCs w:val="18"/>
        </w:rPr>
        <w:t> </w:t>
      </w:r>
      <w:r w:rsidRPr="00916909">
        <w:rPr>
          <w:rFonts w:eastAsia="Arial" w:cs="Arial"/>
          <w:szCs w:val="18"/>
        </w:rPr>
        <w:t>366 356 (between 9am and 4.30pm Monday to Friday).</w:t>
      </w:r>
    </w:p>
    <w:p w14:paraId="7E6D652A" w14:textId="77777777" w:rsidR="00527F4D" w:rsidRDefault="00527F4D" w:rsidP="00527F4D">
      <w:pPr>
        <w:rPr>
          <w:rFonts w:eastAsia="Arial"/>
        </w:rPr>
      </w:pPr>
      <w:r>
        <w:rPr>
          <w:rFonts w:eastAsia="Arial"/>
        </w:rPr>
        <w:br w:type="page"/>
      </w:r>
    </w:p>
    <w:p w14:paraId="45CEF198" w14:textId="657680DF" w:rsidR="00527F4D" w:rsidRDefault="00527F4D" w:rsidP="00527F4D">
      <w:r>
        <w:lastRenderedPageBreak/>
        <w:t xml:space="preserve">Authorised by the </w:t>
      </w:r>
      <w:sdt>
        <w:sdtPr>
          <w:alias w:val="Authorised by"/>
          <w:tag w:val="Authorised by"/>
          <w:id w:val="1974017056"/>
          <w:placeholder>
            <w:docPart w:val="1A572C812A4748B2B85ABA778A2F523C"/>
          </w:placeholder>
        </w:sdtPr>
        <w:sdtEndPr/>
        <w:sdtContent>
          <w:r>
            <w:t>Executive Director</w:t>
          </w:r>
          <w:r w:rsidR="005915D9">
            <w:t>,</w:t>
          </w:r>
          <w:r>
            <w:t xml:space="preserve"> Earth Resources Regulation </w:t>
          </w:r>
        </w:sdtContent>
      </w:sdt>
      <w:r>
        <w:br/>
        <w:t xml:space="preserve">Department of Jobs, </w:t>
      </w:r>
      <w:r>
        <w:rPr>
          <w:lang w:val="en-US"/>
        </w:rPr>
        <w:t>Precincts and Regions</w:t>
      </w:r>
      <w:r>
        <w:br/>
        <w:t>1 Spring Street Melbourne Victoria 3000</w:t>
      </w:r>
      <w:r>
        <w:br/>
        <w:t>Telephone (03) 9651 9999</w:t>
      </w:r>
    </w:p>
    <w:p w14:paraId="2F173F71" w14:textId="77777777" w:rsidR="00527F4D" w:rsidRDefault="00527F4D" w:rsidP="00527F4D">
      <w:r>
        <w:t xml:space="preserve">© Copyright State of Victoria, </w:t>
      </w:r>
      <w:r>
        <w:br/>
        <w:t xml:space="preserve">Department of Jobs, </w:t>
      </w:r>
      <w:r>
        <w:rPr>
          <w:lang w:val="en-US"/>
        </w:rPr>
        <w:t>Precincts and Regions</w:t>
      </w:r>
      <w:r>
        <w:t xml:space="preserve"> 2020</w:t>
      </w:r>
    </w:p>
    <w:p w14:paraId="29E9A91E" w14:textId="77777777" w:rsidR="00527F4D" w:rsidRDefault="00527F4D" w:rsidP="00527F4D">
      <w:r>
        <w:t>Except for any logos, emblems, trademarks, artwork and photography this document is made available under the terms of the Creative Commons Attribution 3.0 Australia license.</w:t>
      </w:r>
    </w:p>
    <w:p w14:paraId="0409C04A" w14:textId="77777777" w:rsidR="00527F4D" w:rsidRDefault="00527F4D" w:rsidP="00527F4D">
      <w:r>
        <w:t xml:space="preserve">This document is also available in an accessible format at </w:t>
      </w:r>
      <w:hyperlink r:id="rId15" w:history="1">
        <w:r>
          <w:rPr>
            <w:rStyle w:val="Hyperlink"/>
          </w:rPr>
          <w:t>djpr.vic.gov.au</w:t>
        </w:r>
      </w:hyperlink>
    </w:p>
    <w:bookmarkEnd w:id="1"/>
    <w:p w14:paraId="052288F0" w14:textId="77777777" w:rsidR="00863C2A" w:rsidRPr="00916909" w:rsidRDefault="00863C2A" w:rsidP="00863C2A">
      <w:pPr>
        <w:spacing w:after="0" w:line="276" w:lineRule="auto"/>
        <w:rPr>
          <w:szCs w:val="18"/>
        </w:rPr>
      </w:pPr>
    </w:p>
    <w:sectPr w:rsidR="00863C2A" w:rsidRPr="00916909" w:rsidSect="00FE5BB6">
      <w:headerReference w:type="default" r:id="rId16"/>
      <w:headerReference w:type="first" r:id="rId17"/>
      <w:type w:val="oddPage"/>
      <w:pgSz w:w="11906" w:h="16838" w:code="9"/>
      <w:pgMar w:top="1134" w:right="1701" w:bottom="1134" w:left="1134"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168EA" w14:textId="77777777" w:rsidR="00202D49" w:rsidRDefault="00202D49" w:rsidP="00D96C1E">
      <w:r>
        <w:separator/>
      </w:r>
    </w:p>
    <w:p w14:paraId="37229780" w14:textId="77777777" w:rsidR="00202D49" w:rsidRDefault="00202D49" w:rsidP="00D96C1E"/>
  </w:endnote>
  <w:endnote w:type="continuationSeparator" w:id="0">
    <w:p w14:paraId="309F3429" w14:textId="77777777" w:rsidR="00202D49" w:rsidRDefault="00202D49" w:rsidP="00D96C1E">
      <w:r>
        <w:continuationSeparator/>
      </w:r>
    </w:p>
    <w:p w14:paraId="66A0E7D4" w14:textId="77777777" w:rsidR="00202D49" w:rsidRDefault="00202D49" w:rsidP="00D96C1E"/>
  </w:endnote>
  <w:endnote w:type="continuationNotice" w:id="1">
    <w:p w14:paraId="52837F0C" w14:textId="77777777" w:rsidR="00202D49" w:rsidRDefault="00202D4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C177A5" w:rsidRPr="00FB0DEA" w14:paraId="429E5DC7" w14:textId="77777777" w:rsidTr="00F821D9">
              <w:tc>
                <w:tcPr>
                  <w:tcW w:w="3402" w:type="dxa"/>
                  <w:vAlign w:val="center"/>
                </w:tcPr>
                <w:p w14:paraId="71D91455" w14:textId="1DCB6C47" w:rsidR="00C177A5" w:rsidRPr="005723C8" w:rsidRDefault="0097488B" w:rsidP="005723C8">
                  <w:pPr>
                    <w:pStyle w:val="Footer"/>
                    <w:tabs>
                      <w:tab w:val="clear" w:pos="14570"/>
                    </w:tabs>
                    <w:spacing w:before="0"/>
                  </w:pPr>
                  <w:r>
                    <w:fldChar w:fldCharType="begin"/>
                  </w:r>
                  <w:r>
                    <w:instrText xml:space="preserve"> STYLEREF  "Report title"  \* MERGEFORMAT </w:instrText>
                  </w:r>
                  <w:r>
                    <w:fldChar w:fldCharType="separate"/>
                  </w:r>
                  <w:r>
                    <w:rPr>
                      <w:noProof/>
                    </w:rPr>
                    <w:t>Maintenance requirements during the onshore petroleum moratorium</w:t>
                  </w:r>
                  <w:r>
                    <w:rPr>
                      <w:noProof/>
                    </w:rPr>
                    <w:fldChar w:fldCharType="end"/>
                  </w:r>
                </w:p>
              </w:tc>
              <w:tc>
                <w:tcPr>
                  <w:tcW w:w="2410" w:type="dxa"/>
                  <w:vAlign w:val="center"/>
                </w:tcPr>
                <w:p w14:paraId="2FEE061A" w14:textId="77777777" w:rsidR="00C177A5" w:rsidRPr="005723C8" w:rsidRDefault="00C177A5" w:rsidP="005723C8">
                  <w:pPr>
                    <w:pStyle w:val="Footer"/>
                    <w:tabs>
                      <w:tab w:val="clear" w:pos="14570"/>
                    </w:tabs>
                    <w:spacing w:before="0"/>
                    <w:jc w:val="center"/>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sidRPr="005723C8">
                    <w:rPr>
                      <w:rStyle w:val="PageNumber"/>
                    </w:rPr>
                    <w:t>2</w:t>
                  </w:r>
                  <w:r w:rsidRPr="005723C8">
                    <w:rPr>
                      <w:rStyle w:val="PageNumber"/>
                    </w:rPr>
                    <w:fldChar w:fldCharType="end"/>
                  </w:r>
                  <w:r w:rsidRPr="005723C8">
                    <w:rPr>
                      <w:rStyle w:val="PageNumber"/>
                    </w:rPr>
                    <w:t xml:space="preserve"> of </w:t>
                  </w:r>
                  <w:r w:rsidRPr="005723C8">
                    <w:rPr>
                      <w:rStyle w:val="PageNumber"/>
                    </w:rPr>
                    <w:fldChar w:fldCharType="begin"/>
                  </w:r>
                  <w:r w:rsidRPr="005723C8">
                    <w:rPr>
                      <w:rStyle w:val="PageNumber"/>
                    </w:rPr>
                    <w:instrText xml:space="preserve"> NUMPAGES  </w:instrText>
                  </w:r>
                  <w:r w:rsidRPr="005723C8">
                    <w:rPr>
                      <w:rStyle w:val="PageNumber"/>
                    </w:rPr>
                    <w:fldChar w:fldCharType="separate"/>
                  </w:r>
                  <w:r w:rsidRPr="005723C8">
                    <w:rPr>
                      <w:rStyle w:val="PageNumber"/>
                    </w:rPr>
                    <w:t>4</w:t>
                  </w:r>
                  <w:r w:rsidRPr="005723C8">
                    <w:rPr>
                      <w:rStyle w:val="PageNumber"/>
                    </w:rPr>
                    <w:fldChar w:fldCharType="end"/>
                  </w:r>
                </w:p>
              </w:tc>
              <w:tc>
                <w:tcPr>
                  <w:tcW w:w="4211" w:type="dxa"/>
                </w:tcPr>
                <w:p w14:paraId="596CEBC9" w14:textId="77777777" w:rsidR="00C177A5" w:rsidRPr="00FB0DEA" w:rsidRDefault="00C177A5" w:rsidP="005723C8">
                  <w:pPr>
                    <w:pStyle w:val="Footer"/>
                    <w:tabs>
                      <w:tab w:val="clear" w:pos="14570"/>
                    </w:tabs>
                    <w:spacing w:before="0"/>
                    <w:jc w:val="right"/>
                  </w:pPr>
                  <w:r w:rsidRPr="00EE5398">
                    <w:rPr>
                      <w:noProof/>
                      <w:lang w:val="en-GB" w:eastAsia="en-GB"/>
                    </w:rPr>
                    <w:drawing>
                      <wp:inline distT="0" distB="0" distL="0" distR="0" wp14:anchorId="20E35AF1" wp14:editId="6EA35A25">
                        <wp:extent cx="1335600" cy="403200"/>
                        <wp:effectExtent l="0" t="0" r="0" b="0"/>
                        <wp:docPr id="8" name="Picture 8" descr="Department of Jobs, Precincts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and Victoria State Gov DEDJTR right coolgrey 11 rgb.png"/>
                                <pic:cNvPicPr/>
                              </pic:nvPicPr>
                              <pic:blipFill>
                                <a:blip r:embed="rId1">
                                  <a:extLst>
                                    <a:ext uri="{28A0092B-C50C-407E-A947-70E740481C1C}">
                                      <a14:useLocalDpi xmlns:a14="http://schemas.microsoft.com/office/drawing/2010/main" val="0"/>
                                    </a:ext>
                                  </a:extLst>
                                </a:blip>
                                <a:stretch>
                                  <a:fillRect/>
                                </a:stretch>
                              </pic:blipFill>
                              <pic:spPr>
                                <a:xfrm>
                                  <a:off x="0" y="0"/>
                                  <a:ext cx="1335600" cy="403200"/>
                                </a:xfrm>
                                <a:prstGeom prst="rect">
                                  <a:avLst/>
                                </a:prstGeom>
                              </pic:spPr>
                            </pic:pic>
                          </a:graphicData>
                        </a:graphic>
                      </wp:inline>
                    </w:drawing>
                  </w:r>
                </w:p>
              </w:tc>
            </w:tr>
          </w:sdtContent>
        </w:sdt>
      </w:sdtContent>
    </w:sdt>
  </w:tbl>
  <w:p w14:paraId="50807A60" w14:textId="77777777" w:rsidR="00C177A5" w:rsidRPr="005723C8" w:rsidRDefault="00C177A5" w:rsidP="005723C8">
    <w:pPr>
      <w:pStyle w:val="Footer"/>
      <w:tabs>
        <w:tab w:val="right" w:pos="7371"/>
      </w:tabs>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6880B" w14:textId="77777777" w:rsidR="00202D49" w:rsidRDefault="00202D49" w:rsidP="00D96C1E">
      <w:r>
        <w:separator/>
      </w:r>
    </w:p>
    <w:p w14:paraId="412DC4C5" w14:textId="77777777" w:rsidR="00202D49" w:rsidRDefault="00202D49" w:rsidP="00D96C1E"/>
  </w:footnote>
  <w:footnote w:type="continuationSeparator" w:id="0">
    <w:p w14:paraId="74F90887" w14:textId="77777777" w:rsidR="00202D49" w:rsidRDefault="00202D49" w:rsidP="00D96C1E">
      <w:r>
        <w:continuationSeparator/>
      </w:r>
    </w:p>
    <w:p w14:paraId="10C9201A" w14:textId="77777777" w:rsidR="00202D49" w:rsidRDefault="00202D49" w:rsidP="00D96C1E"/>
  </w:footnote>
  <w:footnote w:type="continuationNotice" w:id="1">
    <w:p w14:paraId="723D3CCC" w14:textId="77777777" w:rsidR="00202D49" w:rsidRDefault="00202D4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98CB7" w14:textId="77777777" w:rsidR="00C177A5" w:rsidRPr="00644924" w:rsidRDefault="00C177A5" w:rsidP="00644924">
    <w:r>
      <w:rPr>
        <w:noProof/>
      </w:rPr>
      <w:drawing>
        <wp:anchor distT="0" distB="0" distL="114300" distR="114300" simplePos="0" relativeHeight="251658240" behindDoc="1" locked="0" layoutInCell="1" allowOverlap="1" wp14:anchorId="7E921E82" wp14:editId="2B1930AF">
          <wp:simplePos x="0" y="0"/>
          <wp:positionH relativeFrom="page">
            <wp:align>left</wp:align>
          </wp:positionH>
          <wp:positionV relativeFrom="page">
            <wp:align>top</wp:align>
          </wp:positionV>
          <wp:extent cx="10684798" cy="755940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10684798" cy="7559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92EB" w14:textId="77777777" w:rsidR="00C177A5" w:rsidRDefault="00C177A5" w:rsidP="0060555E">
    <w:r>
      <w:rPr>
        <w:noProof/>
      </w:rPr>
      <w:drawing>
        <wp:anchor distT="0" distB="0" distL="114300" distR="114300" simplePos="0" relativeHeight="251658241" behindDoc="1" locked="1" layoutInCell="1" allowOverlap="1" wp14:anchorId="686B4BB6" wp14:editId="73E9C671">
          <wp:simplePos x="0" y="0"/>
          <wp:positionH relativeFrom="page">
            <wp:align>left</wp:align>
          </wp:positionH>
          <wp:positionV relativeFrom="page">
            <wp:align>top</wp:align>
          </wp:positionV>
          <wp:extent cx="7560000" cy="10684800"/>
          <wp:effectExtent l="0" t="0" r="3175" b="254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PR Corporate A4 Reports V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3F30" w14:textId="77777777" w:rsidR="00C177A5" w:rsidRDefault="00C177A5" w:rsidP="00F821D9">
    <w:pPr>
      <w:rPr>
        <w:color w:val="auto"/>
        <w:sz w:val="20"/>
      </w:rPr>
    </w:pPr>
    <w:r>
      <w:rPr>
        <w:noProof/>
        <w:color w:val="auto"/>
        <w:sz w:val="20"/>
      </w:rPr>
      <w:drawing>
        <wp:anchor distT="0" distB="0" distL="114300" distR="114300" simplePos="0" relativeHeight="251658243" behindDoc="1" locked="1" layoutInCell="1" allowOverlap="1" wp14:anchorId="37F84DB5" wp14:editId="35A07789">
          <wp:simplePos x="0" y="0"/>
          <wp:positionH relativeFrom="page">
            <wp:align>center</wp:align>
          </wp:positionH>
          <wp:positionV relativeFrom="page">
            <wp:posOffset>180340</wp:posOffset>
          </wp:positionV>
          <wp:extent cx="7203600" cy="324000"/>
          <wp:effectExtent l="0" t="0" r="0" b="0"/>
          <wp:wrapNone/>
          <wp:docPr id="133" name="Picture 1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1BDB8C" w14:textId="77777777" w:rsidR="00C177A5" w:rsidRDefault="00C177A5" w:rsidP="00F821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A4F5" w14:textId="77777777" w:rsidR="00C177A5" w:rsidRDefault="00C177A5" w:rsidP="00687E64">
    <w:pPr>
      <w:rPr>
        <w:color w:val="auto"/>
        <w:sz w:val="20"/>
      </w:rPr>
    </w:pPr>
    <w:r>
      <w:rPr>
        <w:noProof/>
        <w:color w:val="auto"/>
        <w:sz w:val="20"/>
      </w:rPr>
      <w:drawing>
        <wp:anchor distT="0" distB="0" distL="114300" distR="114300" simplePos="0" relativeHeight="251658242" behindDoc="1" locked="1" layoutInCell="1" allowOverlap="1" wp14:anchorId="0B43FC35" wp14:editId="01AF33CF">
          <wp:simplePos x="0" y="0"/>
          <wp:positionH relativeFrom="page">
            <wp:align>center</wp:align>
          </wp:positionH>
          <wp:positionV relativeFrom="page">
            <wp:posOffset>180340</wp:posOffset>
          </wp:positionV>
          <wp:extent cx="7203600" cy="324000"/>
          <wp:effectExtent l="0" t="0" r="0" b="0"/>
          <wp:wrapNone/>
          <wp:docPr id="131" name="Picture 1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A4 Report Portrait Follower.png"/>
                  <pic:cNvPicPr/>
                </pic:nvPicPr>
                <pic:blipFill rotWithShape="1">
                  <a:blip r:embed="rId1">
                    <a:extLst>
                      <a:ext uri="{28A0092B-C50C-407E-A947-70E740481C1C}">
                        <a14:useLocalDpi xmlns:a14="http://schemas.microsoft.com/office/drawing/2010/main" val="0"/>
                      </a:ext>
                    </a:extLst>
                  </a:blip>
                  <a:srcRect t="35455"/>
                  <a:stretch/>
                </pic:blipFill>
                <pic:spPr bwMode="auto">
                  <a:xfrm>
                    <a:off x="0" y="0"/>
                    <a:ext cx="7203600" cy="32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DF084B" w14:textId="77777777" w:rsidR="00C177A5" w:rsidRDefault="00C177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2DF8"/>
    <w:multiLevelType w:val="hybridMultilevel"/>
    <w:tmpl w:val="5B5C30E0"/>
    <w:lvl w:ilvl="0" w:tplc="0C090019">
      <w:start w:val="1"/>
      <w:numFmt w:val="lowerLetter"/>
      <w:lvlText w:val="%1."/>
      <w:lvlJc w:val="left"/>
      <w:pPr>
        <w:ind w:left="1080" w:hanging="360"/>
      </w:pPr>
      <w:rPr>
        <w:rFonts w:hint="default"/>
      </w:rPr>
    </w:lvl>
    <w:lvl w:ilvl="1" w:tplc="0C090019">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 w15:restartNumberingAfterBreak="0">
    <w:nsid w:val="17420105"/>
    <w:multiLevelType w:val="hybridMultilevel"/>
    <w:tmpl w:val="A3DE29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30A33FE"/>
    <w:multiLevelType w:val="hybridMultilevel"/>
    <w:tmpl w:val="B68A3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0123AA"/>
    <w:multiLevelType w:val="hybridMultilevel"/>
    <w:tmpl w:val="EBB054F6"/>
    <w:lvl w:ilvl="0" w:tplc="D6B0C102">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410E7A21"/>
    <w:multiLevelType w:val="hybridMultilevel"/>
    <w:tmpl w:val="9188A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3F1F0A"/>
    <w:multiLevelType w:val="hybridMultilevel"/>
    <w:tmpl w:val="F6B65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62465E"/>
    <w:multiLevelType w:val="hybridMultilevel"/>
    <w:tmpl w:val="9078D7B0"/>
    <w:lvl w:ilvl="0" w:tplc="2194A7E2">
      <w:start w:val="1"/>
      <w:numFmt w:val="lowerLetter"/>
      <w:lvlText w:val="%1."/>
      <w:lvlJc w:val="left"/>
      <w:pPr>
        <w:ind w:left="1080" w:hanging="360"/>
      </w:pPr>
      <w:rPr>
        <w:rFonts w:hint="default"/>
        <w:b w:val="0"/>
        <w:bCs/>
      </w:rPr>
    </w:lvl>
    <w:lvl w:ilvl="1" w:tplc="0C090019">
      <w:start w:val="1"/>
      <w:numFmt w:val="lowerLetter"/>
      <w:lvlText w:val="%2."/>
      <w:lvlJc w:val="left"/>
      <w:pPr>
        <w:ind w:left="1876" w:hanging="360"/>
      </w:pPr>
    </w:lvl>
    <w:lvl w:ilvl="2" w:tplc="0C09001B" w:tentative="1">
      <w:start w:val="1"/>
      <w:numFmt w:val="lowerRoman"/>
      <w:lvlText w:val="%3."/>
      <w:lvlJc w:val="right"/>
      <w:pPr>
        <w:ind w:left="2596" w:hanging="180"/>
      </w:p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8" w15:restartNumberingAfterBreak="0">
    <w:nsid w:val="65E01251"/>
    <w:multiLevelType w:val="hybridMultilevel"/>
    <w:tmpl w:val="AFDE5F8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90542F2"/>
    <w:multiLevelType w:val="multilevel"/>
    <w:tmpl w:val="6B5039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9"/>
  </w:num>
  <w:num w:numId="3">
    <w:abstractNumId w:val="3"/>
  </w:num>
  <w:num w:numId="4">
    <w:abstractNumId w:val="8"/>
  </w:num>
  <w:num w:numId="5">
    <w:abstractNumId w:val="0"/>
  </w:num>
  <w:num w:numId="6">
    <w:abstractNumId w:val="4"/>
  </w:num>
  <w:num w:numId="7">
    <w:abstractNumId w:val="7"/>
  </w:num>
  <w:num w:numId="8">
    <w:abstractNumId w:val="5"/>
  </w:num>
  <w:num w:numId="9">
    <w:abstractNumId w:val="1"/>
  </w:num>
  <w:num w:numId="10">
    <w:abstractNumId w:val="2"/>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C2A"/>
    <w:rsid w:val="000056BA"/>
    <w:rsid w:val="0000762E"/>
    <w:rsid w:val="00034053"/>
    <w:rsid w:val="0003623D"/>
    <w:rsid w:val="0004322F"/>
    <w:rsid w:val="00043BBD"/>
    <w:rsid w:val="00044DC5"/>
    <w:rsid w:val="00060302"/>
    <w:rsid w:val="000636CE"/>
    <w:rsid w:val="000664EC"/>
    <w:rsid w:val="00070516"/>
    <w:rsid w:val="000809CD"/>
    <w:rsid w:val="00083F3A"/>
    <w:rsid w:val="00095671"/>
    <w:rsid w:val="000A2000"/>
    <w:rsid w:val="000B2BD7"/>
    <w:rsid w:val="000B5CE2"/>
    <w:rsid w:val="000B7105"/>
    <w:rsid w:val="000E39A7"/>
    <w:rsid w:val="000F0296"/>
    <w:rsid w:val="000F3AB2"/>
    <w:rsid w:val="000F7643"/>
    <w:rsid w:val="00106B24"/>
    <w:rsid w:val="001266CB"/>
    <w:rsid w:val="00133F06"/>
    <w:rsid w:val="00135B6F"/>
    <w:rsid w:val="001410ED"/>
    <w:rsid w:val="001417FE"/>
    <w:rsid w:val="001441F4"/>
    <w:rsid w:val="00152EB9"/>
    <w:rsid w:val="00154741"/>
    <w:rsid w:val="001575E7"/>
    <w:rsid w:val="00162799"/>
    <w:rsid w:val="00162CEF"/>
    <w:rsid w:val="00164024"/>
    <w:rsid w:val="00164461"/>
    <w:rsid w:val="00164987"/>
    <w:rsid w:val="00166869"/>
    <w:rsid w:val="00167CD4"/>
    <w:rsid w:val="001774D2"/>
    <w:rsid w:val="00181199"/>
    <w:rsid w:val="001858C2"/>
    <w:rsid w:val="00186B61"/>
    <w:rsid w:val="00187CBA"/>
    <w:rsid w:val="00190A16"/>
    <w:rsid w:val="001A653B"/>
    <w:rsid w:val="001D624F"/>
    <w:rsid w:val="001F0A49"/>
    <w:rsid w:val="001F3D55"/>
    <w:rsid w:val="001F76F6"/>
    <w:rsid w:val="001F7FE5"/>
    <w:rsid w:val="00202D49"/>
    <w:rsid w:val="002031E4"/>
    <w:rsid w:val="00205C60"/>
    <w:rsid w:val="0021262D"/>
    <w:rsid w:val="00213285"/>
    <w:rsid w:val="00214165"/>
    <w:rsid w:val="0022061D"/>
    <w:rsid w:val="00240644"/>
    <w:rsid w:val="00247333"/>
    <w:rsid w:val="002541E8"/>
    <w:rsid w:val="00270CB2"/>
    <w:rsid w:val="00275C41"/>
    <w:rsid w:val="00277A1E"/>
    <w:rsid w:val="002848F0"/>
    <w:rsid w:val="00291E1C"/>
    <w:rsid w:val="00292254"/>
    <w:rsid w:val="00293D03"/>
    <w:rsid w:val="00294079"/>
    <w:rsid w:val="00294DCD"/>
    <w:rsid w:val="002A56CF"/>
    <w:rsid w:val="002A72B2"/>
    <w:rsid w:val="002B0A79"/>
    <w:rsid w:val="002B38ED"/>
    <w:rsid w:val="002B5841"/>
    <w:rsid w:val="002C2F1F"/>
    <w:rsid w:val="002D1F76"/>
    <w:rsid w:val="002E04F8"/>
    <w:rsid w:val="002E3C2C"/>
    <w:rsid w:val="00300D80"/>
    <w:rsid w:val="00311E13"/>
    <w:rsid w:val="003219ED"/>
    <w:rsid w:val="00322AE7"/>
    <w:rsid w:val="003358F0"/>
    <w:rsid w:val="0034620F"/>
    <w:rsid w:val="00353D57"/>
    <w:rsid w:val="003603BD"/>
    <w:rsid w:val="003628E3"/>
    <w:rsid w:val="00375F08"/>
    <w:rsid w:val="0038297E"/>
    <w:rsid w:val="00391A43"/>
    <w:rsid w:val="0039423C"/>
    <w:rsid w:val="003B0708"/>
    <w:rsid w:val="003B093E"/>
    <w:rsid w:val="003B31C0"/>
    <w:rsid w:val="003B37BD"/>
    <w:rsid w:val="003B4F2D"/>
    <w:rsid w:val="003C0941"/>
    <w:rsid w:val="003C2409"/>
    <w:rsid w:val="003C5782"/>
    <w:rsid w:val="003D44AD"/>
    <w:rsid w:val="003E55B0"/>
    <w:rsid w:val="003E690A"/>
    <w:rsid w:val="003E73DE"/>
    <w:rsid w:val="003E746F"/>
    <w:rsid w:val="003F3BE8"/>
    <w:rsid w:val="00412227"/>
    <w:rsid w:val="00421E8D"/>
    <w:rsid w:val="00422F1C"/>
    <w:rsid w:val="00431CED"/>
    <w:rsid w:val="00435FCF"/>
    <w:rsid w:val="004368D2"/>
    <w:rsid w:val="004371F6"/>
    <w:rsid w:val="00440DF0"/>
    <w:rsid w:val="00442A35"/>
    <w:rsid w:val="00443553"/>
    <w:rsid w:val="004464C4"/>
    <w:rsid w:val="004477B6"/>
    <w:rsid w:val="00456170"/>
    <w:rsid w:val="004602BE"/>
    <w:rsid w:val="004621A0"/>
    <w:rsid w:val="0047003A"/>
    <w:rsid w:val="00474D13"/>
    <w:rsid w:val="004837F1"/>
    <w:rsid w:val="004959AC"/>
    <w:rsid w:val="004A147F"/>
    <w:rsid w:val="004A2C57"/>
    <w:rsid w:val="004A36FD"/>
    <w:rsid w:val="004B3C74"/>
    <w:rsid w:val="004B3FC2"/>
    <w:rsid w:val="004C5942"/>
    <w:rsid w:val="004C703C"/>
    <w:rsid w:val="004D653B"/>
    <w:rsid w:val="004E32B2"/>
    <w:rsid w:val="004E4C95"/>
    <w:rsid w:val="004F10C7"/>
    <w:rsid w:val="004F1E91"/>
    <w:rsid w:val="004F30BD"/>
    <w:rsid w:val="005001F0"/>
    <w:rsid w:val="00500D99"/>
    <w:rsid w:val="00506A93"/>
    <w:rsid w:val="005104E6"/>
    <w:rsid w:val="005163FE"/>
    <w:rsid w:val="005236FA"/>
    <w:rsid w:val="005257C6"/>
    <w:rsid w:val="005276EB"/>
    <w:rsid w:val="00527F4D"/>
    <w:rsid w:val="00530F83"/>
    <w:rsid w:val="00535D6A"/>
    <w:rsid w:val="00537F3D"/>
    <w:rsid w:val="00550987"/>
    <w:rsid w:val="005565C5"/>
    <w:rsid w:val="005656A1"/>
    <w:rsid w:val="005723C8"/>
    <w:rsid w:val="00585115"/>
    <w:rsid w:val="005915D9"/>
    <w:rsid w:val="00591895"/>
    <w:rsid w:val="005A6D9F"/>
    <w:rsid w:val="005B0813"/>
    <w:rsid w:val="005B53E1"/>
    <w:rsid w:val="005C0A59"/>
    <w:rsid w:val="005D4B13"/>
    <w:rsid w:val="005E284D"/>
    <w:rsid w:val="005F655D"/>
    <w:rsid w:val="005F66C6"/>
    <w:rsid w:val="005F6CE7"/>
    <w:rsid w:val="00604D7C"/>
    <w:rsid w:val="0060555E"/>
    <w:rsid w:val="00606B6E"/>
    <w:rsid w:val="00607F8D"/>
    <w:rsid w:val="006202B7"/>
    <w:rsid w:val="00625114"/>
    <w:rsid w:val="006428B9"/>
    <w:rsid w:val="00644924"/>
    <w:rsid w:val="0064636E"/>
    <w:rsid w:val="00647136"/>
    <w:rsid w:val="00660456"/>
    <w:rsid w:val="006664B6"/>
    <w:rsid w:val="00677E57"/>
    <w:rsid w:val="00687148"/>
    <w:rsid w:val="00687E64"/>
    <w:rsid w:val="006905F9"/>
    <w:rsid w:val="00696044"/>
    <w:rsid w:val="00696640"/>
    <w:rsid w:val="006A2FFA"/>
    <w:rsid w:val="006A4825"/>
    <w:rsid w:val="006A503A"/>
    <w:rsid w:val="006A6607"/>
    <w:rsid w:val="006B778A"/>
    <w:rsid w:val="006C0F74"/>
    <w:rsid w:val="006C3BAF"/>
    <w:rsid w:val="006C7DEC"/>
    <w:rsid w:val="006E6885"/>
    <w:rsid w:val="006F01F2"/>
    <w:rsid w:val="006F0E7E"/>
    <w:rsid w:val="006F0ECE"/>
    <w:rsid w:val="006F1AA2"/>
    <w:rsid w:val="006F6135"/>
    <w:rsid w:val="006F6E52"/>
    <w:rsid w:val="00700B64"/>
    <w:rsid w:val="00704AF9"/>
    <w:rsid w:val="00707F05"/>
    <w:rsid w:val="00710763"/>
    <w:rsid w:val="00720471"/>
    <w:rsid w:val="00720991"/>
    <w:rsid w:val="0072425B"/>
    <w:rsid w:val="00724531"/>
    <w:rsid w:val="00730369"/>
    <w:rsid w:val="00734911"/>
    <w:rsid w:val="007360AC"/>
    <w:rsid w:val="00740629"/>
    <w:rsid w:val="007431E7"/>
    <w:rsid w:val="007444DD"/>
    <w:rsid w:val="00747C75"/>
    <w:rsid w:val="00751EED"/>
    <w:rsid w:val="007646AA"/>
    <w:rsid w:val="00770803"/>
    <w:rsid w:val="00771777"/>
    <w:rsid w:val="00773231"/>
    <w:rsid w:val="00782C92"/>
    <w:rsid w:val="007921D5"/>
    <w:rsid w:val="007B4719"/>
    <w:rsid w:val="007C1287"/>
    <w:rsid w:val="007D40B8"/>
    <w:rsid w:val="007E01B3"/>
    <w:rsid w:val="008027EC"/>
    <w:rsid w:val="00805E7C"/>
    <w:rsid w:val="00813B2E"/>
    <w:rsid w:val="00814984"/>
    <w:rsid w:val="008151D9"/>
    <w:rsid w:val="00821D06"/>
    <w:rsid w:val="00830467"/>
    <w:rsid w:val="00850AD0"/>
    <w:rsid w:val="00854053"/>
    <w:rsid w:val="00855D60"/>
    <w:rsid w:val="008571B4"/>
    <w:rsid w:val="00863C2A"/>
    <w:rsid w:val="00864B2F"/>
    <w:rsid w:val="0086526A"/>
    <w:rsid w:val="0087121B"/>
    <w:rsid w:val="008730BD"/>
    <w:rsid w:val="00892F06"/>
    <w:rsid w:val="008C3E15"/>
    <w:rsid w:val="008D72D6"/>
    <w:rsid w:val="008E34C0"/>
    <w:rsid w:val="008E45EE"/>
    <w:rsid w:val="008E4A82"/>
    <w:rsid w:val="008F6252"/>
    <w:rsid w:val="00907F21"/>
    <w:rsid w:val="00911DFE"/>
    <w:rsid w:val="00913117"/>
    <w:rsid w:val="00914E64"/>
    <w:rsid w:val="00916909"/>
    <w:rsid w:val="00921A00"/>
    <w:rsid w:val="0093205D"/>
    <w:rsid w:val="009324C3"/>
    <w:rsid w:val="00942086"/>
    <w:rsid w:val="009437C7"/>
    <w:rsid w:val="00961C45"/>
    <w:rsid w:val="00961E35"/>
    <w:rsid w:val="00965A99"/>
    <w:rsid w:val="00965E6E"/>
    <w:rsid w:val="00974135"/>
    <w:rsid w:val="0097488B"/>
    <w:rsid w:val="009749A5"/>
    <w:rsid w:val="00975F0E"/>
    <w:rsid w:val="00983FCB"/>
    <w:rsid w:val="00985CCF"/>
    <w:rsid w:val="009960AA"/>
    <w:rsid w:val="009B079D"/>
    <w:rsid w:val="009C2EAA"/>
    <w:rsid w:val="009D13CD"/>
    <w:rsid w:val="009D44FC"/>
    <w:rsid w:val="009E0B3D"/>
    <w:rsid w:val="009E2D7A"/>
    <w:rsid w:val="009E692C"/>
    <w:rsid w:val="00A013D3"/>
    <w:rsid w:val="00A0687D"/>
    <w:rsid w:val="00A07DF2"/>
    <w:rsid w:val="00A11752"/>
    <w:rsid w:val="00A1590C"/>
    <w:rsid w:val="00A17119"/>
    <w:rsid w:val="00A22F97"/>
    <w:rsid w:val="00A34096"/>
    <w:rsid w:val="00A40738"/>
    <w:rsid w:val="00A41701"/>
    <w:rsid w:val="00A41A0F"/>
    <w:rsid w:val="00A43558"/>
    <w:rsid w:val="00A465E3"/>
    <w:rsid w:val="00A52815"/>
    <w:rsid w:val="00A529EA"/>
    <w:rsid w:val="00A6196F"/>
    <w:rsid w:val="00A94CD5"/>
    <w:rsid w:val="00AA44D7"/>
    <w:rsid w:val="00AB0F10"/>
    <w:rsid w:val="00AB1D65"/>
    <w:rsid w:val="00AB2E25"/>
    <w:rsid w:val="00AD211E"/>
    <w:rsid w:val="00AD7309"/>
    <w:rsid w:val="00AE6758"/>
    <w:rsid w:val="00AF152C"/>
    <w:rsid w:val="00B14DDB"/>
    <w:rsid w:val="00B3160B"/>
    <w:rsid w:val="00B33D08"/>
    <w:rsid w:val="00B349EC"/>
    <w:rsid w:val="00B5046E"/>
    <w:rsid w:val="00B62A2A"/>
    <w:rsid w:val="00B63B43"/>
    <w:rsid w:val="00B71016"/>
    <w:rsid w:val="00B83FEC"/>
    <w:rsid w:val="00B863CD"/>
    <w:rsid w:val="00B938A7"/>
    <w:rsid w:val="00B93FD6"/>
    <w:rsid w:val="00B97001"/>
    <w:rsid w:val="00B973EE"/>
    <w:rsid w:val="00BA27E9"/>
    <w:rsid w:val="00BA390F"/>
    <w:rsid w:val="00BA70A6"/>
    <w:rsid w:val="00BC4ABE"/>
    <w:rsid w:val="00BC4B89"/>
    <w:rsid w:val="00BE131F"/>
    <w:rsid w:val="00BF2BA6"/>
    <w:rsid w:val="00BF533D"/>
    <w:rsid w:val="00C003C2"/>
    <w:rsid w:val="00C122E4"/>
    <w:rsid w:val="00C177A5"/>
    <w:rsid w:val="00C611BE"/>
    <w:rsid w:val="00C61F44"/>
    <w:rsid w:val="00C63BDC"/>
    <w:rsid w:val="00C73282"/>
    <w:rsid w:val="00C80E10"/>
    <w:rsid w:val="00C829C6"/>
    <w:rsid w:val="00C83E7A"/>
    <w:rsid w:val="00C969A8"/>
    <w:rsid w:val="00CA59D5"/>
    <w:rsid w:val="00CB4A0F"/>
    <w:rsid w:val="00CB73CA"/>
    <w:rsid w:val="00CC72D9"/>
    <w:rsid w:val="00CD7E6A"/>
    <w:rsid w:val="00CE520B"/>
    <w:rsid w:val="00CE7E53"/>
    <w:rsid w:val="00CF3770"/>
    <w:rsid w:val="00CF4BB2"/>
    <w:rsid w:val="00CF6EB4"/>
    <w:rsid w:val="00D120F8"/>
    <w:rsid w:val="00D229B5"/>
    <w:rsid w:val="00D308D4"/>
    <w:rsid w:val="00D651F4"/>
    <w:rsid w:val="00D729FA"/>
    <w:rsid w:val="00D76844"/>
    <w:rsid w:val="00D8542D"/>
    <w:rsid w:val="00D96C1E"/>
    <w:rsid w:val="00DA0941"/>
    <w:rsid w:val="00DA5E97"/>
    <w:rsid w:val="00DA6EFC"/>
    <w:rsid w:val="00DB0DED"/>
    <w:rsid w:val="00DB1E27"/>
    <w:rsid w:val="00DB26D5"/>
    <w:rsid w:val="00DC4912"/>
    <w:rsid w:val="00DD6894"/>
    <w:rsid w:val="00DE58F3"/>
    <w:rsid w:val="00DE5D59"/>
    <w:rsid w:val="00DE623C"/>
    <w:rsid w:val="00DF6190"/>
    <w:rsid w:val="00DF7534"/>
    <w:rsid w:val="00E017A7"/>
    <w:rsid w:val="00E02831"/>
    <w:rsid w:val="00E06D21"/>
    <w:rsid w:val="00E10C62"/>
    <w:rsid w:val="00E2142B"/>
    <w:rsid w:val="00E22A18"/>
    <w:rsid w:val="00E25444"/>
    <w:rsid w:val="00E31E09"/>
    <w:rsid w:val="00E354A3"/>
    <w:rsid w:val="00E42772"/>
    <w:rsid w:val="00E45D83"/>
    <w:rsid w:val="00E5567F"/>
    <w:rsid w:val="00E57C8F"/>
    <w:rsid w:val="00E72A0D"/>
    <w:rsid w:val="00E806E9"/>
    <w:rsid w:val="00E83C73"/>
    <w:rsid w:val="00E85CDC"/>
    <w:rsid w:val="00EA650F"/>
    <w:rsid w:val="00EB1F33"/>
    <w:rsid w:val="00EB2544"/>
    <w:rsid w:val="00EB4BA0"/>
    <w:rsid w:val="00EB5CE6"/>
    <w:rsid w:val="00EC6256"/>
    <w:rsid w:val="00ED5C66"/>
    <w:rsid w:val="00ED7FC5"/>
    <w:rsid w:val="00EE00A0"/>
    <w:rsid w:val="00EE1B46"/>
    <w:rsid w:val="00EE1BC7"/>
    <w:rsid w:val="00EE2324"/>
    <w:rsid w:val="00EF74B4"/>
    <w:rsid w:val="00F06025"/>
    <w:rsid w:val="00F10CF2"/>
    <w:rsid w:val="00F17FFC"/>
    <w:rsid w:val="00F30E42"/>
    <w:rsid w:val="00F431E4"/>
    <w:rsid w:val="00F4526C"/>
    <w:rsid w:val="00F45D9E"/>
    <w:rsid w:val="00F55364"/>
    <w:rsid w:val="00F6168E"/>
    <w:rsid w:val="00F67529"/>
    <w:rsid w:val="00F732CD"/>
    <w:rsid w:val="00F821D9"/>
    <w:rsid w:val="00F824C0"/>
    <w:rsid w:val="00F82CEB"/>
    <w:rsid w:val="00F86B42"/>
    <w:rsid w:val="00F9423E"/>
    <w:rsid w:val="00F973F3"/>
    <w:rsid w:val="00FA2EDF"/>
    <w:rsid w:val="00FB0DEA"/>
    <w:rsid w:val="00FB11D1"/>
    <w:rsid w:val="00FB5F7E"/>
    <w:rsid w:val="00FE0570"/>
    <w:rsid w:val="00FE13BF"/>
    <w:rsid w:val="00FE5BB6"/>
    <w:rsid w:val="00FF03FE"/>
    <w:rsid w:val="00FF2D2B"/>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2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iPriority="0" w:unhideWhenUsed="1"/>
    <w:lsdException w:name="Strong" w:locked="0"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42772"/>
    <w:pPr>
      <w:spacing w:before="120" w:line="240" w:lineRule="auto"/>
    </w:pPr>
    <w:rPr>
      <w:rFonts w:ascii="Arial" w:eastAsia="Times New Roman" w:hAnsi="Arial" w:cs="Times New Roman"/>
      <w:color w:val="53565A" w:themeColor="accent2"/>
      <w:sz w:val="18"/>
      <w:szCs w:val="20"/>
    </w:rPr>
  </w:style>
  <w:style w:type="paragraph" w:styleId="Heading1">
    <w:name w:val="heading 1"/>
    <w:basedOn w:val="Normal"/>
    <w:next w:val="Normal"/>
    <w:link w:val="Heading1Char"/>
    <w:uiPriority w:val="9"/>
    <w:qFormat/>
    <w:rsid w:val="00550987"/>
    <w:pPr>
      <w:keepNext/>
      <w:keepLines/>
      <w:numPr>
        <w:numId w:val="2"/>
      </w:numPr>
      <w:spacing w:before="520" w:after="480"/>
      <w:outlineLvl w:val="0"/>
    </w:pPr>
    <w:rPr>
      <w:b/>
      <w:bCs/>
      <w:color w:val="100249" w:themeColor="accent4"/>
      <w:sz w:val="36"/>
      <w:szCs w:val="32"/>
    </w:rPr>
  </w:style>
  <w:style w:type="paragraph" w:styleId="Heading2">
    <w:name w:val="heading 2"/>
    <w:basedOn w:val="Normal"/>
    <w:next w:val="Normal"/>
    <w:link w:val="Heading2Char"/>
    <w:uiPriority w:val="9"/>
    <w:qFormat/>
    <w:rsid w:val="00E42772"/>
    <w:pPr>
      <w:keepNext/>
      <w:keepLines/>
      <w:numPr>
        <w:ilvl w:val="1"/>
        <w:numId w:val="2"/>
      </w:numPr>
      <w:spacing w:before="400"/>
      <w:outlineLvl w:val="1"/>
    </w:pPr>
    <w:rPr>
      <w:bCs/>
      <w:color w:val="62BB46" w:themeColor="accent3"/>
      <w:sz w:val="28"/>
      <w:szCs w:val="26"/>
    </w:rPr>
  </w:style>
  <w:style w:type="paragraph" w:styleId="Heading3">
    <w:name w:val="heading 3"/>
    <w:basedOn w:val="Normal"/>
    <w:next w:val="Normal"/>
    <w:link w:val="Heading3Char"/>
    <w:uiPriority w:val="9"/>
    <w:qFormat/>
    <w:rsid w:val="00D229B5"/>
    <w:pPr>
      <w:keepNext/>
      <w:keepLines/>
      <w:numPr>
        <w:ilvl w:val="2"/>
        <w:numId w:val="2"/>
      </w:numPr>
      <w:spacing w:after="120"/>
      <w:outlineLvl w:val="2"/>
    </w:pPr>
    <w:rPr>
      <w:b/>
      <w:bCs/>
      <w:color w:val="100249" w:themeColor="accent4"/>
      <w:sz w:val="22"/>
    </w:rPr>
  </w:style>
  <w:style w:type="paragraph" w:styleId="Heading4">
    <w:name w:val="heading 4"/>
    <w:basedOn w:val="Normal"/>
    <w:next w:val="Normal"/>
    <w:link w:val="Heading4Char"/>
    <w:uiPriority w:val="9"/>
    <w:unhideWhenUsed/>
    <w:rsid w:val="00164024"/>
    <w:pPr>
      <w:keepNext/>
      <w:keepLines/>
      <w:numPr>
        <w:ilvl w:val="3"/>
        <w:numId w:val="2"/>
      </w:numPr>
      <w:spacing w:before="280" w:after="0"/>
      <w:ind w:left="862" w:hanging="862"/>
      <w:outlineLvl w:val="3"/>
    </w:pPr>
    <w:rPr>
      <w:rFonts w:eastAsiaTheme="majorEastAsia" w:cstheme="majorBidi"/>
      <w:b/>
      <w:bCs/>
      <w:iCs/>
      <w:color w:val="100249" w:themeColor="accent4"/>
    </w:rPr>
  </w:style>
  <w:style w:type="paragraph" w:styleId="Heading5">
    <w:name w:val="heading 5"/>
    <w:basedOn w:val="Normal"/>
    <w:next w:val="Normal"/>
    <w:link w:val="Heading5Char"/>
    <w:uiPriority w:val="9"/>
    <w:unhideWhenUsed/>
    <w:locked/>
    <w:rsid w:val="00892F06"/>
    <w:pPr>
      <w:keepNext/>
      <w:keepLines/>
      <w:numPr>
        <w:ilvl w:val="4"/>
        <w:numId w:val="2"/>
      </w:numPr>
      <w:spacing w:before="280" w:after="0"/>
      <w:ind w:left="1009" w:hanging="1009"/>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locked/>
    <w:rsid w:val="00DB0DED"/>
    <w:pPr>
      <w:keepNext/>
      <w:keepLines/>
      <w:numPr>
        <w:ilvl w:val="5"/>
        <w:numId w:val="2"/>
      </w:numPr>
      <w:spacing w:before="200" w:after="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qFormat/>
    <w:locked/>
    <w:rsid w:val="00DB0DE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DB0DED"/>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DB0DED"/>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0987"/>
    <w:rPr>
      <w:rFonts w:ascii="Arial" w:eastAsia="Times New Roman" w:hAnsi="Arial" w:cs="Times New Roman"/>
      <w:b/>
      <w:bCs/>
      <w:color w:val="100249" w:themeColor="accent4"/>
      <w:sz w:val="36"/>
      <w:szCs w:val="32"/>
    </w:rPr>
  </w:style>
  <w:style w:type="character" w:customStyle="1" w:styleId="Heading2Char">
    <w:name w:val="Heading 2 Char"/>
    <w:basedOn w:val="DefaultParagraphFont"/>
    <w:link w:val="Heading2"/>
    <w:uiPriority w:val="9"/>
    <w:rsid w:val="00E42772"/>
    <w:rPr>
      <w:rFonts w:ascii="Arial" w:eastAsia="Times New Roman" w:hAnsi="Arial" w:cs="Times New Roman"/>
      <w:bCs/>
      <w:color w:val="62BB46" w:themeColor="accent3"/>
      <w:sz w:val="28"/>
      <w:szCs w:val="26"/>
    </w:rPr>
  </w:style>
  <w:style w:type="character" w:customStyle="1" w:styleId="Heading3Char">
    <w:name w:val="Heading 3 Char"/>
    <w:basedOn w:val="DefaultParagraphFont"/>
    <w:link w:val="Heading3"/>
    <w:uiPriority w:val="9"/>
    <w:rsid w:val="00D229B5"/>
    <w:rPr>
      <w:rFonts w:ascii="Arial" w:eastAsia="Times New Roman" w:hAnsi="Arial" w:cs="Times New Roman"/>
      <w:b/>
      <w:bCs/>
      <w:color w:val="100249" w:themeColor="accent4"/>
      <w:szCs w:val="20"/>
    </w:rPr>
  </w:style>
  <w:style w:type="character" w:styleId="FollowedHyperlink">
    <w:name w:val="FollowedHyperlink"/>
    <w:basedOn w:val="DefaultParagraphFont"/>
    <w:semiHidden/>
    <w:unhideWhenUsed/>
    <w:locked/>
    <w:rsid w:val="004F10C7"/>
    <w:rPr>
      <w:color w:val="78BE20"/>
      <w:u w:val="single"/>
    </w:rPr>
  </w:style>
  <w:style w:type="paragraph" w:styleId="Footer">
    <w:name w:val="footer"/>
    <w:basedOn w:val="Normal"/>
    <w:link w:val="FooterChar"/>
    <w:uiPriority w:val="99"/>
    <w:rsid w:val="00FB0DEA"/>
    <w:pPr>
      <w:tabs>
        <w:tab w:val="right" w:pos="14570"/>
      </w:tabs>
    </w:pPr>
    <w:rPr>
      <w:color w:val="201547"/>
      <w:sz w:val="16"/>
      <w:szCs w:val="16"/>
    </w:rPr>
  </w:style>
  <w:style w:type="character" w:customStyle="1" w:styleId="FooterChar">
    <w:name w:val="Footer Char"/>
    <w:basedOn w:val="DefaultParagraphFont"/>
    <w:link w:val="Footer"/>
    <w:uiPriority w:val="99"/>
    <w:rsid w:val="00FB0DEA"/>
    <w:rPr>
      <w:rFonts w:ascii="Arial" w:eastAsia="Times New Roman" w:hAnsi="Arial" w:cs="Times New Roman"/>
      <w:color w:val="201547"/>
      <w:sz w:val="16"/>
      <w:szCs w:val="16"/>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164024"/>
    <w:rPr>
      <w:color w:val="201547" w:themeColor="text2"/>
      <w:u w:val="single"/>
    </w:rPr>
  </w:style>
  <w:style w:type="character" w:styleId="PageNumber">
    <w:name w:val="page number"/>
    <w:uiPriority w:val="99"/>
    <w:unhideWhenUsed/>
    <w:locked/>
    <w:rsid w:val="00921A00"/>
    <w:rPr>
      <w:sz w:val="16"/>
      <w:szCs w:val="16"/>
    </w:rPr>
  </w:style>
  <w:style w:type="character" w:customStyle="1" w:styleId="Heading4Char">
    <w:name w:val="Heading 4 Char"/>
    <w:basedOn w:val="DefaultParagraphFont"/>
    <w:link w:val="Heading4"/>
    <w:uiPriority w:val="9"/>
    <w:rsid w:val="00164024"/>
    <w:rPr>
      <w:rFonts w:ascii="Arial" w:eastAsiaTheme="majorEastAsia" w:hAnsi="Arial" w:cstheme="majorBidi"/>
      <w:b/>
      <w:bCs/>
      <w:iCs/>
      <w:color w:val="100249" w:themeColor="accent4"/>
      <w:sz w:val="18"/>
      <w:szCs w:val="20"/>
    </w:rPr>
  </w:style>
  <w:style w:type="paragraph" w:styleId="BalloonText">
    <w:name w:val="Balloon Text"/>
    <w:basedOn w:val="Normal"/>
    <w:link w:val="BalloonTextChar"/>
    <w:uiPriority w:val="99"/>
    <w:semiHidden/>
    <w:unhideWhenUsed/>
    <w:lock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000000" w:themeColor="text1"/>
      <w:sz w:val="18"/>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F0A23" w:themeColor="accent1" w:themeShade="7F"/>
      <w:sz w:val="18"/>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04040" w:themeColor="text1" w:themeTint="BF"/>
      <w:sz w:val="18"/>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04040" w:themeColor="text1" w:themeTint="BF"/>
      <w:sz w:val="18"/>
      <w:szCs w:val="20"/>
    </w:rPr>
  </w:style>
  <w:style w:type="table" w:styleId="TableGrid">
    <w:name w:val="Table Grid"/>
    <w:basedOn w:val="TableNormal"/>
    <w:uiPriority w:val="59"/>
    <w:locked/>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locked/>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locked/>
    <w:rsid w:val="008027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1">
    <w:name w:val="toc 1"/>
    <w:basedOn w:val="Normal"/>
    <w:next w:val="Normal"/>
    <w:autoRedefine/>
    <w:uiPriority w:val="39"/>
    <w:unhideWhenUsed/>
    <w:rsid w:val="00F821D9"/>
    <w:pPr>
      <w:tabs>
        <w:tab w:val="left" w:pos="600"/>
        <w:tab w:val="right" w:pos="9071"/>
        <w:tab w:val="left" w:leader="dot" w:pos="14175"/>
      </w:tabs>
      <w:spacing w:before="240" w:after="100"/>
    </w:pPr>
  </w:style>
  <w:style w:type="paragraph" w:styleId="TOC2">
    <w:name w:val="toc 2"/>
    <w:basedOn w:val="Normal"/>
    <w:next w:val="Normal"/>
    <w:autoRedefine/>
    <w:uiPriority w:val="39"/>
    <w:unhideWhenUsed/>
    <w:rsid w:val="00F821D9"/>
    <w:pPr>
      <w:tabs>
        <w:tab w:val="left" w:pos="567"/>
        <w:tab w:val="left" w:pos="1134"/>
        <w:tab w:val="right" w:pos="9071"/>
        <w:tab w:val="left" w:leader="dot" w:pos="14175"/>
      </w:tabs>
      <w:spacing w:after="100"/>
      <w:ind w:left="567"/>
    </w:pPr>
  </w:style>
  <w:style w:type="paragraph" w:styleId="TOC3">
    <w:name w:val="toc 3"/>
    <w:basedOn w:val="Normal"/>
    <w:next w:val="Normal"/>
    <w:autoRedefine/>
    <w:uiPriority w:val="39"/>
    <w:unhideWhenUsed/>
    <w:rsid w:val="00F821D9"/>
    <w:pPr>
      <w:tabs>
        <w:tab w:val="left" w:pos="1134"/>
        <w:tab w:val="left" w:pos="1701"/>
        <w:tab w:val="right" w:pos="9071"/>
        <w:tab w:val="left" w:leader="dot" w:pos="14175"/>
      </w:tabs>
      <w:spacing w:after="100"/>
      <w:ind w:left="1134"/>
    </w:pPr>
  </w:style>
  <w:style w:type="paragraph" w:customStyle="1" w:styleId="introparagraph">
    <w:name w:val="# intro paragraph"/>
    <w:basedOn w:val="Normal"/>
    <w:qFormat/>
    <w:rsid w:val="00E42772"/>
    <w:rPr>
      <w:sz w:val="28"/>
    </w:rPr>
  </w:style>
  <w:style w:type="paragraph" w:styleId="Title">
    <w:name w:val="Title"/>
    <w:basedOn w:val="Normal"/>
    <w:next w:val="Normal"/>
    <w:link w:val="TitleChar"/>
    <w:uiPriority w:val="10"/>
    <w:qFormat/>
    <w:rsid w:val="00687E64"/>
    <w:pPr>
      <w:spacing w:before="0" w:line="420" w:lineRule="exact"/>
    </w:pPr>
    <w:rPr>
      <w:noProof/>
      <w:color w:val="FFFFFF"/>
      <w:sz w:val="44"/>
      <w:lang w:val="en-GB" w:eastAsia="en-GB"/>
    </w:rPr>
  </w:style>
  <w:style w:type="character" w:customStyle="1" w:styleId="TitleChar">
    <w:name w:val="Title Char"/>
    <w:basedOn w:val="DefaultParagraphFont"/>
    <w:link w:val="Title"/>
    <w:uiPriority w:val="10"/>
    <w:rsid w:val="00687E64"/>
    <w:rPr>
      <w:rFonts w:ascii="Arial" w:eastAsia="Times New Roman" w:hAnsi="Arial" w:cs="Times New Roman"/>
      <w:noProof/>
      <w:color w:val="FFFFFF"/>
      <w:sz w:val="44"/>
      <w:szCs w:val="20"/>
      <w:lang w:val="en-GB" w:eastAsia="en-GB"/>
    </w:rPr>
  </w:style>
  <w:style w:type="paragraph" w:styleId="Subtitle">
    <w:name w:val="Subtitle"/>
    <w:basedOn w:val="Normal"/>
    <w:link w:val="SubtitleChar"/>
    <w:uiPriority w:val="11"/>
    <w:qFormat/>
    <w:rsid w:val="003B093E"/>
    <w:pPr>
      <w:spacing w:before="180"/>
    </w:pPr>
    <w:rPr>
      <w:caps/>
      <w:color w:val="FFFFFF"/>
      <w:sz w:val="32"/>
    </w:rPr>
  </w:style>
  <w:style w:type="character" w:customStyle="1" w:styleId="SubtitleChar">
    <w:name w:val="Subtitle Char"/>
    <w:basedOn w:val="DefaultParagraphFont"/>
    <w:link w:val="Subtitle"/>
    <w:uiPriority w:val="11"/>
    <w:rsid w:val="003B093E"/>
    <w:rPr>
      <w:rFonts w:ascii="Arial" w:eastAsia="Times New Roman" w:hAnsi="Arial" w:cs="Times New Roman"/>
      <w:caps/>
      <w:color w:val="FFFFFF"/>
      <w:sz w:val="32"/>
      <w:szCs w:val="20"/>
    </w:rPr>
  </w:style>
  <w:style w:type="paragraph" w:styleId="ListBullet">
    <w:name w:val="List Bullet"/>
    <w:basedOn w:val="Normal"/>
    <w:uiPriority w:val="99"/>
    <w:unhideWhenUsed/>
    <w:locked/>
    <w:rsid w:val="001575E7"/>
    <w:pPr>
      <w:numPr>
        <w:numId w:val="1"/>
      </w:numPr>
      <w:spacing w:before="0" w:after="120"/>
      <w:ind w:left="357" w:hanging="357"/>
    </w:pPr>
  </w:style>
  <w:style w:type="paragraph" w:styleId="ListBullet2">
    <w:name w:val="List Bullet 2"/>
    <w:basedOn w:val="Normal"/>
    <w:uiPriority w:val="99"/>
    <w:unhideWhenUsed/>
    <w:rsid w:val="001575E7"/>
    <w:pPr>
      <w:numPr>
        <w:numId w:val="3"/>
      </w:numPr>
      <w:spacing w:before="0" w:after="120"/>
      <w:ind w:left="709" w:hanging="284"/>
    </w:pPr>
  </w:style>
  <w:style w:type="character" w:styleId="Strong">
    <w:name w:val="Strong"/>
    <w:basedOn w:val="DefaultParagraphFont"/>
    <w:uiPriority w:val="22"/>
    <w:qFormat/>
    <w:rsid w:val="00CA59D5"/>
    <w:rPr>
      <w:b/>
      <w:bCs/>
    </w:rPr>
  </w:style>
  <w:style w:type="character" w:styleId="IntenseEmphasis">
    <w:name w:val="Intense Emphasis"/>
    <w:basedOn w:val="DefaultParagraphFont"/>
    <w:uiPriority w:val="21"/>
    <w:qFormat/>
    <w:locked/>
    <w:rsid w:val="001441F4"/>
    <w:rPr>
      <w:i/>
      <w:iCs/>
      <w:color w:val="78BF42"/>
    </w:rPr>
  </w:style>
  <w:style w:type="paragraph" w:styleId="TOC5">
    <w:name w:val="toc 5"/>
    <w:basedOn w:val="Normal"/>
    <w:next w:val="Normal"/>
    <w:autoRedefine/>
    <w:uiPriority w:val="39"/>
    <w:semiHidden/>
    <w:unhideWhenUsed/>
    <w:locked/>
    <w:rsid w:val="00A17119"/>
    <w:pPr>
      <w:tabs>
        <w:tab w:val="left" w:leader="dot" w:pos="14175"/>
      </w:tabs>
      <w:spacing w:after="100"/>
      <w:ind w:left="720"/>
    </w:pPr>
  </w:style>
  <w:style w:type="paragraph" w:styleId="TOC6">
    <w:name w:val="toc 6"/>
    <w:basedOn w:val="Normal"/>
    <w:next w:val="Normal"/>
    <w:autoRedefine/>
    <w:uiPriority w:val="39"/>
    <w:semiHidden/>
    <w:unhideWhenUsed/>
    <w:locked/>
    <w:rsid w:val="00A17119"/>
    <w:pPr>
      <w:tabs>
        <w:tab w:val="left" w:leader="dot" w:pos="14175"/>
      </w:tabs>
      <w:spacing w:after="100"/>
      <w:ind w:left="900"/>
    </w:pPr>
  </w:style>
  <w:style w:type="paragraph" w:styleId="TOC7">
    <w:name w:val="toc 7"/>
    <w:basedOn w:val="Normal"/>
    <w:next w:val="Normal"/>
    <w:autoRedefine/>
    <w:uiPriority w:val="39"/>
    <w:semiHidden/>
    <w:unhideWhenUsed/>
    <w:locked/>
    <w:rsid w:val="00A17119"/>
    <w:pPr>
      <w:tabs>
        <w:tab w:val="left" w:leader="dot" w:pos="14175"/>
      </w:tabs>
      <w:spacing w:after="100"/>
      <w:ind w:left="1080"/>
    </w:pPr>
  </w:style>
  <w:style w:type="paragraph" w:styleId="TOC8">
    <w:name w:val="toc 8"/>
    <w:basedOn w:val="Normal"/>
    <w:next w:val="Normal"/>
    <w:autoRedefine/>
    <w:uiPriority w:val="39"/>
    <w:semiHidden/>
    <w:unhideWhenUsed/>
    <w:locked/>
    <w:rsid w:val="00A17119"/>
    <w:pPr>
      <w:tabs>
        <w:tab w:val="left" w:leader="dot" w:pos="14175"/>
      </w:tabs>
      <w:spacing w:after="100"/>
      <w:ind w:left="1260"/>
    </w:pPr>
  </w:style>
  <w:style w:type="paragraph" w:styleId="TOC9">
    <w:name w:val="toc 9"/>
    <w:basedOn w:val="Normal"/>
    <w:next w:val="Normal"/>
    <w:autoRedefine/>
    <w:uiPriority w:val="39"/>
    <w:semiHidden/>
    <w:unhideWhenUsed/>
    <w:locked/>
    <w:rsid w:val="00A17119"/>
    <w:pPr>
      <w:tabs>
        <w:tab w:val="left" w:leader="dot" w:pos="14175"/>
      </w:tabs>
      <w:spacing w:after="100"/>
      <w:ind w:left="1440"/>
    </w:pPr>
  </w:style>
  <w:style w:type="paragraph" w:customStyle="1" w:styleId="iinstructions">
    <w:name w:val="# iinstructions"/>
    <w:basedOn w:val="Normal"/>
    <w:link w:val="iinstructionsChar"/>
    <w:qFormat/>
    <w:locked/>
    <w:rsid w:val="00854053"/>
    <w:pPr>
      <w:spacing w:before="60" w:after="120"/>
    </w:pPr>
    <w:rPr>
      <w:color w:val="auto"/>
    </w:rPr>
  </w:style>
  <w:style w:type="character" w:customStyle="1" w:styleId="iinstructionsChar">
    <w:name w:val="# iinstructions Char"/>
    <w:basedOn w:val="DefaultParagraphFont"/>
    <w:link w:val="iinstructions"/>
    <w:rsid w:val="00854053"/>
    <w:rPr>
      <w:rFonts w:ascii="Arial" w:eastAsia="Times New Roman" w:hAnsi="Arial" w:cs="Times New Roman"/>
      <w:sz w:val="18"/>
      <w:szCs w:val="20"/>
    </w:rPr>
  </w:style>
  <w:style w:type="character" w:styleId="PlaceholderText">
    <w:name w:val="Placeholder Text"/>
    <w:basedOn w:val="DefaultParagraphFont"/>
    <w:uiPriority w:val="99"/>
    <w:semiHidden/>
    <w:locked/>
    <w:rsid w:val="003B093E"/>
    <w:rPr>
      <w:color w:val="808080"/>
    </w:rPr>
  </w:style>
  <w:style w:type="paragraph" w:customStyle="1" w:styleId="Reporttitle">
    <w:name w:val="Report title"/>
    <w:basedOn w:val="Normal"/>
    <w:qFormat/>
    <w:rsid w:val="00DF7534"/>
    <w:rPr>
      <w:bCs/>
      <w:color w:val="FFFFFF" w:themeColor="background1"/>
      <w:sz w:val="44"/>
    </w:rPr>
  </w:style>
  <w:style w:type="paragraph" w:customStyle="1" w:styleId="Tabletitle">
    <w:name w:val="Table title"/>
    <w:basedOn w:val="Normal"/>
    <w:qFormat/>
    <w:rsid w:val="001575E7"/>
    <w:pPr>
      <w:spacing w:before="60" w:after="60"/>
    </w:pPr>
    <w:rPr>
      <w:color w:val="FFFFFF" w:themeColor="background1"/>
    </w:rPr>
  </w:style>
  <w:style w:type="paragraph" w:customStyle="1" w:styleId="Tabletext">
    <w:name w:val="Table text"/>
    <w:basedOn w:val="Normal"/>
    <w:qFormat/>
    <w:rsid w:val="001575E7"/>
    <w:pPr>
      <w:spacing w:before="60" w:after="60"/>
    </w:pPr>
  </w:style>
  <w:style w:type="paragraph" w:customStyle="1" w:styleId="ListBulletLast">
    <w:name w:val="List Bullet Last"/>
    <w:basedOn w:val="ListBullet"/>
    <w:qFormat/>
    <w:rsid w:val="001575E7"/>
    <w:pPr>
      <w:spacing w:after="200"/>
    </w:pPr>
  </w:style>
  <w:style w:type="paragraph" w:customStyle="1" w:styleId="ListBullet1">
    <w:name w:val="List Bullet 1"/>
    <w:basedOn w:val="ListBullet"/>
    <w:qFormat/>
    <w:rsid w:val="001575E7"/>
  </w:style>
  <w:style w:type="paragraph" w:styleId="ListParagraph">
    <w:name w:val="List Paragraph"/>
    <w:basedOn w:val="Normal"/>
    <w:uiPriority w:val="34"/>
    <w:qFormat/>
    <w:locked/>
    <w:rsid w:val="00863C2A"/>
    <w:pPr>
      <w:spacing w:before="0" w:after="160" w:line="259" w:lineRule="auto"/>
      <w:ind w:left="720"/>
      <w:contextualSpacing/>
    </w:pPr>
    <w:rPr>
      <w:rFonts w:asciiTheme="minorHAnsi" w:eastAsiaTheme="minorHAnsi" w:hAnsiTheme="minorHAnsi" w:cstheme="minorBidi"/>
      <w:color w:val="auto"/>
      <w:sz w:val="22"/>
      <w:szCs w:val="22"/>
    </w:rPr>
  </w:style>
  <w:style w:type="paragraph" w:styleId="CommentText">
    <w:name w:val="annotation text"/>
    <w:basedOn w:val="Normal"/>
    <w:link w:val="CommentTextChar"/>
    <w:uiPriority w:val="99"/>
    <w:unhideWhenUsed/>
    <w:locked/>
    <w:rsid w:val="00863C2A"/>
    <w:pPr>
      <w:spacing w:before="0" w:after="160"/>
    </w:pPr>
    <w:rPr>
      <w:rFonts w:eastAsiaTheme="minorHAnsi" w:cstheme="minorBidi"/>
      <w:color w:val="595959" w:themeColor="text1" w:themeTint="A6"/>
      <w:sz w:val="20"/>
    </w:rPr>
  </w:style>
  <w:style w:type="character" w:customStyle="1" w:styleId="CommentTextChar">
    <w:name w:val="Comment Text Char"/>
    <w:basedOn w:val="DefaultParagraphFont"/>
    <w:link w:val="CommentText"/>
    <w:uiPriority w:val="99"/>
    <w:rsid w:val="00863C2A"/>
    <w:rPr>
      <w:rFonts w:ascii="Arial" w:hAnsi="Arial"/>
      <w:color w:val="595959" w:themeColor="text1" w:themeTint="A6"/>
      <w:sz w:val="20"/>
      <w:szCs w:val="20"/>
    </w:rPr>
  </w:style>
  <w:style w:type="character" w:styleId="CommentReference">
    <w:name w:val="annotation reference"/>
    <w:basedOn w:val="DefaultParagraphFont"/>
    <w:uiPriority w:val="99"/>
    <w:semiHidden/>
    <w:unhideWhenUsed/>
    <w:locked/>
    <w:rsid w:val="003C5782"/>
    <w:rPr>
      <w:sz w:val="16"/>
      <w:szCs w:val="16"/>
    </w:rPr>
  </w:style>
  <w:style w:type="paragraph" w:styleId="CommentSubject">
    <w:name w:val="annotation subject"/>
    <w:basedOn w:val="CommentText"/>
    <w:next w:val="CommentText"/>
    <w:link w:val="CommentSubjectChar"/>
    <w:uiPriority w:val="99"/>
    <w:semiHidden/>
    <w:unhideWhenUsed/>
    <w:locked/>
    <w:rsid w:val="003C5782"/>
    <w:pPr>
      <w:spacing w:before="120" w:after="200"/>
    </w:pPr>
    <w:rPr>
      <w:rFonts w:eastAsia="Times New Roman" w:cs="Times New Roman"/>
      <w:b/>
      <w:bCs/>
      <w:color w:val="53565A" w:themeColor="accent2"/>
    </w:rPr>
  </w:style>
  <w:style w:type="character" w:customStyle="1" w:styleId="CommentSubjectChar">
    <w:name w:val="Comment Subject Char"/>
    <w:basedOn w:val="CommentTextChar"/>
    <w:link w:val="CommentSubject"/>
    <w:uiPriority w:val="99"/>
    <w:semiHidden/>
    <w:rsid w:val="003C5782"/>
    <w:rPr>
      <w:rFonts w:ascii="Arial" w:eastAsia="Times New Roman" w:hAnsi="Arial" w:cs="Times New Roman"/>
      <w:b/>
      <w:bCs/>
      <w:color w:val="53565A" w:themeColor="accent2"/>
      <w:sz w:val="20"/>
      <w:szCs w:val="20"/>
    </w:rPr>
  </w:style>
  <w:style w:type="character" w:styleId="UnresolvedMention">
    <w:name w:val="Unresolved Mention"/>
    <w:basedOn w:val="DefaultParagraphFont"/>
    <w:uiPriority w:val="99"/>
    <w:locked/>
    <w:rsid w:val="00B31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490827051">
      <w:bodyDiv w:val="1"/>
      <w:marLeft w:val="0"/>
      <w:marRight w:val="0"/>
      <w:marTop w:val="0"/>
      <w:marBottom w:val="0"/>
      <w:divBdr>
        <w:top w:val="none" w:sz="0" w:space="0" w:color="auto"/>
        <w:left w:val="none" w:sz="0" w:space="0" w:color="auto"/>
        <w:bottom w:val="none" w:sz="0" w:space="0" w:color="auto"/>
        <w:right w:val="none" w:sz="0" w:space="0" w:color="auto"/>
      </w:divBdr>
    </w:div>
    <w:div w:id="1508665748">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 w:id="175708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djpr.vic.gov.au/"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orkplan.approvals@ecodev.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c\Downloads\Report-A4-Portrai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D82C9D684B44DB85A46229336590E9"/>
        <w:category>
          <w:name w:val="General"/>
          <w:gallery w:val="placeholder"/>
        </w:category>
        <w:types>
          <w:type w:val="bbPlcHdr"/>
        </w:types>
        <w:behaviors>
          <w:behavior w:val="content"/>
        </w:behaviors>
        <w:guid w:val="{87CA1AE0-E98C-4497-82DE-6EA8AE32E188}"/>
      </w:docPartPr>
      <w:docPartBody>
        <w:p w:rsidR="00C34845" w:rsidRDefault="00335CDE">
          <w:pPr>
            <w:pStyle w:val="DFD82C9D684B44DB85A46229336590E9"/>
          </w:pPr>
          <w:r w:rsidRPr="00DF7534">
            <w:rPr>
              <w:rStyle w:val="TitleChar"/>
              <w:rFonts w:eastAsiaTheme="minorEastAsia"/>
              <w:color w:val="FFFFFF" w:themeColor="background1"/>
              <w:lang w:eastAsia="en-US"/>
            </w:rPr>
            <w:t>Place heading here</w:t>
          </w:r>
        </w:p>
      </w:docPartBody>
    </w:docPart>
    <w:docPart>
      <w:docPartPr>
        <w:name w:val="42BDBA87A4DB4722A75FFDC916C10370"/>
        <w:category>
          <w:name w:val="General"/>
          <w:gallery w:val="placeholder"/>
        </w:category>
        <w:types>
          <w:type w:val="bbPlcHdr"/>
        </w:types>
        <w:behaviors>
          <w:behavior w:val="content"/>
        </w:behaviors>
        <w:guid w:val="{63A1E362-D1A5-4029-B11B-749848179D1A}"/>
      </w:docPartPr>
      <w:docPartBody>
        <w:p w:rsidR="00C34845" w:rsidRDefault="00335CDE">
          <w:pPr>
            <w:pStyle w:val="42BDBA87A4DB4722A75FFDC916C10370"/>
          </w:pPr>
          <w:r>
            <w:t>SUBHEADING</w:t>
          </w:r>
        </w:p>
      </w:docPartBody>
    </w:docPart>
    <w:docPart>
      <w:docPartPr>
        <w:name w:val="1A572C812A4748B2B85ABA778A2F523C"/>
        <w:category>
          <w:name w:val="General"/>
          <w:gallery w:val="placeholder"/>
        </w:category>
        <w:types>
          <w:type w:val="bbPlcHdr"/>
        </w:types>
        <w:behaviors>
          <w:behavior w:val="content"/>
        </w:behaviors>
        <w:guid w:val="{3DE7DA9F-38F8-4673-866E-89BA3C8D6E54}"/>
      </w:docPartPr>
      <w:docPartBody>
        <w:p w:rsidR="00C34845" w:rsidRDefault="005D6695" w:rsidP="005D6695">
          <w:pPr>
            <w:pStyle w:val="1A572C812A4748B2B85ABA778A2F523C"/>
          </w:pPr>
          <w:r>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695"/>
    <w:rsid w:val="00006CF9"/>
    <w:rsid w:val="00203015"/>
    <w:rsid w:val="00335CDE"/>
    <w:rsid w:val="003757A3"/>
    <w:rsid w:val="005D6695"/>
    <w:rsid w:val="006974AF"/>
    <w:rsid w:val="00BE7F4A"/>
    <w:rsid w:val="00C34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200" w:line="420" w:lineRule="exact"/>
    </w:pPr>
    <w:rPr>
      <w:rFonts w:ascii="Arial" w:eastAsia="Times New Roman" w:hAnsi="Arial" w:cs="Times New Roman"/>
      <w:noProof/>
      <w:color w:val="FFFFFF"/>
      <w:sz w:val="44"/>
      <w:szCs w:val="20"/>
      <w:lang w:val="en-GB" w:eastAsia="en-GB"/>
    </w:rPr>
  </w:style>
  <w:style w:type="character" w:customStyle="1" w:styleId="TitleChar">
    <w:name w:val="Title Char"/>
    <w:basedOn w:val="DefaultParagraphFont"/>
    <w:link w:val="Title"/>
    <w:uiPriority w:val="10"/>
    <w:rPr>
      <w:rFonts w:ascii="Arial" w:eastAsia="Times New Roman" w:hAnsi="Arial" w:cs="Times New Roman"/>
      <w:noProof/>
      <w:color w:val="FFFFFF"/>
      <w:sz w:val="44"/>
      <w:szCs w:val="20"/>
      <w:lang w:val="en-GB" w:eastAsia="en-GB"/>
    </w:rPr>
  </w:style>
  <w:style w:type="paragraph" w:customStyle="1" w:styleId="DFD82C9D684B44DB85A46229336590E9">
    <w:name w:val="DFD82C9D684B44DB85A46229336590E9"/>
  </w:style>
  <w:style w:type="paragraph" w:customStyle="1" w:styleId="42BDBA87A4DB4722A75FFDC916C10370">
    <w:name w:val="42BDBA87A4DB4722A75FFDC916C10370"/>
  </w:style>
  <w:style w:type="character" w:styleId="PlaceholderText">
    <w:name w:val="Placeholder Text"/>
    <w:basedOn w:val="DefaultParagraphFont"/>
    <w:uiPriority w:val="99"/>
    <w:semiHidden/>
    <w:rsid w:val="005D6695"/>
  </w:style>
  <w:style w:type="paragraph" w:customStyle="1" w:styleId="0164DD8AD71F4A32B50976B088D4509C">
    <w:name w:val="0164DD8AD71F4A32B50976B088D4509C"/>
  </w:style>
  <w:style w:type="paragraph" w:customStyle="1" w:styleId="1A572C812A4748B2B85ABA778A2F523C">
    <w:name w:val="1A572C812A4748B2B85ABA778A2F523C"/>
    <w:rsid w:val="005D6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JPR 1">
      <a:dk1>
        <a:sysClr val="windowText" lastClr="000000"/>
      </a:dk1>
      <a:lt1>
        <a:sysClr val="window" lastClr="FFFFFF"/>
      </a:lt1>
      <a:dk2>
        <a:srgbClr val="201547"/>
      </a:dk2>
      <a:lt2>
        <a:srgbClr val="D9D9D6"/>
      </a:lt2>
      <a:accent1>
        <a:srgbClr val="201547"/>
      </a:accent1>
      <a:accent2>
        <a:srgbClr val="53565A"/>
      </a:accent2>
      <a:accent3>
        <a:srgbClr val="62BB46"/>
      </a:accent3>
      <a:accent4>
        <a:srgbClr val="100249"/>
      </a:accent4>
      <a:accent5>
        <a:srgbClr val="0090DA"/>
      </a:accent5>
      <a:accent6>
        <a:srgbClr val="E35205"/>
      </a:accent6>
      <a:hlink>
        <a:srgbClr val="0563C1"/>
      </a:hlink>
      <a:folHlink>
        <a:srgbClr val="954F72"/>
      </a:folHlink>
    </a:clrScheme>
    <a:fontScheme name="DJP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8f7222e-fc4c-4ce1-b1e8-25c6cb89d836">
      <UserInfo>
        <DisplayName>Tony P Ising (DJPR)</DisplayName>
        <AccountId>587</AccountId>
        <AccountType/>
      </UserInfo>
      <UserInfo>
        <DisplayName>Lewis A Hill (DJPR)</DisplayName>
        <AccountId>197</AccountId>
        <AccountType/>
      </UserInfo>
      <UserInfo>
        <DisplayName>Sandra Vin (DJPR)</DisplayName>
        <AccountId>43</AccountId>
        <AccountType/>
      </UserInfo>
      <UserInfo>
        <DisplayName>Rosie C Guardiani (DJPR)</DisplayName>
        <AccountId>672</AccountId>
        <AccountType/>
      </UserInfo>
      <UserInfo>
        <DisplayName>Bruce R Jenkins (DEDJTR)</DisplayName>
        <AccountId>128</AccountId>
        <AccountType/>
      </UserInfo>
      <UserInfo>
        <DisplayName>Ben A Coffey (DJPR)</DisplayName>
        <AccountId>659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E000310E5B95459B92A7AE0D496D63" ma:contentTypeVersion="13" ma:contentTypeDescription="Create a new document." ma:contentTypeScope="" ma:versionID="869dd9373b120a2eb8b2b25f98de24ac">
  <xsd:schema xmlns:xsd="http://www.w3.org/2001/XMLSchema" xmlns:xs="http://www.w3.org/2001/XMLSchema" xmlns:p="http://schemas.microsoft.com/office/2006/metadata/properties" xmlns:ns3="d8f7222e-fc4c-4ce1-b1e8-25c6cb89d836" xmlns:ns4="9d8f54ab-6009-4e0e-9cd9-41c43f15f740" targetNamespace="http://schemas.microsoft.com/office/2006/metadata/properties" ma:root="true" ma:fieldsID="a68d50f8793cce097dbc1b6f09b15858" ns3:_="" ns4:_="">
    <xsd:import namespace="d8f7222e-fc4c-4ce1-b1e8-25c6cb89d836"/>
    <xsd:import namespace="9d8f54ab-6009-4e0e-9cd9-41c43f15f7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7222e-fc4c-4ce1-b1e8-25c6cb89d8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f54ab-6009-4e0e-9cd9-41c43f15f7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1C2E5-9753-488D-B796-0387BB9EFC58}">
  <ds:schemaRefs>
    <ds:schemaRef ds:uri="http://schemas.microsoft.com/sharepoint/v3/contenttype/forms"/>
  </ds:schemaRefs>
</ds:datastoreItem>
</file>

<file path=customXml/itemProps2.xml><?xml version="1.0" encoding="utf-8"?>
<ds:datastoreItem xmlns:ds="http://schemas.openxmlformats.org/officeDocument/2006/customXml" ds:itemID="{0B480F8D-E4DC-4AE6-9BE0-C2B66D4B6073}">
  <ds:schemaRefs>
    <ds:schemaRef ds:uri="http://schemas.microsoft.com/office/infopath/2007/PartnerControls"/>
    <ds:schemaRef ds:uri="d8f7222e-fc4c-4ce1-b1e8-25c6cb89d836"/>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9d8f54ab-6009-4e0e-9cd9-41c43f15f740"/>
    <ds:schemaRef ds:uri="http://www.w3.org/XML/1998/namespace"/>
    <ds:schemaRef ds:uri="http://purl.org/dc/dcmitype/"/>
  </ds:schemaRefs>
</ds:datastoreItem>
</file>

<file path=customXml/itemProps3.xml><?xml version="1.0" encoding="utf-8"?>
<ds:datastoreItem xmlns:ds="http://schemas.openxmlformats.org/officeDocument/2006/customXml" ds:itemID="{1021092B-1098-466E-AB2F-E425FFE38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7222e-fc4c-4ce1-b1e8-25c6cb89d836"/>
    <ds:schemaRef ds:uri="9d8f54ab-6009-4e0e-9cd9-41c43f15f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FA1153-7037-425F-BE03-BC03BF0C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Report-A4-Portrait (1).dotx</Template>
  <TotalTime>0</TotalTime>
  <Pages>7</Pages>
  <Words>1952</Words>
  <Characters>11133</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45</vt:i4>
      </vt:variant>
    </vt:vector>
  </HeadingPairs>
  <TitlesOfParts>
    <vt:vector size="46" baseType="lpstr">
      <vt:lpstr/>
      <vt:lpstr>Background</vt:lpstr>
      <vt:lpstr>    Purpose of this guidance note</vt:lpstr>
      <vt:lpstr>    Scope of this guidance note</vt:lpstr>
      <vt:lpstr>Authority holders’ maintenance responsibilities during the onshore petroleum mor</vt:lpstr>
      <vt:lpstr>Best practice maintenance of onshore petroleum facilities</vt:lpstr>
      <vt:lpstr>    Wellhead maintenance</vt:lpstr>
      <vt:lpstr>    Pressure testing seals</vt:lpstr>
      <vt:lpstr>    Signage and hazards</vt:lpstr>
      <vt:lpstr>    Visual inspection</vt:lpstr>
      <vt:lpstr>    Well classification and wellhead servicing frequency</vt:lpstr>
      <vt:lpstr>Prohibited activities</vt:lpstr>
      <vt:lpstr>    Well testing</vt:lpstr>
      <vt:lpstr>The process for undertaking maintenance activities</vt:lpstr>
      <vt:lpstr>    Details of the facility’s maintenance program</vt:lpstr>
      <vt:lpstr>        Details of the entire maintenance program (i.e. activity, scope, objectives and </vt:lpstr>
      <vt:lpstr>        Details/specifications of the equipment that will be used for maintenance activi</vt:lpstr>
      <vt:lpstr>        Proposals for the decommissioning of the equipment used for each maintenance act</vt:lpstr>
      <vt:lpstr>        Details of: </vt:lpstr>
      <vt:lpstr>    Assessment of risk </vt:lpstr>
      <vt:lpstr>        The loss of containment (both at surface and subsurface).</vt:lpstr>
      <vt:lpstr>        Significant volumes of fluids being produced.</vt:lpstr>
      <vt:lpstr>        Hazards that could result in soil erosion, soil contamination or damage to flora</vt:lpstr>
      <vt:lpstr>        Hazards resulting in excessive noise.</vt:lpstr>
      <vt:lpstr>        Hazards resulting in emissions to air.</vt:lpstr>
      <vt:lpstr>        Hazards resulting in fire (i.e. the potential for fire caused by maintenance act</vt:lpstr>
      <vt:lpstr>    Risk controls (management)</vt:lpstr>
      <vt:lpstr>        Controls to manage the risk of loss of containment (e.g. well control arrangemen</vt:lpstr>
      <vt:lpstr>        Controls to manage the risk of any significant volumes of fluids being produced </vt:lpstr>
      <vt:lpstr>        Controls to manage the other impacts from maintenance activities (e.g. noise, li</vt:lpstr>
      <vt:lpstr>        Management of any foreseeable but unplanned activities. Include descriptions of </vt:lpstr>
      <vt:lpstr>        The chain of command for maintenance activities, and officers’ full roles and re</vt:lpstr>
      <vt:lpstr>        Include details of the key personnel involved in the design of the maintenance a</vt:lpstr>
      <vt:lpstr>        The well control training (e.g. training certified under the International Well </vt:lpstr>
      <vt:lpstr>        The approach to ensure that all personnel involved in maintenance activities hav</vt:lpstr>
      <vt:lpstr>        Updated Emergency Response Plan.</vt:lpstr>
      <vt:lpstr>        Details of the emergency response equipment to deal with any well integrity haza</vt:lpstr>
      <vt:lpstr>        Management of the well after completion of the maintenance activities.</vt:lpstr>
      <vt:lpstr>        Details of how wellhead pressure will be monitored. </vt:lpstr>
      <vt:lpstr>        Details of how well annulus pressure will be managed.</vt:lpstr>
      <vt:lpstr>        Details regarding annular or packer fluids monitoring, and top-up.</vt:lpstr>
      <vt:lpstr>        The procedure for suspension, if the well will be suspended after maintenance ac</vt:lpstr>
      <vt:lpstr>        If the well will not be suspended after maintenance activities, the well barrier</vt:lpstr>
      <vt:lpstr>        Updated information of any consultation that has occurred with the landowners, i</vt:lpstr>
      <vt:lpstr>        Details of any remediation works that may need to be carried out if the results </vt:lpstr>
      <vt:lpstr>Contacting Earth Resources Regulation </vt:lpstr>
    </vt:vector>
  </TitlesOfParts>
  <Company/>
  <LinksUpToDate>false</LinksUpToDate>
  <CharactersWithSpaces>13059</CharactersWithSpaces>
  <SharedDoc>false</SharedDoc>
  <HLinks>
    <vt:vector size="12" baseType="variant">
      <vt:variant>
        <vt:i4>6422644</vt:i4>
      </vt:variant>
      <vt:variant>
        <vt:i4>3</vt:i4>
      </vt:variant>
      <vt:variant>
        <vt:i4>0</vt:i4>
      </vt:variant>
      <vt:variant>
        <vt:i4>5</vt:i4>
      </vt:variant>
      <vt:variant>
        <vt:lpwstr>http://djpr.vic.gov.au/</vt:lpwstr>
      </vt:variant>
      <vt:variant>
        <vt:lpwstr/>
      </vt:variant>
      <vt:variant>
        <vt:i4>1310823</vt:i4>
      </vt:variant>
      <vt:variant>
        <vt:i4>0</vt:i4>
      </vt:variant>
      <vt:variant>
        <vt:i4>0</vt:i4>
      </vt:variant>
      <vt:variant>
        <vt:i4>5</vt:i4>
      </vt:variant>
      <vt:variant>
        <vt:lpwstr>mailto:workplan.approvals@ecodev.vic.gov.au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2020-09-17T07:54:00Z</dcterms:created>
  <dcterms:modified xsi:type="dcterms:W3CDTF">2020-09-17T07:54:00Z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0x01010080E000310E5B95459B92A7AE0D496D63</vt:lpwstr>
  </property>
</Properties>
</file>