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color w:val="auto"/>
          <w:sz w:val="20"/>
        </w:rPr>
        <w:id w:val="1792633033"/>
        <w:docPartObj>
          <w:docPartGallery w:val="Cover Pages"/>
          <w:docPartUnique/>
        </w:docPartObj>
      </w:sdtPr>
      <w:sdtEndPr>
        <w:rPr>
          <w:color w:val="FFFFFF"/>
          <w:sz w:val="32"/>
        </w:rPr>
      </w:sdtEndPr>
      <w:sdtContent>
        <w:p w14:paraId="741AEE59" w14:textId="1D544973" w:rsidR="00294DCD" w:rsidRPr="0047003A" w:rsidRDefault="00294DCD" w:rsidP="00DE1C1C">
          <w:pPr>
            <w:ind w:right="2363"/>
            <w:rPr>
              <w:rStyle w:val="TitleChar"/>
            </w:rPr>
          </w:pPr>
          <w:r w:rsidRPr="0047003A">
            <w:rPr>
              <w:rStyle w:val="TitleChar"/>
            </w:rPr>
            <w:drawing>
              <wp:anchor distT="0" distB="0" distL="114300" distR="114300" simplePos="0" relativeHeight="251662335" behindDoc="1" locked="0" layoutInCell="1" allowOverlap="1" wp14:anchorId="2075B130" wp14:editId="5E1B54AE">
                <wp:simplePos x="0" y="0"/>
                <wp:positionH relativeFrom="column">
                  <wp:posOffset>-905435</wp:posOffset>
                </wp:positionH>
                <wp:positionV relativeFrom="paragraph">
                  <wp:posOffset>-2411432</wp:posOffset>
                </wp:positionV>
                <wp:extent cx="7533318" cy="106479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DJTR Corporate Word Report Cover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3318" cy="10647933"/>
                        </a:xfrm>
                        <a:prstGeom prst="rect">
                          <a:avLst/>
                        </a:prstGeom>
                      </pic:spPr>
                    </pic:pic>
                  </a:graphicData>
                </a:graphic>
                <wp14:sizeRelH relativeFrom="page">
                  <wp14:pctWidth>0</wp14:pctWidth>
                </wp14:sizeRelH>
                <wp14:sizeRelV relativeFrom="page">
                  <wp14:pctHeight>0</wp14:pctHeight>
                </wp14:sizeRelV>
              </wp:anchor>
            </w:drawing>
          </w:r>
          <w:r w:rsidR="00EC05D7">
            <w:rPr>
              <w:rStyle w:val="TitleChar"/>
            </w:rPr>
            <w:t>Draft M</w:t>
          </w:r>
          <w:r w:rsidR="00CB050E">
            <w:rPr>
              <w:rStyle w:val="TitleChar"/>
            </w:rPr>
            <w:t>inisterial Guidelines for Description of a Mineral Resource and the Preparation of a Mineralisation Report</w:t>
          </w:r>
        </w:p>
        <w:p w14:paraId="4836B12F" w14:textId="77777777" w:rsidR="004371F6" w:rsidRPr="00D96C1E" w:rsidRDefault="003A6D28" w:rsidP="00DE1C1C">
          <w:pPr>
            <w:pStyle w:val="Subtitle"/>
            <w:ind w:right="1088"/>
          </w:pPr>
          <w:r>
            <w:t>u</w:t>
          </w:r>
          <w:r w:rsidR="00CB050E">
            <w:t>nder the Mineral Resources (Sustainable Development) Act 1990</w:t>
          </w:r>
        </w:p>
      </w:sdtContent>
    </w:sdt>
    <w:p w14:paraId="753844CB" w14:textId="77777777" w:rsidR="004371F6" w:rsidRDefault="004371F6" w:rsidP="00D96C1E">
      <w:pPr>
        <w:rPr>
          <w:rFonts w:ascii="Verdana" w:hAnsi="Verdana"/>
        </w:rPr>
        <w:sectPr w:rsidR="004371F6" w:rsidSect="00294DCD">
          <w:headerReference w:type="even" r:id="rId12"/>
          <w:headerReference w:type="default" r:id="rId13"/>
          <w:footerReference w:type="even" r:id="rId14"/>
          <w:footerReference w:type="default" r:id="rId15"/>
          <w:headerReference w:type="first" r:id="rId16"/>
          <w:footerReference w:type="first" r:id="rId17"/>
          <w:pgSz w:w="11906" w:h="16838"/>
          <w:pgMar w:top="3818" w:right="1440" w:bottom="1440" w:left="1440" w:header="708" w:footer="137" w:gutter="0"/>
          <w:pgNumType w:start="0"/>
          <w:cols w:space="708"/>
          <w:docGrid w:linePitch="360"/>
        </w:sectPr>
      </w:pPr>
    </w:p>
    <w:p w14:paraId="0AB40F18" w14:textId="77777777" w:rsidR="004371F6" w:rsidRPr="00D96C1E" w:rsidRDefault="004371F6" w:rsidP="00D96C1E">
      <w:pPr>
        <w:pStyle w:val="TOCHeading"/>
      </w:pPr>
      <w:r w:rsidRPr="00D96C1E">
        <w:lastRenderedPageBreak/>
        <w:t>Table of contents</w:t>
      </w:r>
    </w:p>
    <w:p w14:paraId="267E0175" w14:textId="5F4680F8" w:rsidR="00532BCC" w:rsidRDefault="004371F6">
      <w:pPr>
        <w:pStyle w:val="TOC1"/>
        <w:tabs>
          <w:tab w:val="left" w:pos="600"/>
        </w:tabs>
        <w:rPr>
          <w:rFonts w:asciiTheme="minorHAnsi" w:eastAsiaTheme="minorEastAsia" w:hAnsiTheme="minorHAnsi" w:cstheme="minorBidi"/>
          <w:noProof/>
          <w:color w:val="auto"/>
          <w:sz w:val="22"/>
          <w:szCs w:val="22"/>
          <w:lang w:eastAsia="en-AU"/>
        </w:rPr>
      </w:pPr>
      <w:r>
        <w:rPr>
          <w:noProof/>
          <w:color w:val="auto"/>
          <w:lang w:eastAsia="en-AU"/>
        </w:rPr>
        <w:fldChar w:fldCharType="begin"/>
      </w:r>
      <w:r>
        <w:rPr>
          <w:noProof/>
          <w:lang w:eastAsia="en-AU"/>
        </w:rPr>
        <w:instrText xml:space="preserve"> TOC \o "1-3" \h \z \t "Appendices,4" </w:instrText>
      </w:r>
      <w:r>
        <w:rPr>
          <w:noProof/>
          <w:color w:val="auto"/>
          <w:lang w:eastAsia="en-AU"/>
        </w:rPr>
        <w:fldChar w:fldCharType="separate"/>
      </w:r>
      <w:hyperlink w:anchor="_Toc45549233" w:history="1">
        <w:r w:rsidR="00532BCC" w:rsidRPr="004C4869">
          <w:rPr>
            <w:rStyle w:val="Hyperlink"/>
            <w:noProof/>
          </w:rPr>
          <w:t>1</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Introduction</w:t>
        </w:r>
        <w:r w:rsidR="00532BCC">
          <w:rPr>
            <w:noProof/>
            <w:webHidden/>
          </w:rPr>
          <w:tab/>
        </w:r>
        <w:r w:rsidR="00532BCC">
          <w:rPr>
            <w:noProof/>
            <w:webHidden/>
          </w:rPr>
          <w:fldChar w:fldCharType="begin"/>
        </w:r>
        <w:r w:rsidR="00532BCC">
          <w:rPr>
            <w:noProof/>
            <w:webHidden/>
          </w:rPr>
          <w:instrText xml:space="preserve"> PAGEREF _Toc45549233 \h </w:instrText>
        </w:r>
        <w:r w:rsidR="00532BCC">
          <w:rPr>
            <w:noProof/>
            <w:webHidden/>
          </w:rPr>
        </w:r>
        <w:r w:rsidR="00532BCC">
          <w:rPr>
            <w:noProof/>
            <w:webHidden/>
          </w:rPr>
          <w:fldChar w:fldCharType="separate"/>
        </w:r>
        <w:r w:rsidR="00532BCC">
          <w:rPr>
            <w:noProof/>
            <w:webHidden/>
          </w:rPr>
          <w:t>2</w:t>
        </w:r>
        <w:r w:rsidR="00532BCC">
          <w:rPr>
            <w:noProof/>
            <w:webHidden/>
          </w:rPr>
          <w:fldChar w:fldCharType="end"/>
        </w:r>
      </w:hyperlink>
    </w:p>
    <w:p w14:paraId="4B0A9CA7" w14:textId="11CB9F7D" w:rsidR="00532BCC" w:rsidRDefault="00F47AD1">
      <w:pPr>
        <w:pStyle w:val="TOC2"/>
        <w:rPr>
          <w:rFonts w:asciiTheme="minorHAnsi" w:eastAsiaTheme="minorEastAsia" w:hAnsiTheme="minorHAnsi" w:cstheme="minorBidi"/>
          <w:noProof/>
          <w:color w:val="auto"/>
          <w:sz w:val="22"/>
          <w:szCs w:val="22"/>
          <w:lang w:eastAsia="en-AU"/>
        </w:rPr>
      </w:pPr>
      <w:hyperlink w:anchor="_Toc45549234" w:history="1">
        <w:r w:rsidR="00532BCC" w:rsidRPr="004C4869">
          <w:rPr>
            <w:rStyle w:val="Hyperlink"/>
            <w:noProof/>
          </w:rPr>
          <w:t>1.1</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Purpose and scope</w:t>
        </w:r>
        <w:r w:rsidR="00532BCC">
          <w:rPr>
            <w:noProof/>
            <w:webHidden/>
          </w:rPr>
          <w:tab/>
        </w:r>
        <w:r w:rsidR="00532BCC">
          <w:rPr>
            <w:noProof/>
            <w:webHidden/>
          </w:rPr>
          <w:fldChar w:fldCharType="begin"/>
        </w:r>
        <w:r w:rsidR="00532BCC">
          <w:rPr>
            <w:noProof/>
            <w:webHidden/>
          </w:rPr>
          <w:instrText xml:space="preserve"> PAGEREF _Toc45549234 \h </w:instrText>
        </w:r>
        <w:r w:rsidR="00532BCC">
          <w:rPr>
            <w:noProof/>
            <w:webHidden/>
          </w:rPr>
        </w:r>
        <w:r w:rsidR="00532BCC">
          <w:rPr>
            <w:noProof/>
            <w:webHidden/>
          </w:rPr>
          <w:fldChar w:fldCharType="separate"/>
        </w:r>
        <w:r w:rsidR="00532BCC">
          <w:rPr>
            <w:noProof/>
            <w:webHidden/>
          </w:rPr>
          <w:t>2</w:t>
        </w:r>
        <w:r w:rsidR="00532BCC">
          <w:rPr>
            <w:noProof/>
            <w:webHidden/>
          </w:rPr>
          <w:fldChar w:fldCharType="end"/>
        </w:r>
      </w:hyperlink>
    </w:p>
    <w:p w14:paraId="71288084" w14:textId="10C54B24" w:rsidR="00532BCC" w:rsidRDefault="00F47AD1">
      <w:pPr>
        <w:pStyle w:val="TOC2"/>
        <w:rPr>
          <w:rFonts w:asciiTheme="minorHAnsi" w:eastAsiaTheme="minorEastAsia" w:hAnsiTheme="minorHAnsi" w:cstheme="minorBidi"/>
          <w:noProof/>
          <w:color w:val="auto"/>
          <w:sz w:val="22"/>
          <w:szCs w:val="22"/>
          <w:lang w:eastAsia="en-AU"/>
        </w:rPr>
      </w:pPr>
      <w:hyperlink w:anchor="_Toc45549235" w:history="1">
        <w:r w:rsidR="00532BCC" w:rsidRPr="004C4869">
          <w:rPr>
            <w:rStyle w:val="Hyperlink"/>
            <w:noProof/>
          </w:rPr>
          <w:t>1.2</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Legal context</w:t>
        </w:r>
        <w:r w:rsidR="00532BCC">
          <w:rPr>
            <w:noProof/>
            <w:webHidden/>
          </w:rPr>
          <w:tab/>
        </w:r>
        <w:r w:rsidR="00532BCC">
          <w:rPr>
            <w:noProof/>
            <w:webHidden/>
          </w:rPr>
          <w:fldChar w:fldCharType="begin"/>
        </w:r>
        <w:r w:rsidR="00532BCC">
          <w:rPr>
            <w:noProof/>
            <w:webHidden/>
          </w:rPr>
          <w:instrText xml:space="preserve"> PAGEREF _Toc45549235 \h </w:instrText>
        </w:r>
        <w:r w:rsidR="00532BCC">
          <w:rPr>
            <w:noProof/>
            <w:webHidden/>
          </w:rPr>
        </w:r>
        <w:r w:rsidR="00532BCC">
          <w:rPr>
            <w:noProof/>
            <w:webHidden/>
          </w:rPr>
          <w:fldChar w:fldCharType="separate"/>
        </w:r>
        <w:r w:rsidR="00532BCC">
          <w:rPr>
            <w:noProof/>
            <w:webHidden/>
          </w:rPr>
          <w:t>2</w:t>
        </w:r>
        <w:r w:rsidR="00532BCC">
          <w:rPr>
            <w:noProof/>
            <w:webHidden/>
          </w:rPr>
          <w:fldChar w:fldCharType="end"/>
        </w:r>
      </w:hyperlink>
    </w:p>
    <w:p w14:paraId="39D73D97" w14:textId="5D5E2E26" w:rsidR="00532BCC" w:rsidRDefault="00F47AD1">
      <w:pPr>
        <w:pStyle w:val="TOC2"/>
        <w:rPr>
          <w:rFonts w:asciiTheme="minorHAnsi" w:eastAsiaTheme="minorEastAsia" w:hAnsiTheme="minorHAnsi" w:cstheme="minorBidi"/>
          <w:noProof/>
          <w:color w:val="auto"/>
          <w:sz w:val="22"/>
          <w:szCs w:val="22"/>
          <w:lang w:eastAsia="en-AU"/>
        </w:rPr>
      </w:pPr>
      <w:hyperlink w:anchor="_Toc45549236" w:history="1">
        <w:r w:rsidR="00532BCC" w:rsidRPr="004C4869">
          <w:rPr>
            <w:rStyle w:val="Hyperlink"/>
            <w:noProof/>
          </w:rPr>
          <w:t>1.3</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Legal status of these guidelines</w:t>
        </w:r>
        <w:r w:rsidR="00532BCC">
          <w:rPr>
            <w:noProof/>
            <w:webHidden/>
          </w:rPr>
          <w:tab/>
        </w:r>
        <w:r w:rsidR="00532BCC">
          <w:rPr>
            <w:noProof/>
            <w:webHidden/>
          </w:rPr>
          <w:fldChar w:fldCharType="begin"/>
        </w:r>
        <w:r w:rsidR="00532BCC">
          <w:rPr>
            <w:noProof/>
            <w:webHidden/>
          </w:rPr>
          <w:instrText xml:space="preserve"> PAGEREF _Toc45549236 \h </w:instrText>
        </w:r>
        <w:r w:rsidR="00532BCC">
          <w:rPr>
            <w:noProof/>
            <w:webHidden/>
          </w:rPr>
        </w:r>
        <w:r w:rsidR="00532BCC">
          <w:rPr>
            <w:noProof/>
            <w:webHidden/>
          </w:rPr>
          <w:fldChar w:fldCharType="separate"/>
        </w:r>
        <w:r w:rsidR="00532BCC">
          <w:rPr>
            <w:noProof/>
            <w:webHidden/>
          </w:rPr>
          <w:t>3</w:t>
        </w:r>
        <w:r w:rsidR="00532BCC">
          <w:rPr>
            <w:noProof/>
            <w:webHidden/>
          </w:rPr>
          <w:fldChar w:fldCharType="end"/>
        </w:r>
      </w:hyperlink>
    </w:p>
    <w:p w14:paraId="1162AA97" w14:textId="7E01EE38" w:rsidR="00532BCC" w:rsidRDefault="00F47AD1">
      <w:pPr>
        <w:pStyle w:val="TOC2"/>
        <w:rPr>
          <w:rFonts w:asciiTheme="minorHAnsi" w:eastAsiaTheme="minorEastAsia" w:hAnsiTheme="minorHAnsi" w:cstheme="minorBidi"/>
          <w:noProof/>
          <w:color w:val="auto"/>
          <w:sz w:val="22"/>
          <w:szCs w:val="22"/>
          <w:lang w:eastAsia="en-AU"/>
        </w:rPr>
      </w:pPr>
      <w:hyperlink w:anchor="_Toc45549237" w:history="1">
        <w:r w:rsidR="00532BCC" w:rsidRPr="004C4869">
          <w:rPr>
            <w:rStyle w:val="Hyperlink"/>
            <w:noProof/>
          </w:rPr>
          <w:t>1.4</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Commencement and availability</w:t>
        </w:r>
        <w:r w:rsidR="00532BCC">
          <w:rPr>
            <w:noProof/>
            <w:webHidden/>
          </w:rPr>
          <w:tab/>
        </w:r>
        <w:r w:rsidR="00532BCC">
          <w:rPr>
            <w:noProof/>
            <w:webHidden/>
          </w:rPr>
          <w:fldChar w:fldCharType="begin"/>
        </w:r>
        <w:r w:rsidR="00532BCC">
          <w:rPr>
            <w:noProof/>
            <w:webHidden/>
          </w:rPr>
          <w:instrText xml:space="preserve"> PAGEREF _Toc45549237 \h </w:instrText>
        </w:r>
        <w:r w:rsidR="00532BCC">
          <w:rPr>
            <w:noProof/>
            <w:webHidden/>
          </w:rPr>
        </w:r>
        <w:r w:rsidR="00532BCC">
          <w:rPr>
            <w:noProof/>
            <w:webHidden/>
          </w:rPr>
          <w:fldChar w:fldCharType="separate"/>
        </w:r>
        <w:r w:rsidR="00532BCC">
          <w:rPr>
            <w:noProof/>
            <w:webHidden/>
          </w:rPr>
          <w:t>3</w:t>
        </w:r>
        <w:r w:rsidR="00532BCC">
          <w:rPr>
            <w:noProof/>
            <w:webHidden/>
          </w:rPr>
          <w:fldChar w:fldCharType="end"/>
        </w:r>
      </w:hyperlink>
    </w:p>
    <w:p w14:paraId="11372971" w14:textId="393BE84F" w:rsidR="00532BCC" w:rsidRDefault="00F47AD1">
      <w:pPr>
        <w:pStyle w:val="TOC1"/>
        <w:tabs>
          <w:tab w:val="left" w:pos="600"/>
        </w:tabs>
        <w:rPr>
          <w:rFonts w:asciiTheme="minorHAnsi" w:eastAsiaTheme="minorEastAsia" w:hAnsiTheme="minorHAnsi" w:cstheme="minorBidi"/>
          <w:noProof/>
          <w:color w:val="auto"/>
          <w:sz w:val="22"/>
          <w:szCs w:val="22"/>
          <w:lang w:eastAsia="en-AU"/>
        </w:rPr>
      </w:pPr>
      <w:hyperlink w:anchor="_Toc45549238" w:history="1">
        <w:r w:rsidR="00532BCC" w:rsidRPr="004C4869">
          <w:rPr>
            <w:rStyle w:val="Hyperlink"/>
            <w:noProof/>
          </w:rPr>
          <w:t>2</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Part I: Description of a Mineral Resource</w:t>
        </w:r>
        <w:r w:rsidR="00532BCC">
          <w:rPr>
            <w:noProof/>
            <w:webHidden/>
          </w:rPr>
          <w:tab/>
        </w:r>
        <w:r w:rsidR="00532BCC">
          <w:rPr>
            <w:noProof/>
            <w:webHidden/>
          </w:rPr>
          <w:fldChar w:fldCharType="begin"/>
        </w:r>
        <w:r w:rsidR="00532BCC">
          <w:rPr>
            <w:noProof/>
            <w:webHidden/>
          </w:rPr>
          <w:instrText xml:space="preserve"> PAGEREF _Toc45549238 \h </w:instrText>
        </w:r>
        <w:r w:rsidR="00532BCC">
          <w:rPr>
            <w:noProof/>
            <w:webHidden/>
          </w:rPr>
        </w:r>
        <w:r w:rsidR="00532BCC">
          <w:rPr>
            <w:noProof/>
            <w:webHidden/>
          </w:rPr>
          <w:fldChar w:fldCharType="separate"/>
        </w:r>
        <w:r w:rsidR="00532BCC">
          <w:rPr>
            <w:noProof/>
            <w:webHidden/>
          </w:rPr>
          <w:t>3</w:t>
        </w:r>
        <w:r w:rsidR="00532BCC">
          <w:rPr>
            <w:noProof/>
            <w:webHidden/>
          </w:rPr>
          <w:fldChar w:fldCharType="end"/>
        </w:r>
      </w:hyperlink>
    </w:p>
    <w:p w14:paraId="0C3D8B93" w14:textId="643F016C" w:rsidR="00532BCC" w:rsidRDefault="00F47AD1">
      <w:pPr>
        <w:pStyle w:val="TOC2"/>
        <w:rPr>
          <w:rFonts w:asciiTheme="minorHAnsi" w:eastAsiaTheme="minorEastAsia" w:hAnsiTheme="minorHAnsi" w:cstheme="minorBidi"/>
          <w:noProof/>
          <w:color w:val="auto"/>
          <w:sz w:val="22"/>
          <w:szCs w:val="22"/>
          <w:lang w:eastAsia="en-AU"/>
        </w:rPr>
      </w:pPr>
      <w:hyperlink w:anchor="_Toc45549239" w:history="1">
        <w:r w:rsidR="00532BCC" w:rsidRPr="004C4869">
          <w:rPr>
            <w:rStyle w:val="Hyperlink"/>
            <w:noProof/>
          </w:rPr>
          <w:t>2.1</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Describing the Mineral Resource</w:t>
        </w:r>
        <w:r w:rsidR="00532BCC">
          <w:rPr>
            <w:noProof/>
            <w:webHidden/>
          </w:rPr>
          <w:tab/>
        </w:r>
        <w:r w:rsidR="00532BCC">
          <w:rPr>
            <w:noProof/>
            <w:webHidden/>
          </w:rPr>
          <w:fldChar w:fldCharType="begin"/>
        </w:r>
        <w:r w:rsidR="00532BCC">
          <w:rPr>
            <w:noProof/>
            <w:webHidden/>
          </w:rPr>
          <w:instrText xml:space="preserve"> PAGEREF _Toc45549239 \h </w:instrText>
        </w:r>
        <w:r w:rsidR="00532BCC">
          <w:rPr>
            <w:noProof/>
            <w:webHidden/>
          </w:rPr>
        </w:r>
        <w:r w:rsidR="00532BCC">
          <w:rPr>
            <w:noProof/>
            <w:webHidden/>
          </w:rPr>
          <w:fldChar w:fldCharType="separate"/>
        </w:r>
        <w:r w:rsidR="00532BCC">
          <w:rPr>
            <w:noProof/>
            <w:webHidden/>
          </w:rPr>
          <w:t>3</w:t>
        </w:r>
        <w:r w:rsidR="00532BCC">
          <w:rPr>
            <w:noProof/>
            <w:webHidden/>
          </w:rPr>
          <w:fldChar w:fldCharType="end"/>
        </w:r>
      </w:hyperlink>
    </w:p>
    <w:p w14:paraId="302050BC" w14:textId="74FAF473" w:rsidR="00532BCC" w:rsidRDefault="00F47AD1">
      <w:pPr>
        <w:pStyle w:val="TOC2"/>
        <w:rPr>
          <w:rFonts w:asciiTheme="minorHAnsi" w:eastAsiaTheme="minorEastAsia" w:hAnsiTheme="minorHAnsi" w:cstheme="minorBidi"/>
          <w:noProof/>
          <w:color w:val="auto"/>
          <w:sz w:val="22"/>
          <w:szCs w:val="22"/>
          <w:lang w:eastAsia="en-AU"/>
        </w:rPr>
      </w:pPr>
      <w:hyperlink w:anchor="_Toc45549240" w:history="1">
        <w:r w:rsidR="00532BCC" w:rsidRPr="004C4869">
          <w:rPr>
            <w:rStyle w:val="Hyperlink"/>
            <w:noProof/>
          </w:rPr>
          <w:t>2.2</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Competent Person</w:t>
        </w:r>
        <w:r w:rsidR="00532BCC">
          <w:rPr>
            <w:noProof/>
            <w:webHidden/>
          </w:rPr>
          <w:tab/>
        </w:r>
        <w:r w:rsidR="00532BCC">
          <w:rPr>
            <w:noProof/>
            <w:webHidden/>
          </w:rPr>
          <w:fldChar w:fldCharType="begin"/>
        </w:r>
        <w:r w:rsidR="00532BCC">
          <w:rPr>
            <w:noProof/>
            <w:webHidden/>
          </w:rPr>
          <w:instrText xml:space="preserve"> PAGEREF _Toc45549240 \h </w:instrText>
        </w:r>
        <w:r w:rsidR="00532BCC">
          <w:rPr>
            <w:noProof/>
            <w:webHidden/>
          </w:rPr>
        </w:r>
        <w:r w:rsidR="00532BCC">
          <w:rPr>
            <w:noProof/>
            <w:webHidden/>
          </w:rPr>
          <w:fldChar w:fldCharType="separate"/>
        </w:r>
        <w:r w:rsidR="00532BCC">
          <w:rPr>
            <w:noProof/>
            <w:webHidden/>
          </w:rPr>
          <w:t>4</w:t>
        </w:r>
        <w:r w:rsidR="00532BCC">
          <w:rPr>
            <w:noProof/>
            <w:webHidden/>
          </w:rPr>
          <w:fldChar w:fldCharType="end"/>
        </w:r>
      </w:hyperlink>
    </w:p>
    <w:p w14:paraId="62C5F6F7" w14:textId="340D2E0B" w:rsidR="00532BCC" w:rsidRDefault="00F47AD1">
      <w:pPr>
        <w:pStyle w:val="TOC2"/>
        <w:rPr>
          <w:rFonts w:asciiTheme="minorHAnsi" w:eastAsiaTheme="minorEastAsia" w:hAnsiTheme="minorHAnsi" w:cstheme="minorBidi"/>
          <w:noProof/>
          <w:color w:val="auto"/>
          <w:sz w:val="22"/>
          <w:szCs w:val="22"/>
          <w:lang w:eastAsia="en-AU"/>
        </w:rPr>
      </w:pPr>
      <w:hyperlink w:anchor="_Toc45549241" w:history="1">
        <w:r w:rsidR="00532BCC" w:rsidRPr="004C4869">
          <w:rPr>
            <w:rStyle w:val="Hyperlink"/>
            <w:noProof/>
          </w:rPr>
          <w:t>2.3</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Gypsum</w:t>
        </w:r>
        <w:r w:rsidR="00532BCC">
          <w:rPr>
            <w:noProof/>
            <w:webHidden/>
          </w:rPr>
          <w:tab/>
        </w:r>
        <w:r w:rsidR="00532BCC">
          <w:rPr>
            <w:noProof/>
            <w:webHidden/>
          </w:rPr>
          <w:fldChar w:fldCharType="begin"/>
        </w:r>
        <w:r w:rsidR="00532BCC">
          <w:rPr>
            <w:noProof/>
            <w:webHidden/>
          </w:rPr>
          <w:instrText xml:space="preserve"> PAGEREF _Toc45549241 \h </w:instrText>
        </w:r>
        <w:r w:rsidR="00532BCC">
          <w:rPr>
            <w:noProof/>
            <w:webHidden/>
          </w:rPr>
        </w:r>
        <w:r w:rsidR="00532BCC">
          <w:rPr>
            <w:noProof/>
            <w:webHidden/>
          </w:rPr>
          <w:fldChar w:fldCharType="separate"/>
        </w:r>
        <w:r w:rsidR="00532BCC">
          <w:rPr>
            <w:noProof/>
            <w:webHidden/>
          </w:rPr>
          <w:t>5</w:t>
        </w:r>
        <w:r w:rsidR="00532BCC">
          <w:rPr>
            <w:noProof/>
            <w:webHidden/>
          </w:rPr>
          <w:fldChar w:fldCharType="end"/>
        </w:r>
      </w:hyperlink>
    </w:p>
    <w:p w14:paraId="5FA0442F" w14:textId="3BBF66F5" w:rsidR="00532BCC" w:rsidRDefault="00F47AD1">
      <w:pPr>
        <w:pStyle w:val="TOC1"/>
        <w:tabs>
          <w:tab w:val="left" w:pos="600"/>
        </w:tabs>
        <w:rPr>
          <w:rFonts w:asciiTheme="minorHAnsi" w:eastAsiaTheme="minorEastAsia" w:hAnsiTheme="minorHAnsi" w:cstheme="minorBidi"/>
          <w:noProof/>
          <w:color w:val="auto"/>
          <w:sz w:val="22"/>
          <w:szCs w:val="22"/>
          <w:lang w:eastAsia="en-AU"/>
        </w:rPr>
      </w:pPr>
      <w:hyperlink w:anchor="_Toc45549242" w:history="1">
        <w:r w:rsidR="00532BCC" w:rsidRPr="004C4869">
          <w:rPr>
            <w:rStyle w:val="Hyperlink"/>
            <w:noProof/>
          </w:rPr>
          <w:t>3</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Part II: Mineralisation Report</w:t>
        </w:r>
        <w:r w:rsidR="00532BCC">
          <w:rPr>
            <w:noProof/>
            <w:webHidden/>
          </w:rPr>
          <w:tab/>
        </w:r>
        <w:r w:rsidR="00532BCC">
          <w:rPr>
            <w:noProof/>
            <w:webHidden/>
          </w:rPr>
          <w:fldChar w:fldCharType="begin"/>
        </w:r>
        <w:r w:rsidR="00532BCC">
          <w:rPr>
            <w:noProof/>
            <w:webHidden/>
          </w:rPr>
          <w:instrText xml:space="preserve"> PAGEREF _Toc45549242 \h </w:instrText>
        </w:r>
        <w:r w:rsidR="00532BCC">
          <w:rPr>
            <w:noProof/>
            <w:webHidden/>
          </w:rPr>
        </w:r>
        <w:r w:rsidR="00532BCC">
          <w:rPr>
            <w:noProof/>
            <w:webHidden/>
          </w:rPr>
          <w:fldChar w:fldCharType="separate"/>
        </w:r>
        <w:r w:rsidR="00532BCC">
          <w:rPr>
            <w:noProof/>
            <w:webHidden/>
          </w:rPr>
          <w:t>5</w:t>
        </w:r>
        <w:r w:rsidR="00532BCC">
          <w:rPr>
            <w:noProof/>
            <w:webHidden/>
          </w:rPr>
          <w:fldChar w:fldCharType="end"/>
        </w:r>
      </w:hyperlink>
    </w:p>
    <w:p w14:paraId="2264B2D7" w14:textId="05238B50" w:rsidR="00532BCC" w:rsidRDefault="00F47AD1">
      <w:pPr>
        <w:pStyle w:val="TOC2"/>
        <w:rPr>
          <w:rFonts w:asciiTheme="minorHAnsi" w:eastAsiaTheme="minorEastAsia" w:hAnsiTheme="minorHAnsi" w:cstheme="minorBidi"/>
          <w:noProof/>
          <w:color w:val="auto"/>
          <w:sz w:val="22"/>
          <w:szCs w:val="22"/>
          <w:lang w:eastAsia="en-AU"/>
        </w:rPr>
      </w:pPr>
      <w:hyperlink w:anchor="_Toc45549243" w:history="1">
        <w:r w:rsidR="00532BCC" w:rsidRPr="004C4869">
          <w:rPr>
            <w:rStyle w:val="Hyperlink"/>
            <w:noProof/>
          </w:rPr>
          <w:t>3.1</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Reports by ASX listed mining companies</w:t>
        </w:r>
        <w:r w:rsidR="00532BCC">
          <w:rPr>
            <w:noProof/>
            <w:webHidden/>
          </w:rPr>
          <w:tab/>
        </w:r>
        <w:r w:rsidR="00532BCC">
          <w:rPr>
            <w:noProof/>
            <w:webHidden/>
          </w:rPr>
          <w:fldChar w:fldCharType="begin"/>
        </w:r>
        <w:r w:rsidR="00532BCC">
          <w:rPr>
            <w:noProof/>
            <w:webHidden/>
          </w:rPr>
          <w:instrText xml:space="preserve"> PAGEREF _Toc45549243 \h </w:instrText>
        </w:r>
        <w:r w:rsidR="00532BCC">
          <w:rPr>
            <w:noProof/>
            <w:webHidden/>
          </w:rPr>
        </w:r>
        <w:r w:rsidR="00532BCC">
          <w:rPr>
            <w:noProof/>
            <w:webHidden/>
          </w:rPr>
          <w:fldChar w:fldCharType="separate"/>
        </w:r>
        <w:r w:rsidR="00532BCC">
          <w:rPr>
            <w:noProof/>
            <w:webHidden/>
          </w:rPr>
          <w:t>5</w:t>
        </w:r>
        <w:r w:rsidR="00532BCC">
          <w:rPr>
            <w:noProof/>
            <w:webHidden/>
          </w:rPr>
          <w:fldChar w:fldCharType="end"/>
        </w:r>
      </w:hyperlink>
    </w:p>
    <w:p w14:paraId="0C2DADF0" w14:textId="0A167343" w:rsidR="00532BCC" w:rsidRDefault="00F47AD1">
      <w:pPr>
        <w:pStyle w:val="TOC2"/>
        <w:rPr>
          <w:rFonts w:asciiTheme="minorHAnsi" w:eastAsiaTheme="minorEastAsia" w:hAnsiTheme="minorHAnsi" w:cstheme="minorBidi"/>
          <w:noProof/>
          <w:color w:val="auto"/>
          <w:sz w:val="22"/>
          <w:szCs w:val="22"/>
          <w:lang w:eastAsia="en-AU"/>
        </w:rPr>
      </w:pPr>
      <w:hyperlink w:anchor="_Toc45549244" w:history="1">
        <w:r w:rsidR="00532BCC" w:rsidRPr="004C4869">
          <w:rPr>
            <w:rStyle w:val="Hyperlink"/>
            <w:noProof/>
          </w:rPr>
          <w:t>3.2</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Content of a Mineralisation Report</w:t>
        </w:r>
        <w:r w:rsidR="00532BCC">
          <w:rPr>
            <w:noProof/>
            <w:webHidden/>
          </w:rPr>
          <w:tab/>
        </w:r>
        <w:r w:rsidR="00532BCC">
          <w:rPr>
            <w:noProof/>
            <w:webHidden/>
          </w:rPr>
          <w:fldChar w:fldCharType="begin"/>
        </w:r>
        <w:r w:rsidR="00532BCC">
          <w:rPr>
            <w:noProof/>
            <w:webHidden/>
          </w:rPr>
          <w:instrText xml:space="preserve"> PAGEREF _Toc45549244 \h </w:instrText>
        </w:r>
        <w:r w:rsidR="00532BCC">
          <w:rPr>
            <w:noProof/>
            <w:webHidden/>
          </w:rPr>
        </w:r>
        <w:r w:rsidR="00532BCC">
          <w:rPr>
            <w:noProof/>
            <w:webHidden/>
          </w:rPr>
          <w:fldChar w:fldCharType="separate"/>
        </w:r>
        <w:r w:rsidR="00532BCC">
          <w:rPr>
            <w:noProof/>
            <w:webHidden/>
          </w:rPr>
          <w:t>5</w:t>
        </w:r>
        <w:r w:rsidR="00532BCC">
          <w:rPr>
            <w:noProof/>
            <w:webHidden/>
          </w:rPr>
          <w:fldChar w:fldCharType="end"/>
        </w:r>
      </w:hyperlink>
    </w:p>
    <w:p w14:paraId="4F767CC5" w14:textId="7A3EFDB2" w:rsidR="00532BCC" w:rsidRDefault="00F47AD1">
      <w:pPr>
        <w:pStyle w:val="TOC2"/>
        <w:rPr>
          <w:rFonts w:asciiTheme="minorHAnsi" w:eastAsiaTheme="minorEastAsia" w:hAnsiTheme="minorHAnsi" w:cstheme="minorBidi"/>
          <w:noProof/>
          <w:color w:val="auto"/>
          <w:sz w:val="22"/>
          <w:szCs w:val="22"/>
          <w:lang w:eastAsia="en-AU"/>
        </w:rPr>
      </w:pPr>
      <w:hyperlink w:anchor="_Toc45549245" w:history="1">
        <w:r w:rsidR="00532BCC" w:rsidRPr="004C4869">
          <w:rPr>
            <w:rStyle w:val="Hyperlink"/>
            <w:noProof/>
          </w:rPr>
          <w:t>3.3</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Reporting of exploration results</w:t>
        </w:r>
        <w:r w:rsidR="00532BCC">
          <w:rPr>
            <w:noProof/>
            <w:webHidden/>
          </w:rPr>
          <w:tab/>
        </w:r>
        <w:r w:rsidR="00532BCC">
          <w:rPr>
            <w:noProof/>
            <w:webHidden/>
          </w:rPr>
          <w:fldChar w:fldCharType="begin"/>
        </w:r>
        <w:r w:rsidR="00532BCC">
          <w:rPr>
            <w:noProof/>
            <w:webHidden/>
          </w:rPr>
          <w:instrText xml:space="preserve"> PAGEREF _Toc45549245 \h </w:instrText>
        </w:r>
        <w:r w:rsidR="00532BCC">
          <w:rPr>
            <w:noProof/>
            <w:webHidden/>
          </w:rPr>
        </w:r>
        <w:r w:rsidR="00532BCC">
          <w:rPr>
            <w:noProof/>
            <w:webHidden/>
          </w:rPr>
          <w:fldChar w:fldCharType="separate"/>
        </w:r>
        <w:r w:rsidR="00532BCC">
          <w:rPr>
            <w:noProof/>
            <w:webHidden/>
          </w:rPr>
          <w:t>6</w:t>
        </w:r>
        <w:r w:rsidR="00532BCC">
          <w:rPr>
            <w:noProof/>
            <w:webHidden/>
          </w:rPr>
          <w:fldChar w:fldCharType="end"/>
        </w:r>
      </w:hyperlink>
    </w:p>
    <w:p w14:paraId="0F9D6E55" w14:textId="105D97AE" w:rsidR="00532BCC" w:rsidRDefault="00F47AD1">
      <w:pPr>
        <w:pStyle w:val="TOC2"/>
        <w:rPr>
          <w:rFonts w:asciiTheme="minorHAnsi" w:eastAsiaTheme="minorEastAsia" w:hAnsiTheme="minorHAnsi" w:cstheme="minorBidi"/>
          <w:noProof/>
          <w:color w:val="auto"/>
          <w:sz w:val="22"/>
          <w:szCs w:val="22"/>
          <w:lang w:eastAsia="en-AU"/>
        </w:rPr>
      </w:pPr>
      <w:hyperlink w:anchor="_Toc45549246" w:history="1">
        <w:r w:rsidR="00532BCC" w:rsidRPr="004C4869">
          <w:rPr>
            <w:rStyle w:val="Hyperlink"/>
            <w:noProof/>
          </w:rPr>
          <w:t>3.4</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Assessing economic viability</w:t>
        </w:r>
        <w:r w:rsidR="00532BCC">
          <w:rPr>
            <w:noProof/>
            <w:webHidden/>
          </w:rPr>
          <w:tab/>
        </w:r>
        <w:r w:rsidR="00532BCC">
          <w:rPr>
            <w:noProof/>
            <w:webHidden/>
          </w:rPr>
          <w:fldChar w:fldCharType="begin"/>
        </w:r>
        <w:r w:rsidR="00532BCC">
          <w:rPr>
            <w:noProof/>
            <w:webHidden/>
          </w:rPr>
          <w:instrText xml:space="preserve"> PAGEREF _Toc45549246 \h </w:instrText>
        </w:r>
        <w:r w:rsidR="00532BCC">
          <w:rPr>
            <w:noProof/>
            <w:webHidden/>
          </w:rPr>
        </w:r>
        <w:r w:rsidR="00532BCC">
          <w:rPr>
            <w:noProof/>
            <w:webHidden/>
          </w:rPr>
          <w:fldChar w:fldCharType="separate"/>
        </w:r>
        <w:r w:rsidR="00532BCC">
          <w:rPr>
            <w:noProof/>
            <w:webHidden/>
          </w:rPr>
          <w:t>6</w:t>
        </w:r>
        <w:r w:rsidR="00532BCC">
          <w:rPr>
            <w:noProof/>
            <w:webHidden/>
          </w:rPr>
          <w:fldChar w:fldCharType="end"/>
        </w:r>
      </w:hyperlink>
    </w:p>
    <w:p w14:paraId="259E6169" w14:textId="0464A9E3" w:rsidR="00532BCC" w:rsidRDefault="00F47AD1">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45549247" w:history="1">
        <w:r w:rsidR="00532BCC" w:rsidRPr="004C4869">
          <w:rPr>
            <w:rStyle w:val="Hyperlink"/>
            <w:noProof/>
          </w:rPr>
          <w:t>3.4.1</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Economic viability assessment for a retention licence</w:t>
        </w:r>
        <w:r w:rsidR="00532BCC">
          <w:rPr>
            <w:noProof/>
            <w:webHidden/>
          </w:rPr>
          <w:tab/>
        </w:r>
        <w:r w:rsidR="00532BCC">
          <w:rPr>
            <w:noProof/>
            <w:webHidden/>
          </w:rPr>
          <w:fldChar w:fldCharType="begin"/>
        </w:r>
        <w:r w:rsidR="00532BCC">
          <w:rPr>
            <w:noProof/>
            <w:webHidden/>
          </w:rPr>
          <w:instrText xml:space="preserve"> PAGEREF _Toc45549247 \h </w:instrText>
        </w:r>
        <w:r w:rsidR="00532BCC">
          <w:rPr>
            <w:noProof/>
            <w:webHidden/>
          </w:rPr>
        </w:r>
        <w:r w:rsidR="00532BCC">
          <w:rPr>
            <w:noProof/>
            <w:webHidden/>
          </w:rPr>
          <w:fldChar w:fldCharType="separate"/>
        </w:r>
        <w:r w:rsidR="00532BCC">
          <w:rPr>
            <w:noProof/>
            <w:webHidden/>
          </w:rPr>
          <w:t>6</w:t>
        </w:r>
        <w:r w:rsidR="00532BCC">
          <w:rPr>
            <w:noProof/>
            <w:webHidden/>
          </w:rPr>
          <w:fldChar w:fldCharType="end"/>
        </w:r>
      </w:hyperlink>
    </w:p>
    <w:p w14:paraId="480BCB44" w14:textId="73846058" w:rsidR="00532BCC" w:rsidRDefault="00F47AD1">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45549248" w:history="1">
        <w:r w:rsidR="00532BCC" w:rsidRPr="004C4869">
          <w:rPr>
            <w:rStyle w:val="Hyperlink"/>
            <w:noProof/>
          </w:rPr>
          <w:t>3.4.2</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Economic viability assessment for a mining licence</w:t>
        </w:r>
        <w:r w:rsidR="00532BCC">
          <w:rPr>
            <w:noProof/>
            <w:webHidden/>
          </w:rPr>
          <w:tab/>
        </w:r>
        <w:r w:rsidR="00532BCC">
          <w:rPr>
            <w:noProof/>
            <w:webHidden/>
          </w:rPr>
          <w:fldChar w:fldCharType="begin"/>
        </w:r>
        <w:r w:rsidR="00532BCC">
          <w:rPr>
            <w:noProof/>
            <w:webHidden/>
          </w:rPr>
          <w:instrText xml:space="preserve"> PAGEREF _Toc45549248 \h </w:instrText>
        </w:r>
        <w:r w:rsidR="00532BCC">
          <w:rPr>
            <w:noProof/>
            <w:webHidden/>
          </w:rPr>
        </w:r>
        <w:r w:rsidR="00532BCC">
          <w:rPr>
            <w:noProof/>
            <w:webHidden/>
          </w:rPr>
          <w:fldChar w:fldCharType="separate"/>
        </w:r>
        <w:r w:rsidR="00532BCC">
          <w:rPr>
            <w:noProof/>
            <w:webHidden/>
          </w:rPr>
          <w:t>7</w:t>
        </w:r>
        <w:r w:rsidR="00532BCC">
          <w:rPr>
            <w:noProof/>
            <w:webHidden/>
          </w:rPr>
          <w:fldChar w:fldCharType="end"/>
        </w:r>
      </w:hyperlink>
    </w:p>
    <w:p w14:paraId="0781CC8B" w14:textId="7FAD7920" w:rsidR="00532BCC" w:rsidRDefault="00F47AD1">
      <w:pPr>
        <w:pStyle w:val="TOC3"/>
        <w:tabs>
          <w:tab w:val="left" w:pos="1100"/>
          <w:tab w:val="right" w:leader="dot" w:pos="9016"/>
        </w:tabs>
        <w:rPr>
          <w:rFonts w:asciiTheme="minorHAnsi" w:eastAsiaTheme="minorEastAsia" w:hAnsiTheme="minorHAnsi" w:cstheme="minorBidi"/>
          <w:noProof/>
          <w:color w:val="auto"/>
          <w:sz w:val="22"/>
          <w:szCs w:val="22"/>
          <w:lang w:eastAsia="en-AU"/>
        </w:rPr>
      </w:pPr>
      <w:hyperlink w:anchor="_Toc45549249" w:history="1">
        <w:r w:rsidR="00532BCC" w:rsidRPr="004C4869">
          <w:rPr>
            <w:rStyle w:val="Hyperlink"/>
            <w:noProof/>
          </w:rPr>
          <w:t>3.4.3</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Economic viability of coal mining</w:t>
        </w:r>
        <w:r w:rsidR="00532BCC">
          <w:rPr>
            <w:noProof/>
            <w:webHidden/>
          </w:rPr>
          <w:tab/>
        </w:r>
        <w:r w:rsidR="00532BCC">
          <w:rPr>
            <w:noProof/>
            <w:webHidden/>
          </w:rPr>
          <w:fldChar w:fldCharType="begin"/>
        </w:r>
        <w:r w:rsidR="00532BCC">
          <w:rPr>
            <w:noProof/>
            <w:webHidden/>
          </w:rPr>
          <w:instrText xml:space="preserve"> PAGEREF _Toc45549249 \h </w:instrText>
        </w:r>
        <w:r w:rsidR="00532BCC">
          <w:rPr>
            <w:noProof/>
            <w:webHidden/>
          </w:rPr>
        </w:r>
        <w:r w:rsidR="00532BCC">
          <w:rPr>
            <w:noProof/>
            <w:webHidden/>
          </w:rPr>
          <w:fldChar w:fldCharType="separate"/>
        </w:r>
        <w:r w:rsidR="00532BCC">
          <w:rPr>
            <w:noProof/>
            <w:webHidden/>
          </w:rPr>
          <w:t>7</w:t>
        </w:r>
        <w:r w:rsidR="00532BCC">
          <w:rPr>
            <w:noProof/>
            <w:webHidden/>
          </w:rPr>
          <w:fldChar w:fldCharType="end"/>
        </w:r>
      </w:hyperlink>
    </w:p>
    <w:p w14:paraId="1990A5FF" w14:textId="4FC7D99A" w:rsidR="00532BCC" w:rsidRDefault="00F47AD1">
      <w:pPr>
        <w:pStyle w:val="TOC2"/>
        <w:rPr>
          <w:rFonts w:asciiTheme="minorHAnsi" w:eastAsiaTheme="minorEastAsia" w:hAnsiTheme="minorHAnsi" w:cstheme="minorBidi"/>
          <w:noProof/>
          <w:color w:val="auto"/>
          <w:sz w:val="22"/>
          <w:szCs w:val="22"/>
          <w:lang w:eastAsia="en-AU"/>
        </w:rPr>
      </w:pPr>
      <w:hyperlink w:anchor="_Toc45549250" w:history="1">
        <w:r w:rsidR="00532BCC" w:rsidRPr="004C4869">
          <w:rPr>
            <w:rStyle w:val="Hyperlink"/>
            <w:noProof/>
          </w:rPr>
          <w:t>3.5</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Further information</w:t>
        </w:r>
        <w:r w:rsidR="00532BCC">
          <w:rPr>
            <w:noProof/>
            <w:webHidden/>
          </w:rPr>
          <w:tab/>
        </w:r>
        <w:r w:rsidR="00532BCC">
          <w:rPr>
            <w:noProof/>
            <w:webHidden/>
          </w:rPr>
          <w:fldChar w:fldCharType="begin"/>
        </w:r>
        <w:r w:rsidR="00532BCC">
          <w:rPr>
            <w:noProof/>
            <w:webHidden/>
          </w:rPr>
          <w:instrText xml:space="preserve"> PAGEREF _Toc45549250 \h </w:instrText>
        </w:r>
        <w:r w:rsidR="00532BCC">
          <w:rPr>
            <w:noProof/>
            <w:webHidden/>
          </w:rPr>
        </w:r>
        <w:r w:rsidR="00532BCC">
          <w:rPr>
            <w:noProof/>
            <w:webHidden/>
          </w:rPr>
          <w:fldChar w:fldCharType="separate"/>
        </w:r>
        <w:r w:rsidR="00532BCC">
          <w:rPr>
            <w:noProof/>
            <w:webHidden/>
          </w:rPr>
          <w:t>7</w:t>
        </w:r>
        <w:r w:rsidR="00532BCC">
          <w:rPr>
            <w:noProof/>
            <w:webHidden/>
          </w:rPr>
          <w:fldChar w:fldCharType="end"/>
        </w:r>
      </w:hyperlink>
    </w:p>
    <w:p w14:paraId="5D3CF5A3" w14:textId="3304308C" w:rsidR="00532BCC" w:rsidRDefault="00F47AD1">
      <w:pPr>
        <w:pStyle w:val="TOC1"/>
        <w:tabs>
          <w:tab w:val="left" w:pos="600"/>
        </w:tabs>
        <w:rPr>
          <w:rFonts w:asciiTheme="minorHAnsi" w:eastAsiaTheme="minorEastAsia" w:hAnsiTheme="minorHAnsi" w:cstheme="minorBidi"/>
          <w:noProof/>
          <w:color w:val="auto"/>
          <w:sz w:val="22"/>
          <w:szCs w:val="22"/>
          <w:lang w:eastAsia="en-AU"/>
        </w:rPr>
      </w:pPr>
      <w:hyperlink w:anchor="_Toc45549251" w:history="1">
        <w:r w:rsidR="00532BCC" w:rsidRPr="004C4869">
          <w:rPr>
            <w:rStyle w:val="Hyperlink"/>
            <w:noProof/>
          </w:rPr>
          <w:t>4</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Appendix 1: Glossary and abbreviations</w:t>
        </w:r>
        <w:r w:rsidR="00532BCC">
          <w:rPr>
            <w:noProof/>
            <w:webHidden/>
          </w:rPr>
          <w:tab/>
        </w:r>
        <w:r w:rsidR="00532BCC">
          <w:rPr>
            <w:noProof/>
            <w:webHidden/>
          </w:rPr>
          <w:fldChar w:fldCharType="begin"/>
        </w:r>
        <w:r w:rsidR="00532BCC">
          <w:rPr>
            <w:noProof/>
            <w:webHidden/>
          </w:rPr>
          <w:instrText xml:space="preserve"> PAGEREF _Toc45549251 \h </w:instrText>
        </w:r>
        <w:r w:rsidR="00532BCC">
          <w:rPr>
            <w:noProof/>
            <w:webHidden/>
          </w:rPr>
        </w:r>
        <w:r w:rsidR="00532BCC">
          <w:rPr>
            <w:noProof/>
            <w:webHidden/>
          </w:rPr>
          <w:fldChar w:fldCharType="separate"/>
        </w:r>
        <w:r w:rsidR="00532BCC">
          <w:rPr>
            <w:noProof/>
            <w:webHidden/>
          </w:rPr>
          <w:t>8</w:t>
        </w:r>
        <w:r w:rsidR="00532BCC">
          <w:rPr>
            <w:noProof/>
            <w:webHidden/>
          </w:rPr>
          <w:fldChar w:fldCharType="end"/>
        </w:r>
      </w:hyperlink>
    </w:p>
    <w:p w14:paraId="06A84B6E" w14:textId="79C4EBC7" w:rsidR="00532BCC" w:rsidRDefault="00F47AD1">
      <w:pPr>
        <w:pStyle w:val="TOC1"/>
        <w:tabs>
          <w:tab w:val="left" w:pos="600"/>
        </w:tabs>
        <w:rPr>
          <w:rFonts w:asciiTheme="minorHAnsi" w:eastAsiaTheme="minorEastAsia" w:hAnsiTheme="minorHAnsi" w:cstheme="minorBidi"/>
          <w:noProof/>
          <w:color w:val="auto"/>
          <w:sz w:val="22"/>
          <w:szCs w:val="22"/>
          <w:lang w:eastAsia="en-AU"/>
        </w:rPr>
      </w:pPr>
      <w:hyperlink w:anchor="_Toc45549252" w:history="1">
        <w:r w:rsidR="00532BCC" w:rsidRPr="004C4869">
          <w:rPr>
            <w:rStyle w:val="Hyperlink"/>
            <w:noProof/>
          </w:rPr>
          <w:t>5</w:t>
        </w:r>
        <w:r w:rsidR="00532BCC">
          <w:rPr>
            <w:rFonts w:asciiTheme="minorHAnsi" w:eastAsiaTheme="minorEastAsia" w:hAnsiTheme="minorHAnsi" w:cstheme="minorBidi"/>
            <w:noProof/>
            <w:color w:val="auto"/>
            <w:sz w:val="22"/>
            <w:szCs w:val="22"/>
            <w:lang w:eastAsia="en-AU"/>
          </w:rPr>
          <w:tab/>
        </w:r>
        <w:r w:rsidR="00532BCC" w:rsidRPr="004C4869">
          <w:rPr>
            <w:rStyle w:val="Hyperlink"/>
            <w:noProof/>
          </w:rPr>
          <w:t>Appendix 2: Description of a Mineral Resource and Mineralisation Report – Cover Sheet</w:t>
        </w:r>
        <w:r w:rsidR="00532BCC">
          <w:rPr>
            <w:noProof/>
            <w:webHidden/>
          </w:rPr>
          <w:tab/>
        </w:r>
        <w:r w:rsidR="00532BCC">
          <w:rPr>
            <w:noProof/>
            <w:webHidden/>
          </w:rPr>
          <w:fldChar w:fldCharType="begin"/>
        </w:r>
        <w:r w:rsidR="00532BCC">
          <w:rPr>
            <w:noProof/>
            <w:webHidden/>
          </w:rPr>
          <w:instrText xml:space="preserve"> PAGEREF _Toc45549252 \h </w:instrText>
        </w:r>
        <w:r w:rsidR="00532BCC">
          <w:rPr>
            <w:noProof/>
            <w:webHidden/>
          </w:rPr>
        </w:r>
        <w:r w:rsidR="00532BCC">
          <w:rPr>
            <w:noProof/>
            <w:webHidden/>
          </w:rPr>
          <w:fldChar w:fldCharType="separate"/>
        </w:r>
        <w:r w:rsidR="00532BCC">
          <w:rPr>
            <w:noProof/>
            <w:webHidden/>
          </w:rPr>
          <w:t>10</w:t>
        </w:r>
        <w:r w:rsidR="00532BCC">
          <w:rPr>
            <w:noProof/>
            <w:webHidden/>
          </w:rPr>
          <w:fldChar w:fldCharType="end"/>
        </w:r>
      </w:hyperlink>
    </w:p>
    <w:p w14:paraId="1F0140E9" w14:textId="77777777" w:rsidR="004371F6" w:rsidRDefault="004371F6" w:rsidP="00D96C1E">
      <w:pPr>
        <w:rPr>
          <w:noProof/>
        </w:rPr>
      </w:pPr>
      <w:r>
        <w:rPr>
          <w:noProof/>
        </w:rPr>
        <w:fldChar w:fldCharType="end"/>
      </w:r>
      <w:r>
        <w:br w:type="page"/>
      </w:r>
    </w:p>
    <w:p w14:paraId="0E23F128" w14:textId="77777777" w:rsidR="004371F6" w:rsidRDefault="00CB050E" w:rsidP="00070516">
      <w:pPr>
        <w:pStyle w:val="Heading1"/>
      </w:pPr>
      <w:bookmarkStart w:id="0" w:name="_Toc45549233"/>
      <w:r>
        <w:lastRenderedPageBreak/>
        <w:t>Introduction</w:t>
      </w:r>
      <w:bookmarkEnd w:id="0"/>
    </w:p>
    <w:p w14:paraId="13E73C16" w14:textId="77777777" w:rsidR="00CB050E" w:rsidRDefault="00CB050E" w:rsidP="00CB050E">
      <w:r>
        <w:t>The Mineral Resources (Sustainable Development) Act 1990 (“the Act”) provides the legislative framework for the development and regulation of the mineral exploration and mining industry (including gold, coal, and mineral sands) as well as the extractive industry (quarries) for the extraction of stone resources. The Act seeks to encourage an economically viable mining industry which makes the best use of mineral resources in a way that is compatible with the economic, social and environmental objectives of the State. The Act is intended to be administered with regard to the principles of sustainable development set out in section 2A of the Act.</w:t>
      </w:r>
    </w:p>
    <w:p w14:paraId="28F8E672" w14:textId="77777777" w:rsidR="00CB050E" w:rsidRDefault="00CB050E" w:rsidP="00CB050E">
      <w:r>
        <w:t>The Act therefore provides that all mines and quarries are operated, rehabilitated and closed (i.e. closure of the site) in such a way that:</w:t>
      </w:r>
    </w:p>
    <w:p w14:paraId="6FAD5DB5" w14:textId="77777777" w:rsidR="00CB050E" w:rsidRPr="0089014F" w:rsidRDefault="00CB050E" w:rsidP="0089014F">
      <w:pPr>
        <w:pStyle w:val="ListParagraph"/>
        <w:numPr>
          <w:ilvl w:val="0"/>
          <w:numId w:val="32"/>
        </w:numPr>
        <w:rPr>
          <w:rFonts w:ascii="Arial" w:hAnsi="Arial"/>
          <w:sz w:val="18"/>
          <w:szCs w:val="20"/>
          <w:lang w:eastAsia="en-US"/>
        </w:rPr>
      </w:pPr>
      <w:r w:rsidRPr="0089014F">
        <w:rPr>
          <w:rFonts w:ascii="Arial" w:hAnsi="Arial"/>
          <w:sz w:val="18"/>
          <w:szCs w:val="20"/>
          <w:lang w:eastAsia="en-US"/>
        </w:rPr>
        <w:t>they do not pose unacceptable risks to public safety, public infrastructure, the environment, land or property; and</w:t>
      </w:r>
    </w:p>
    <w:p w14:paraId="68F0CEBB" w14:textId="77777777" w:rsidR="00CB050E" w:rsidRPr="0089014F" w:rsidRDefault="00CB050E" w:rsidP="0089014F">
      <w:pPr>
        <w:pStyle w:val="ListParagraph"/>
        <w:numPr>
          <w:ilvl w:val="0"/>
          <w:numId w:val="32"/>
        </w:numPr>
        <w:rPr>
          <w:rFonts w:ascii="Arial" w:hAnsi="Arial"/>
          <w:sz w:val="18"/>
          <w:szCs w:val="20"/>
          <w:lang w:eastAsia="en-US"/>
        </w:rPr>
      </w:pPr>
      <w:r w:rsidRPr="0089014F">
        <w:rPr>
          <w:rFonts w:ascii="Arial" w:hAnsi="Arial"/>
          <w:sz w:val="18"/>
          <w:szCs w:val="20"/>
          <w:lang w:eastAsia="en-US"/>
        </w:rPr>
        <w:t>development occurs in a manner that achieves community and stakeholder confidence which includes having in place an effective administrative structure for making decisions concerning the allocation of mineral resources for the benefit of the general public.</w:t>
      </w:r>
    </w:p>
    <w:p w14:paraId="7937BE03" w14:textId="77777777" w:rsidR="00CB050E" w:rsidRDefault="00CB050E" w:rsidP="00CB050E">
      <w:r>
        <w:t>The Act establishes the Crown’s ownership of minerals and provides for the transfer of that ownership through a variety of licence types. Applications for licences must comply with the requirements set out in the Act. Applications must also comply with requirements set out in any relevant regulations made under section 124 of the Act which, at the time these guidelines are published, are the Mineral Resources (Sustainable Development) (Mineral Industries) Regulations 201</w:t>
      </w:r>
      <w:r w:rsidR="00DE1C1C">
        <w:t>9</w:t>
      </w:r>
      <w:r>
        <w:t xml:space="preserve"> (“the Regulations”).</w:t>
      </w:r>
    </w:p>
    <w:p w14:paraId="6A817060" w14:textId="77777777" w:rsidR="004371F6" w:rsidRDefault="00CB050E" w:rsidP="00CB050E">
      <w:r>
        <w:t>The Minister for Resources is responsible for administering the Act and any regulations under that Act. Earth Resources Regulation (ERR) in the Department of Jobs, Precincts and Regions supports the Minister for Resources as Victoria’s resources and mining industry regulator. ERR regulates the minerals industry through the administration of the Act and Regulations. ERR’s regulatory role is principally the assessment of applications, issuing of licences, approval of works and inspection of operations. In addition, ERR provides advice to licence applicants and licence holders on how to meet their obligations under the Act.</w:t>
      </w:r>
    </w:p>
    <w:p w14:paraId="02C0F350" w14:textId="77777777" w:rsidR="00CB050E" w:rsidRDefault="00CB050E" w:rsidP="00CB050E">
      <w:pPr>
        <w:pStyle w:val="Heading2"/>
      </w:pPr>
      <w:bookmarkStart w:id="1" w:name="_Toc6392250"/>
      <w:bookmarkStart w:id="2" w:name="_Toc45549234"/>
      <w:r>
        <w:t>Purpose and scope</w:t>
      </w:r>
      <w:bookmarkEnd w:id="1"/>
      <w:bookmarkEnd w:id="2"/>
    </w:p>
    <w:p w14:paraId="3F42EEC6" w14:textId="77777777" w:rsidR="00CB050E" w:rsidRDefault="00CB050E" w:rsidP="00CB050E">
      <w:r>
        <w:t>These Ministerial g</w:t>
      </w:r>
      <w:r w:rsidRPr="008E4455">
        <w:t xml:space="preserve">uidelines </w:t>
      </w:r>
      <w:r>
        <w:t xml:space="preserve">outline the information that should accompany applications for a mining licence or a retention licence when describing a </w:t>
      </w:r>
      <w:r w:rsidR="005A0303">
        <w:t>M</w:t>
      </w:r>
      <w:r>
        <w:t xml:space="preserve">ineral </w:t>
      </w:r>
      <w:r w:rsidR="005A0303">
        <w:t>R</w:t>
      </w:r>
      <w:r>
        <w:t xml:space="preserve">esource in accordance with section 15(1BB) of the Act and, when required by section 15(1BE), preparing a </w:t>
      </w:r>
      <w:r w:rsidR="005A0303">
        <w:t>M</w:t>
      </w:r>
      <w:r>
        <w:t xml:space="preserve">ineralisation </w:t>
      </w:r>
      <w:r w:rsidR="005A0303">
        <w:t>R</w:t>
      </w:r>
      <w:r>
        <w:t xml:space="preserve">eport. </w:t>
      </w:r>
    </w:p>
    <w:p w14:paraId="05CEE9F1" w14:textId="77777777" w:rsidR="00CB050E" w:rsidRDefault="00CB050E" w:rsidP="00CB050E">
      <w:r>
        <w:t xml:space="preserve">These guidelines apply to mining licence and retention licence applications. </w:t>
      </w:r>
      <w:r w:rsidRPr="00CB050E">
        <w:t>To avoid doubt, these guidelines do not apply to exploration licence or prospecting licence applications.</w:t>
      </w:r>
    </w:p>
    <w:p w14:paraId="6DF17C05" w14:textId="77777777" w:rsidR="00CB050E" w:rsidRDefault="00CB050E" w:rsidP="00CB050E">
      <w:pPr>
        <w:pStyle w:val="Heading2"/>
      </w:pPr>
      <w:bookmarkStart w:id="3" w:name="_Toc45549235"/>
      <w:r>
        <w:t xml:space="preserve">Legal </w:t>
      </w:r>
      <w:r w:rsidR="00F53F61">
        <w:t>c</w:t>
      </w:r>
      <w:r>
        <w:t>ontext</w:t>
      </w:r>
      <w:bookmarkEnd w:id="3"/>
    </w:p>
    <w:p w14:paraId="642FB1DE" w14:textId="77777777" w:rsidR="00F53F61" w:rsidRDefault="00F53F61" w:rsidP="00F53F61">
      <w:r>
        <w:t xml:space="preserve">Applicants for a mining licence or a retention licence are required by section 15(1BB) of the Act to describe a </w:t>
      </w:r>
      <w:r w:rsidR="005A0303">
        <w:t>M</w:t>
      </w:r>
      <w:r>
        <w:t xml:space="preserve">ineral </w:t>
      </w:r>
      <w:r w:rsidR="005A0303">
        <w:t>R</w:t>
      </w:r>
      <w:r>
        <w:t xml:space="preserve">esource in accordance with guidelines issued by the Minister. </w:t>
      </w:r>
    </w:p>
    <w:p w14:paraId="14C77AC7" w14:textId="77777777" w:rsidR="00CB050E" w:rsidRDefault="00F53F61" w:rsidP="00F53F61">
      <w:r>
        <w:t xml:space="preserve">If the </w:t>
      </w:r>
      <w:r w:rsidR="005A0303">
        <w:t>M</w:t>
      </w:r>
      <w:r>
        <w:t xml:space="preserve">ineral </w:t>
      </w:r>
      <w:r w:rsidR="005A0303">
        <w:t>R</w:t>
      </w:r>
      <w:r>
        <w:t xml:space="preserve">esource described in the application is not already being mined, then section 15(1BE) requires that the application include a </w:t>
      </w:r>
      <w:r w:rsidR="005A0303">
        <w:t>M</w:t>
      </w:r>
      <w:r>
        <w:t xml:space="preserve">ineralisation </w:t>
      </w:r>
      <w:r w:rsidR="005A0303">
        <w:t>R</w:t>
      </w:r>
      <w:r>
        <w:t xml:space="preserve">eport. The </w:t>
      </w:r>
      <w:r w:rsidR="005A0303">
        <w:t>M</w:t>
      </w:r>
      <w:r>
        <w:t xml:space="preserve">ineralisation </w:t>
      </w:r>
      <w:r w:rsidR="005A0303">
        <w:t>R</w:t>
      </w:r>
      <w:r>
        <w:t xml:space="preserve">eport must be prepared by a </w:t>
      </w:r>
      <w:r w:rsidR="005A0303">
        <w:t>C</w:t>
      </w:r>
      <w:r>
        <w:t xml:space="preserve">ompetent </w:t>
      </w:r>
      <w:r w:rsidR="005A0303">
        <w:t>P</w:t>
      </w:r>
      <w:r>
        <w:t>erson. A “</w:t>
      </w:r>
      <w:r w:rsidR="005A0303">
        <w:t>C</w:t>
      </w:r>
      <w:r>
        <w:t xml:space="preserve">ompetent </w:t>
      </w:r>
      <w:r w:rsidR="005A0303">
        <w:t>P</w:t>
      </w:r>
      <w:r>
        <w:t>erson” is defined in section 15(1BG) of the Act and regulation 1</w:t>
      </w:r>
      <w:r w:rsidR="00DE1C1C">
        <w:t>2</w:t>
      </w:r>
      <w:r>
        <w:t xml:space="preserve"> of the Regulations.</w:t>
      </w:r>
    </w:p>
    <w:p w14:paraId="43BDD1B3" w14:textId="77777777" w:rsidR="00F53F61" w:rsidRDefault="00F53F61" w:rsidP="00F53F61">
      <w:r w:rsidRPr="00F53F61">
        <w:t xml:space="preserve">The </w:t>
      </w:r>
      <w:r w:rsidR="005A0303">
        <w:t>M</w:t>
      </w:r>
      <w:r w:rsidRPr="00F53F61">
        <w:t xml:space="preserve">ineralisation </w:t>
      </w:r>
      <w:r w:rsidR="005A0303">
        <w:t>R</w:t>
      </w:r>
      <w:r w:rsidRPr="00F53F61">
        <w:t xml:space="preserve">eport must set out the exploration results relating to the described </w:t>
      </w:r>
      <w:r w:rsidR="005A0303">
        <w:t>M</w:t>
      </w:r>
      <w:r w:rsidRPr="00F53F61">
        <w:t xml:space="preserve">ineral </w:t>
      </w:r>
      <w:r w:rsidR="005A0303">
        <w:t>R</w:t>
      </w:r>
      <w:r w:rsidRPr="00F53F61">
        <w:t xml:space="preserve">esource and include an analysis of whether these results indicate that there is a reasonable prospect that the mining of the </w:t>
      </w:r>
      <w:r w:rsidR="005A0303">
        <w:t>M</w:t>
      </w:r>
      <w:r w:rsidRPr="00F53F61">
        <w:t xml:space="preserve">ineral </w:t>
      </w:r>
      <w:r w:rsidR="005A0303">
        <w:t>R</w:t>
      </w:r>
      <w:r w:rsidRPr="00F53F61">
        <w:t>esource will be economically viable or, in the case of a retention licence application, may become economically viable to mine: sections 15(1BE) and 14C(1). Section 15(1BG) of the Act provides further detail about what must be specified and included in the exploration results.</w:t>
      </w:r>
    </w:p>
    <w:p w14:paraId="64229CB6" w14:textId="77777777" w:rsidR="00F53F61" w:rsidRDefault="00F53F61" w:rsidP="00F53F61">
      <w:r w:rsidRPr="00F53F61">
        <w:t xml:space="preserve">Where the Minister accepts an application for a mining or retention licence referred to in section 15(1BB), they must consider the </w:t>
      </w:r>
      <w:r w:rsidR="005A0303">
        <w:t>M</w:t>
      </w:r>
      <w:r w:rsidRPr="00F53F61">
        <w:t xml:space="preserve">ineralisation </w:t>
      </w:r>
      <w:r w:rsidR="005A0303">
        <w:t>R</w:t>
      </w:r>
      <w:r w:rsidRPr="00F53F61">
        <w:t xml:space="preserve">eport that accompanies the application for the purpose of being satisfied whether to grant the licence: section 15(6C). The Minister may request additional information about the application (including about </w:t>
      </w:r>
      <w:r>
        <w:t>economic viability), which the applicant must provide within 14 days of the request: section 15(7).</w:t>
      </w:r>
    </w:p>
    <w:p w14:paraId="1EE2E669" w14:textId="77777777" w:rsidR="00F53F61" w:rsidRDefault="00F53F61" w:rsidP="00F53F61">
      <w:r>
        <w:lastRenderedPageBreak/>
        <w:t>Section 120A of the Act empowers the Minister to issue guidelines relating to any of the objectives or purposes of the Act or the regulations made under the Act.</w:t>
      </w:r>
    </w:p>
    <w:p w14:paraId="01ADFA07" w14:textId="77777777" w:rsidR="00F53F61" w:rsidRDefault="00F53F61" w:rsidP="00F53F61">
      <w:pPr>
        <w:pStyle w:val="Heading2"/>
      </w:pPr>
      <w:bookmarkStart w:id="4" w:name="_Toc45549236"/>
      <w:r>
        <w:t>Legal status of these guidelines</w:t>
      </w:r>
      <w:bookmarkEnd w:id="4"/>
    </w:p>
    <w:p w14:paraId="0A5D94A5" w14:textId="77777777" w:rsidR="00F53F61" w:rsidRDefault="00F53F61" w:rsidP="00F53F61">
      <w:r>
        <w:t>These guidelines are issued under section 120A of the Act and are divided into two parts:</w:t>
      </w:r>
    </w:p>
    <w:p w14:paraId="431C36F7" w14:textId="77777777" w:rsidR="00F53F61" w:rsidRPr="00F53F61" w:rsidRDefault="00F53F61" w:rsidP="00F53F61">
      <w:pPr>
        <w:pStyle w:val="ListParagraph"/>
        <w:numPr>
          <w:ilvl w:val="0"/>
          <w:numId w:val="27"/>
        </w:numPr>
        <w:rPr>
          <w:rFonts w:ascii="Arial" w:hAnsi="Arial"/>
          <w:sz w:val="18"/>
          <w:szCs w:val="20"/>
          <w:lang w:eastAsia="en-US"/>
        </w:rPr>
      </w:pPr>
      <w:r w:rsidRPr="00F53F61">
        <w:rPr>
          <w:rFonts w:ascii="Arial" w:hAnsi="Arial"/>
          <w:sz w:val="18"/>
          <w:szCs w:val="20"/>
          <w:lang w:eastAsia="en-US"/>
        </w:rPr>
        <w:t xml:space="preserve">The </w:t>
      </w:r>
      <w:r w:rsidRPr="00F53F61">
        <w:rPr>
          <w:rFonts w:ascii="Arial" w:hAnsi="Arial"/>
          <w:b/>
          <w:sz w:val="18"/>
          <w:szCs w:val="20"/>
          <w:lang w:eastAsia="en-US"/>
        </w:rPr>
        <w:t>mandatory</w:t>
      </w:r>
      <w:r w:rsidRPr="00F53F61">
        <w:rPr>
          <w:rFonts w:ascii="Arial" w:hAnsi="Arial"/>
          <w:sz w:val="18"/>
          <w:szCs w:val="20"/>
          <w:lang w:eastAsia="en-US"/>
        </w:rPr>
        <w:t xml:space="preserve"> guidelines in Part I relate to the </w:t>
      </w:r>
      <w:r w:rsidR="005A0303">
        <w:rPr>
          <w:rFonts w:ascii="Arial" w:hAnsi="Arial"/>
          <w:sz w:val="18"/>
          <w:szCs w:val="20"/>
          <w:lang w:eastAsia="en-US"/>
        </w:rPr>
        <w:t>D</w:t>
      </w:r>
      <w:r w:rsidRPr="00F53F61">
        <w:rPr>
          <w:rFonts w:ascii="Arial" w:hAnsi="Arial"/>
          <w:sz w:val="18"/>
          <w:szCs w:val="20"/>
          <w:lang w:eastAsia="en-US"/>
        </w:rPr>
        <w:t xml:space="preserve">escription of a </w:t>
      </w:r>
      <w:r w:rsidR="005A0303">
        <w:rPr>
          <w:rFonts w:ascii="Arial" w:hAnsi="Arial"/>
          <w:sz w:val="18"/>
          <w:szCs w:val="20"/>
          <w:lang w:eastAsia="en-US"/>
        </w:rPr>
        <w:t>M</w:t>
      </w:r>
      <w:r w:rsidRPr="00F53F61">
        <w:rPr>
          <w:rFonts w:ascii="Arial" w:hAnsi="Arial"/>
          <w:sz w:val="18"/>
          <w:szCs w:val="20"/>
          <w:lang w:eastAsia="en-US"/>
        </w:rPr>
        <w:t xml:space="preserve">ineral </w:t>
      </w:r>
      <w:r w:rsidR="005A0303">
        <w:rPr>
          <w:rFonts w:ascii="Arial" w:hAnsi="Arial"/>
          <w:sz w:val="18"/>
          <w:szCs w:val="20"/>
          <w:lang w:eastAsia="en-US"/>
        </w:rPr>
        <w:t>R</w:t>
      </w:r>
      <w:r w:rsidRPr="00F53F61">
        <w:rPr>
          <w:rFonts w:ascii="Arial" w:hAnsi="Arial"/>
          <w:sz w:val="18"/>
          <w:szCs w:val="20"/>
          <w:lang w:eastAsia="en-US"/>
        </w:rPr>
        <w:t>esource under section 15(1BB) of the Act.</w:t>
      </w:r>
    </w:p>
    <w:p w14:paraId="2C7574F8" w14:textId="77777777" w:rsidR="00F53F61" w:rsidRPr="00F53F61" w:rsidRDefault="00F53F61" w:rsidP="00F53F61">
      <w:pPr>
        <w:pStyle w:val="ListParagraph"/>
        <w:numPr>
          <w:ilvl w:val="0"/>
          <w:numId w:val="27"/>
        </w:numPr>
        <w:rPr>
          <w:rFonts w:ascii="Arial" w:hAnsi="Arial"/>
          <w:sz w:val="18"/>
          <w:szCs w:val="20"/>
          <w:lang w:eastAsia="en-US"/>
        </w:rPr>
      </w:pPr>
      <w:r w:rsidRPr="00F53F61">
        <w:rPr>
          <w:rFonts w:ascii="Arial" w:hAnsi="Arial"/>
          <w:sz w:val="18"/>
          <w:szCs w:val="20"/>
          <w:lang w:eastAsia="en-US"/>
        </w:rPr>
        <w:t xml:space="preserve">The </w:t>
      </w:r>
      <w:r w:rsidRPr="00F53F61">
        <w:rPr>
          <w:rFonts w:ascii="Arial" w:hAnsi="Arial"/>
          <w:b/>
          <w:sz w:val="18"/>
          <w:szCs w:val="20"/>
          <w:lang w:eastAsia="en-US"/>
        </w:rPr>
        <w:t>advisory</w:t>
      </w:r>
      <w:r w:rsidRPr="00F53F61">
        <w:rPr>
          <w:rFonts w:ascii="Arial" w:hAnsi="Arial"/>
          <w:sz w:val="18"/>
          <w:szCs w:val="20"/>
          <w:lang w:eastAsia="en-US"/>
        </w:rPr>
        <w:t xml:space="preserve"> guidelines in Part II relate to the preparation of a </w:t>
      </w:r>
      <w:r w:rsidR="005A0303">
        <w:rPr>
          <w:rFonts w:ascii="Arial" w:hAnsi="Arial"/>
          <w:sz w:val="18"/>
          <w:szCs w:val="20"/>
          <w:lang w:eastAsia="en-US"/>
        </w:rPr>
        <w:t>M</w:t>
      </w:r>
      <w:r w:rsidRPr="00F53F61">
        <w:rPr>
          <w:rFonts w:ascii="Arial" w:hAnsi="Arial"/>
          <w:sz w:val="18"/>
          <w:szCs w:val="20"/>
          <w:lang w:eastAsia="en-US"/>
        </w:rPr>
        <w:t xml:space="preserve">ineralisation </w:t>
      </w:r>
      <w:r w:rsidR="005A0303">
        <w:rPr>
          <w:rFonts w:ascii="Arial" w:hAnsi="Arial"/>
          <w:sz w:val="18"/>
          <w:szCs w:val="20"/>
          <w:lang w:eastAsia="en-US"/>
        </w:rPr>
        <w:t>R</w:t>
      </w:r>
      <w:r w:rsidRPr="00F53F61">
        <w:rPr>
          <w:rFonts w:ascii="Arial" w:hAnsi="Arial"/>
          <w:sz w:val="18"/>
          <w:szCs w:val="20"/>
          <w:lang w:eastAsia="en-US"/>
        </w:rPr>
        <w:t>eport under sections 15(1BE) through 15(1BG) of the Act, and the Regulations.</w:t>
      </w:r>
    </w:p>
    <w:p w14:paraId="31151115" w14:textId="77777777" w:rsidR="00F53F61" w:rsidRDefault="00F53F61" w:rsidP="00F53F61">
      <w:r>
        <w:t>The mandatory guidelines in Part I</w:t>
      </w:r>
      <w:r w:rsidR="009F2BF0">
        <w:t xml:space="preserve"> set</w:t>
      </w:r>
      <w:r>
        <w:t xml:space="preserve"> out those matters which will be taken into account by the Minister when an application for a mining or retention licence is assessed to ascertain whether a </w:t>
      </w:r>
      <w:r w:rsidR="005A0303">
        <w:t>M</w:t>
      </w:r>
      <w:r>
        <w:t xml:space="preserve">ineral </w:t>
      </w:r>
      <w:r w:rsidR="005A0303">
        <w:t>R</w:t>
      </w:r>
      <w:r>
        <w:t xml:space="preserve">esource has been adequately described for the purpose of section 15(1BB). </w:t>
      </w:r>
    </w:p>
    <w:p w14:paraId="103D14F2" w14:textId="77777777" w:rsidR="00F53F61" w:rsidRDefault="00F53F61" w:rsidP="00F53F61">
      <w:r>
        <w:t xml:space="preserve">The advisory guidelines in Part II indicate the approach that the Minister adopts, and the matters taken into account, when assessing whether a </w:t>
      </w:r>
      <w:r w:rsidR="000F477F">
        <w:t>M</w:t>
      </w:r>
      <w:r>
        <w:t xml:space="preserve">ineralisation </w:t>
      </w:r>
      <w:r w:rsidR="000F477F">
        <w:t>R</w:t>
      </w:r>
      <w:r>
        <w:t xml:space="preserve">eport has been adequately prepared for the purpose of sections 15(1BE) through 15(1BG) and the Regulations. </w:t>
      </w:r>
    </w:p>
    <w:p w14:paraId="125931E1" w14:textId="77777777" w:rsidR="00F53F61" w:rsidRDefault="00F53F61" w:rsidP="00F53F61">
      <w:r>
        <w:t>Key terms and abbreviations used in the guidelines are defined in the Glossary (Appendix 1).</w:t>
      </w:r>
    </w:p>
    <w:p w14:paraId="02DB2D6E" w14:textId="77777777" w:rsidR="00F53F61" w:rsidRDefault="00F53F61" w:rsidP="00F53F61">
      <w:r>
        <w:t>The guidelines should be read in conjunction with other licence application requirements in the Act and the Regulations.</w:t>
      </w:r>
    </w:p>
    <w:p w14:paraId="2D6A7A47" w14:textId="77777777" w:rsidR="00F53F61" w:rsidRDefault="00F53F61" w:rsidP="00F53F61">
      <w:pPr>
        <w:pStyle w:val="Heading2"/>
      </w:pPr>
      <w:bookmarkStart w:id="5" w:name="_Toc45549237"/>
      <w:r>
        <w:t>Commencement and availability</w:t>
      </w:r>
      <w:bookmarkEnd w:id="5"/>
    </w:p>
    <w:p w14:paraId="68E1BACD" w14:textId="77777777" w:rsidR="00F53F61" w:rsidRDefault="00F53F61" w:rsidP="00F53F61">
      <w:r w:rsidRPr="00F53F61">
        <w:t>These Ministerial guidelines commence operation on the day they are published in the Government Gazette and, from that day, supersede the Ministerial Guidelines for Description of a Mineral Resource issued on 17 February 2012 and notified in the Government Gazette on 20 February 2012.</w:t>
      </w:r>
    </w:p>
    <w:p w14:paraId="36C8467B" w14:textId="77777777" w:rsidR="00F53F61" w:rsidRDefault="00F53F61" w:rsidP="00F53F61">
      <w:r w:rsidRPr="008E4455">
        <w:t xml:space="preserve">The guidelines </w:t>
      </w:r>
      <w:r>
        <w:t xml:space="preserve">may be </w:t>
      </w:r>
      <w:r w:rsidRPr="008E4455">
        <w:t xml:space="preserve">updated from time to time and it is the responsibility of </w:t>
      </w:r>
      <w:r>
        <w:t xml:space="preserve">licence applicants to </w:t>
      </w:r>
      <w:r w:rsidRPr="008E4455">
        <w:t xml:space="preserve">ensure that the latest version of the guidelines is used when preparing </w:t>
      </w:r>
      <w:r>
        <w:t>an application for a mining licence or a retention licence</w:t>
      </w:r>
      <w:r w:rsidRPr="008E4455">
        <w:t>.</w:t>
      </w:r>
      <w:r>
        <w:t xml:space="preserve"> Any new or revised guidelines made by the Minister will be notified in the Government Gazette and will come into effect on the date that notice is published.</w:t>
      </w:r>
    </w:p>
    <w:p w14:paraId="3C44A7C3" w14:textId="77777777" w:rsidR="00F53F61" w:rsidRPr="00F53F61" w:rsidRDefault="00F53F61" w:rsidP="00F53F61">
      <w:r w:rsidRPr="00F53F61">
        <w:t xml:space="preserve">The guidelines are made </w:t>
      </w:r>
      <w:r w:rsidR="00E8436D">
        <w:t xml:space="preserve">available for public inspection </w:t>
      </w:r>
      <w:r w:rsidR="00EB74D8">
        <w:t xml:space="preserve">in electronic form </w:t>
      </w:r>
      <w:r w:rsidRPr="00F53F61">
        <w:t>on the Department’s website (</w:t>
      </w:r>
      <w:hyperlink r:id="rId18" w:history="1">
        <w:r w:rsidRPr="00F53F61">
          <w:rPr>
            <w:rStyle w:val="Hyperlink"/>
          </w:rPr>
          <w:t>earthresources.vic.gov.au</w:t>
        </w:r>
      </w:hyperlink>
      <w:r w:rsidRPr="00F53F61">
        <w:t>)</w:t>
      </w:r>
      <w:r w:rsidR="00E8436D">
        <w:t>.</w:t>
      </w:r>
    </w:p>
    <w:p w14:paraId="30E4BDD4" w14:textId="77777777" w:rsidR="004371F6" w:rsidRPr="00DB0DED" w:rsidRDefault="00F02761" w:rsidP="0022061D">
      <w:pPr>
        <w:pStyle w:val="Heading1"/>
      </w:pPr>
      <w:bookmarkStart w:id="6" w:name="_Toc45549238"/>
      <w:r>
        <w:t>Part I: Description of a Mineral Resource</w:t>
      </w:r>
      <w:bookmarkEnd w:id="6"/>
    </w:p>
    <w:p w14:paraId="52534DA0" w14:textId="77777777" w:rsidR="00F02761" w:rsidRDefault="00F02761" w:rsidP="00F02761">
      <w:bookmarkStart w:id="7" w:name="_Toc314821342"/>
      <w:bookmarkStart w:id="8" w:name="_Toc314822264"/>
      <w:bookmarkStart w:id="9" w:name="_Toc315765094"/>
      <w:r w:rsidRPr="00C900A5">
        <w:t>The Minister for Resources, or her/his delegate, assess</w:t>
      </w:r>
      <w:r>
        <w:t>es</w:t>
      </w:r>
      <w:r w:rsidRPr="00C900A5">
        <w:t xml:space="preserve"> applications for mining </w:t>
      </w:r>
      <w:r>
        <w:t>and</w:t>
      </w:r>
      <w:r w:rsidRPr="00C900A5">
        <w:t xml:space="preserve"> retention licences having regard to the </w:t>
      </w:r>
      <w:r w:rsidR="005A0303">
        <w:t>M</w:t>
      </w:r>
      <w:r w:rsidRPr="00C900A5">
        <w:t xml:space="preserve">ineral </w:t>
      </w:r>
      <w:r w:rsidR="005A0303">
        <w:t>R</w:t>
      </w:r>
      <w:r w:rsidRPr="00C900A5">
        <w:t>esource described in the application.</w:t>
      </w:r>
      <w:r>
        <w:t xml:space="preserve"> </w:t>
      </w:r>
    </w:p>
    <w:p w14:paraId="60D5C445" w14:textId="77777777" w:rsidR="00F02761" w:rsidRDefault="00F02761" w:rsidP="00F02761">
      <w:r w:rsidRPr="00C900A5">
        <w:t>Th</w:t>
      </w:r>
      <w:r>
        <w:t>is Part of th</w:t>
      </w:r>
      <w:r w:rsidRPr="00C900A5">
        <w:t xml:space="preserve">e Ministerial Guidelines </w:t>
      </w:r>
      <w:r w:rsidRPr="00D13F52">
        <w:t>detail</w:t>
      </w:r>
      <w:r>
        <w:t>s</w:t>
      </w:r>
      <w:r w:rsidRPr="00D13F52">
        <w:t xml:space="preserve"> what must be included in the </w:t>
      </w:r>
      <w:r w:rsidR="001F6BA2">
        <w:t>D</w:t>
      </w:r>
      <w:r w:rsidRPr="00D13F52">
        <w:t xml:space="preserve">escription of a </w:t>
      </w:r>
      <w:r w:rsidR="001F6BA2">
        <w:t>M</w:t>
      </w:r>
      <w:r w:rsidRPr="00D13F52">
        <w:t xml:space="preserve">ineral </w:t>
      </w:r>
      <w:r w:rsidR="001F6BA2">
        <w:t>R</w:t>
      </w:r>
      <w:r w:rsidRPr="00D13F52">
        <w:t>esource for the purpose of a mining or retention licence application.</w:t>
      </w:r>
      <w:r>
        <w:t xml:space="preserve"> </w:t>
      </w:r>
    </w:p>
    <w:p w14:paraId="03D78068" w14:textId="77777777" w:rsidR="004371F6" w:rsidRDefault="00F02761" w:rsidP="00F02761">
      <w:pPr>
        <w:pStyle w:val="Heading2"/>
      </w:pPr>
      <w:bookmarkStart w:id="10" w:name="_Toc45549239"/>
      <w:bookmarkEnd w:id="7"/>
      <w:bookmarkEnd w:id="8"/>
      <w:bookmarkEnd w:id="9"/>
      <w:r>
        <w:t>Describing the Mineral Resource</w:t>
      </w:r>
      <w:bookmarkEnd w:id="10"/>
    </w:p>
    <w:p w14:paraId="7D65DA7D" w14:textId="77777777" w:rsidR="00F02761" w:rsidRDefault="00F02761" w:rsidP="00F02761">
      <w:bookmarkStart w:id="11" w:name="_Toc314822267"/>
      <w:r>
        <w:t xml:space="preserve">Section 15(1BB) of the Act requires applications for a mining licence or a retention licence to describe a </w:t>
      </w:r>
      <w:r w:rsidR="005A0303">
        <w:t>M</w:t>
      </w:r>
      <w:r>
        <w:t xml:space="preserve">ineral </w:t>
      </w:r>
      <w:r w:rsidR="005A0303">
        <w:t>R</w:t>
      </w:r>
      <w:r>
        <w:t xml:space="preserve">esource in accordance with guidelines issued by the Minister. </w:t>
      </w:r>
    </w:p>
    <w:p w14:paraId="477BDCE7" w14:textId="094E6406" w:rsidR="00933561" w:rsidRDefault="00933561" w:rsidP="00933561">
      <w:r>
        <w:t xml:space="preserve">Unless provided otherwise in these guidelines, all applications for a mining or retention licence must identify a </w:t>
      </w:r>
      <w:r w:rsidR="005A0303">
        <w:t>M</w:t>
      </w:r>
      <w:r>
        <w:t xml:space="preserve">ineral </w:t>
      </w:r>
      <w:r w:rsidR="005A0303">
        <w:t>R</w:t>
      </w:r>
      <w:r>
        <w:t xml:space="preserve">esource using the standards and terminology set out in the JORC Code. </w:t>
      </w:r>
      <w:r w:rsidR="0046407D">
        <w:t>The NI</w:t>
      </w:r>
      <w:r w:rsidR="004111B0">
        <w:t xml:space="preserve"> </w:t>
      </w:r>
      <w:r w:rsidR="0046407D">
        <w:t xml:space="preserve">43-101 </w:t>
      </w:r>
      <w:r w:rsidR="00531A61">
        <w:t>reporting code will be accepted as an equivalent</w:t>
      </w:r>
      <w:r w:rsidR="0051069C">
        <w:t xml:space="preserve"> </w:t>
      </w:r>
      <w:r w:rsidR="00405FB6">
        <w:t>to the</w:t>
      </w:r>
      <w:r w:rsidR="00E71994">
        <w:t xml:space="preserve"> JORC code</w:t>
      </w:r>
      <w:r w:rsidR="00833437">
        <w:t>.</w:t>
      </w:r>
    </w:p>
    <w:p w14:paraId="75D66E8B" w14:textId="77777777" w:rsidR="00933561" w:rsidRDefault="00933561" w:rsidP="00933561">
      <w:r>
        <w:lastRenderedPageBreak/>
        <w:t xml:space="preserve">These guidelines are not intended to reiterate or explain the JORC Code and its requirements (for that see </w:t>
      </w:r>
      <w:hyperlink r:id="rId19" w:history="1">
        <w:r w:rsidRPr="007817D4">
          <w:rPr>
            <w:rStyle w:val="Hyperlink"/>
          </w:rPr>
          <w:t>www.jorc.org</w:t>
        </w:r>
      </w:hyperlink>
      <w:r>
        <w:t>) but simply indicates the relevance of the JORC Code to mining and retention licence applications under the Act.</w:t>
      </w:r>
    </w:p>
    <w:p w14:paraId="3E5BC887" w14:textId="77777777" w:rsidR="00F02761" w:rsidRDefault="004F4341" w:rsidP="00F02761">
      <w:r>
        <w:t>With the exception of gypsum resources, a Description of a Mineral Resource for the purpose of a</w:t>
      </w:r>
      <w:r w:rsidR="00F02761">
        <w:t xml:space="preserve"> mining or retention licence application must include:</w:t>
      </w:r>
    </w:p>
    <w:p w14:paraId="6228AA99" w14:textId="77777777" w:rsidR="004F4341" w:rsidRDefault="00F440D2" w:rsidP="001511C5">
      <w:pPr>
        <w:pStyle w:val="ListParagraph"/>
        <w:numPr>
          <w:ilvl w:val="0"/>
          <w:numId w:val="28"/>
        </w:numPr>
        <w:rPr>
          <w:rFonts w:ascii="Arial" w:hAnsi="Arial"/>
          <w:sz w:val="18"/>
          <w:szCs w:val="20"/>
          <w:lang w:eastAsia="en-US"/>
        </w:rPr>
      </w:pPr>
      <w:r>
        <w:rPr>
          <w:rFonts w:ascii="Arial" w:hAnsi="Arial"/>
          <w:b/>
          <w:sz w:val="18"/>
          <w:szCs w:val="20"/>
          <w:lang w:eastAsia="en-US"/>
        </w:rPr>
        <w:t>M</w:t>
      </w:r>
      <w:r w:rsidRPr="00F440D2">
        <w:rPr>
          <w:rFonts w:ascii="Arial" w:hAnsi="Arial"/>
          <w:b/>
          <w:sz w:val="18"/>
          <w:szCs w:val="20"/>
          <w:lang w:eastAsia="en-US"/>
        </w:rPr>
        <w:t xml:space="preserve">ineral </w:t>
      </w:r>
      <w:r>
        <w:rPr>
          <w:rFonts w:ascii="Arial" w:hAnsi="Arial"/>
          <w:b/>
          <w:sz w:val="18"/>
          <w:szCs w:val="20"/>
          <w:lang w:eastAsia="en-US"/>
        </w:rPr>
        <w:t>R</w:t>
      </w:r>
      <w:r w:rsidRPr="00F440D2">
        <w:rPr>
          <w:rFonts w:ascii="Arial" w:hAnsi="Arial"/>
          <w:b/>
          <w:sz w:val="18"/>
          <w:szCs w:val="20"/>
          <w:lang w:eastAsia="en-US"/>
        </w:rPr>
        <w:t xml:space="preserve">esource </w:t>
      </w:r>
      <w:r>
        <w:rPr>
          <w:rFonts w:ascii="Arial" w:hAnsi="Arial"/>
          <w:b/>
          <w:sz w:val="18"/>
          <w:szCs w:val="20"/>
          <w:lang w:eastAsia="en-US"/>
        </w:rPr>
        <w:t>I</w:t>
      </w:r>
      <w:r w:rsidRPr="00F440D2">
        <w:rPr>
          <w:rFonts w:ascii="Arial" w:hAnsi="Arial"/>
          <w:b/>
          <w:sz w:val="18"/>
          <w:szCs w:val="20"/>
          <w:lang w:eastAsia="en-US"/>
        </w:rPr>
        <w:t>nventory</w:t>
      </w:r>
      <w:r>
        <w:rPr>
          <w:rFonts w:ascii="Arial" w:hAnsi="Arial"/>
          <w:b/>
          <w:sz w:val="18"/>
          <w:szCs w:val="20"/>
          <w:lang w:eastAsia="en-US"/>
        </w:rPr>
        <w:t>:</w:t>
      </w:r>
      <w:r w:rsidRPr="00F440D2">
        <w:rPr>
          <w:rFonts w:ascii="Arial" w:hAnsi="Arial"/>
          <w:sz w:val="18"/>
          <w:szCs w:val="20"/>
          <w:lang w:eastAsia="en-US"/>
        </w:rPr>
        <w:t xml:space="preserve"> </w:t>
      </w:r>
    </w:p>
    <w:p w14:paraId="4D259B54" w14:textId="77777777" w:rsidR="00F440D2" w:rsidRPr="004F4341" w:rsidRDefault="00CA6A2D" w:rsidP="004F4341">
      <w:pPr>
        <w:ind w:left="360"/>
      </w:pPr>
      <w:r w:rsidRPr="004F4341">
        <w:t>T</w:t>
      </w:r>
      <w:r w:rsidR="00F440D2" w:rsidRPr="004F4341">
        <w:t xml:space="preserve">ypically, </w:t>
      </w:r>
      <w:r w:rsidR="005A0303">
        <w:t xml:space="preserve">a mineral resource inventory </w:t>
      </w:r>
      <w:r w:rsidR="00F440D2" w:rsidRPr="004F4341">
        <w:t>should take the format of an amount (tonnage) and quality (grade) for a contained quantity</w:t>
      </w:r>
      <w:r w:rsidR="005A0303">
        <w:t xml:space="preserve"> </w:t>
      </w:r>
      <w:r w:rsidR="00F440D2" w:rsidRPr="004F4341">
        <w:t>after some modifying factor (cut-off grade) has been applied. Different mineral resource classifications should be reported separately in the Description of a Mineral Resource. Some geological inputs into describing the mineral resource should date from within the last 10 years.</w:t>
      </w:r>
    </w:p>
    <w:p w14:paraId="36C4C700" w14:textId="77777777" w:rsidR="004F4341" w:rsidRDefault="00933561" w:rsidP="00933561">
      <w:pPr>
        <w:pStyle w:val="ListParagraph"/>
        <w:numPr>
          <w:ilvl w:val="0"/>
          <w:numId w:val="28"/>
        </w:numPr>
        <w:rPr>
          <w:rFonts w:ascii="Arial" w:hAnsi="Arial"/>
          <w:sz w:val="18"/>
          <w:szCs w:val="20"/>
          <w:lang w:eastAsia="en-US"/>
        </w:rPr>
      </w:pPr>
      <w:r>
        <w:rPr>
          <w:rFonts w:ascii="Arial" w:hAnsi="Arial"/>
          <w:b/>
          <w:sz w:val="18"/>
          <w:szCs w:val="20"/>
          <w:lang w:eastAsia="en-US"/>
        </w:rPr>
        <w:t>T</w:t>
      </w:r>
      <w:r w:rsidRPr="00F440D2">
        <w:rPr>
          <w:rFonts w:ascii="Arial" w:hAnsi="Arial"/>
          <w:b/>
          <w:sz w:val="18"/>
          <w:szCs w:val="20"/>
          <w:lang w:eastAsia="en-US"/>
        </w:rPr>
        <w:t xml:space="preserve">he </w:t>
      </w:r>
      <w:r>
        <w:rPr>
          <w:rFonts w:ascii="Arial" w:hAnsi="Arial"/>
          <w:b/>
          <w:sz w:val="18"/>
          <w:szCs w:val="20"/>
          <w:lang w:eastAsia="en-US"/>
        </w:rPr>
        <w:t>L</w:t>
      </w:r>
      <w:r w:rsidRPr="00F440D2">
        <w:rPr>
          <w:rFonts w:ascii="Arial" w:hAnsi="Arial"/>
          <w:b/>
          <w:sz w:val="18"/>
          <w:szCs w:val="20"/>
          <w:lang w:eastAsia="en-US"/>
        </w:rPr>
        <w:t xml:space="preserve">evel of </w:t>
      </w:r>
      <w:r>
        <w:rPr>
          <w:rFonts w:ascii="Arial" w:hAnsi="Arial"/>
          <w:b/>
          <w:sz w:val="18"/>
          <w:szCs w:val="20"/>
          <w:lang w:eastAsia="en-US"/>
        </w:rPr>
        <w:t>G</w:t>
      </w:r>
      <w:r w:rsidRPr="00F440D2">
        <w:rPr>
          <w:rFonts w:ascii="Arial" w:hAnsi="Arial"/>
          <w:b/>
          <w:sz w:val="18"/>
          <w:szCs w:val="20"/>
          <w:lang w:eastAsia="en-US"/>
        </w:rPr>
        <w:t xml:space="preserve">eological </w:t>
      </w:r>
      <w:r>
        <w:rPr>
          <w:rFonts w:ascii="Arial" w:hAnsi="Arial"/>
          <w:b/>
          <w:sz w:val="18"/>
          <w:szCs w:val="20"/>
          <w:lang w:eastAsia="en-US"/>
        </w:rPr>
        <w:t>C</w:t>
      </w:r>
      <w:r w:rsidRPr="00F440D2">
        <w:rPr>
          <w:rFonts w:ascii="Arial" w:hAnsi="Arial"/>
          <w:b/>
          <w:sz w:val="18"/>
          <w:szCs w:val="20"/>
          <w:lang w:eastAsia="en-US"/>
        </w:rPr>
        <w:t>onfidence</w:t>
      </w:r>
      <w:r>
        <w:rPr>
          <w:rFonts w:ascii="Arial" w:hAnsi="Arial"/>
          <w:b/>
          <w:sz w:val="18"/>
          <w:szCs w:val="20"/>
          <w:lang w:eastAsia="en-US"/>
        </w:rPr>
        <w:t>:</w:t>
      </w:r>
      <w:r w:rsidRPr="00F02761">
        <w:rPr>
          <w:rFonts w:ascii="Arial" w:hAnsi="Arial"/>
          <w:sz w:val="18"/>
          <w:szCs w:val="20"/>
          <w:lang w:eastAsia="en-US"/>
        </w:rPr>
        <w:t xml:space="preserve"> </w:t>
      </w:r>
    </w:p>
    <w:p w14:paraId="36130A8A" w14:textId="77777777" w:rsidR="004F4341" w:rsidRDefault="004F4341" w:rsidP="004F4341">
      <w:pPr>
        <w:ind w:left="360"/>
      </w:pPr>
      <w:r>
        <w:t>A mineral resource must be identified as coming within one of the following classifications of geological confidence provided for in clauses 21, 22 and 23 of the JORC Code:</w:t>
      </w:r>
    </w:p>
    <w:p w14:paraId="13882B2C" w14:textId="77777777" w:rsidR="004F4341" w:rsidRDefault="004F4341" w:rsidP="004F4341">
      <w:pPr>
        <w:ind w:left="360"/>
      </w:pPr>
      <w:r>
        <w:t>•</w:t>
      </w:r>
      <w:r>
        <w:tab/>
        <w:t>Inferred Mineral Resource;</w:t>
      </w:r>
    </w:p>
    <w:p w14:paraId="69ED050F" w14:textId="77777777" w:rsidR="004F4341" w:rsidRDefault="004F4341" w:rsidP="004F4341">
      <w:pPr>
        <w:ind w:left="360"/>
      </w:pPr>
      <w:r>
        <w:t>•</w:t>
      </w:r>
      <w:r>
        <w:tab/>
        <w:t>Indicated Mineral Resource;</w:t>
      </w:r>
    </w:p>
    <w:p w14:paraId="44E7F4A1" w14:textId="77777777" w:rsidR="004F4341" w:rsidRDefault="004F4341" w:rsidP="004F4341">
      <w:pPr>
        <w:ind w:left="360"/>
      </w:pPr>
      <w:r>
        <w:t>•</w:t>
      </w:r>
      <w:r>
        <w:tab/>
        <w:t>Measured Mineral Resource.</w:t>
      </w:r>
    </w:p>
    <w:p w14:paraId="11A098B6" w14:textId="77777777" w:rsidR="004F4341" w:rsidRDefault="004F4341" w:rsidP="004F4341">
      <w:pPr>
        <w:ind w:left="360"/>
      </w:pPr>
      <w:r>
        <w:t xml:space="preserve">For a retention licence application, a minimum of an </w:t>
      </w:r>
      <w:r w:rsidRPr="004F4341">
        <w:rPr>
          <w:b/>
        </w:rPr>
        <w:t>inferred</w:t>
      </w:r>
      <w:r>
        <w:t xml:space="preserve"> resource as defined by the JORC Code must be established within the area covered by the application. </w:t>
      </w:r>
    </w:p>
    <w:p w14:paraId="590F37E3" w14:textId="77777777" w:rsidR="004F4341" w:rsidRDefault="004F4341" w:rsidP="004F4341">
      <w:pPr>
        <w:ind w:left="360"/>
      </w:pPr>
      <w:r>
        <w:t xml:space="preserve">For a mining licence application, a minimum of an </w:t>
      </w:r>
      <w:r w:rsidRPr="004F4341">
        <w:rPr>
          <w:b/>
        </w:rPr>
        <w:t>indicated</w:t>
      </w:r>
      <w:r>
        <w:t xml:space="preserve"> resource as defined by the JORC Code must be established within the area covered by the application.</w:t>
      </w:r>
    </w:p>
    <w:p w14:paraId="37DFDB07" w14:textId="77777777" w:rsidR="004F4341" w:rsidRDefault="00F440D2" w:rsidP="001511C5">
      <w:pPr>
        <w:pStyle w:val="ListParagraph"/>
        <w:numPr>
          <w:ilvl w:val="0"/>
          <w:numId w:val="28"/>
        </w:numPr>
        <w:rPr>
          <w:rFonts w:ascii="Arial" w:hAnsi="Arial"/>
          <w:sz w:val="18"/>
          <w:szCs w:val="20"/>
          <w:lang w:eastAsia="en-US"/>
        </w:rPr>
      </w:pPr>
      <w:r w:rsidRPr="00F440D2">
        <w:rPr>
          <w:rFonts w:ascii="Arial" w:hAnsi="Arial"/>
          <w:b/>
          <w:sz w:val="18"/>
          <w:szCs w:val="20"/>
          <w:lang w:eastAsia="en-US"/>
        </w:rPr>
        <w:t>Table 1, Sections 1 through 3</w:t>
      </w:r>
      <w:r w:rsidR="00933561">
        <w:rPr>
          <w:rFonts w:ascii="Arial" w:hAnsi="Arial"/>
          <w:b/>
          <w:sz w:val="18"/>
          <w:szCs w:val="20"/>
          <w:lang w:eastAsia="en-US"/>
        </w:rPr>
        <w:t xml:space="preserve"> of the JORC Code</w:t>
      </w:r>
      <w:r>
        <w:rPr>
          <w:rFonts w:ascii="Arial" w:hAnsi="Arial"/>
          <w:b/>
          <w:sz w:val="18"/>
          <w:szCs w:val="20"/>
          <w:lang w:eastAsia="en-US"/>
        </w:rPr>
        <w:t>:</w:t>
      </w:r>
      <w:r>
        <w:rPr>
          <w:rFonts w:ascii="Arial" w:hAnsi="Arial"/>
          <w:sz w:val="18"/>
          <w:szCs w:val="20"/>
          <w:lang w:eastAsia="en-US"/>
        </w:rPr>
        <w:t xml:space="preserve"> </w:t>
      </w:r>
    </w:p>
    <w:p w14:paraId="21E27409" w14:textId="77777777" w:rsidR="00F440D2" w:rsidRPr="004F4341" w:rsidRDefault="00933561" w:rsidP="0027120B">
      <w:pPr>
        <w:ind w:left="360"/>
      </w:pPr>
      <w:r w:rsidRPr="004F4341">
        <w:t>T</w:t>
      </w:r>
      <w:r w:rsidR="009D7C94">
        <w:t xml:space="preserve">able 1 of the JORC Code </w:t>
      </w:r>
      <w:r w:rsidR="0027120B">
        <w:t xml:space="preserve">contains </w:t>
      </w:r>
      <w:r w:rsidR="009D7C94">
        <w:t xml:space="preserve">assessment criteria </w:t>
      </w:r>
      <w:r w:rsidR="0027120B">
        <w:t xml:space="preserve">which should be considered by the Competent Person when describing the Mineral Resource. Items in Sections 1 through 3 should be provided on an “if not, why not” basis and </w:t>
      </w:r>
      <w:r w:rsidRPr="004F4341">
        <w:t>includes information on Sampling Techniques and Data; Reporting of Exploration Results; and Estimation and Reporting of Mineral Resources</w:t>
      </w:r>
      <w:r w:rsidR="00F440D2" w:rsidRPr="004F4341">
        <w:t>.</w:t>
      </w:r>
    </w:p>
    <w:p w14:paraId="078A449B" w14:textId="77777777" w:rsidR="004F4341" w:rsidRDefault="00F440D2" w:rsidP="001511C5">
      <w:pPr>
        <w:pStyle w:val="ListParagraph"/>
        <w:numPr>
          <w:ilvl w:val="0"/>
          <w:numId w:val="28"/>
        </w:numPr>
        <w:rPr>
          <w:rFonts w:ascii="Arial" w:hAnsi="Arial"/>
          <w:sz w:val="18"/>
          <w:szCs w:val="20"/>
          <w:lang w:eastAsia="en-US"/>
        </w:rPr>
      </w:pPr>
      <w:r w:rsidRPr="00F440D2">
        <w:rPr>
          <w:rFonts w:ascii="Arial" w:hAnsi="Arial"/>
          <w:b/>
          <w:sz w:val="18"/>
          <w:szCs w:val="20"/>
          <w:lang w:eastAsia="en-US"/>
        </w:rPr>
        <w:t>Competent Persons Compliance Statement</w:t>
      </w:r>
      <w:r w:rsidR="00933561">
        <w:rPr>
          <w:rFonts w:ascii="Arial" w:hAnsi="Arial"/>
          <w:b/>
          <w:sz w:val="18"/>
          <w:szCs w:val="20"/>
          <w:lang w:eastAsia="en-US"/>
        </w:rPr>
        <w:t>:</w:t>
      </w:r>
      <w:r w:rsidRPr="00F440D2">
        <w:rPr>
          <w:rFonts w:ascii="Arial" w:hAnsi="Arial"/>
          <w:sz w:val="18"/>
          <w:szCs w:val="20"/>
          <w:lang w:eastAsia="en-US"/>
        </w:rPr>
        <w:t xml:space="preserve"> </w:t>
      </w:r>
    </w:p>
    <w:p w14:paraId="5E769EC9" w14:textId="77777777" w:rsidR="00F440D2" w:rsidRPr="004F4341" w:rsidRDefault="00933561" w:rsidP="004F4341">
      <w:pPr>
        <w:ind w:left="360"/>
      </w:pPr>
      <w:r w:rsidRPr="004F4341">
        <w:t xml:space="preserve">The Statement </w:t>
      </w:r>
      <w:r w:rsidR="00F440D2" w:rsidRPr="004F4341">
        <w:t>must be dated within 24 months prior to the date of submission of the licence application</w:t>
      </w:r>
      <w:r w:rsidRPr="004F4341">
        <w:t>.</w:t>
      </w:r>
      <w:r w:rsidR="003C1EF4">
        <w:t xml:space="preserve"> Examples of appropriate forms of Compliance Statements are provided in Appendix 3 of the JORC Code.</w:t>
      </w:r>
    </w:p>
    <w:p w14:paraId="07B672DE" w14:textId="77777777" w:rsidR="004371F6" w:rsidRDefault="00F02761" w:rsidP="00F02761">
      <w:pPr>
        <w:pStyle w:val="Heading2"/>
      </w:pPr>
      <w:bookmarkStart w:id="12" w:name="_Toc45549240"/>
      <w:r>
        <w:t>Competent Person</w:t>
      </w:r>
      <w:bookmarkEnd w:id="12"/>
    </w:p>
    <w:p w14:paraId="7D616D0F" w14:textId="77777777" w:rsidR="00F02761" w:rsidRDefault="00F02761" w:rsidP="00F02761">
      <w:r>
        <w:t xml:space="preserve">The </w:t>
      </w:r>
      <w:r w:rsidR="001F6BA2" w:rsidRPr="0089014F">
        <w:t xml:space="preserve">information and supporting documentation included </w:t>
      </w:r>
      <w:r w:rsidR="001F6BA2">
        <w:t xml:space="preserve">in the </w:t>
      </w:r>
      <w:r w:rsidR="0007091B">
        <w:t>D</w:t>
      </w:r>
      <w:r>
        <w:t xml:space="preserve">escription of a </w:t>
      </w:r>
      <w:r w:rsidR="0007091B">
        <w:t>M</w:t>
      </w:r>
      <w:r>
        <w:t xml:space="preserve">ineral </w:t>
      </w:r>
      <w:r w:rsidR="0007091B">
        <w:t>R</w:t>
      </w:r>
      <w:r>
        <w:t xml:space="preserve">esource and </w:t>
      </w:r>
      <w:r w:rsidR="0007091B">
        <w:t>the</w:t>
      </w:r>
      <w:r>
        <w:t xml:space="preserve"> </w:t>
      </w:r>
      <w:r w:rsidR="0007091B">
        <w:t>M</w:t>
      </w:r>
      <w:r>
        <w:t xml:space="preserve">ineralisation </w:t>
      </w:r>
      <w:r w:rsidR="0007091B">
        <w:t>R</w:t>
      </w:r>
      <w:r>
        <w:t xml:space="preserve">eport must have been prepared by a </w:t>
      </w:r>
      <w:r w:rsidR="004F4341">
        <w:t>C</w:t>
      </w:r>
      <w:r>
        <w:t xml:space="preserve">ompetent </w:t>
      </w:r>
      <w:r w:rsidR="004F4341">
        <w:t>P</w:t>
      </w:r>
      <w:r>
        <w:t xml:space="preserve">erson (as defined in the Act and the Regulations). </w:t>
      </w:r>
    </w:p>
    <w:p w14:paraId="1DA1E46B" w14:textId="77777777" w:rsidR="00F02761" w:rsidRDefault="00F02761" w:rsidP="00F02761">
      <w:r>
        <w:t xml:space="preserve">Section 15(1BG) provides that, for the purposes of section 15(1BE), a </w:t>
      </w:r>
      <w:r w:rsidR="004F4341">
        <w:t>C</w:t>
      </w:r>
      <w:r>
        <w:t xml:space="preserve">ompetent </w:t>
      </w:r>
      <w:r w:rsidR="004F4341">
        <w:t>P</w:t>
      </w:r>
      <w:r>
        <w:t xml:space="preserve">erson means a person prescribed in the Regulations. </w:t>
      </w:r>
      <w:r w:rsidRPr="00D10BE6">
        <w:t>Regulation 1</w:t>
      </w:r>
      <w:r w:rsidR="00D10BE6" w:rsidRPr="00D10BE6">
        <w:t>2</w:t>
      </w:r>
      <w:r w:rsidRPr="00D10BE6">
        <w:t xml:space="preserve"> sets</w:t>
      </w:r>
      <w:r>
        <w:t xml:space="preserve"> out th</w:t>
      </w:r>
      <w:r w:rsidR="00F06A8C">
        <w:t xml:space="preserve">at a person is a </w:t>
      </w:r>
      <w:r w:rsidR="004F4341">
        <w:t>C</w:t>
      </w:r>
      <w:r>
        <w:t xml:space="preserve">ompetent </w:t>
      </w:r>
      <w:r w:rsidR="004F4341">
        <w:t>P</w:t>
      </w:r>
      <w:r>
        <w:t xml:space="preserve">erson </w:t>
      </w:r>
      <w:r w:rsidR="00F06A8C">
        <w:t xml:space="preserve">to prepare a </w:t>
      </w:r>
      <w:r w:rsidR="003C1EF4">
        <w:t>M</w:t>
      </w:r>
      <w:r w:rsidR="00F06A8C">
        <w:t xml:space="preserve">ineralisation </w:t>
      </w:r>
      <w:r w:rsidR="003C1EF4">
        <w:t>R</w:t>
      </w:r>
      <w:r w:rsidR="00F06A8C">
        <w:t>eport if</w:t>
      </w:r>
      <w:r>
        <w:t>:</w:t>
      </w:r>
    </w:p>
    <w:p w14:paraId="66C49C09" w14:textId="77777777" w:rsidR="00F06A8C" w:rsidRDefault="00F06A8C" w:rsidP="00EA5D9A">
      <w:pPr>
        <w:pStyle w:val="ListParagraph"/>
        <w:numPr>
          <w:ilvl w:val="0"/>
          <w:numId w:val="29"/>
        </w:numPr>
        <w:rPr>
          <w:rFonts w:ascii="Arial" w:hAnsi="Arial"/>
          <w:sz w:val="18"/>
          <w:szCs w:val="20"/>
          <w:lang w:eastAsia="en-US"/>
        </w:rPr>
      </w:pPr>
      <w:r>
        <w:rPr>
          <w:rFonts w:ascii="Arial" w:hAnsi="Arial"/>
          <w:sz w:val="18"/>
          <w:szCs w:val="20"/>
          <w:lang w:eastAsia="en-US"/>
        </w:rPr>
        <w:t xml:space="preserve">The person has – </w:t>
      </w:r>
    </w:p>
    <w:p w14:paraId="1FA2E3D5" w14:textId="77777777" w:rsidR="00F06A8C" w:rsidRDefault="00F06A8C" w:rsidP="00F06A8C">
      <w:pPr>
        <w:pStyle w:val="ListParagraph"/>
        <w:numPr>
          <w:ilvl w:val="0"/>
          <w:numId w:val="35"/>
        </w:numPr>
        <w:rPr>
          <w:rFonts w:ascii="Arial" w:hAnsi="Arial"/>
          <w:sz w:val="18"/>
          <w:szCs w:val="20"/>
          <w:lang w:eastAsia="en-US"/>
        </w:rPr>
      </w:pPr>
      <w:r>
        <w:rPr>
          <w:rFonts w:ascii="Arial" w:hAnsi="Arial"/>
          <w:sz w:val="18"/>
          <w:szCs w:val="20"/>
          <w:lang w:eastAsia="en-US"/>
        </w:rPr>
        <w:t>membership of an organisation approved by the Department Head that is of a class approved by the Department Head; and</w:t>
      </w:r>
    </w:p>
    <w:p w14:paraId="470B1EB2" w14:textId="77777777" w:rsidR="00EA5D9A" w:rsidRDefault="00F02761" w:rsidP="00F06A8C">
      <w:pPr>
        <w:pStyle w:val="ListParagraph"/>
        <w:numPr>
          <w:ilvl w:val="0"/>
          <w:numId w:val="35"/>
        </w:numPr>
        <w:rPr>
          <w:rFonts w:ascii="Arial" w:hAnsi="Arial"/>
          <w:sz w:val="18"/>
          <w:szCs w:val="20"/>
          <w:lang w:eastAsia="en-US"/>
        </w:rPr>
      </w:pPr>
      <w:r w:rsidRPr="00EA5D9A">
        <w:rPr>
          <w:rFonts w:ascii="Arial" w:hAnsi="Arial"/>
          <w:sz w:val="18"/>
          <w:szCs w:val="20"/>
          <w:lang w:eastAsia="en-US"/>
        </w:rPr>
        <w:t>a minimum of 5 years' experience which</w:t>
      </w:r>
      <w:r w:rsidR="00EA5D9A" w:rsidRPr="00EA5D9A">
        <w:rPr>
          <w:rFonts w:ascii="Arial" w:hAnsi="Arial"/>
          <w:sz w:val="18"/>
          <w:szCs w:val="20"/>
          <w:lang w:eastAsia="en-US"/>
        </w:rPr>
        <w:t xml:space="preserve"> is relevant to the style of mineralisation or type of deposit and to the activit</w:t>
      </w:r>
      <w:r w:rsidR="00F06A8C">
        <w:rPr>
          <w:rFonts w:ascii="Arial" w:hAnsi="Arial"/>
          <w:sz w:val="18"/>
          <w:szCs w:val="20"/>
          <w:lang w:eastAsia="en-US"/>
        </w:rPr>
        <w:t>y that is the subject of the report</w:t>
      </w:r>
      <w:r w:rsidR="00EA5D9A" w:rsidRPr="00EA5D9A">
        <w:rPr>
          <w:rFonts w:ascii="Arial" w:hAnsi="Arial"/>
          <w:sz w:val="18"/>
          <w:szCs w:val="20"/>
          <w:lang w:eastAsia="en-US"/>
        </w:rPr>
        <w:t>; or</w:t>
      </w:r>
    </w:p>
    <w:p w14:paraId="10A574F9" w14:textId="77777777" w:rsidR="00EA5D9A" w:rsidRPr="00F06A8C" w:rsidRDefault="00EA5D9A" w:rsidP="00F06A8C">
      <w:pPr>
        <w:pStyle w:val="ListParagraph"/>
        <w:numPr>
          <w:ilvl w:val="0"/>
          <w:numId w:val="29"/>
        </w:numPr>
        <w:rPr>
          <w:rFonts w:ascii="Arial" w:hAnsi="Arial"/>
          <w:sz w:val="18"/>
          <w:szCs w:val="20"/>
          <w:lang w:eastAsia="en-US"/>
        </w:rPr>
      </w:pPr>
      <w:r w:rsidRPr="00F06A8C">
        <w:rPr>
          <w:rFonts w:ascii="Arial" w:hAnsi="Arial"/>
          <w:sz w:val="18"/>
          <w:szCs w:val="20"/>
          <w:lang w:eastAsia="en-US"/>
        </w:rPr>
        <w:t>in the case of a mineral deposit that is easily and readily assessed visually at the ground surface</w:t>
      </w:r>
      <w:r w:rsidR="00F06A8C">
        <w:rPr>
          <w:rFonts w:ascii="Arial" w:hAnsi="Arial"/>
          <w:sz w:val="18"/>
          <w:szCs w:val="20"/>
          <w:lang w:eastAsia="en-US"/>
        </w:rPr>
        <w:t xml:space="preserve">, the Minister has determined, </w:t>
      </w:r>
      <w:r w:rsidRPr="00F06A8C">
        <w:rPr>
          <w:rFonts w:ascii="Arial" w:hAnsi="Arial"/>
          <w:sz w:val="18"/>
          <w:szCs w:val="20"/>
          <w:lang w:eastAsia="en-US"/>
        </w:rPr>
        <w:t xml:space="preserve">on a case-by-case basis, </w:t>
      </w:r>
      <w:r w:rsidR="00F06A8C">
        <w:rPr>
          <w:rFonts w:ascii="Arial" w:hAnsi="Arial"/>
          <w:sz w:val="18"/>
          <w:szCs w:val="20"/>
          <w:lang w:eastAsia="en-US"/>
        </w:rPr>
        <w:t xml:space="preserve">that the person </w:t>
      </w:r>
      <w:r w:rsidRPr="00F06A8C">
        <w:rPr>
          <w:rFonts w:ascii="Arial" w:hAnsi="Arial"/>
          <w:sz w:val="18"/>
          <w:szCs w:val="20"/>
          <w:lang w:eastAsia="en-US"/>
        </w:rPr>
        <w:t xml:space="preserve">has the relevant experience in mining or mineral exploration </w:t>
      </w:r>
      <w:r w:rsidR="00F06A8C">
        <w:rPr>
          <w:rFonts w:ascii="Arial" w:hAnsi="Arial"/>
          <w:sz w:val="18"/>
          <w:szCs w:val="20"/>
          <w:lang w:eastAsia="en-US"/>
        </w:rPr>
        <w:t>to prepare the report</w:t>
      </w:r>
      <w:r w:rsidRPr="00F06A8C">
        <w:rPr>
          <w:rFonts w:ascii="Arial" w:hAnsi="Arial"/>
          <w:sz w:val="18"/>
          <w:szCs w:val="20"/>
          <w:lang w:eastAsia="en-US"/>
        </w:rPr>
        <w:t>.</w:t>
      </w:r>
    </w:p>
    <w:p w14:paraId="368533EC" w14:textId="77777777" w:rsidR="00F06A8C" w:rsidRDefault="00F06A8C" w:rsidP="00EA5D9A">
      <w:r>
        <w:t>For</w:t>
      </w:r>
      <w:r w:rsidR="00EA5D9A">
        <w:t xml:space="preserve"> this regulation, </w:t>
      </w:r>
      <w:r>
        <w:t>the Department Head has published a list of approved organisations and classes of membership in the Government Gazette: (</w:t>
      </w:r>
      <w:hyperlink r:id="rId20" w:anchor="page=24" w:history="1">
        <w:r w:rsidRPr="00521007">
          <w:rPr>
            <w:rStyle w:val="Hyperlink"/>
          </w:rPr>
          <w:t>http://www.gazette.vic.gov.au/gazette/Gazettes2019/GG2019G028.pdf#page=24</w:t>
        </w:r>
      </w:hyperlink>
      <w:r>
        <w:t>)</w:t>
      </w:r>
    </w:p>
    <w:p w14:paraId="2F25B8CE" w14:textId="77777777" w:rsidR="00EA5D9A" w:rsidRDefault="0089014F" w:rsidP="0007091B">
      <w:pPr>
        <w:pStyle w:val="Heading2"/>
      </w:pPr>
      <w:bookmarkStart w:id="13" w:name="_Toc45549241"/>
      <w:r>
        <w:lastRenderedPageBreak/>
        <w:t>Gypsum</w:t>
      </w:r>
      <w:bookmarkEnd w:id="13"/>
    </w:p>
    <w:p w14:paraId="552F8908" w14:textId="77777777" w:rsidR="0089014F" w:rsidRDefault="0089014F" w:rsidP="0089014F">
      <w:r>
        <w:t xml:space="preserve">Gypsum deposits typically occur at the surface and have limited vertical extent compared to other minerals. Applicants are not required to </w:t>
      </w:r>
      <w:r w:rsidR="00F97B6E">
        <w:t xml:space="preserve">describe gypsum </w:t>
      </w:r>
      <w:r w:rsidR="004F4341">
        <w:t>M</w:t>
      </w:r>
      <w:r w:rsidR="00F97B6E">
        <w:t xml:space="preserve">ineral </w:t>
      </w:r>
      <w:r w:rsidR="004F4341">
        <w:t>R</w:t>
      </w:r>
      <w:r w:rsidR="00F97B6E">
        <w:t>esources in accordance</w:t>
      </w:r>
      <w:r w:rsidR="0007091B">
        <w:t xml:space="preserve"> with </w:t>
      </w:r>
      <w:r w:rsidR="00F97B6E">
        <w:t>JORC</w:t>
      </w:r>
      <w:r w:rsidR="0019557E">
        <w:t xml:space="preserve"> or provide a Mineralisation Report but</w:t>
      </w:r>
      <w:r>
        <w:t xml:space="preserve"> must supply sufficient information</w:t>
      </w:r>
      <w:r w:rsidR="00F97B6E">
        <w:t xml:space="preserve"> </w:t>
      </w:r>
      <w:r>
        <w:t>required by the Minister. This includes:</w:t>
      </w:r>
    </w:p>
    <w:p w14:paraId="1BA8DBB7" w14:textId="77777777" w:rsidR="0089014F" w:rsidRPr="0089014F" w:rsidRDefault="0089014F" w:rsidP="0089014F">
      <w:pPr>
        <w:pStyle w:val="ListParagraph"/>
        <w:numPr>
          <w:ilvl w:val="0"/>
          <w:numId w:val="31"/>
        </w:numPr>
        <w:rPr>
          <w:rFonts w:ascii="Arial" w:hAnsi="Arial"/>
          <w:sz w:val="18"/>
          <w:szCs w:val="20"/>
          <w:lang w:eastAsia="en-US"/>
        </w:rPr>
      </w:pPr>
      <w:r w:rsidRPr="0089014F">
        <w:rPr>
          <w:rFonts w:ascii="Arial" w:hAnsi="Arial"/>
          <w:sz w:val="18"/>
          <w:szCs w:val="20"/>
          <w:lang w:eastAsia="en-US"/>
        </w:rPr>
        <w:t>details of the location, depth, quantity and extent of the minerals and accompanying maps;</w:t>
      </w:r>
    </w:p>
    <w:p w14:paraId="3801ACDC" w14:textId="77777777" w:rsidR="0089014F" w:rsidRPr="0089014F" w:rsidRDefault="0089014F" w:rsidP="0089014F">
      <w:pPr>
        <w:pStyle w:val="ListParagraph"/>
        <w:numPr>
          <w:ilvl w:val="0"/>
          <w:numId w:val="31"/>
        </w:numPr>
        <w:rPr>
          <w:rFonts w:ascii="Arial" w:hAnsi="Arial"/>
          <w:sz w:val="18"/>
          <w:szCs w:val="20"/>
          <w:lang w:eastAsia="en-US"/>
        </w:rPr>
      </w:pPr>
      <w:r w:rsidRPr="0089014F">
        <w:rPr>
          <w:rFonts w:ascii="Arial" w:hAnsi="Arial"/>
          <w:sz w:val="18"/>
          <w:szCs w:val="20"/>
          <w:lang w:eastAsia="en-US"/>
        </w:rPr>
        <w:t>method by which the extent of the mineral or minerals have been determined;</w:t>
      </w:r>
    </w:p>
    <w:p w14:paraId="3351424C" w14:textId="77777777" w:rsidR="0089014F" w:rsidRPr="0089014F" w:rsidRDefault="0089014F" w:rsidP="0089014F">
      <w:pPr>
        <w:pStyle w:val="ListParagraph"/>
        <w:numPr>
          <w:ilvl w:val="0"/>
          <w:numId w:val="31"/>
        </w:numPr>
        <w:rPr>
          <w:rFonts w:ascii="Arial" w:hAnsi="Arial"/>
          <w:sz w:val="18"/>
          <w:szCs w:val="20"/>
          <w:lang w:eastAsia="en-US"/>
        </w:rPr>
      </w:pPr>
      <w:r w:rsidRPr="0089014F">
        <w:rPr>
          <w:rFonts w:ascii="Arial" w:hAnsi="Arial"/>
          <w:sz w:val="18"/>
          <w:szCs w:val="20"/>
          <w:lang w:eastAsia="en-US"/>
        </w:rPr>
        <w:t>analytical results obtained from samples of the mineral or minerals; and</w:t>
      </w:r>
    </w:p>
    <w:p w14:paraId="4F69374C" w14:textId="77777777" w:rsidR="0089014F" w:rsidRPr="0089014F" w:rsidRDefault="0089014F" w:rsidP="0089014F">
      <w:pPr>
        <w:pStyle w:val="ListParagraph"/>
        <w:numPr>
          <w:ilvl w:val="0"/>
          <w:numId w:val="31"/>
        </w:numPr>
        <w:rPr>
          <w:rFonts w:ascii="Arial" w:hAnsi="Arial"/>
          <w:sz w:val="18"/>
          <w:szCs w:val="20"/>
          <w:lang w:eastAsia="en-US"/>
        </w:rPr>
      </w:pPr>
      <w:r w:rsidRPr="0089014F">
        <w:rPr>
          <w:rFonts w:ascii="Arial" w:hAnsi="Arial"/>
          <w:sz w:val="18"/>
          <w:szCs w:val="20"/>
          <w:lang w:eastAsia="en-US"/>
        </w:rPr>
        <w:t>intended purpose of the mined product.</w:t>
      </w:r>
    </w:p>
    <w:p w14:paraId="127B48B6" w14:textId="77777777" w:rsidR="00F02761" w:rsidRPr="00F02761" w:rsidRDefault="00DE1C1C" w:rsidP="00EA5D9A">
      <w:r>
        <w:t>T</w:t>
      </w:r>
      <w:r w:rsidRPr="0089014F">
        <w:t>he Minister has determined (under regulation 1</w:t>
      </w:r>
      <w:r>
        <w:t>2</w:t>
      </w:r>
      <w:r w:rsidRPr="0089014F">
        <w:t xml:space="preserve">(1)(b) of the Regulations) that, in the case of gypsum, a </w:t>
      </w:r>
      <w:r w:rsidR="004F4341">
        <w:t>C</w:t>
      </w:r>
      <w:r w:rsidRPr="0089014F">
        <w:t xml:space="preserve">ompetent </w:t>
      </w:r>
      <w:r w:rsidR="004F4341">
        <w:t>P</w:t>
      </w:r>
      <w:r w:rsidRPr="0089014F">
        <w:t xml:space="preserve">erson is a member of the National Gypsum Miners Association with 5 </w:t>
      </w:r>
      <w:r w:rsidR="0019557E" w:rsidRPr="0089014F">
        <w:t>years’ experience</w:t>
      </w:r>
      <w:r w:rsidRPr="0089014F">
        <w:t xml:space="preserve"> relevant to the mining or mineral exploration of gypsum.</w:t>
      </w:r>
    </w:p>
    <w:p w14:paraId="1EA12963" w14:textId="77777777" w:rsidR="00CA59D5" w:rsidRPr="00A35E21" w:rsidRDefault="00A35E21" w:rsidP="00A35E21">
      <w:pPr>
        <w:pStyle w:val="Heading1"/>
        <w:rPr>
          <w:rStyle w:val="Strong"/>
          <w:b/>
          <w:bCs/>
        </w:rPr>
      </w:pPr>
      <w:bookmarkStart w:id="14" w:name="_Toc45549242"/>
      <w:r w:rsidRPr="00A35E21">
        <w:rPr>
          <w:rStyle w:val="Strong"/>
          <w:b/>
          <w:bCs/>
        </w:rPr>
        <w:t>Part II: Mineralisation Report</w:t>
      </w:r>
      <w:bookmarkEnd w:id="14"/>
    </w:p>
    <w:p w14:paraId="27BD8871" w14:textId="77777777" w:rsidR="00A35E21" w:rsidRDefault="00A35E21" w:rsidP="00A35E21">
      <w:r w:rsidRPr="00A35E21">
        <w:t xml:space="preserve">Where the </w:t>
      </w:r>
      <w:r w:rsidR="00500179">
        <w:t>M</w:t>
      </w:r>
      <w:r w:rsidRPr="00A35E21">
        <w:t xml:space="preserve">ineral </w:t>
      </w:r>
      <w:r w:rsidR="00500179">
        <w:t>R</w:t>
      </w:r>
      <w:r w:rsidRPr="00A35E21">
        <w:t xml:space="preserve">esource described in the </w:t>
      </w:r>
      <w:r w:rsidR="00327AD5">
        <w:t>Description of a Mineral Resource</w:t>
      </w:r>
      <w:r w:rsidR="00327AD5" w:rsidRPr="0089014F">
        <w:t xml:space="preserve"> </w:t>
      </w:r>
      <w:r w:rsidRPr="00A35E21">
        <w:t>under section 15(1BB)</w:t>
      </w:r>
      <w:r>
        <w:t xml:space="preserve"> of the Act</w:t>
      </w:r>
      <w:r w:rsidRPr="00A35E21">
        <w:t xml:space="preserve"> is not being mined from the land covered by the mining or retention licence being applied for, then section 15(1BE)</w:t>
      </w:r>
      <w:r>
        <w:t xml:space="preserve"> of the Act</w:t>
      </w:r>
      <w:r w:rsidRPr="00A35E21">
        <w:t xml:space="preserve"> requires that the applicant submit a </w:t>
      </w:r>
      <w:r w:rsidR="00500179">
        <w:t>M</w:t>
      </w:r>
      <w:r w:rsidRPr="00A35E21">
        <w:t xml:space="preserve">ineralisation </w:t>
      </w:r>
      <w:r w:rsidR="00500179">
        <w:t>R</w:t>
      </w:r>
      <w:r w:rsidRPr="00A35E21">
        <w:t xml:space="preserve">eport prepared by a </w:t>
      </w:r>
      <w:r w:rsidR="00500179">
        <w:t>C</w:t>
      </w:r>
      <w:r w:rsidRPr="00A35E21">
        <w:t xml:space="preserve">ompetent </w:t>
      </w:r>
      <w:r w:rsidR="00500179">
        <w:t>P</w:t>
      </w:r>
      <w:r w:rsidRPr="00A35E21">
        <w:t>erson (as defined in the Act and Regulations).</w:t>
      </w:r>
    </w:p>
    <w:p w14:paraId="2D2829D9" w14:textId="77777777" w:rsidR="00A35E21" w:rsidRDefault="00A35E21" w:rsidP="00A35E21">
      <w:r w:rsidRPr="00A35E21">
        <w:t xml:space="preserve">A </w:t>
      </w:r>
      <w:r w:rsidR="00500179">
        <w:t>M</w:t>
      </w:r>
      <w:r w:rsidRPr="00A35E21">
        <w:t xml:space="preserve">ineralisation </w:t>
      </w:r>
      <w:r w:rsidR="00500179">
        <w:t>R</w:t>
      </w:r>
      <w:r w:rsidRPr="00A35E21">
        <w:t xml:space="preserve">eport will only be required for mining licence application when the land is not currently being mined. A </w:t>
      </w:r>
      <w:r w:rsidR="00500179">
        <w:t>M</w:t>
      </w:r>
      <w:r w:rsidRPr="00A35E21">
        <w:t xml:space="preserve">ineralisation </w:t>
      </w:r>
      <w:r w:rsidR="00500179">
        <w:t>R</w:t>
      </w:r>
      <w:r w:rsidRPr="00A35E21">
        <w:t>eport will always be required for retention licence applications, as mining cannot occur under this licence type.</w:t>
      </w:r>
    </w:p>
    <w:p w14:paraId="78DA38A7" w14:textId="77777777" w:rsidR="00A35E21" w:rsidRDefault="00A35E21" w:rsidP="00A35E21">
      <w:pPr>
        <w:pStyle w:val="Heading2"/>
      </w:pPr>
      <w:bookmarkStart w:id="15" w:name="_Toc45549243"/>
      <w:r>
        <w:t>Reports by ASX listed mining companies</w:t>
      </w:r>
      <w:bookmarkEnd w:id="15"/>
    </w:p>
    <w:p w14:paraId="66BC622A" w14:textId="77777777" w:rsidR="006615C5" w:rsidRDefault="006615C5" w:rsidP="006615C5">
      <w:r>
        <w:t xml:space="preserve">If the licence applicant is a company listed on the Australian Securities Exchange (ASX) and the company had already submitted a detailed resource report to the ASX in compliance with the ASX Listing Rules (see chapter 5, </w:t>
      </w:r>
      <w:hyperlink r:id="rId21" w:history="1">
        <w:r w:rsidRPr="007817D4">
          <w:rPr>
            <w:rStyle w:val="Hyperlink"/>
          </w:rPr>
          <w:t>https://www.asx.com.au/regulation/rules/asx-listing-rules.htm</w:t>
        </w:r>
      </w:hyperlink>
      <w:r>
        <w:t xml:space="preserve">) then that report can used in place of having to prepare a separate </w:t>
      </w:r>
      <w:r w:rsidR="00F97B6E">
        <w:t>M</w:t>
      </w:r>
      <w:r>
        <w:t xml:space="preserve">ineralisation </w:t>
      </w:r>
      <w:r w:rsidR="00F97B6E">
        <w:t>R</w:t>
      </w:r>
      <w:r>
        <w:t xml:space="preserve">eport to accompany the mining or retention licence application. This is intended to avoid duplication and reduce regulatory burden. The reporting requirements for a detailed resource report to the ASX are regarded as equal or more stringent than the requirements to prepare a </w:t>
      </w:r>
      <w:r w:rsidR="00F97B6E">
        <w:t>M</w:t>
      </w:r>
      <w:r>
        <w:t xml:space="preserve">ineralisation </w:t>
      </w:r>
      <w:r w:rsidR="00F97B6E">
        <w:t>R</w:t>
      </w:r>
      <w:r>
        <w:t xml:space="preserve">eport under the Act. </w:t>
      </w:r>
    </w:p>
    <w:p w14:paraId="640EDD11" w14:textId="77777777" w:rsidR="006615C5" w:rsidRDefault="006615C5" w:rsidP="006615C5">
      <w:r>
        <w:t xml:space="preserve">To be regarded as equivalent to a </w:t>
      </w:r>
      <w:r w:rsidR="0019557E">
        <w:t>M</w:t>
      </w:r>
      <w:r>
        <w:t xml:space="preserve">ineralisation </w:t>
      </w:r>
      <w:r w:rsidR="0019557E">
        <w:t>R</w:t>
      </w:r>
      <w:r>
        <w:t xml:space="preserve">eport, the resource report is expected to be publicly available on the ASX Market Announcements platform and should accompany the mining or retention licence application. The resource report must have been published within </w:t>
      </w:r>
      <w:r w:rsidR="00F97B6E">
        <w:t>36</w:t>
      </w:r>
      <w:r>
        <w:t xml:space="preserve"> months of the date when the licence application is submitted.</w:t>
      </w:r>
    </w:p>
    <w:p w14:paraId="2943C006" w14:textId="77777777" w:rsidR="006615C5" w:rsidRDefault="004A1816" w:rsidP="006615C5">
      <w:pPr>
        <w:pStyle w:val="Heading2"/>
      </w:pPr>
      <w:bookmarkStart w:id="16" w:name="_Toc45549244"/>
      <w:r>
        <w:t>Content of a Mineralisation Report</w:t>
      </w:r>
      <w:bookmarkEnd w:id="16"/>
    </w:p>
    <w:p w14:paraId="272A80C5" w14:textId="77777777" w:rsidR="004A1816" w:rsidRDefault="004A1816" w:rsidP="004A1816">
      <w:r>
        <w:t xml:space="preserve">Sections 15(1BE)(a) and 15(1BF) require that the </w:t>
      </w:r>
      <w:r w:rsidR="00F97B6E">
        <w:t>M</w:t>
      </w:r>
      <w:r>
        <w:t xml:space="preserve">ineralisation </w:t>
      </w:r>
      <w:r w:rsidR="00F97B6E">
        <w:t>R</w:t>
      </w:r>
      <w:r>
        <w:t xml:space="preserve">eport set out the exploration results in relation to the described </w:t>
      </w:r>
      <w:r w:rsidR="0019557E">
        <w:t>M</w:t>
      </w:r>
      <w:r>
        <w:t xml:space="preserve">ineral </w:t>
      </w:r>
      <w:r w:rsidR="0019557E">
        <w:t>R</w:t>
      </w:r>
      <w:r>
        <w:t xml:space="preserve">esource </w:t>
      </w:r>
      <w:r w:rsidR="00CE3384">
        <w:t xml:space="preserve">(section 3.3). </w:t>
      </w:r>
      <w:r>
        <w:t xml:space="preserve">Section 15(1BE)(b) also requires the </w:t>
      </w:r>
      <w:r w:rsidR="00F97B6E">
        <w:t>M</w:t>
      </w:r>
      <w:r>
        <w:t xml:space="preserve">ineralisation </w:t>
      </w:r>
      <w:r w:rsidR="00F97B6E">
        <w:t>R</w:t>
      </w:r>
      <w:r>
        <w:t xml:space="preserve">eport to include an analysis of whether the exploration results indicate that there is a reasonable prospect that the mining of the described </w:t>
      </w:r>
      <w:r w:rsidR="00CE3384">
        <w:t>M</w:t>
      </w:r>
      <w:r>
        <w:t xml:space="preserve">ineral </w:t>
      </w:r>
      <w:r w:rsidR="00CE3384">
        <w:t>R</w:t>
      </w:r>
      <w:r>
        <w:t>esource will be economically viable</w:t>
      </w:r>
      <w:r w:rsidR="00CE3384">
        <w:t xml:space="preserve"> (section 3.4)</w:t>
      </w:r>
      <w:r>
        <w:t xml:space="preserve">. </w:t>
      </w:r>
    </w:p>
    <w:p w14:paraId="249AD032" w14:textId="77777777" w:rsidR="004A1816" w:rsidRDefault="004A1816" w:rsidP="004A1816">
      <w:r>
        <w:t xml:space="preserve">It is expected that the </w:t>
      </w:r>
      <w:r w:rsidR="00F97B6E">
        <w:t>M</w:t>
      </w:r>
      <w:r>
        <w:t xml:space="preserve">ineralisation </w:t>
      </w:r>
      <w:r w:rsidR="00F97B6E">
        <w:t>R</w:t>
      </w:r>
      <w:r>
        <w:t>eport will include the following components:</w:t>
      </w:r>
    </w:p>
    <w:p w14:paraId="6231E4B4" w14:textId="77777777" w:rsidR="0019557E" w:rsidRDefault="0019557E" w:rsidP="004A1816">
      <w:pPr>
        <w:pStyle w:val="ListParagraph"/>
        <w:numPr>
          <w:ilvl w:val="0"/>
          <w:numId w:val="34"/>
        </w:numPr>
        <w:rPr>
          <w:rFonts w:ascii="Arial" w:hAnsi="Arial"/>
          <w:sz w:val="18"/>
          <w:szCs w:val="20"/>
          <w:lang w:eastAsia="en-US"/>
        </w:rPr>
      </w:pPr>
      <w:r>
        <w:rPr>
          <w:rFonts w:ascii="Arial" w:hAnsi="Arial"/>
          <w:b/>
          <w:sz w:val="18"/>
          <w:szCs w:val="20"/>
          <w:lang w:eastAsia="en-US"/>
        </w:rPr>
        <w:t>T</w:t>
      </w:r>
      <w:r w:rsidR="004A1816" w:rsidRPr="0019557E">
        <w:rPr>
          <w:rFonts w:ascii="Arial" w:hAnsi="Arial"/>
          <w:b/>
          <w:sz w:val="18"/>
          <w:szCs w:val="20"/>
          <w:lang w:eastAsia="en-US"/>
        </w:rPr>
        <w:t xml:space="preserve">he </w:t>
      </w:r>
      <w:r w:rsidR="00327AD5" w:rsidRPr="0019557E">
        <w:rPr>
          <w:rFonts w:ascii="Arial" w:hAnsi="Arial"/>
          <w:b/>
          <w:sz w:val="18"/>
          <w:szCs w:val="20"/>
          <w:lang w:eastAsia="en-US"/>
        </w:rPr>
        <w:t>Description of a Mineral Resource</w:t>
      </w:r>
      <w:r w:rsidR="00327AD5" w:rsidRPr="00327AD5">
        <w:rPr>
          <w:rFonts w:ascii="Arial" w:hAnsi="Arial"/>
          <w:sz w:val="18"/>
          <w:szCs w:val="20"/>
          <w:lang w:eastAsia="en-US"/>
        </w:rPr>
        <w:t xml:space="preserve"> </w:t>
      </w:r>
    </w:p>
    <w:p w14:paraId="2F1FC5BA" w14:textId="77777777" w:rsidR="004A1816" w:rsidRPr="0019557E" w:rsidRDefault="0019557E" w:rsidP="0019557E">
      <w:pPr>
        <w:ind w:left="360"/>
      </w:pPr>
      <w:r>
        <w:t xml:space="preserve">As </w:t>
      </w:r>
      <w:r w:rsidR="004A1816" w:rsidRPr="0019557E">
        <w:t>required by section 15(1BB) and prepared in accordance with Part I of these guidelines;</w:t>
      </w:r>
    </w:p>
    <w:p w14:paraId="70F13F78" w14:textId="77777777" w:rsidR="0019557E" w:rsidRDefault="0019557E" w:rsidP="004A1816">
      <w:pPr>
        <w:pStyle w:val="ListParagraph"/>
        <w:numPr>
          <w:ilvl w:val="0"/>
          <w:numId w:val="34"/>
        </w:numPr>
        <w:rPr>
          <w:rFonts w:ascii="Arial" w:hAnsi="Arial"/>
          <w:sz w:val="18"/>
          <w:szCs w:val="20"/>
          <w:lang w:eastAsia="en-US"/>
        </w:rPr>
      </w:pPr>
      <w:r w:rsidRPr="0019557E">
        <w:rPr>
          <w:rFonts w:ascii="Arial" w:hAnsi="Arial"/>
          <w:b/>
          <w:sz w:val="18"/>
          <w:szCs w:val="20"/>
          <w:lang w:eastAsia="en-US"/>
        </w:rPr>
        <w:t>R</w:t>
      </w:r>
      <w:r w:rsidR="004A1816" w:rsidRPr="0019557E">
        <w:rPr>
          <w:rFonts w:ascii="Arial" w:hAnsi="Arial"/>
          <w:b/>
          <w:sz w:val="18"/>
          <w:szCs w:val="20"/>
          <w:lang w:eastAsia="en-US"/>
        </w:rPr>
        <w:t xml:space="preserve">eport of </w:t>
      </w:r>
      <w:r w:rsidR="00AD60E9">
        <w:rPr>
          <w:rFonts w:ascii="Arial" w:hAnsi="Arial"/>
          <w:b/>
          <w:sz w:val="18"/>
          <w:szCs w:val="20"/>
          <w:lang w:eastAsia="en-US"/>
        </w:rPr>
        <w:t>E</w:t>
      </w:r>
      <w:r w:rsidR="004A1816" w:rsidRPr="0019557E">
        <w:rPr>
          <w:rFonts w:ascii="Arial" w:hAnsi="Arial"/>
          <w:b/>
          <w:sz w:val="18"/>
          <w:szCs w:val="20"/>
          <w:lang w:eastAsia="en-US"/>
        </w:rPr>
        <w:t xml:space="preserve">xploration </w:t>
      </w:r>
      <w:r w:rsidR="00AD60E9">
        <w:rPr>
          <w:rFonts w:ascii="Arial" w:hAnsi="Arial"/>
          <w:b/>
          <w:sz w:val="18"/>
          <w:szCs w:val="20"/>
          <w:lang w:eastAsia="en-US"/>
        </w:rPr>
        <w:t>R</w:t>
      </w:r>
      <w:r w:rsidR="004A1816" w:rsidRPr="0019557E">
        <w:rPr>
          <w:rFonts w:ascii="Arial" w:hAnsi="Arial"/>
          <w:b/>
          <w:sz w:val="18"/>
          <w:szCs w:val="20"/>
          <w:lang w:eastAsia="en-US"/>
        </w:rPr>
        <w:t>esults</w:t>
      </w:r>
      <w:r w:rsidR="004A1816" w:rsidRPr="004A1816">
        <w:rPr>
          <w:rFonts w:ascii="Arial" w:hAnsi="Arial"/>
          <w:sz w:val="18"/>
          <w:szCs w:val="20"/>
          <w:lang w:eastAsia="en-US"/>
        </w:rPr>
        <w:t xml:space="preserve">, </w:t>
      </w:r>
    </w:p>
    <w:p w14:paraId="721CC2B2" w14:textId="77777777" w:rsidR="004A1816" w:rsidRPr="0019557E" w:rsidRDefault="0019557E" w:rsidP="0019557E">
      <w:pPr>
        <w:ind w:left="360"/>
      </w:pPr>
      <w:r>
        <w:t>A</w:t>
      </w:r>
      <w:r w:rsidR="004A1816" w:rsidRPr="0019557E">
        <w:t>s required by sections 15(1BE)(a) and 15(1BF) of the Act, guidance for which follows below</w:t>
      </w:r>
      <w:r w:rsidR="0022454D">
        <w:t xml:space="preserve"> (Section 3.3)</w:t>
      </w:r>
      <w:r w:rsidR="004A1816" w:rsidRPr="0019557E">
        <w:t>; and</w:t>
      </w:r>
    </w:p>
    <w:p w14:paraId="54661A47" w14:textId="77777777" w:rsidR="0019557E" w:rsidRDefault="0019557E" w:rsidP="004A1816">
      <w:pPr>
        <w:pStyle w:val="ListParagraph"/>
        <w:numPr>
          <w:ilvl w:val="0"/>
          <w:numId w:val="34"/>
        </w:numPr>
        <w:rPr>
          <w:rFonts w:ascii="Arial" w:hAnsi="Arial"/>
          <w:sz w:val="18"/>
          <w:szCs w:val="20"/>
          <w:lang w:eastAsia="en-US"/>
        </w:rPr>
      </w:pPr>
      <w:r w:rsidRPr="0019557E">
        <w:rPr>
          <w:rFonts w:ascii="Arial" w:hAnsi="Arial"/>
          <w:b/>
          <w:sz w:val="18"/>
          <w:szCs w:val="20"/>
          <w:lang w:eastAsia="en-US"/>
        </w:rPr>
        <w:lastRenderedPageBreak/>
        <w:t>E</w:t>
      </w:r>
      <w:r w:rsidR="004A1816" w:rsidRPr="0019557E">
        <w:rPr>
          <w:rFonts w:ascii="Arial" w:hAnsi="Arial"/>
          <w:b/>
          <w:sz w:val="18"/>
          <w:szCs w:val="20"/>
          <w:lang w:eastAsia="en-US"/>
        </w:rPr>
        <w:t xml:space="preserve">conomic </w:t>
      </w:r>
      <w:r w:rsidR="00AD60E9">
        <w:rPr>
          <w:rFonts w:ascii="Arial" w:hAnsi="Arial"/>
          <w:b/>
          <w:sz w:val="18"/>
          <w:szCs w:val="20"/>
          <w:lang w:eastAsia="en-US"/>
        </w:rPr>
        <w:t>V</w:t>
      </w:r>
      <w:r w:rsidR="004A1816" w:rsidRPr="0019557E">
        <w:rPr>
          <w:rFonts w:ascii="Arial" w:hAnsi="Arial"/>
          <w:b/>
          <w:sz w:val="18"/>
          <w:szCs w:val="20"/>
          <w:lang w:eastAsia="en-US"/>
        </w:rPr>
        <w:t xml:space="preserve">iability </w:t>
      </w:r>
      <w:r w:rsidR="00AD60E9">
        <w:rPr>
          <w:rFonts w:ascii="Arial" w:hAnsi="Arial"/>
          <w:b/>
          <w:sz w:val="18"/>
          <w:szCs w:val="20"/>
          <w:lang w:eastAsia="en-US"/>
        </w:rPr>
        <w:t>A</w:t>
      </w:r>
      <w:r w:rsidR="004A1816" w:rsidRPr="0019557E">
        <w:rPr>
          <w:rFonts w:ascii="Arial" w:hAnsi="Arial"/>
          <w:b/>
          <w:sz w:val="18"/>
          <w:szCs w:val="20"/>
          <w:lang w:eastAsia="en-US"/>
        </w:rPr>
        <w:t>ssessment</w:t>
      </w:r>
      <w:r w:rsidR="004A1816" w:rsidRPr="004A1816">
        <w:rPr>
          <w:rFonts w:ascii="Arial" w:hAnsi="Arial"/>
          <w:sz w:val="18"/>
          <w:szCs w:val="20"/>
          <w:lang w:eastAsia="en-US"/>
        </w:rPr>
        <w:t xml:space="preserve">, </w:t>
      </w:r>
    </w:p>
    <w:p w14:paraId="6C0AFA1F" w14:textId="783875CB" w:rsidR="004A1816" w:rsidRDefault="0019557E" w:rsidP="0019557E">
      <w:pPr>
        <w:ind w:left="360"/>
      </w:pPr>
      <w:r>
        <w:t>A</w:t>
      </w:r>
      <w:r w:rsidR="004A1816" w:rsidRPr="0019557E">
        <w:t>s required by section 15(1BE)(b), guidance for which follows</w:t>
      </w:r>
      <w:r w:rsidR="0022454D">
        <w:t xml:space="preserve"> (Section 3.4)</w:t>
      </w:r>
      <w:r w:rsidR="004A1816" w:rsidRPr="0019557E">
        <w:t xml:space="preserve"> below.</w:t>
      </w:r>
    </w:p>
    <w:p w14:paraId="4CBE60DA" w14:textId="3ECFA301" w:rsidR="007C3069" w:rsidRPr="0019557E" w:rsidRDefault="00885838" w:rsidP="000B1167">
      <w:r>
        <w:t>A</w:t>
      </w:r>
      <w:r w:rsidR="007C3069">
        <w:t xml:space="preserve"> cover sheet template </w:t>
      </w:r>
      <w:r>
        <w:t>is provided at Appendix 2 of this document</w:t>
      </w:r>
      <w:r w:rsidR="00F728FD">
        <w:t xml:space="preserve"> and </w:t>
      </w:r>
      <w:r w:rsidR="007A24F2">
        <w:t>lists the information to be submitted</w:t>
      </w:r>
      <w:r w:rsidR="000C41CD">
        <w:t xml:space="preserve">. This cover sheet </w:t>
      </w:r>
      <w:r w:rsidR="007C3069">
        <w:t xml:space="preserve">should </w:t>
      </w:r>
      <w:r w:rsidR="00DC3EB5">
        <w:t xml:space="preserve">be submitted with the mineralisation report for </w:t>
      </w:r>
      <w:r w:rsidR="007C3069">
        <w:t xml:space="preserve">each </w:t>
      </w:r>
      <w:r w:rsidR="002128D1" w:rsidRPr="002128D1">
        <w:t>non-gypsum Mining and Retention Licence application</w:t>
      </w:r>
      <w:r w:rsidR="000B1167">
        <w:t>.</w:t>
      </w:r>
    </w:p>
    <w:p w14:paraId="7C2A596A" w14:textId="77777777" w:rsidR="004A1816" w:rsidRPr="004A1816" w:rsidRDefault="004A1816" w:rsidP="004A1816">
      <w:r>
        <w:t xml:space="preserve">If the report of exploration results and the economic viability assessment are not prepared by the same competent person (as defined in the Act and Regulations) who prepared the </w:t>
      </w:r>
      <w:r w:rsidR="00327AD5">
        <w:t>Description of a Mineral Resource</w:t>
      </w:r>
      <w:r>
        <w:t>, then a</w:t>
      </w:r>
      <w:r w:rsidR="00AD60E9">
        <w:t xml:space="preserve">n additional Competent Persons Compliance Statement </w:t>
      </w:r>
      <w:r>
        <w:t xml:space="preserve">should also be included as part of the </w:t>
      </w:r>
      <w:r w:rsidR="00F97B6E">
        <w:t>M</w:t>
      </w:r>
      <w:r>
        <w:t xml:space="preserve">ineralisation </w:t>
      </w:r>
      <w:r w:rsidR="00F97B6E">
        <w:t>R</w:t>
      </w:r>
      <w:r>
        <w:t xml:space="preserve">eport (additional to the set accompanying the </w:t>
      </w:r>
      <w:r w:rsidR="00327AD5">
        <w:t>Description of a Mineral Resource</w:t>
      </w:r>
      <w:r>
        <w:t xml:space="preserve">). The </w:t>
      </w:r>
      <w:r w:rsidR="00AD60E9">
        <w:t xml:space="preserve">Competent Persons Compliance Statement </w:t>
      </w:r>
      <w:r>
        <w:t>should be dated within the 12 months prior to submitting the licence application.</w:t>
      </w:r>
    </w:p>
    <w:p w14:paraId="7FB535E9" w14:textId="77777777" w:rsidR="006615C5" w:rsidRDefault="004A1816" w:rsidP="004A1816">
      <w:pPr>
        <w:pStyle w:val="Heading2"/>
      </w:pPr>
      <w:bookmarkStart w:id="17" w:name="_Toc45549245"/>
      <w:r>
        <w:t xml:space="preserve">Reporting of </w:t>
      </w:r>
      <w:r w:rsidR="00AA386F">
        <w:t>e</w:t>
      </w:r>
      <w:r>
        <w:t xml:space="preserve">xploration </w:t>
      </w:r>
      <w:r w:rsidR="00AA386F">
        <w:t>r</w:t>
      </w:r>
      <w:r>
        <w:t>esults</w:t>
      </w:r>
      <w:bookmarkEnd w:id="17"/>
    </w:p>
    <w:p w14:paraId="65E215F7" w14:textId="77777777" w:rsidR="004A1816" w:rsidRDefault="00166E22" w:rsidP="004A1816">
      <w:r>
        <w:t xml:space="preserve">The report of exploration results is expected to address the types of information set out below and be accompanied by additional technical details described in Table 1 of the JORC Code, with sections completed as appropriate for the </w:t>
      </w:r>
      <w:r w:rsidRPr="00166E22">
        <w:t>licence type and stage of the project</w:t>
      </w:r>
      <w:r>
        <w:t>.</w:t>
      </w:r>
    </w:p>
    <w:p w14:paraId="2D719B58" w14:textId="77777777" w:rsidR="00CB565C" w:rsidRPr="004A1816" w:rsidRDefault="00CB565C" w:rsidP="00CB565C">
      <w:pPr>
        <w:pStyle w:val="ListParagraph"/>
        <w:numPr>
          <w:ilvl w:val="0"/>
          <w:numId w:val="34"/>
        </w:numPr>
        <w:rPr>
          <w:rFonts w:ascii="Arial" w:hAnsi="Arial"/>
          <w:sz w:val="18"/>
          <w:szCs w:val="20"/>
          <w:lang w:eastAsia="en-US"/>
        </w:rPr>
      </w:pPr>
      <w:r w:rsidRPr="004A1816">
        <w:rPr>
          <w:rFonts w:ascii="Arial" w:hAnsi="Arial"/>
          <w:sz w:val="18"/>
          <w:szCs w:val="20"/>
          <w:lang w:eastAsia="en-US"/>
        </w:rPr>
        <w:t xml:space="preserve">the type of mineral or minerals; </w:t>
      </w:r>
    </w:p>
    <w:p w14:paraId="7A61470C" w14:textId="77777777" w:rsidR="00CB565C" w:rsidRPr="004A1816" w:rsidRDefault="00CB565C" w:rsidP="00CB565C">
      <w:pPr>
        <w:pStyle w:val="ListParagraph"/>
        <w:numPr>
          <w:ilvl w:val="0"/>
          <w:numId w:val="34"/>
        </w:numPr>
        <w:rPr>
          <w:rFonts w:ascii="Arial" w:hAnsi="Arial"/>
          <w:sz w:val="18"/>
          <w:szCs w:val="20"/>
          <w:lang w:eastAsia="en-US"/>
        </w:rPr>
      </w:pPr>
      <w:r w:rsidRPr="004A1816">
        <w:rPr>
          <w:rFonts w:ascii="Arial" w:hAnsi="Arial"/>
          <w:sz w:val="18"/>
          <w:szCs w:val="20"/>
          <w:lang w:eastAsia="en-US"/>
        </w:rPr>
        <w:t xml:space="preserve">the location, depth, quantity and extent of the mineral or minerals; </w:t>
      </w:r>
    </w:p>
    <w:p w14:paraId="00EF8D87" w14:textId="77777777" w:rsidR="00CB565C" w:rsidRPr="004A1816" w:rsidRDefault="00CB565C" w:rsidP="00CB565C">
      <w:pPr>
        <w:pStyle w:val="ListParagraph"/>
        <w:numPr>
          <w:ilvl w:val="0"/>
          <w:numId w:val="34"/>
        </w:numPr>
        <w:rPr>
          <w:rFonts w:ascii="Arial" w:hAnsi="Arial"/>
          <w:sz w:val="18"/>
          <w:szCs w:val="20"/>
          <w:lang w:eastAsia="en-US"/>
        </w:rPr>
      </w:pPr>
      <w:r w:rsidRPr="004A1816">
        <w:rPr>
          <w:rFonts w:ascii="Arial" w:hAnsi="Arial"/>
          <w:sz w:val="18"/>
          <w:szCs w:val="20"/>
          <w:lang w:eastAsia="en-US"/>
        </w:rPr>
        <w:t>the method by which that extent has been determined; and</w:t>
      </w:r>
    </w:p>
    <w:p w14:paraId="01151265" w14:textId="77777777" w:rsidR="00CB565C" w:rsidRPr="00AA386F" w:rsidRDefault="00CB565C" w:rsidP="004A1816">
      <w:pPr>
        <w:pStyle w:val="ListParagraph"/>
        <w:numPr>
          <w:ilvl w:val="0"/>
          <w:numId w:val="34"/>
        </w:numPr>
        <w:rPr>
          <w:rFonts w:ascii="Arial" w:hAnsi="Arial"/>
          <w:sz w:val="18"/>
          <w:szCs w:val="20"/>
          <w:lang w:eastAsia="en-US"/>
        </w:rPr>
      </w:pPr>
      <w:r w:rsidRPr="004A1816">
        <w:rPr>
          <w:rFonts w:ascii="Arial" w:hAnsi="Arial"/>
          <w:sz w:val="18"/>
          <w:szCs w:val="20"/>
          <w:lang w:eastAsia="en-US"/>
        </w:rPr>
        <w:t>analytical results obtained from samples of those minerals.</w:t>
      </w:r>
    </w:p>
    <w:p w14:paraId="206F4F76" w14:textId="77777777" w:rsidR="00166E22" w:rsidRDefault="00166E22" w:rsidP="004A1816">
      <w:r w:rsidRPr="00166E22">
        <w:t xml:space="preserve">It is essential that the </w:t>
      </w:r>
      <w:r w:rsidR="00F97B6E">
        <w:t>M</w:t>
      </w:r>
      <w:r w:rsidRPr="00166E22">
        <w:t xml:space="preserve">ineralisation </w:t>
      </w:r>
      <w:r w:rsidR="00F97B6E">
        <w:t>R</w:t>
      </w:r>
      <w:r w:rsidRPr="00166E22">
        <w:t xml:space="preserve">eport include recent geological sample information along with details about </w:t>
      </w:r>
      <w:r w:rsidR="00CE3384">
        <w:t>M</w:t>
      </w:r>
      <w:r w:rsidRPr="00166E22">
        <w:t xml:space="preserve">ineral </w:t>
      </w:r>
      <w:r w:rsidR="00CE3384">
        <w:t>R</w:t>
      </w:r>
      <w:r w:rsidRPr="00166E22">
        <w:t xml:space="preserve">esource estimation methods (as detailed in Table 1 of the JORC Code). It is expected that a report of exploration results be accompanied by suitable maps, cross-sections, long sections and representations of three-dimensional (geological or block) model/s that demonstrate the </w:t>
      </w:r>
      <w:r w:rsidR="0022454D">
        <w:t>M</w:t>
      </w:r>
      <w:r w:rsidRPr="00166E22">
        <w:t xml:space="preserve">ineral </w:t>
      </w:r>
      <w:r w:rsidR="0022454D">
        <w:t>R</w:t>
      </w:r>
      <w:r w:rsidRPr="00166E22">
        <w:t>esource.</w:t>
      </w:r>
    </w:p>
    <w:p w14:paraId="69482BA1" w14:textId="77777777" w:rsidR="001B1D30" w:rsidRDefault="00AA386F" w:rsidP="00AA386F">
      <w:pPr>
        <w:pStyle w:val="Heading2"/>
      </w:pPr>
      <w:bookmarkStart w:id="18" w:name="_Toc45549246"/>
      <w:r>
        <w:t>Assessing economic viability</w:t>
      </w:r>
      <w:bookmarkEnd w:id="18"/>
    </w:p>
    <w:p w14:paraId="10BEB52B" w14:textId="77777777" w:rsidR="00AA386F" w:rsidRDefault="00AA386F" w:rsidP="00AA386F">
      <w:r>
        <w:t xml:space="preserve">All </w:t>
      </w:r>
      <w:r w:rsidR="00CE3384">
        <w:t>M</w:t>
      </w:r>
      <w:r>
        <w:t xml:space="preserve">ineral </w:t>
      </w:r>
      <w:r w:rsidR="00CE3384">
        <w:t>R</w:t>
      </w:r>
      <w:r>
        <w:t>esources, regardless of their classification (as inferred, indicated or measured), must satisfy the requirement that the mineral “is or may be economically viable to mine”.</w:t>
      </w:r>
    </w:p>
    <w:p w14:paraId="7F38DD2D" w14:textId="77777777" w:rsidR="00AA386F" w:rsidRDefault="00AA386F" w:rsidP="00AA386F">
      <w:r>
        <w:t xml:space="preserve">In preparing a </w:t>
      </w:r>
      <w:r w:rsidR="0022454D">
        <w:t>M</w:t>
      </w:r>
      <w:r>
        <w:t xml:space="preserve">ineralisation </w:t>
      </w:r>
      <w:r w:rsidR="0022454D">
        <w:t>R</w:t>
      </w:r>
      <w:r>
        <w:t xml:space="preserve">eport, section 15(1BE)(b) requires the inclusion of an analysis of whether the exploration results indicate that there is a reasonable prospect that the mining of the described </w:t>
      </w:r>
      <w:r w:rsidR="0022454D">
        <w:t>M</w:t>
      </w:r>
      <w:r>
        <w:t xml:space="preserve">ineral </w:t>
      </w:r>
      <w:r w:rsidR="0022454D">
        <w:t>R</w:t>
      </w:r>
      <w:r>
        <w:t xml:space="preserve">esource will be economically viable. Consistent with the JORC Code, “reasonable prospect” of eventual economically viable mining is taken to mean more likely than not. In all cases, the considered timeframe for when mining is considered economically viable should be disclosed and discussed by the </w:t>
      </w:r>
      <w:r w:rsidR="00CE3384">
        <w:t>C</w:t>
      </w:r>
      <w:r>
        <w:t xml:space="preserve">ompetent </w:t>
      </w:r>
      <w:r w:rsidR="00CE3384">
        <w:t>P</w:t>
      </w:r>
      <w:r>
        <w:t xml:space="preserve">erson in the assessment component of the </w:t>
      </w:r>
      <w:r w:rsidR="00CE3384">
        <w:t>M</w:t>
      </w:r>
      <w:r>
        <w:t xml:space="preserve">ineralisation </w:t>
      </w:r>
      <w:r w:rsidR="00CE3384">
        <w:t>R</w:t>
      </w:r>
      <w:r>
        <w:t>eport.</w:t>
      </w:r>
    </w:p>
    <w:p w14:paraId="438A0E25" w14:textId="77777777" w:rsidR="00AA386F" w:rsidRDefault="00AA386F" w:rsidP="00AA386F">
      <w:r>
        <w:t xml:space="preserve">Economic viability is not a function of a firm’s financial capability. It is a function of the resource, commodity price and foreseeable cost of extraction. The economic viability will be applied as an objective test to a project, concept or plan and is distinguishable from a test of the licence applicant’s immediate financial capacity to progress a project. </w:t>
      </w:r>
    </w:p>
    <w:p w14:paraId="224D7297" w14:textId="77777777" w:rsidR="00AA386F" w:rsidRDefault="00AA386F" w:rsidP="00AA386F">
      <w:r>
        <w:t xml:space="preserve">Assessment of economic viability should be undertaken by a suitably qualified and experienced person on behalf of the applicant and will take into account normal industry approaches and standards applied by commodity and the general economic environment, including pricing and cost of capital. The assessment would normally be undertaken using </w:t>
      </w:r>
      <w:r w:rsidR="00CE3384">
        <w:t>P</w:t>
      </w:r>
      <w:r>
        <w:t>re-</w:t>
      </w:r>
      <w:r w:rsidR="00CE3384">
        <w:t>F</w:t>
      </w:r>
      <w:r>
        <w:t>easibility or other relevant studies.</w:t>
      </w:r>
    </w:p>
    <w:p w14:paraId="1031D9D5" w14:textId="77777777" w:rsidR="00AA386F" w:rsidRDefault="00AA386F" w:rsidP="00AA386F">
      <w:pPr>
        <w:pStyle w:val="Heading3"/>
      </w:pPr>
      <w:bookmarkStart w:id="19" w:name="_Toc45549247"/>
      <w:r>
        <w:t>Economic viability assessment for a retention licence</w:t>
      </w:r>
      <w:bookmarkEnd w:id="19"/>
    </w:p>
    <w:p w14:paraId="637E8516" w14:textId="77777777" w:rsidR="003A6D28" w:rsidRDefault="003A6D28" w:rsidP="003A6D28">
      <w:r>
        <w:t xml:space="preserve">A retention licence applicant must demonstrate that the </w:t>
      </w:r>
      <w:r w:rsidR="0022454D">
        <w:t>M</w:t>
      </w:r>
      <w:r>
        <w:t xml:space="preserve">ineral </w:t>
      </w:r>
      <w:r w:rsidR="0022454D">
        <w:t>R</w:t>
      </w:r>
      <w:r w:rsidR="00CE3384">
        <w:t>esource</w:t>
      </w:r>
      <w:r>
        <w:t xml:space="preserve"> is not currently economically viable to mine but that there is potential that the </w:t>
      </w:r>
      <w:r w:rsidR="00CE3384">
        <w:t>resource</w:t>
      </w:r>
      <w:r>
        <w:t xml:space="preserve"> may become economically viable to mine in the future: section 14C(1)(a)(i).</w:t>
      </w:r>
    </w:p>
    <w:p w14:paraId="07C48C7D" w14:textId="77777777" w:rsidR="003A6D28" w:rsidRDefault="003A6D28" w:rsidP="003A6D28">
      <w:r>
        <w:t xml:space="preserve">This can be done by providing an early stage conceptual potential economic assessment (equivalent to a Scoping Study or a Preliminary Economic Assessment) which should outline the further technical work that is needed to establish the future economic potential of the mineral resource. The economic assessment and further </w:t>
      </w:r>
      <w:r>
        <w:lastRenderedPageBreak/>
        <w:t xml:space="preserve">technical work must be prepared by a qualified person with relevant experience in </w:t>
      </w:r>
      <w:r w:rsidR="00CE3384">
        <w:t>M</w:t>
      </w:r>
      <w:r>
        <w:t xml:space="preserve">ineral </w:t>
      </w:r>
      <w:r w:rsidR="00CE3384">
        <w:t>R</w:t>
      </w:r>
      <w:r>
        <w:t xml:space="preserve">esource economic modelling. A summary of their relevant experience with respect to the economic assessment should be provided. </w:t>
      </w:r>
    </w:p>
    <w:p w14:paraId="1A4E55AE" w14:textId="77777777" w:rsidR="003A6D28" w:rsidRDefault="003A6D28" w:rsidP="003A6D28">
      <w:r>
        <w:t xml:space="preserve">A </w:t>
      </w:r>
      <w:r w:rsidR="00CE3384">
        <w:t>S</w:t>
      </w:r>
      <w:r>
        <w:t xml:space="preserve">coping or </w:t>
      </w:r>
      <w:r w:rsidR="00CE3384">
        <w:t>P</w:t>
      </w:r>
      <w:r>
        <w:t>re-</w:t>
      </w:r>
      <w:r w:rsidR="00CE3384">
        <w:t>F</w:t>
      </w:r>
      <w:r>
        <w:t>easibility study should have been completed to demonstrate a comprehensive understanding of the range of technical and economic factors or scenarios that need to be established to assess potential economic viability (see Clauses 38 and 39 of the JORC Code). A description and summary of the findings of the study should be provided with the application along with independent verification by a suitably qualified person that the study is reported in accordance with the JORC Code.</w:t>
      </w:r>
    </w:p>
    <w:p w14:paraId="4A39A583" w14:textId="77777777" w:rsidR="00AA386F" w:rsidRDefault="003A6D28" w:rsidP="003A6D28">
      <w:r>
        <w:t xml:space="preserve">A fully costed and timed </w:t>
      </w:r>
      <w:r w:rsidR="00D05AA1">
        <w:t>program of work</w:t>
      </w:r>
      <w:r>
        <w:t xml:space="preserve"> should be attached that details</w:t>
      </w:r>
      <w:r w:rsidR="00D05AA1">
        <w:t xml:space="preserve"> activities</w:t>
      </w:r>
      <w:r>
        <w:t xml:space="preserve"> that will be undertaken to establish economic viability during retention licence tenure. Additional matters for consideration may include the grade (quality), scale, depth, mining and mineral processing methods, and marketability of the mineral or product(s) derived from it.</w:t>
      </w:r>
    </w:p>
    <w:p w14:paraId="208F805D" w14:textId="77777777" w:rsidR="003A6D28" w:rsidRDefault="003A6D28" w:rsidP="003A6D28">
      <w:pPr>
        <w:pStyle w:val="Heading3"/>
      </w:pPr>
      <w:bookmarkStart w:id="20" w:name="_Toc45549248"/>
      <w:r>
        <w:t>Economic viability assessment for a mining licence</w:t>
      </w:r>
      <w:bookmarkEnd w:id="20"/>
    </w:p>
    <w:p w14:paraId="3C3C273C" w14:textId="77777777" w:rsidR="003A6D28" w:rsidRDefault="003A6D28" w:rsidP="003A6D28">
      <w:r w:rsidRPr="003A6D28">
        <w:t xml:space="preserve">A mining licence applicant must demonstrate that the mineral </w:t>
      </w:r>
      <w:r w:rsidR="008910DB">
        <w:t>resource</w:t>
      </w:r>
      <w:r w:rsidRPr="003A6D28">
        <w:t xml:space="preserve"> is currently economically viable to mine. This can be done by providing a comprehensive study of a range of options for the technical and economic viability of a </w:t>
      </w:r>
      <w:r w:rsidR="008910DB">
        <w:t>M</w:t>
      </w:r>
      <w:r w:rsidRPr="003A6D28">
        <w:t xml:space="preserve">ineral </w:t>
      </w:r>
      <w:r w:rsidR="008910DB">
        <w:t>R</w:t>
      </w:r>
      <w:r w:rsidRPr="003A6D28">
        <w:t xml:space="preserve">esource that advance </w:t>
      </w:r>
      <w:r>
        <w:t xml:space="preserve">to a stage where the preferred mining method and mineral processing routes have been determined or detailing the selected development option, equivalent to a </w:t>
      </w:r>
      <w:r w:rsidR="008910DB">
        <w:t>P</w:t>
      </w:r>
      <w:r>
        <w:t>re-</w:t>
      </w:r>
      <w:r w:rsidR="008910DB">
        <w:t>F</w:t>
      </w:r>
      <w:r>
        <w:t xml:space="preserve">easibility </w:t>
      </w:r>
      <w:r w:rsidR="008910DB">
        <w:t>S</w:t>
      </w:r>
      <w:r>
        <w:t xml:space="preserve">tudy or </w:t>
      </w:r>
      <w:r w:rsidR="008910DB">
        <w:t>F</w:t>
      </w:r>
      <w:r>
        <w:t xml:space="preserve">easibility </w:t>
      </w:r>
      <w:r w:rsidR="008910DB">
        <w:t>S</w:t>
      </w:r>
      <w:r>
        <w:t xml:space="preserve">tudy under clauses 39 and 40 respectively of the JORC Code. </w:t>
      </w:r>
    </w:p>
    <w:p w14:paraId="6AB9EC28" w14:textId="77777777" w:rsidR="003A6D28" w:rsidRDefault="003A6D28" w:rsidP="003A6D28">
      <w:r>
        <w:t xml:space="preserve">A description and summary of the findings of the study should be provided with the application along with independent verification by a suitably qualified person that the study is reported in accordance with the JORC Code. </w:t>
      </w:r>
    </w:p>
    <w:p w14:paraId="79A59FAE" w14:textId="77777777" w:rsidR="003A6D28" w:rsidRDefault="003A6D28" w:rsidP="003A6D28">
      <w:r>
        <w:t>Where such a study has not been undertaken, the applicant will should demonstrate a commitment to mining by detailing the formal decision to proceed to mining made by the applicant (e.g. company board decision) and any financing, contractual arrangements and approvals already in place.</w:t>
      </w:r>
    </w:p>
    <w:p w14:paraId="61EBDEA7" w14:textId="77777777" w:rsidR="003A6D28" w:rsidRDefault="003A6D28" w:rsidP="003A6D28">
      <w:pPr>
        <w:pStyle w:val="Heading3"/>
      </w:pPr>
      <w:bookmarkStart w:id="21" w:name="_Toc45549249"/>
      <w:r>
        <w:t>Economic viability of coal mining</w:t>
      </w:r>
      <w:bookmarkEnd w:id="21"/>
    </w:p>
    <w:p w14:paraId="30C9A408" w14:textId="77777777" w:rsidR="003A6D28" w:rsidRDefault="003A6D28" w:rsidP="003A6D28">
      <w:r>
        <w:t>A coal mining or retention licence application is considered through a different assessment approach as there is no explicit commodity price. Applicants applying for a coal mining or retention licence are expected to demonstrate that there is a market for coal.</w:t>
      </w:r>
    </w:p>
    <w:p w14:paraId="42A687F2" w14:textId="77777777" w:rsidR="003A6D28" w:rsidRDefault="003A6D28" w:rsidP="003A6D28">
      <w:r>
        <w:t>Information that demonstrates expected revenue, identification of likely markets or known demand for new uses of brown coal, factors likely to affect demand, a customer analysis, price and volume forecasts, any intended contract negotiations with potential customers, existing or in-principle purchase agreements, and information about any contracts already in place would inform the Minister’s view about the economic viability of coal mining.</w:t>
      </w:r>
    </w:p>
    <w:p w14:paraId="09BA1BDE" w14:textId="77777777" w:rsidR="003A6D28" w:rsidRPr="003A6D28" w:rsidRDefault="003A6D28" w:rsidP="003A6D28">
      <w:r>
        <w:t>Depending on the size of the operation and material relevance of information relative to costs and analysis of expected revenue, the Minister may request more information to properly assess economic viability.</w:t>
      </w:r>
    </w:p>
    <w:p w14:paraId="43CBDC07" w14:textId="77777777" w:rsidR="003A6D28" w:rsidRDefault="003A6D28" w:rsidP="003A6D28">
      <w:pPr>
        <w:pStyle w:val="Heading2"/>
      </w:pPr>
      <w:bookmarkStart w:id="22" w:name="_Toc45549250"/>
      <w:r>
        <w:t>Further information</w:t>
      </w:r>
      <w:bookmarkEnd w:id="22"/>
    </w:p>
    <w:p w14:paraId="7EC4E436" w14:textId="77777777" w:rsidR="003A6D28" w:rsidRDefault="003A6D28" w:rsidP="003A6D28">
      <w:r>
        <w:t>Inquiries about applications for mining or retention licences are handled by the Earth Resources Information Centre, whose contact details are:</w:t>
      </w:r>
    </w:p>
    <w:p w14:paraId="6273EC7E" w14:textId="77777777" w:rsidR="003A6D28" w:rsidRPr="003A6D28" w:rsidRDefault="003A6D28" w:rsidP="003A6D28">
      <w:pPr>
        <w:ind w:left="720"/>
        <w:contextualSpacing/>
        <w:rPr>
          <w:rStyle w:val="Strong"/>
        </w:rPr>
      </w:pPr>
      <w:r w:rsidRPr="003A6D28">
        <w:rPr>
          <w:rStyle w:val="Strong"/>
        </w:rPr>
        <w:t>Street Address:</w:t>
      </w:r>
    </w:p>
    <w:p w14:paraId="144487CD" w14:textId="77777777" w:rsidR="003A6D28" w:rsidRDefault="003A6D28" w:rsidP="003A6D28">
      <w:pPr>
        <w:ind w:left="720"/>
        <w:contextualSpacing/>
      </w:pPr>
      <w:r>
        <w:t>Earth Resources Information Centre</w:t>
      </w:r>
    </w:p>
    <w:p w14:paraId="241A77C6" w14:textId="77777777" w:rsidR="003A6D28" w:rsidRDefault="003A6D28" w:rsidP="003A6D28">
      <w:pPr>
        <w:ind w:left="720"/>
        <w:contextualSpacing/>
      </w:pPr>
      <w:r>
        <w:t>Level 15, 1 Spring Street, Melbourne, 3000</w:t>
      </w:r>
    </w:p>
    <w:p w14:paraId="2671B887" w14:textId="77777777" w:rsidR="003A6D28" w:rsidRDefault="003A6D28" w:rsidP="003A6D28">
      <w:pPr>
        <w:ind w:left="720"/>
        <w:contextualSpacing/>
      </w:pPr>
    </w:p>
    <w:p w14:paraId="73C0E576" w14:textId="77777777" w:rsidR="003A6D28" w:rsidRPr="003A6D28" w:rsidRDefault="003A6D28" w:rsidP="003A6D28">
      <w:pPr>
        <w:ind w:left="720"/>
        <w:contextualSpacing/>
        <w:rPr>
          <w:rStyle w:val="Strong"/>
        </w:rPr>
      </w:pPr>
      <w:r w:rsidRPr="003A6D28">
        <w:rPr>
          <w:rStyle w:val="Strong"/>
        </w:rPr>
        <w:t xml:space="preserve">Telephone: </w:t>
      </w:r>
    </w:p>
    <w:p w14:paraId="4A2FD894" w14:textId="77777777" w:rsidR="003A6D28" w:rsidRDefault="003A6D28" w:rsidP="003A6D28">
      <w:pPr>
        <w:ind w:left="720"/>
        <w:contextualSpacing/>
      </w:pPr>
      <w:r>
        <w:t>1300 366 356</w:t>
      </w:r>
    </w:p>
    <w:p w14:paraId="28947138" w14:textId="77777777" w:rsidR="003A6D28" w:rsidRDefault="003A6D28" w:rsidP="003A6D28">
      <w:pPr>
        <w:ind w:left="720"/>
        <w:contextualSpacing/>
      </w:pPr>
      <w:r>
        <w:t>Opening hours: Monday to Friday 9:00am to 4:30pm (excluding public holidays)</w:t>
      </w:r>
    </w:p>
    <w:p w14:paraId="61C847CF" w14:textId="77777777" w:rsidR="003A6D28" w:rsidRDefault="003A6D28" w:rsidP="003A6D28">
      <w:pPr>
        <w:ind w:left="720"/>
        <w:contextualSpacing/>
      </w:pPr>
    </w:p>
    <w:p w14:paraId="5B77C190" w14:textId="77777777" w:rsidR="003A6D28" w:rsidRPr="003A6D28" w:rsidRDefault="003A6D28" w:rsidP="003A6D28">
      <w:pPr>
        <w:ind w:left="720"/>
        <w:contextualSpacing/>
        <w:rPr>
          <w:rStyle w:val="Strong"/>
        </w:rPr>
      </w:pPr>
      <w:r w:rsidRPr="003A6D28">
        <w:rPr>
          <w:rStyle w:val="Strong"/>
        </w:rPr>
        <w:t>Postal address:</w:t>
      </w:r>
    </w:p>
    <w:p w14:paraId="1C49AAB3" w14:textId="77777777" w:rsidR="003A6D28" w:rsidRDefault="003A6D28" w:rsidP="003A6D28">
      <w:pPr>
        <w:ind w:left="720"/>
        <w:contextualSpacing/>
      </w:pPr>
      <w:r>
        <w:t>Earth Resources Information Centre</w:t>
      </w:r>
    </w:p>
    <w:p w14:paraId="51265265" w14:textId="7C271E8D" w:rsidR="003A6D28" w:rsidRDefault="003A6D28" w:rsidP="003A6D28">
      <w:pPr>
        <w:ind w:left="720"/>
        <w:contextualSpacing/>
      </w:pPr>
      <w:r>
        <w:t xml:space="preserve">GPO Box </w:t>
      </w:r>
      <w:r w:rsidR="00F47AD1">
        <w:t>4509</w:t>
      </w:r>
      <w:bookmarkStart w:id="23" w:name="_GoBack"/>
      <w:bookmarkEnd w:id="23"/>
    </w:p>
    <w:p w14:paraId="4633BD77" w14:textId="77777777" w:rsidR="003A6D28" w:rsidRDefault="003A6D28" w:rsidP="003A6D28">
      <w:pPr>
        <w:ind w:left="720"/>
      </w:pPr>
      <w:r>
        <w:t>Melbourne VIC 3001</w:t>
      </w:r>
    </w:p>
    <w:p w14:paraId="49F850BA" w14:textId="77777777" w:rsidR="004371F6" w:rsidRPr="003A6D28" w:rsidRDefault="004371F6" w:rsidP="003A6D28">
      <w:r>
        <w:br w:type="page"/>
      </w:r>
    </w:p>
    <w:p w14:paraId="563DC8E2" w14:textId="344E713C" w:rsidR="004371F6" w:rsidRDefault="000B2B51" w:rsidP="00B31598">
      <w:pPr>
        <w:pStyle w:val="Heading1"/>
        <w:ind w:left="431" w:hanging="431"/>
      </w:pPr>
      <w:bookmarkStart w:id="24" w:name="_Toc315765098"/>
      <w:bookmarkStart w:id="25" w:name="_Toc45549251"/>
      <w:r>
        <w:lastRenderedPageBreak/>
        <w:t>Appen</w:t>
      </w:r>
      <w:r w:rsidRPr="00AB1D65">
        <w:t>di</w:t>
      </w:r>
      <w:r>
        <w:t>x 1: Glossary and abbreviations</w:t>
      </w:r>
      <w:bookmarkEnd w:id="11"/>
      <w:bookmarkEnd w:id="24"/>
      <w:bookmarkEnd w:id="25"/>
    </w:p>
    <w:p w14:paraId="1B5073B9" w14:textId="77777777" w:rsidR="00BD670D" w:rsidRPr="00BE6965" w:rsidRDefault="00BD670D" w:rsidP="00BD670D">
      <w:r w:rsidRPr="00BE6965">
        <w:t xml:space="preserve">Legislative references in the </w:t>
      </w:r>
      <w:r>
        <w:t>‘</w:t>
      </w:r>
      <w:r w:rsidRPr="00BE6965">
        <w:t>Source</w:t>
      </w:r>
      <w:r>
        <w:t>’</w:t>
      </w:r>
      <w:r w:rsidRPr="00BE6965">
        <w:t xml:space="preserve"> column</w:t>
      </w:r>
      <w:r>
        <w:t xml:space="preserve"> below</w:t>
      </w:r>
      <w:r w:rsidRPr="00BE6965">
        <w:t xml:space="preserve"> relate to the </w:t>
      </w:r>
      <w:r>
        <w:t>Act</w:t>
      </w:r>
      <w:r w:rsidRPr="00BE6965">
        <w:t xml:space="preserve"> and the Regulations.</w:t>
      </w:r>
    </w:p>
    <w:tbl>
      <w:tblPr>
        <w:tblStyle w:val="GridTable4-Accent1"/>
        <w:tblW w:w="0" w:type="auto"/>
        <w:tblLayout w:type="fixed"/>
        <w:tblLook w:val="04A0" w:firstRow="1" w:lastRow="0" w:firstColumn="1" w:lastColumn="0" w:noHBand="0" w:noVBand="1"/>
      </w:tblPr>
      <w:tblGrid>
        <w:gridCol w:w="1668"/>
        <w:gridCol w:w="5103"/>
        <w:gridCol w:w="2471"/>
      </w:tblGrid>
      <w:tr w:rsidR="00BC78CD" w:rsidRPr="00BC78CD" w14:paraId="280D92BD" w14:textId="77777777" w:rsidTr="00B3159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668" w:type="dxa"/>
          </w:tcPr>
          <w:p w14:paraId="78745014" w14:textId="77777777" w:rsidR="00BC78CD" w:rsidRPr="00BC78CD" w:rsidRDefault="00BC78CD" w:rsidP="00A66D9A">
            <w:pPr>
              <w:spacing w:before="0"/>
              <w:rPr>
                <w:rFonts w:asciiTheme="minorHAnsi" w:eastAsiaTheme="minorHAnsi" w:hAnsiTheme="minorHAnsi" w:cstheme="minorHAnsi"/>
                <w:color w:val="F2F2F2" w:themeColor="background1" w:themeShade="F2"/>
                <w:szCs w:val="18"/>
                <w:lang w:val="en"/>
              </w:rPr>
            </w:pPr>
            <w:bookmarkStart w:id="26" w:name="_Hlk19613323"/>
            <w:r w:rsidRPr="00BC78CD">
              <w:rPr>
                <w:rFonts w:asciiTheme="minorHAnsi" w:eastAsiaTheme="minorHAnsi" w:hAnsiTheme="minorHAnsi" w:cstheme="minorHAnsi"/>
                <w:color w:val="F2F2F2" w:themeColor="background1" w:themeShade="F2"/>
                <w:szCs w:val="18"/>
                <w:lang w:val="en"/>
              </w:rPr>
              <w:t>Term or Abbreviation</w:t>
            </w:r>
          </w:p>
        </w:tc>
        <w:tc>
          <w:tcPr>
            <w:tcW w:w="5103" w:type="dxa"/>
            <w:vAlign w:val="center"/>
          </w:tcPr>
          <w:p w14:paraId="2131013C" w14:textId="77777777" w:rsidR="00BC78CD" w:rsidRPr="00BC78CD" w:rsidRDefault="00BC78CD" w:rsidP="00A66D9A">
            <w:pPr>
              <w:spacing w:before="0"/>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F2F2F2" w:themeColor="background1" w:themeShade="F2"/>
                <w:szCs w:val="18"/>
                <w:lang w:val="en"/>
              </w:rPr>
            </w:pPr>
            <w:r w:rsidRPr="00BC78CD">
              <w:rPr>
                <w:rFonts w:asciiTheme="minorHAnsi" w:eastAsiaTheme="minorHAnsi" w:hAnsiTheme="minorHAnsi" w:cstheme="minorHAnsi"/>
                <w:color w:val="F2F2F2" w:themeColor="background1" w:themeShade="F2"/>
                <w:szCs w:val="18"/>
                <w:lang w:val="en"/>
              </w:rPr>
              <w:t>Meaning</w:t>
            </w:r>
          </w:p>
        </w:tc>
        <w:tc>
          <w:tcPr>
            <w:tcW w:w="2471" w:type="dxa"/>
            <w:vAlign w:val="center"/>
          </w:tcPr>
          <w:p w14:paraId="700918E9" w14:textId="77777777" w:rsidR="00BC78CD" w:rsidRPr="00BC78CD" w:rsidRDefault="00BC78CD" w:rsidP="00A66D9A">
            <w:pPr>
              <w:spacing w:before="0"/>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F2F2F2" w:themeColor="background1" w:themeShade="F2"/>
                <w:szCs w:val="18"/>
                <w:lang w:val="en"/>
              </w:rPr>
            </w:pPr>
            <w:r w:rsidRPr="00BC78CD">
              <w:rPr>
                <w:rFonts w:asciiTheme="minorHAnsi" w:eastAsiaTheme="minorHAnsi" w:hAnsiTheme="minorHAnsi" w:cstheme="minorHAnsi"/>
                <w:color w:val="F2F2F2" w:themeColor="background1" w:themeShade="F2"/>
                <w:szCs w:val="18"/>
                <w:lang w:val="en"/>
              </w:rPr>
              <w:t>Source</w:t>
            </w:r>
          </w:p>
        </w:tc>
      </w:tr>
      <w:tr w:rsidR="00BC78CD" w:rsidRPr="00BC78CD" w14:paraId="174F99D4" w14:textId="77777777" w:rsidTr="00B31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Pr>
          <w:p w14:paraId="2BC32C4F"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Competent Person</w:t>
            </w:r>
          </w:p>
        </w:tc>
        <w:tc>
          <w:tcPr>
            <w:tcW w:w="5103" w:type="dxa"/>
          </w:tcPr>
          <w:p w14:paraId="7987AFC2" w14:textId="77777777" w:rsidR="00BC78CD" w:rsidRPr="00BC78CD" w:rsidRDefault="00BC78CD" w:rsidP="00A66D9A">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 xml:space="preserve">Section 15(1BG) provides that, for the purposes of s 15(1BE), a </w:t>
            </w:r>
            <w:r w:rsidRPr="00BC78CD">
              <w:rPr>
                <w:rFonts w:asciiTheme="minorHAnsi" w:eastAsiaTheme="minorHAnsi" w:hAnsiTheme="minorHAnsi" w:cstheme="minorHAnsi"/>
                <w:b/>
                <w:szCs w:val="18"/>
                <w:lang w:val="en"/>
              </w:rPr>
              <w:t>competent person</w:t>
            </w:r>
            <w:r w:rsidRPr="00BC78CD">
              <w:rPr>
                <w:rFonts w:asciiTheme="minorHAnsi" w:eastAsiaTheme="minorHAnsi" w:hAnsiTheme="minorHAnsi" w:cstheme="minorHAnsi"/>
                <w:szCs w:val="18"/>
                <w:lang w:val="en"/>
              </w:rPr>
              <w:t xml:space="preserve"> means a person prescribed in the Regulations. </w:t>
            </w:r>
          </w:p>
          <w:p w14:paraId="656E963E" w14:textId="77777777" w:rsidR="00BC78CD" w:rsidRPr="00BC78CD" w:rsidRDefault="00BC78CD" w:rsidP="00A66D9A">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Regulation 1</w:t>
            </w:r>
            <w:r w:rsidR="009B2305">
              <w:rPr>
                <w:rFonts w:asciiTheme="minorHAnsi" w:eastAsiaTheme="minorHAnsi" w:hAnsiTheme="minorHAnsi" w:cstheme="minorHAnsi"/>
                <w:szCs w:val="18"/>
                <w:lang w:val="en"/>
              </w:rPr>
              <w:t>2</w:t>
            </w:r>
            <w:r w:rsidRPr="00BC78CD">
              <w:rPr>
                <w:rFonts w:asciiTheme="minorHAnsi" w:eastAsiaTheme="minorHAnsi" w:hAnsiTheme="minorHAnsi" w:cstheme="minorHAnsi"/>
                <w:szCs w:val="18"/>
                <w:lang w:val="en"/>
              </w:rPr>
              <w:t xml:space="preserve"> sets out </w:t>
            </w:r>
            <w:r w:rsidR="00B75356">
              <w:rPr>
                <w:rFonts w:asciiTheme="minorHAnsi" w:eastAsiaTheme="minorHAnsi" w:hAnsiTheme="minorHAnsi" w:cstheme="minorHAnsi"/>
                <w:szCs w:val="18"/>
                <w:lang w:val="en"/>
              </w:rPr>
              <w:t>a person is a</w:t>
            </w:r>
            <w:r w:rsidRPr="00BC78CD">
              <w:rPr>
                <w:rFonts w:asciiTheme="minorHAnsi" w:eastAsiaTheme="minorHAnsi" w:hAnsiTheme="minorHAnsi" w:cstheme="minorHAnsi"/>
                <w:szCs w:val="18"/>
                <w:lang w:val="en"/>
              </w:rPr>
              <w:t xml:space="preserve"> </w:t>
            </w:r>
            <w:r w:rsidRPr="00BC78CD">
              <w:rPr>
                <w:rFonts w:asciiTheme="minorHAnsi" w:eastAsiaTheme="minorHAnsi" w:hAnsiTheme="minorHAnsi" w:cstheme="minorHAnsi"/>
                <w:b/>
                <w:szCs w:val="18"/>
                <w:lang w:val="en"/>
              </w:rPr>
              <w:t>competent person</w:t>
            </w:r>
            <w:r w:rsidRPr="00BC78CD">
              <w:rPr>
                <w:rFonts w:asciiTheme="minorHAnsi" w:eastAsiaTheme="minorHAnsi" w:hAnsiTheme="minorHAnsi" w:cstheme="minorHAnsi"/>
                <w:szCs w:val="18"/>
                <w:lang w:val="en"/>
              </w:rPr>
              <w:t xml:space="preserve"> </w:t>
            </w:r>
            <w:r w:rsidR="00043CE8">
              <w:rPr>
                <w:rFonts w:asciiTheme="minorHAnsi" w:eastAsiaTheme="minorHAnsi" w:hAnsiTheme="minorHAnsi" w:cstheme="minorHAnsi"/>
                <w:szCs w:val="18"/>
                <w:lang w:val="en"/>
              </w:rPr>
              <w:t>to prepare a mineralisation report if</w:t>
            </w:r>
          </w:p>
          <w:p w14:paraId="5E86B099" w14:textId="77777777" w:rsidR="00043CE8" w:rsidRDefault="00BC78CD" w:rsidP="00A66D9A">
            <w:pPr>
              <w:pStyle w:val="ListParagraph"/>
              <w:ind w:left="283" w:hanging="28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 xml:space="preserve">(a) </w:t>
            </w:r>
            <w:r w:rsidR="00043CE8">
              <w:rPr>
                <w:rFonts w:asciiTheme="minorHAnsi" w:eastAsiaTheme="minorHAnsi" w:hAnsiTheme="minorHAnsi" w:cstheme="minorHAnsi"/>
                <w:sz w:val="18"/>
                <w:szCs w:val="18"/>
                <w:lang w:val="en"/>
              </w:rPr>
              <w:t>the person has -</w:t>
            </w:r>
          </w:p>
          <w:p w14:paraId="7031C2E2" w14:textId="77777777" w:rsidR="00BC78CD" w:rsidRDefault="00043CE8" w:rsidP="00043CE8">
            <w:pPr>
              <w:pStyle w:val="ListParagraph"/>
              <w:ind w:left="566" w:hanging="28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8"/>
                <w:szCs w:val="18"/>
                <w:lang w:val="en"/>
              </w:rPr>
            </w:pPr>
            <w:r>
              <w:rPr>
                <w:rFonts w:asciiTheme="minorHAnsi" w:eastAsiaTheme="minorHAnsi" w:hAnsiTheme="minorHAnsi" w:cstheme="minorHAnsi"/>
                <w:sz w:val="18"/>
                <w:szCs w:val="18"/>
                <w:lang w:val="en"/>
              </w:rPr>
              <w:t>(i) membership of an organisation approved by the Department Head that is of a class approved by the Department Head</w:t>
            </w:r>
            <w:r w:rsidR="00BC78CD" w:rsidRPr="00BC78CD">
              <w:rPr>
                <w:rFonts w:asciiTheme="minorHAnsi" w:eastAsiaTheme="minorHAnsi" w:hAnsiTheme="minorHAnsi" w:cstheme="minorHAnsi"/>
                <w:sz w:val="18"/>
                <w:szCs w:val="18"/>
                <w:lang w:val="en"/>
              </w:rPr>
              <w:t>; or</w:t>
            </w:r>
          </w:p>
          <w:p w14:paraId="400E481F" w14:textId="77777777" w:rsidR="00043CE8" w:rsidRPr="00BC78CD" w:rsidRDefault="00043CE8" w:rsidP="00043CE8">
            <w:pPr>
              <w:pStyle w:val="ListParagraph"/>
              <w:ind w:left="566" w:hanging="28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8"/>
                <w:szCs w:val="18"/>
                <w:lang w:val="en"/>
              </w:rPr>
            </w:pPr>
            <w:r>
              <w:rPr>
                <w:rFonts w:asciiTheme="minorHAnsi" w:eastAsiaTheme="minorHAnsi" w:hAnsiTheme="minorHAnsi" w:cstheme="minorHAnsi"/>
                <w:sz w:val="18"/>
                <w:szCs w:val="18"/>
                <w:lang w:val="en"/>
              </w:rPr>
              <w:t>(ii) a minimum of 5 years’ experience which is relevant to the style of mineralisation or type of deposit and to the activity that is the subject of the reports; or</w:t>
            </w:r>
          </w:p>
          <w:p w14:paraId="7EF19603" w14:textId="77777777" w:rsidR="00BC78CD" w:rsidRPr="00BC78CD" w:rsidRDefault="00BC78CD" w:rsidP="00A66D9A">
            <w:pPr>
              <w:pStyle w:val="ListParagraph"/>
              <w:ind w:left="283" w:hanging="28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 xml:space="preserve">(b) in the case of a mineral deposit that is easily and readily assessed visually at the ground surface—the Minister has determined, on a case-by-case basis, </w:t>
            </w:r>
            <w:r w:rsidR="00043CE8">
              <w:rPr>
                <w:rFonts w:asciiTheme="minorHAnsi" w:eastAsiaTheme="minorHAnsi" w:hAnsiTheme="minorHAnsi" w:cstheme="minorHAnsi"/>
                <w:sz w:val="18"/>
                <w:szCs w:val="18"/>
                <w:lang w:val="en"/>
              </w:rPr>
              <w:t xml:space="preserve">that the person </w:t>
            </w:r>
            <w:r w:rsidRPr="00BC78CD">
              <w:rPr>
                <w:rFonts w:asciiTheme="minorHAnsi" w:eastAsiaTheme="minorHAnsi" w:hAnsiTheme="minorHAnsi" w:cstheme="minorHAnsi"/>
                <w:sz w:val="18"/>
                <w:szCs w:val="18"/>
                <w:lang w:val="en"/>
              </w:rPr>
              <w:t xml:space="preserve">has the relevant experience in mining or mineral exploration appropriate to </w:t>
            </w:r>
            <w:r w:rsidR="00043CE8">
              <w:rPr>
                <w:rFonts w:asciiTheme="minorHAnsi" w:eastAsiaTheme="minorHAnsi" w:hAnsiTheme="minorHAnsi" w:cstheme="minorHAnsi"/>
                <w:sz w:val="18"/>
                <w:szCs w:val="18"/>
                <w:lang w:val="en"/>
              </w:rPr>
              <w:t>prepare the report</w:t>
            </w:r>
            <w:r w:rsidRPr="00BC78CD">
              <w:rPr>
                <w:rFonts w:asciiTheme="minorHAnsi" w:eastAsiaTheme="minorHAnsi" w:hAnsiTheme="minorHAnsi" w:cstheme="minorHAnsi"/>
                <w:sz w:val="18"/>
                <w:szCs w:val="18"/>
                <w:lang w:val="en"/>
              </w:rPr>
              <w:t>.</w:t>
            </w:r>
          </w:p>
          <w:p w14:paraId="1514FF9B" w14:textId="77777777" w:rsidR="00BC78CD" w:rsidRPr="00BC78CD" w:rsidRDefault="00D32416" w:rsidP="00D32416">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Pr>
                <w:rFonts w:asciiTheme="minorHAnsi" w:eastAsiaTheme="minorHAnsi" w:hAnsiTheme="minorHAnsi" w:cstheme="minorHAnsi"/>
                <w:szCs w:val="18"/>
                <w:lang w:val="en"/>
              </w:rPr>
              <w:t>For</w:t>
            </w:r>
            <w:r w:rsidR="00BC78CD" w:rsidRPr="00BC78CD">
              <w:rPr>
                <w:rFonts w:asciiTheme="minorHAnsi" w:eastAsiaTheme="minorHAnsi" w:hAnsiTheme="minorHAnsi" w:cstheme="minorHAnsi"/>
                <w:szCs w:val="18"/>
                <w:lang w:val="en"/>
              </w:rPr>
              <w:t xml:space="preserve"> this regulation,</w:t>
            </w:r>
            <w:r w:rsidR="00BC78CD" w:rsidRPr="00D32416">
              <w:rPr>
                <w:rFonts w:asciiTheme="minorHAnsi" w:eastAsiaTheme="minorHAnsi" w:hAnsiTheme="minorHAnsi" w:cstheme="minorHAnsi"/>
                <w:szCs w:val="18"/>
                <w:lang w:val="en"/>
              </w:rPr>
              <w:t xml:space="preserve"> </w:t>
            </w:r>
            <w:r w:rsidRPr="00D32416">
              <w:rPr>
                <w:rFonts w:asciiTheme="minorHAnsi" w:eastAsiaTheme="minorHAnsi" w:hAnsiTheme="minorHAnsi" w:cstheme="minorHAnsi"/>
                <w:szCs w:val="18"/>
                <w:lang w:val="en"/>
              </w:rPr>
              <w:t>the Department Head has issued a list of approved organisations and membership classes in the Victorian Government Gazette.</w:t>
            </w:r>
          </w:p>
        </w:tc>
        <w:tc>
          <w:tcPr>
            <w:tcW w:w="2471" w:type="dxa"/>
          </w:tcPr>
          <w:p w14:paraId="619EA35D" w14:textId="77777777" w:rsidR="00BC78CD" w:rsidRPr="00BC78CD" w:rsidRDefault="00BC78CD"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s 15(1BG) and reg 1</w:t>
            </w:r>
            <w:r w:rsidR="00ED4BB4">
              <w:rPr>
                <w:rFonts w:asciiTheme="minorHAnsi" w:eastAsiaTheme="minorHAnsi" w:hAnsiTheme="minorHAnsi" w:cstheme="minorHAnsi"/>
                <w:szCs w:val="18"/>
                <w:lang w:val="en"/>
              </w:rPr>
              <w:t>2</w:t>
            </w:r>
          </w:p>
          <w:p w14:paraId="1DEE209F" w14:textId="77777777" w:rsidR="00BC78CD" w:rsidRPr="00BC78CD" w:rsidRDefault="00F47AD1"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hyperlink r:id="rId22" w:history="1">
              <w:r w:rsidR="00BC78CD" w:rsidRPr="00BC78CD">
                <w:rPr>
                  <w:rStyle w:val="Hyperlink"/>
                  <w:rFonts w:asciiTheme="minorHAnsi" w:eastAsiaTheme="minorHAnsi" w:hAnsiTheme="minorHAnsi" w:cstheme="minorHAnsi"/>
                  <w:szCs w:val="18"/>
                  <w:lang w:val="en"/>
                </w:rPr>
                <w:t>www.jorc.org</w:t>
              </w:r>
            </w:hyperlink>
          </w:p>
          <w:p w14:paraId="53663493" w14:textId="77777777" w:rsidR="00BC78CD" w:rsidRPr="00BC78CD" w:rsidRDefault="00F47AD1" w:rsidP="00A66D9A">
            <w:pPr>
              <w:spacing w:before="0"/>
              <w:jc w:val="both"/>
              <w:cnfStyle w:val="000000100000" w:firstRow="0" w:lastRow="0" w:firstColumn="0" w:lastColumn="0" w:oddVBand="0" w:evenVBand="0" w:oddHBand="1" w:evenHBand="0" w:firstRowFirstColumn="0" w:firstRowLastColumn="0" w:lastRowFirstColumn="0" w:lastRowLastColumn="0"/>
              <w:rPr>
                <w:rStyle w:val="Hyperlink"/>
                <w:rFonts w:asciiTheme="minorHAnsi" w:eastAsiaTheme="minorHAnsi" w:hAnsiTheme="minorHAnsi" w:cstheme="minorHAnsi"/>
                <w:szCs w:val="18"/>
                <w:lang w:val="en"/>
              </w:rPr>
            </w:pPr>
            <w:hyperlink r:id="rId23" w:history="1">
              <w:r w:rsidR="00BC78CD" w:rsidRPr="00BC78CD">
                <w:rPr>
                  <w:rStyle w:val="Hyperlink"/>
                  <w:rFonts w:asciiTheme="minorHAnsi" w:eastAsiaTheme="minorHAnsi" w:hAnsiTheme="minorHAnsi" w:cstheme="minorHAnsi"/>
                  <w:szCs w:val="18"/>
                  <w:lang w:val="en"/>
                </w:rPr>
                <w:t>www.asx.com.au</w:t>
              </w:r>
            </w:hyperlink>
          </w:p>
          <w:p w14:paraId="12FBC9D1" w14:textId="77777777" w:rsidR="00BC78CD" w:rsidRPr="00BC78CD" w:rsidRDefault="00BC78CD" w:rsidP="00A66D9A">
            <w:pPr>
              <w:spacing w:before="0"/>
              <w:jc w:val="both"/>
              <w:cnfStyle w:val="000000100000" w:firstRow="0" w:lastRow="0" w:firstColumn="0" w:lastColumn="0" w:oddVBand="0" w:evenVBand="0" w:oddHBand="1" w:evenHBand="0" w:firstRowFirstColumn="0" w:firstRowLastColumn="0" w:lastRowFirstColumn="0" w:lastRowLastColumn="0"/>
              <w:rPr>
                <w:rStyle w:val="Hyperlink"/>
                <w:rFonts w:asciiTheme="minorHAnsi" w:eastAsiaTheme="minorHAnsi" w:hAnsiTheme="minorHAnsi" w:cstheme="minorHAnsi"/>
                <w:szCs w:val="18"/>
                <w:lang w:val="en"/>
              </w:rPr>
            </w:pPr>
          </w:p>
          <w:p w14:paraId="607A054E" w14:textId="77777777" w:rsidR="00BC78CD" w:rsidRDefault="00D32416" w:rsidP="00D32416">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Pr>
                <w:rFonts w:asciiTheme="minorHAnsi" w:eastAsiaTheme="minorHAnsi" w:hAnsiTheme="minorHAnsi" w:cstheme="minorHAnsi"/>
                <w:szCs w:val="18"/>
                <w:lang w:val="en"/>
              </w:rPr>
              <w:t>List of approved organisation</w:t>
            </w:r>
            <w:r w:rsidR="00D05AA1">
              <w:rPr>
                <w:rFonts w:asciiTheme="minorHAnsi" w:eastAsiaTheme="minorHAnsi" w:hAnsiTheme="minorHAnsi" w:cstheme="minorHAnsi"/>
                <w:szCs w:val="18"/>
                <w:lang w:val="en"/>
              </w:rPr>
              <w:t>s</w:t>
            </w:r>
            <w:r>
              <w:rPr>
                <w:rFonts w:asciiTheme="minorHAnsi" w:eastAsiaTheme="minorHAnsi" w:hAnsiTheme="minorHAnsi" w:cstheme="minorHAnsi"/>
                <w:szCs w:val="18"/>
                <w:lang w:val="en"/>
              </w:rPr>
              <w:t xml:space="preserve"> and membership classes</w:t>
            </w:r>
            <w:r w:rsidR="00D05AA1">
              <w:rPr>
                <w:rFonts w:asciiTheme="minorHAnsi" w:eastAsiaTheme="minorHAnsi" w:hAnsiTheme="minorHAnsi" w:cstheme="minorHAnsi"/>
                <w:szCs w:val="18"/>
                <w:lang w:val="en"/>
              </w:rPr>
              <w:t xml:space="preserve"> for the purpose of reg 12(1)</w:t>
            </w:r>
            <w:r>
              <w:rPr>
                <w:rFonts w:asciiTheme="minorHAnsi" w:eastAsiaTheme="minorHAnsi" w:hAnsiTheme="minorHAnsi" w:cstheme="minorHAnsi"/>
                <w:szCs w:val="18"/>
                <w:lang w:val="en"/>
              </w:rPr>
              <w:t xml:space="preserve">: </w:t>
            </w:r>
            <w:hyperlink r:id="rId24" w:anchor="page=24" w:history="1">
              <w:r w:rsidRPr="00521007">
                <w:rPr>
                  <w:rStyle w:val="Hyperlink"/>
                  <w:rFonts w:asciiTheme="minorHAnsi" w:eastAsiaTheme="minorHAnsi" w:hAnsiTheme="minorHAnsi" w:cstheme="minorHAnsi"/>
                  <w:szCs w:val="18"/>
                  <w:lang w:val="en"/>
                </w:rPr>
                <w:t>http://www.gazette.vic.gov.au/gazette/Gazettes2019/GG2019G028.pdf#page=24</w:t>
              </w:r>
            </w:hyperlink>
            <w:r>
              <w:rPr>
                <w:rFonts w:asciiTheme="minorHAnsi" w:eastAsiaTheme="minorHAnsi" w:hAnsiTheme="minorHAnsi" w:cstheme="minorHAnsi"/>
                <w:szCs w:val="18"/>
                <w:lang w:val="en"/>
              </w:rPr>
              <w:t xml:space="preserve"> </w:t>
            </w:r>
          </w:p>
          <w:p w14:paraId="442A6BE2" w14:textId="77777777" w:rsidR="00D32416" w:rsidRPr="00BC78CD" w:rsidRDefault="00D32416"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p>
          <w:p w14:paraId="2A79A22E" w14:textId="77777777" w:rsidR="00BC78CD" w:rsidRPr="00BC78CD" w:rsidRDefault="00BC78CD"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p>
        </w:tc>
      </w:tr>
      <w:tr w:rsidR="00BC78CD" w:rsidRPr="00BC78CD" w14:paraId="10F71D9C" w14:textId="77777777" w:rsidTr="00B31598">
        <w:trPr>
          <w:cantSplit/>
        </w:trPr>
        <w:tc>
          <w:tcPr>
            <w:cnfStyle w:val="001000000000" w:firstRow="0" w:lastRow="0" w:firstColumn="1" w:lastColumn="0" w:oddVBand="0" w:evenVBand="0" w:oddHBand="0" w:evenHBand="0" w:firstRowFirstColumn="0" w:firstRowLastColumn="0" w:lastRowFirstColumn="0" w:lastRowLastColumn="0"/>
            <w:tcW w:w="1668" w:type="dxa"/>
          </w:tcPr>
          <w:p w14:paraId="63CD08B2"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Exploration</w:t>
            </w:r>
          </w:p>
        </w:tc>
        <w:tc>
          <w:tcPr>
            <w:tcW w:w="5103" w:type="dxa"/>
          </w:tcPr>
          <w:p w14:paraId="4BD374B9" w14:textId="77777777" w:rsidR="00BC78CD" w:rsidRPr="00BC78CD" w:rsidRDefault="00BC78CD" w:rsidP="00A66D9A">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exploration for minerals and includes—</w:t>
            </w:r>
          </w:p>
          <w:p w14:paraId="0A31B1CE"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(a) conducting geological, geophysical and geochemical surveys; and</w:t>
            </w:r>
          </w:p>
          <w:p w14:paraId="2F7EE216"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(b) drilling; and</w:t>
            </w:r>
          </w:p>
          <w:p w14:paraId="31B42CF3"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 xml:space="preserve">(c) taking samples for the purposes of chemical or </w:t>
            </w:r>
            <w:r w:rsidR="00762C3C">
              <w:rPr>
                <w:rFonts w:asciiTheme="minorHAnsi" w:eastAsiaTheme="minorHAnsi" w:hAnsiTheme="minorHAnsi" w:cstheme="minorHAnsi"/>
                <w:sz w:val="18"/>
                <w:szCs w:val="18"/>
                <w:lang w:val="en"/>
              </w:rPr>
              <w:t>o</w:t>
            </w:r>
            <w:r w:rsidRPr="00BC78CD">
              <w:rPr>
                <w:rFonts w:asciiTheme="minorHAnsi" w:eastAsiaTheme="minorHAnsi" w:hAnsiTheme="minorHAnsi" w:cstheme="minorHAnsi"/>
                <w:sz w:val="18"/>
                <w:szCs w:val="18"/>
                <w:lang w:val="en"/>
              </w:rPr>
              <w:t>ther analysis; and</w:t>
            </w:r>
          </w:p>
          <w:p w14:paraId="682D40A4"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(d) extracting minerals from land, other than for the purpose of producing them commercially; and</w:t>
            </w:r>
          </w:p>
          <w:p w14:paraId="2B15AFAB"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(e) in relation to an exploration licence, anything else (except mining) that is specified in the licence</w:t>
            </w:r>
          </w:p>
        </w:tc>
        <w:tc>
          <w:tcPr>
            <w:tcW w:w="2471" w:type="dxa"/>
          </w:tcPr>
          <w:p w14:paraId="7A00EFA9" w14:textId="77777777" w:rsidR="00BC78CD" w:rsidRPr="00BC78CD" w:rsidRDefault="00BC78CD"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S 4(1)</w:t>
            </w:r>
          </w:p>
        </w:tc>
      </w:tr>
      <w:tr w:rsidR="00BC78CD" w:rsidRPr="00BC78CD" w14:paraId="4A2F7C46" w14:textId="77777777" w:rsidTr="00B31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Pr>
          <w:p w14:paraId="73379CD8"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Indicated Mineral Source</w:t>
            </w:r>
          </w:p>
        </w:tc>
        <w:tc>
          <w:tcPr>
            <w:tcW w:w="5103" w:type="dxa"/>
          </w:tcPr>
          <w:p w14:paraId="37890CFF" w14:textId="77777777" w:rsidR="00BC78CD" w:rsidRPr="00BC78CD" w:rsidRDefault="00BC78CD" w:rsidP="00A66D9A">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That part of a mineral resource for which quantity, grade (or quality), densities, shape and physical characteristics are estimated with sufficient confidence to allow the application of modifying factors in sufficient detail to support mine planning and evaluation of the economic viability of the deposit.</w:t>
            </w:r>
          </w:p>
        </w:tc>
        <w:tc>
          <w:tcPr>
            <w:tcW w:w="2471" w:type="dxa"/>
          </w:tcPr>
          <w:p w14:paraId="1FC4564D" w14:textId="77777777" w:rsidR="00BC78CD" w:rsidRPr="00BC78CD" w:rsidRDefault="00BC78CD"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JORC Code, para 22</w:t>
            </w:r>
          </w:p>
        </w:tc>
      </w:tr>
      <w:tr w:rsidR="00BC78CD" w:rsidRPr="00BC78CD" w14:paraId="048C9DA6" w14:textId="77777777" w:rsidTr="00B31598">
        <w:trPr>
          <w:cantSplit/>
        </w:trPr>
        <w:tc>
          <w:tcPr>
            <w:cnfStyle w:val="001000000000" w:firstRow="0" w:lastRow="0" w:firstColumn="1" w:lastColumn="0" w:oddVBand="0" w:evenVBand="0" w:oddHBand="0" w:evenHBand="0" w:firstRowFirstColumn="0" w:firstRowLastColumn="0" w:lastRowFirstColumn="0" w:lastRowLastColumn="0"/>
            <w:tcW w:w="1668" w:type="dxa"/>
          </w:tcPr>
          <w:p w14:paraId="1ABF5B07"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Inferred Mineral Source</w:t>
            </w:r>
          </w:p>
        </w:tc>
        <w:tc>
          <w:tcPr>
            <w:tcW w:w="5103" w:type="dxa"/>
          </w:tcPr>
          <w:p w14:paraId="3A13EDF7" w14:textId="77777777" w:rsidR="00BC78CD" w:rsidRPr="00BC78CD" w:rsidRDefault="00BC78CD" w:rsidP="00A66D9A">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That part of a mineral resource for which quantity and grade (or quality) are estimated on the basis of limited geological evidence and sampling</w:t>
            </w:r>
          </w:p>
        </w:tc>
        <w:tc>
          <w:tcPr>
            <w:tcW w:w="2471" w:type="dxa"/>
          </w:tcPr>
          <w:p w14:paraId="299CEF14" w14:textId="77777777" w:rsidR="00BC78CD" w:rsidRPr="00BC78CD" w:rsidRDefault="00BC78CD"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JORC Code, para 21</w:t>
            </w:r>
          </w:p>
        </w:tc>
      </w:tr>
      <w:tr w:rsidR="00BC78CD" w:rsidRPr="00BC78CD" w14:paraId="223CAD36" w14:textId="77777777" w:rsidTr="00B31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Pr>
          <w:p w14:paraId="21889271"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JORC</w:t>
            </w:r>
          </w:p>
        </w:tc>
        <w:tc>
          <w:tcPr>
            <w:tcW w:w="5103" w:type="dxa"/>
          </w:tcPr>
          <w:p w14:paraId="0F66C82E" w14:textId="77777777" w:rsidR="00BC78CD" w:rsidRPr="00BC78CD" w:rsidRDefault="00BC78CD" w:rsidP="00A66D9A">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Australasian Joint Ore Reserves Committee. JORC is responsible for the development and ongoing update of the JORC Code.</w:t>
            </w:r>
          </w:p>
        </w:tc>
        <w:tc>
          <w:tcPr>
            <w:tcW w:w="2471" w:type="dxa"/>
          </w:tcPr>
          <w:p w14:paraId="751A38FE" w14:textId="77777777" w:rsidR="00BC78CD" w:rsidRPr="00BC78CD" w:rsidRDefault="00F47AD1"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hyperlink r:id="rId25" w:history="1">
              <w:r w:rsidR="00BC78CD" w:rsidRPr="00BC78CD">
                <w:rPr>
                  <w:rStyle w:val="Hyperlink"/>
                  <w:rFonts w:asciiTheme="minorHAnsi" w:eastAsiaTheme="minorHAnsi" w:hAnsiTheme="minorHAnsi" w:cstheme="minorHAnsi"/>
                  <w:szCs w:val="18"/>
                  <w:lang w:val="en"/>
                </w:rPr>
                <w:t>www.jorc.org</w:t>
              </w:r>
            </w:hyperlink>
          </w:p>
          <w:p w14:paraId="0A094F87" w14:textId="77777777" w:rsidR="00BC78CD" w:rsidRPr="00BC78CD" w:rsidRDefault="00BC78CD"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p>
        </w:tc>
      </w:tr>
      <w:tr w:rsidR="00BC78CD" w:rsidRPr="00BC78CD" w14:paraId="2BD49810" w14:textId="77777777" w:rsidTr="00B31598">
        <w:trPr>
          <w:cantSplit/>
        </w:trPr>
        <w:tc>
          <w:tcPr>
            <w:cnfStyle w:val="001000000000" w:firstRow="0" w:lastRow="0" w:firstColumn="1" w:lastColumn="0" w:oddVBand="0" w:evenVBand="0" w:oddHBand="0" w:evenHBand="0" w:firstRowFirstColumn="0" w:firstRowLastColumn="0" w:lastRowFirstColumn="0" w:lastRowLastColumn="0"/>
            <w:tcW w:w="1668" w:type="dxa"/>
          </w:tcPr>
          <w:p w14:paraId="0CCDA8D1"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JORC Code</w:t>
            </w:r>
          </w:p>
        </w:tc>
        <w:tc>
          <w:tcPr>
            <w:tcW w:w="5103" w:type="dxa"/>
          </w:tcPr>
          <w:p w14:paraId="48D2163E" w14:textId="77777777" w:rsidR="00BC78CD" w:rsidRPr="00BC78CD" w:rsidRDefault="00BC78CD" w:rsidP="00A66D9A">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The 2012 edition of the JORC Code. The JORC Code is a professional code of practice that sets minimum standards for public reporting of minerals exploration results, mineral resources and ore reserves. The 2012 edition of the Code is at www.jorc.org/docs/JORC_code_2012.pdf.</w:t>
            </w:r>
          </w:p>
        </w:tc>
        <w:tc>
          <w:tcPr>
            <w:tcW w:w="2471" w:type="dxa"/>
          </w:tcPr>
          <w:p w14:paraId="3EAC2AD4" w14:textId="77777777" w:rsidR="00BC78CD" w:rsidRPr="00BC78CD" w:rsidRDefault="00F47AD1"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hyperlink r:id="rId26" w:history="1">
              <w:r w:rsidR="00BC78CD" w:rsidRPr="00BC78CD">
                <w:rPr>
                  <w:rStyle w:val="Hyperlink"/>
                  <w:rFonts w:asciiTheme="minorHAnsi" w:eastAsiaTheme="minorHAnsi" w:hAnsiTheme="minorHAnsi" w:cstheme="minorHAnsi"/>
                  <w:szCs w:val="18"/>
                  <w:lang w:val="en"/>
                </w:rPr>
                <w:t>www.jorc.org</w:t>
              </w:r>
            </w:hyperlink>
          </w:p>
          <w:p w14:paraId="6DF3ECD7" w14:textId="77777777" w:rsidR="00BC78CD" w:rsidRPr="00BC78CD" w:rsidRDefault="00BC78CD"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p>
          <w:p w14:paraId="41D1EE8A" w14:textId="77777777" w:rsidR="00BC78CD" w:rsidRPr="00BC78CD" w:rsidRDefault="00F47AD1"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hyperlink r:id="rId27" w:history="1">
              <w:r w:rsidR="00BC78CD" w:rsidRPr="00BC78CD">
                <w:rPr>
                  <w:rStyle w:val="Hyperlink"/>
                  <w:rFonts w:asciiTheme="minorHAnsi" w:eastAsiaTheme="minorHAnsi" w:hAnsiTheme="minorHAnsi" w:cstheme="minorHAnsi"/>
                  <w:szCs w:val="18"/>
                  <w:lang w:val="en"/>
                </w:rPr>
                <w:t>www.jorc.org/docs/JORC_code_2012.pdf</w:t>
              </w:r>
            </w:hyperlink>
          </w:p>
          <w:p w14:paraId="2DB8F67B" w14:textId="77777777" w:rsidR="00BC78CD" w:rsidRPr="00BC78CD" w:rsidRDefault="00BC78CD"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p>
        </w:tc>
      </w:tr>
      <w:tr w:rsidR="00BC78CD" w:rsidRPr="00BC78CD" w14:paraId="1C6DCDF5" w14:textId="77777777" w:rsidTr="00B31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Pr>
          <w:p w14:paraId="15DA6D50"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Measured Mineral Resource</w:t>
            </w:r>
          </w:p>
        </w:tc>
        <w:tc>
          <w:tcPr>
            <w:tcW w:w="5103" w:type="dxa"/>
          </w:tcPr>
          <w:p w14:paraId="77A0652F" w14:textId="77777777" w:rsidR="00BC78CD" w:rsidRPr="00BC78CD" w:rsidRDefault="00BC78CD" w:rsidP="00A66D9A">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That part of a mineral resource for which quantity, grade (or quality), densities, shape, and physical characteristics are estimated with confidence sufficient to allow the application of modifying factors to support detailed mine planning and final evaluation of the economic viability of the deposit.</w:t>
            </w:r>
          </w:p>
        </w:tc>
        <w:tc>
          <w:tcPr>
            <w:tcW w:w="2471" w:type="dxa"/>
          </w:tcPr>
          <w:p w14:paraId="5F56B515" w14:textId="77777777" w:rsidR="00BC78CD" w:rsidRPr="00BC78CD" w:rsidRDefault="00BC78CD"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18"/>
              </w:rPr>
            </w:pPr>
            <w:r w:rsidRPr="00BC78CD">
              <w:rPr>
                <w:rFonts w:asciiTheme="minorHAnsi" w:hAnsiTheme="minorHAnsi" w:cstheme="minorHAnsi"/>
                <w:szCs w:val="18"/>
              </w:rPr>
              <w:t>JORC Code, para 23</w:t>
            </w:r>
          </w:p>
        </w:tc>
      </w:tr>
      <w:tr w:rsidR="00BC78CD" w:rsidRPr="00BC78CD" w14:paraId="56000970" w14:textId="77777777" w:rsidTr="00B31598">
        <w:trPr>
          <w:cantSplit/>
        </w:trPr>
        <w:tc>
          <w:tcPr>
            <w:cnfStyle w:val="001000000000" w:firstRow="0" w:lastRow="0" w:firstColumn="1" w:lastColumn="0" w:oddVBand="0" w:evenVBand="0" w:oddHBand="0" w:evenHBand="0" w:firstRowFirstColumn="0" w:firstRowLastColumn="0" w:lastRowFirstColumn="0" w:lastRowLastColumn="0"/>
            <w:tcW w:w="1668" w:type="dxa"/>
          </w:tcPr>
          <w:p w14:paraId="3B82F5FD"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lastRenderedPageBreak/>
              <w:t>Mineral</w:t>
            </w:r>
          </w:p>
        </w:tc>
        <w:tc>
          <w:tcPr>
            <w:tcW w:w="5103" w:type="dxa"/>
          </w:tcPr>
          <w:p w14:paraId="2A23B76A" w14:textId="77777777" w:rsidR="00BC78CD" w:rsidRPr="00BC78CD" w:rsidRDefault="00BC78CD" w:rsidP="00A66D9A">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any substance which occurs naturally as part of the earth's crust</w:t>
            </w:r>
          </w:p>
          <w:p w14:paraId="37402271"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(a) including (i) oil shale and coal; and</w:t>
            </w:r>
          </w:p>
          <w:p w14:paraId="32762716"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(ii) hydrocarbons and mineral oils contained in oil shale or coal or extracted from oil shale or coal by chemical or industrial processes; and</w:t>
            </w:r>
          </w:p>
          <w:p w14:paraId="79C64F41"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(iii) any substance specified in Schedule 4;</w:t>
            </w:r>
          </w:p>
          <w:p w14:paraId="47DB6FC4"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 xml:space="preserve">(b) excluding water, </w:t>
            </w:r>
            <w:r w:rsidRPr="00BC78CD">
              <w:rPr>
                <w:rFonts w:asciiTheme="minorHAnsi" w:eastAsiaTheme="minorHAnsi" w:hAnsiTheme="minorHAnsi" w:cstheme="minorHAnsi"/>
                <w:b/>
                <w:sz w:val="18"/>
                <w:szCs w:val="18"/>
                <w:lang w:val="en"/>
              </w:rPr>
              <w:t>stone</w:t>
            </w:r>
            <w:r w:rsidRPr="00BC78CD">
              <w:rPr>
                <w:rFonts w:asciiTheme="minorHAnsi" w:eastAsiaTheme="minorHAnsi" w:hAnsiTheme="minorHAnsi" w:cstheme="minorHAnsi"/>
                <w:sz w:val="18"/>
                <w:szCs w:val="18"/>
                <w:lang w:val="en"/>
              </w:rPr>
              <w:t xml:space="preserve">, peat or </w:t>
            </w:r>
            <w:r w:rsidRPr="00BC78CD">
              <w:rPr>
                <w:rFonts w:asciiTheme="minorHAnsi" w:eastAsiaTheme="minorHAnsi" w:hAnsiTheme="minorHAnsi" w:cstheme="minorHAnsi"/>
                <w:b/>
                <w:sz w:val="18"/>
                <w:szCs w:val="18"/>
                <w:lang w:val="en"/>
              </w:rPr>
              <w:t>petroleum</w:t>
            </w:r>
            <w:r w:rsidRPr="00BC78CD">
              <w:rPr>
                <w:rFonts w:asciiTheme="minorHAnsi" w:eastAsiaTheme="minorHAnsi" w:hAnsiTheme="minorHAnsi" w:cstheme="minorHAnsi"/>
                <w:sz w:val="18"/>
                <w:szCs w:val="18"/>
                <w:lang w:val="en"/>
              </w:rPr>
              <w:t>.</w:t>
            </w:r>
          </w:p>
          <w:p w14:paraId="485B957C" w14:textId="77777777" w:rsidR="00BC78CD" w:rsidRPr="00BC78CD" w:rsidRDefault="00BC78CD" w:rsidP="00A66D9A">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 xml:space="preserve">  The substances specified in Schedule 4 are bentonite; fine clay; kaolin; lignite; minerals in alluvial form including those of titanium, zirconium, rare earth elements and platinoid group elements; quartz crystals and zeolite.</w:t>
            </w:r>
          </w:p>
          <w:p w14:paraId="7C82835F" w14:textId="77777777" w:rsidR="00BC78CD" w:rsidRPr="00BC78CD" w:rsidRDefault="00BC78CD" w:rsidP="00A66D9A">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 xml:space="preserve">  </w:t>
            </w:r>
            <w:r w:rsidRPr="00BC78CD">
              <w:rPr>
                <w:rFonts w:asciiTheme="minorHAnsi" w:eastAsiaTheme="minorHAnsi" w:hAnsiTheme="minorHAnsi" w:cstheme="minorHAnsi"/>
                <w:b/>
                <w:szCs w:val="18"/>
                <w:lang w:val="en"/>
              </w:rPr>
              <w:t>Stone</w:t>
            </w:r>
            <w:r w:rsidRPr="00BC78CD">
              <w:rPr>
                <w:rFonts w:asciiTheme="minorHAnsi" w:eastAsiaTheme="minorHAnsi" w:hAnsiTheme="minorHAnsi" w:cstheme="minorHAnsi"/>
                <w:szCs w:val="18"/>
                <w:lang w:val="en"/>
              </w:rPr>
              <w:t xml:space="preserve"> means sandstone, freestone or other building stone; basalt, granite, limestone or rock of any kind ordinarily used for building, manufacturing or construction purposes; quartz (other than quartz crystals); slate or gravel; clay (other than fine clay, bentonite or kaolin); (ea) peat; sand, earth or soil; or other similar materials. </w:t>
            </w:r>
            <w:r w:rsidRPr="00BC78CD">
              <w:rPr>
                <w:rFonts w:asciiTheme="minorHAnsi" w:eastAsiaTheme="minorHAnsi" w:hAnsiTheme="minorHAnsi" w:cstheme="minorHAnsi"/>
                <w:b/>
                <w:szCs w:val="18"/>
                <w:lang w:val="en"/>
              </w:rPr>
              <w:t>Petroleum</w:t>
            </w:r>
            <w:r w:rsidRPr="00BC78CD">
              <w:rPr>
                <w:rFonts w:asciiTheme="minorHAnsi" w:eastAsiaTheme="minorHAnsi" w:hAnsiTheme="minorHAnsi" w:cstheme="minorHAnsi"/>
                <w:szCs w:val="18"/>
                <w:lang w:val="en"/>
              </w:rPr>
              <w:t xml:space="preserve"> has essentially the same meaning as set out in the Petroleum Act 1958.</w:t>
            </w:r>
          </w:p>
        </w:tc>
        <w:tc>
          <w:tcPr>
            <w:tcW w:w="2471" w:type="dxa"/>
          </w:tcPr>
          <w:p w14:paraId="35F6BEBC" w14:textId="77777777" w:rsidR="00BC78CD" w:rsidRPr="00BC78CD" w:rsidRDefault="00BC78CD"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S 4(1)</w:t>
            </w:r>
          </w:p>
        </w:tc>
      </w:tr>
      <w:tr w:rsidR="00BC78CD" w:rsidRPr="00BC78CD" w14:paraId="4A8202FD" w14:textId="77777777" w:rsidTr="00B31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Pr>
          <w:p w14:paraId="5A76F10B"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Mineral resource</w:t>
            </w:r>
          </w:p>
        </w:tc>
        <w:tc>
          <w:tcPr>
            <w:tcW w:w="5103" w:type="dxa"/>
          </w:tcPr>
          <w:p w14:paraId="200A074B" w14:textId="77777777" w:rsidR="00BC78CD" w:rsidRPr="00BC78CD" w:rsidRDefault="00BC78CD" w:rsidP="00A66D9A">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a concentration of a mineral or minerals that is or may be economically viable to mine</w:t>
            </w:r>
          </w:p>
        </w:tc>
        <w:tc>
          <w:tcPr>
            <w:tcW w:w="2471" w:type="dxa"/>
          </w:tcPr>
          <w:p w14:paraId="3BC688FC" w14:textId="77777777" w:rsidR="00BC78CD" w:rsidRPr="00BC78CD" w:rsidRDefault="00BC78CD"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S 4(1)</w:t>
            </w:r>
          </w:p>
        </w:tc>
      </w:tr>
      <w:tr w:rsidR="00BC78CD" w:rsidRPr="00BC78CD" w14:paraId="564FB410" w14:textId="77777777" w:rsidTr="00B31598">
        <w:trPr>
          <w:cantSplit/>
        </w:trPr>
        <w:tc>
          <w:tcPr>
            <w:cnfStyle w:val="001000000000" w:firstRow="0" w:lastRow="0" w:firstColumn="1" w:lastColumn="0" w:oddVBand="0" w:evenVBand="0" w:oddHBand="0" w:evenHBand="0" w:firstRowFirstColumn="0" w:firstRowLastColumn="0" w:lastRowFirstColumn="0" w:lastRowLastColumn="0"/>
            <w:tcW w:w="1668" w:type="dxa"/>
          </w:tcPr>
          <w:p w14:paraId="78B97CC6"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Mineralisation report</w:t>
            </w:r>
          </w:p>
        </w:tc>
        <w:tc>
          <w:tcPr>
            <w:tcW w:w="5103" w:type="dxa"/>
          </w:tcPr>
          <w:p w14:paraId="7EF4A219" w14:textId="77777777" w:rsidR="00BC78CD" w:rsidRPr="00BC78CD" w:rsidRDefault="00BC78CD" w:rsidP="00A66D9A">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A report prepared by a competent person that—</w:t>
            </w:r>
          </w:p>
          <w:p w14:paraId="09FBA820"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(a) sets out the exploration results in relation to the described mineral resource; and</w:t>
            </w:r>
          </w:p>
          <w:p w14:paraId="166D7DAA" w14:textId="77777777" w:rsidR="00BC78CD" w:rsidRPr="00BC78CD" w:rsidRDefault="00BC78CD" w:rsidP="00A66D9A">
            <w:pPr>
              <w:pStyle w:val="ListParagraph"/>
              <w:ind w:left="283" w:hanging="283"/>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 w:val="18"/>
                <w:szCs w:val="18"/>
                <w:lang w:val="en"/>
              </w:rPr>
            </w:pPr>
            <w:r w:rsidRPr="00BC78CD">
              <w:rPr>
                <w:rFonts w:asciiTheme="minorHAnsi" w:eastAsiaTheme="minorHAnsi" w:hAnsiTheme="minorHAnsi" w:cstheme="minorHAnsi"/>
                <w:sz w:val="18"/>
                <w:szCs w:val="18"/>
                <w:lang w:val="en"/>
              </w:rPr>
              <w:t>(b) includes an analysis of whether the exploration results indicate that there is a reasonable prospect that the mining of the described mineral resource will be economically viable.</w:t>
            </w:r>
          </w:p>
        </w:tc>
        <w:tc>
          <w:tcPr>
            <w:tcW w:w="2471" w:type="dxa"/>
          </w:tcPr>
          <w:p w14:paraId="017A926B" w14:textId="77777777" w:rsidR="00BC78CD" w:rsidRPr="00BC78CD" w:rsidRDefault="00BC78CD"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S 15(1BE)</w:t>
            </w:r>
          </w:p>
        </w:tc>
      </w:tr>
      <w:tr w:rsidR="00BC78CD" w:rsidRPr="00BC78CD" w14:paraId="16AB0F99" w14:textId="77777777" w:rsidTr="00B3159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668" w:type="dxa"/>
          </w:tcPr>
          <w:p w14:paraId="4ABBB58F" w14:textId="77777777" w:rsidR="00BC78CD" w:rsidRPr="00BC78CD" w:rsidRDefault="00BC78CD" w:rsidP="00A66D9A">
            <w:pPr>
              <w:spacing w:before="0"/>
              <w:jc w:val="both"/>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Mining</w:t>
            </w:r>
          </w:p>
        </w:tc>
        <w:tc>
          <w:tcPr>
            <w:tcW w:w="5103" w:type="dxa"/>
          </w:tcPr>
          <w:p w14:paraId="1E311BE6" w14:textId="77777777" w:rsidR="00BC78CD" w:rsidRPr="00BC78CD" w:rsidRDefault="00BC78CD" w:rsidP="00A66D9A">
            <w:pPr>
              <w:spacing w:before="0"/>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extracting minerals from land for the purpose of producing them commercially, and includes processing and treating ore</w:t>
            </w:r>
          </w:p>
        </w:tc>
        <w:tc>
          <w:tcPr>
            <w:tcW w:w="2471" w:type="dxa"/>
          </w:tcPr>
          <w:p w14:paraId="5D07FE13" w14:textId="77777777" w:rsidR="00BC78CD" w:rsidRPr="00BC78CD" w:rsidRDefault="00BC78CD" w:rsidP="00A66D9A">
            <w:pPr>
              <w:spacing w:before="0"/>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Cs w:val="18"/>
                <w:lang w:val="en"/>
              </w:rPr>
            </w:pPr>
            <w:r w:rsidRPr="00BC78CD">
              <w:rPr>
                <w:rFonts w:asciiTheme="minorHAnsi" w:eastAsiaTheme="minorHAnsi" w:hAnsiTheme="minorHAnsi" w:cstheme="minorHAnsi"/>
                <w:szCs w:val="18"/>
                <w:lang w:val="en"/>
              </w:rPr>
              <w:t>S 4(1)</w:t>
            </w:r>
          </w:p>
        </w:tc>
      </w:tr>
      <w:tr w:rsidR="00405FB6" w:rsidRPr="00BC78CD" w14:paraId="3EBF04C1" w14:textId="77777777" w:rsidTr="00B31598">
        <w:trPr>
          <w:cantSplit/>
        </w:trPr>
        <w:tc>
          <w:tcPr>
            <w:cnfStyle w:val="001000000000" w:firstRow="0" w:lastRow="0" w:firstColumn="1" w:lastColumn="0" w:oddVBand="0" w:evenVBand="0" w:oddHBand="0" w:evenHBand="0" w:firstRowFirstColumn="0" w:firstRowLastColumn="0" w:lastRowFirstColumn="0" w:lastRowLastColumn="0"/>
            <w:tcW w:w="1668" w:type="dxa"/>
          </w:tcPr>
          <w:p w14:paraId="67A19DD1" w14:textId="540B7A5C" w:rsidR="00405FB6" w:rsidRPr="00BC78CD" w:rsidRDefault="00405FB6" w:rsidP="00A66D9A">
            <w:pPr>
              <w:spacing w:before="0"/>
              <w:jc w:val="both"/>
              <w:rPr>
                <w:rFonts w:asciiTheme="minorHAnsi" w:eastAsiaTheme="minorHAnsi" w:hAnsiTheme="minorHAnsi" w:cstheme="minorHAnsi"/>
                <w:szCs w:val="18"/>
                <w:lang w:val="en"/>
              </w:rPr>
            </w:pPr>
            <w:r>
              <w:t>NI</w:t>
            </w:r>
            <w:r w:rsidR="00F4221A">
              <w:t xml:space="preserve"> </w:t>
            </w:r>
            <w:r>
              <w:t>43-101</w:t>
            </w:r>
          </w:p>
        </w:tc>
        <w:tc>
          <w:tcPr>
            <w:tcW w:w="5103" w:type="dxa"/>
          </w:tcPr>
          <w:p w14:paraId="3E3059C8" w14:textId="32B32246" w:rsidR="00405FB6" w:rsidRPr="00BC78CD" w:rsidRDefault="005457D1" w:rsidP="00A66D9A">
            <w:pPr>
              <w:spacing w:before="0"/>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r>
              <w:rPr>
                <w:rFonts w:asciiTheme="minorHAnsi" w:eastAsiaTheme="minorHAnsi" w:hAnsiTheme="minorHAnsi" w:cstheme="minorHAnsi"/>
                <w:szCs w:val="18"/>
                <w:lang w:val="en"/>
              </w:rPr>
              <w:t xml:space="preserve">National Instrument 43-101. </w:t>
            </w:r>
            <w:r w:rsidR="007E5AEB">
              <w:rPr>
                <w:rFonts w:asciiTheme="minorHAnsi" w:eastAsiaTheme="minorHAnsi" w:hAnsiTheme="minorHAnsi" w:cstheme="minorHAnsi"/>
                <w:szCs w:val="18"/>
                <w:lang w:val="en"/>
              </w:rPr>
              <w:t>Canadian n</w:t>
            </w:r>
            <w:r w:rsidR="00002A8F" w:rsidRPr="00002A8F">
              <w:rPr>
                <w:rFonts w:asciiTheme="minorHAnsi" w:eastAsiaTheme="minorHAnsi" w:hAnsiTheme="minorHAnsi" w:cstheme="minorHAnsi"/>
                <w:szCs w:val="18"/>
                <w:lang w:val="en"/>
              </w:rPr>
              <w:t>ational instrument for the Standards of Disclosure for Mineral Projects</w:t>
            </w:r>
          </w:p>
        </w:tc>
        <w:tc>
          <w:tcPr>
            <w:tcW w:w="2471" w:type="dxa"/>
          </w:tcPr>
          <w:p w14:paraId="07EEB856" w14:textId="77777777" w:rsidR="00405FB6" w:rsidRDefault="00F47AD1" w:rsidP="00A66D9A">
            <w:pPr>
              <w:spacing w:before="0"/>
              <w:jc w:val="both"/>
              <w:cnfStyle w:val="000000000000" w:firstRow="0" w:lastRow="0" w:firstColumn="0" w:lastColumn="0" w:oddVBand="0" w:evenVBand="0" w:oddHBand="0" w:evenHBand="0" w:firstRowFirstColumn="0" w:firstRowLastColumn="0" w:lastRowFirstColumn="0" w:lastRowLastColumn="0"/>
            </w:pPr>
            <w:hyperlink r:id="rId28" w:history="1">
              <w:r w:rsidR="002109C4">
                <w:rPr>
                  <w:rStyle w:val="Hyperlink"/>
                </w:rPr>
                <w:t>https://www.osc.gov.on.ca/en/15019.htm</w:t>
              </w:r>
            </w:hyperlink>
          </w:p>
          <w:p w14:paraId="7D637884" w14:textId="77777777" w:rsidR="002109C4" w:rsidRDefault="002109C4" w:rsidP="00A66D9A">
            <w:pPr>
              <w:spacing w:before="0"/>
              <w:jc w:val="both"/>
              <w:cnfStyle w:val="000000000000" w:firstRow="0" w:lastRow="0" w:firstColumn="0" w:lastColumn="0" w:oddVBand="0" w:evenVBand="0" w:oddHBand="0" w:evenHBand="0" w:firstRowFirstColumn="0" w:firstRowLastColumn="0" w:lastRowFirstColumn="0" w:lastRowLastColumn="0"/>
            </w:pPr>
          </w:p>
          <w:p w14:paraId="5FF114FD" w14:textId="6C225D55" w:rsidR="002109C4" w:rsidRPr="00BC78CD" w:rsidRDefault="002109C4" w:rsidP="00A66D9A">
            <w:pPr>
              <w:spacing w:before="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szCs w:val="18"/>
                <w:lang w:val="en"/>
              </w:rPr>
            </w:pPr>
          </w:p>
        </w:tc>
      </w:tr>
      <w:bookmarkEnd w:id="26"/>
    </w:tbl>
    <w:p w14:paraId="3B821B40" w14:textId="0FA19F6C" w:rsidR="0056169A" w:rsidRDefault="0056169A" w:rsidP="00644924"/>
    <w:p w14:paraId="466DB7FE" w14:textId="77777777" w:rsidR="0056169A" w:rsidRDefault="0056169A">
      <w:pPr>
        <w:spacing w:before="0" w:line="276" w:lineRule="auto"/>
      </w:pPr>
      <w:r>
        <w:br w:type="page"/>
      </w:r>
    </w:p>
    <w:p w14:paraId="7DB1233C" w14:textId="5518D0AD" w:rsidR="004371F6" w:rsidRDefault="0056169A" w:rsidP="00386809">
      <w:pPr>
        <w:pStyle w:val="Heading1"/>
      </w:pPr>
      <w:bookmarkStart w:id="27" w:name="_Toc45549252"/>
      <w:r>
        <w:lastRenderedPageBreak/>
        <w:t>Appen</w:t>
      </w:r>
      <w:r w:rsidRPr="00AB1D65">
        <w:t>di</w:t>
      </w:r>
      <w:r>
        <w:t xml:space="preserve">x </w:t>
      </w:r>
      <w:r w:rsidR="00EF54DB">
        <w:t>2</w:t>
      </w:r>
      <w:r>
        <w:t>:</w:t>
      </w:r>
      <w:r w:rsidR="00EF54DB">
        <w:t xml:space="preserve"> </w:t>
      </w:r>
      <w:r w:rsidR="00F00A0F" w:rsidRPr="00691FEB">
        <w:t xml:space="preserve">Description of a Mineral Resource and Mineralisation Report </w:t>
      </w:r>
      <w:r w:rsidR="00F00A0F">
        <w:t xml:space="preserve">– </w:t>
      </w:r>
      <w:r w:rsidR="00F00A0F" w:rsidRPr="00691FEB">
        <w:t>Cover Sheet</w:t>
      </w:r>
      <w:bookmarkEnd w:id="27"/>
    </w:p>
    <w:p w14:paraId="68046009" w14:textId="77777777" w:rsidR="00F00A0F" w:rsidRPr="002E4AC5" w:rsidRDefault="00F00A0F" w:rsidP="00F00A0F">
      <w:pPr>
        <w:pStyle w:val="BodyText"/>
        <w:spacing w:line="260" w:lineRule="exact"/>
        <w:rPr>
          <w:rStyle w:val="Emphasis"/>
          <w:i w:val="0"/>
          <w:sz w:val="20"/>
          <w:szCs w:val="20"/>
        </w:rPr>
      </w:pPr>
      <w:r>
        <w:rPr>
          <w:rStyle w:val="Emphasis"/>
          <w:sz w:val="20"/>
          <w:szCs w:val="20"/>
        </w:rPr>
        <w:t xml:space="preserve">This cover sheet is for </w:t>
      </w:r>
      <w:bookmarkStart w:id="28" w:name="_Hlk45549665"/>
      <w:r>
        <w:rPr>
          <w:rStyle w:val="Emphasis"/>
          <w:sz w:val="20"/>
          <w:szCs w:val="20"/>
        </w:rPr>
        <w:t>non-gypsum Mining and Retention Licence applications for submission with the Description of a Mineral Resource or Mineralisation Report</w:t>
      </w:r>
      <w:bookmarkEnd w:id="28"/>
      <w:r>
        <w:rPr>
          <w:rStyle w:val="Emphasis"/>
          <w:sz w:val="20"/>
          <w:szCs w:val="20"/>
        </w:rPr>
        <w:t xml:space="preserve">. For further information refer to </w:t>
      </w:r>
      <w:r w:rsidRPr="002E4AC5">
        <w:rPr>
          <w:rStyle w:val="Emphasis"/>
          <w:sz w:val="20"/>
          <w:szCs w:val="20"/>
        </w:rPr>
        <w:t>the</w:t>
      </w:r>
      <w:r w:rsidRPr="002E4AC5">
        <w:rPr>
          <w:rStyle w:val="Emphasis"/>
          <w:i w:val="0"/>
          <w:sz w:val="20"/>
          <w:szCs w:val="20"/>
        </w:rPr>
        <w:t xml:space="preserve"> following</w:t>
      </w:r>
      <w:r>
        <w:rPr>
          <w:rStyle w:val="Emphasis"/>
          <w:i w:val="0"/>
          <w:sz w:val="20"/>
          <w:szCs w:val="20"/>
        </w:rPr>
        <w:t>:</w:t>
      </w:r>
    </w:p>
    <w:p w14:paraId="16C0C9CC" w14:textId="23432191" w:rsidR="00F00A0F" w:rsidRPr="002F23FD" w:rsidRDefault="00F00A0F" w:rsidP="002F23FD">
      <w:pPr>
        <w:pStyle w:val="NoSpacing"/>
        <w:spacing w:after="120"/>
        <w:rPr>
          <w:rStyle w:val="Emphasis"/>
          <w:i w:val="0"/>
          <w:sz w:val="20"/>
        </w:rPr>
      </w:pPr>
      <w:r>
        <w:rPr>
          <w:rStyle w:val="Emphasis"/>
          <w:sz w:val="20"/>
        </w:rPr>
        <w:t>Ministerial Guidelines for Description of a Mineral Resource and Mineralisation Report</w:t>
      </w:r>
    </w:p>
    <w:p w14:paraId="0E9A1124" w14:textId="20790887" w:rsidR="00F00A0F" w:rsidRPr="002E4AC5" w:rsidRDefault="00F00A0F" w:rsidP="002F23FD">
      <w:pPr>
        <w:pStyle w:val="NoSpacing"/>
        <w:spacing w:after="120"/>
        <w:rPr>
          <w:rStyle w:val="Emphasis"/>
          <w:i w:val="0"/>
          <w:sz w:val="20"/>
        </w:rPr>
      </w:pPr>
      <w:r w:rsidRPr="005F4EFC">
        <w:rPr>
          <w:rStyle w:val="Emphasis"/>
          <w:sz w:val="20"/>
          <w:szCs w:val="20"/>
        </w:rPr>
        <w:t>Mineral Resources (Sustainable Development) (Mineral Industries) Regulations 2019</w:t>
      </w:r>
      <w:r w:rsidRPr="001074E0">
        <w:t xml:space="preserve"> –</w:t>
      </w:r>
      <w:r w:rsidRPr="002108FA">
        <w:rPr>
          <w:rStyle w:val="Emphasis"/>
          <w:sz w:val="20"/>
        </w:rPr>
        <w:t xml:space="preserve">Regulation </w:t>
      </w:r>
      <w:r>
        <w:rPr>
          <w:rStyle w:val="Emphasis"/>
          <w:sz w:val="20"/>
        </w:rPr>
        <w:t>1</w:t>
      </w:r>
      <w:r w:rsidRPr="002108FA">
        <w:rPr>
          <w:rStyle w:val="Emphasis"/>
          <w:sz w:val="20"/>
        </w:rPr>
        <w:t>2</w:t>
      </w:r>
    </w:p>
    <w:p w14:paraId="4790573D" w14:textId="77777777" w:rsidR="00F00A0F" w:rsidRPr="002E4AC5" w:rsidRDefault="00F00A0F" w:rsidP="002F23FD">
      <w:pPr>
        <w:pStyle w:val="BodyText"/>
        <w:spacing w:line="260" w:lineRule="exact"/>
        <w:rPr>
          <w:rStyle w:val="Emphasis"/>
          <w:i w:val="0"/>
          <w:sz w:val="20"/>
          <w:szCs w:val="20"/>
        </w:rPr>
      </w:pPr>
      <w:r w:rsidRPr="005F4EFC">
        <w:rPr>
          <w:rStyle w:val="Emphasis"/>
          <w:sz w:val="20"/>
          <w:szCs w:val="20"/>
        </w:rPr>
        <w:t>Mineral Resources (Sustainable Development) Act 1990</w:t>
      </w:r>
      <w:r>
        <w:rPr>
          <w:rStyle w:val="Emphasis"/>
          <w:sz w:val="20"/>
          <w:szCs w:val="20"/>
        </w:rPr>
        <w:t xml:space="preserve"> – Sections 15(1BB) and 15(1BE – 1BG)</w:t>
      </w:r>
    </w:p>
    <w:p w14:paraId="076F8BBE" w14:textId="77777777" w:rsidR="00F00A0F" w:rsidRPr="00A348D5" w:rsidRDefault="00F00A0F" w:rsidP="00A348D5">
      <w:pPr>
        <w:rPr>
          <w:bCs/>
          <w:color w:val="78BF42"/>
          <w:sz w:val="28"/>
          <w:szCs w:val="26"/>
        </w:rPr>
      </w:pPr>
      <w:r w:rsidRPr="00A348D5">
        <w:rPr>
          <w:bCs/>
          <w:color w:val="78BF42"/>
          <w:sz w:val="28"/>
          <w:szCs w:val="26"/>
        </w:rPr>
        <w:t>1. Licence application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3130"/>
        <w:gridCol w:w="5886"/>
      </w:tblGrid>
      <w:tr w:rsidR="00F00A0F" w:rsidRPr="009575D5" w14:paraId="7E1FC4B5"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D509D90" w14:textId="77777777" w:rsidR="00F00A0F" w:rsidRPr="009575D5" w:rsidRDefault="00F00A0F" w:rsidP="00071AC0">
            <w:pPr>
              <w:pStyle w:val="BodyText"/>
              <w:spacing w:before="20" w:after="20"/>
              <w:rPr>
                <w:sz w:val="18"/>
              </w:rPr>
            </w:pPr>
            <w:r>
              <w:rPr>
                <w:sz w:val="18"/>
              </w:rPr>
              <w:t>Applicant/company</w:t>
            </w:r>
            <w:r w:rsidRPr="009575D5">
              <w:rPr>
                <w:sz w:val="18"/>
              </w:rPr>
              <w:t xml:space="preserve"> </w:t>
            </w:r>
            <w:r>
              <w:rPr>
                <w:sz w:val="18"/>
              </w:rPr>
              <w:t>n</w:t>
            </w:r>
            <w:r w:rsidRPr="009575D5">
              <w:rPr>
                <w:sz w:val="18"/>
              </w:rPr>
              <w:t>ame</w:t>
            </w:r>
            <w:r>
              <w:rPr>
                <w:sz w:val="18"/>
              </w:rPr>
              <w:t>:</w:t>
            </w:r>
          </w:p>
        </w:tc>
        <w:tc>
          <w:tcPr>
            <w:tcW w:w="3264" w:type="pct"/>
            <w:tcBorders>
              <w:top w:val="single" w:sz="2" w:space="0" w:color="808080" w:themeColor="background1" w:themeShade="80"/>
              <w:left w:val="single" w:sz="4" w:space="0" w:color="auto"/>
              <w:bottom w:val="single" w:sz="4" w:space="0" w:color="auto"/>
              <w:right w:val="single" w:sz="4" w:space="0" w:color="auto"/>
            </w:tcBorders>
          </w:tcPr>
          <w:p w14:paraId="78B97739" w14:textId="47274E54" w:rsidR="00F00A0F" w:rsidRPr="009575D5" w:rsidRDefault="00F00A0F" w:rsidP="00071AC0">
            <w:pPr>
              <w:pStyle w:val="BodyText"/>
              <w:spacing w:before="20" w:after="20"/>
              <w:rPr>
                <w:sz w:val="18"/>
              </w:rPr>
            </w:pPr>
            <w:r>
              <w:rPr>
                <w:sz w:val="18"/>
              </w:rPr>
              <w:fldChar w:fldCharType="begin">
                <w:ffData>
                  <w:name w:val="Text2"/>
                  <w:enabled/>
                  <w:calcOnExit w:val="0"/>
                  <w:statusText w:type="text" w:val="Applicant/company name"/>
                  <w:textInput/>
                </w:ffData>
              </w:fldChar>
            </w:r>
            <w:bookmarkStart w:id="29"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r>
      <w:tr w:rsidR="00F00A0F" w:rsidRPr="009575D5" w14:paraId="720AE51B"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CA4F76" w14:textId="77777777" w:rsidR="00F00A0F" w:rsidRPr="009575D5" w:rsidRDefault="00F00A0F" w:rsidP="00071AC0">
            <w:pPr>
              <w:pStyle w:val="BodyText"/>
              <w:spacing w:before="20" w:after="20"/>
              <w:rPr>
                <w:sz w:val="18"/>
              </w:rPr>
            </w:pPr>
            <w:r>
              <w:rPr>
                <w:sz w:val="18"/>
              </w:rPr>
              <w:t>Licence type:</w:t>
            </w:r>
          </w:p>
        </w:tc>
        <w:tc>
          <w:tcPr>
            <w:tcW w:w="3264" w:type="pct"/>
            <w:tcBorders>
              <w:top w:val="single" w:sz="4" w:space="0" w:color="auto"/>
              <w:left w:val="single" w:sz="4" w:space="0" w:color="auto"/>
              <w:bottom w:val="single" w:sz="2" w:space="0" w:color="808080" w:themeColor="background1" w:themeShade="80"/>
              <w:right w:val="single" w:sz="4" w:space="0" w:color="auto"/>
            </w:tcBorders>
          </w:tcPr>
          <w:p w14:paraId="23573783" w14:textId="77777777" w:rsidR="00F00A0F"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Check1"/>
                  <w:enabled/>
                  <w:calcOnExit w:val="0"/>
                  <w:statusText w:type="text" w:val="Mining Licence"/>
                  <w:checkBox>
                    <w:sizeAuto/>
                    <w:default w:val="0"/>
                  </w:checkBox>
                </w:ffData>
              </w:fldChar>
            </w:r>
            <w:bookmarkStart w:id="30" w:name="Check1"/>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bookmarkEnd w:id="30"/>
            <w:r>
              <w:rPr>
                <w:rFonts w:eastAsia="Times New Roman"/>
                <w:b/>
                <w:sz w:val="18"/>
                <w:szCs w:val="18"/>
                <w:lang w:eastAsia="en-AU"/>
              </w:rPr>
              <w:t xml:space="preserve"> Mining Licence</w:t>
            </w:r>
          </w:p>
          <w:p w14:paraId="63F967AB" w14:textId="77777777" w:rsidR="00F00A0F" w:rsidRPr="00AF3DE0"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
                  <w:enabled/>
                  <w:calcOnExit w:val="0"/>
                  <w:statusText w:type="text" w:val="Retention Licence"/>
                  <w:checkBox>
                    <w:sizeAuto/>
                    <w:default w:val="0"/>
                  </w:checkBox>
                </w:ffData>
              </w:fldChar>
            </w:r>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Retention Licence</w:t>
            </w:r>
          </w:p>
        </w:tc>
      </w:tr>
      <w:tr w:rsidR="00F00A0F" w:rsidRPr="009575D5" w14:paraId="5459E445"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70442C8" w14:textId="77777777" w:rsidR="00F00A0F" w:rsidRDefault="00F00A0F" w:rsidP="00071AC0">
            <w:pPr>
              <w:pStyle w:val="BodyText"/>
              <w:spacing w:before="20" w:after="20"/>
              <w:rPr>
                <w:sz w:val="18"/>
              </w:rPr>
            </w:pPr>
            <w:r>
              <w:rPr>
                <w:sz w:val="18"/>
              </w:rPr>
              <w:t>Report type:</w:t>
            </w:r>
          </w:p>
        </w:tc>
        <w:tc>
          <w:tcPr>
            <w:tcW w:w="3264" w:type="pct"/>
            <w:tcBorders>
              <w:top w:val="single" w:sz="4" w:space="0" w:color="auto"/>
              <w:left w:val="single" w:sz="4" w:space="0" w:color="auto"/>
              <w:bottom w:val="single" w:sz="4" w:space="0" w:color="auto"/>
              <w:right w:val="single" w:sz="4" w:space="0" w:color="auto"/>
            </w:tcBorders>
          </w:tcPr>
          <w:p w14:paraId="6982C3CD" w14:textId="77777777" w:rsidR="00F00A0F"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
                  <w:enabled/>
                  <w:calcOnExit w:val="0"/>
                  <w:statusText w:type="text" w:val="Description of a Mineral Resource"/>
                  <w:checkBox>
                    <w:sizeAuto/>
                    <w:default w:val="0"/>
                  </w:checkBox>
                </w:ffData>
              </w:fldChar>
            </w:r>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Description of a Mineral Resource (complete sections 1- 4)</w:t>
            </w:r>
          </w:p>
          <w:p w14:paraId="589E84CF" w14:textId="77777777" w:rsidR="00F00A0F"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
                  <w:enabled/>
                  <w:calcOnExit w:val="0"/>
                  <w:statusText w:type="text" w:val="Mineralisation Report"/>
                  <w:checkBox>
                    <w:sizeAuto/>
                    <w:default w:val="0"/>
                  </w:checkBox>
                </w:ffData>
              </w:fldChar>
            </w:r>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Mineralisation Report (complete ALL sections)</w:t>
            </w:r>
          </w:p>
        </w:tc>
      </w:tr>
      <w:tr w:rsidR="00F00A0F" w:rsidRPr="009575D5" w14:paraId="722BC9BE"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971A90" w14:textId="77777777" w:rsidR="00F00A0F" w:rsidRDefault="00F00A0F" w:rsidP="00071AC0">
            <w:pPr>
              <w:pStyle w:val="BodyText"/>
              <w:spacing w:before="20" w:after="20"/>
              <w:rPr>
                <w:sz w:val="18"/>
              </w:rPr>
            </w:pPr>
            <w:r>
              <w:rPr>
                <w:sz w:val="18"/>
              </w:rPr>
              <w:t>Tenement details:</w:t>
            </w:r>
          </w:p>
          <w:p w14:paraId="1AE2C495" w14:textId="77777777" w:rsidR="00F00A0F" w:rsidRDefault="00F00A0F" w:rsidP="00071AC0">
            <w:pPr>
              <w:pStyle w:val="BodyText"/>
              <w:spacing w:before="20" w:after="20"/>
              <w:rPr>
                <w:sz w:val="18"/>
              </w:rPr>
            </w:pPr>
          </w:p>
          <w:p w14:paraId="089C396F" w14:textId="77777777" w:rsidR="00F00A0F" w:rsidRPr="007119D4" w:rsidRDefault="00F00A0F" w:rsidP="00071AC0">
            <w:pPr>
              <w:pStyle w:val="BodyText"/>
              <w:spacing w:before="20" w:after="20"/>
              <w:rPr>
                <w:i/>
                <w:iCs/>
                <w:sz w:val="18"/>
              </w:rPr>
            </w:pPr>
            <w:r w:rsidRPr="007119D4">
              <w:rPr>
                <w:i/>
                <w:iCs/>
                <w:sz w:val="16"/>
                <w:szCs w:val="18"/>
              </w:rPr>
              <w:t xml:space="preserve">Please provide any </w:t>
            </w:r>
            <w:r>
              <w:rPr>
                <w:i/>
                <w:iCs/>
                <w:sz w:val="16"/>
                <w:szCs w:val="18"/>
              </w:rPr>
              <w:t xml:space="preserve">relevant </w:t>
            </w:r>
            <w:r w:rsidRPr="007119D4">
              <w:rPr>
                <w:i/>
                <w:iCs/>
                <w:sz w:val="16"/>
                <w:szCs w:val="18"/>
              </w:rPr>
              <w:t>tenement details for area under application (e.g.</w:t>
            </w:r>
            <w:r>
              <w:rPr>
                <w:i/>
                <w:iCs/>
                <w:sz w:val="16"/>
                <w:szCs w:val="18"/>
              </w:rPr>
              <w:t xml:space="preserve"> current</w:t>
            </w:r>
            <w:r w:rsidRPr="007119D4">
              <w:rPr>
                <w:i/>
                <w:iCs/>
                <w:sz w:val="16"/>
                <w:szCs w:val="18"/>
              </w:rPr>
              <w:t xml:space="preserve"> EL/RL/MIN number)</w:t>
            </w:r>
          </w:p>
        </w:tc>
        <w:tc>
          <w:tcPr>
            <w:tcW w:w="3264" w:type="pct"/>
            <w:tcBorders>
              <w:top w:val="single" w:sz="4" w:space="0" w:color="auto"/>
              <w:left w:val="single" w:sz="4" w:space="0" w:color="auto"/>
              <w:bottom w:val="single" w:sz="2" w:space="0" w:color="808080" w:themeColor="background1" w:themeShade="80"/>
              <w:right w:val="single" w:sz="4" w:space="0" w:color="auto"/>
            </w:tcBorders>
          </w:tcPr>
          <w:p w14:paraId="6C541EBA" w14:textId="77777777" w:rsidR="00F00A0F" w:rsidRDefault="00F00A0F" w:rsidP="00071AC0">
            <w:pPr>
              <w:pStyle w:val="CommentText"/>
              <w:rPr>
                <w:rFonts w:eastAsia="Times New Roman"/>
                <w:b/>
                <w:sz w:val="18"/>
                <w:szCs w:val="18"/>
                <w:lang w:eastAsia="en-AU"/>
              </w:rPr>
            </w:pPr>
          </w:p>
        </w:tc>
      </w:tr>
    </w:tbl>
    <w:p w14:paraId="14E767C0" w14:textId="77777777" w:rsidR="00F00A0F" w:rsidRPr="00A348D5" w:rsidRDefault="00F00A0F" w:rsidP="00A348D5">
      <w:pPr>
        <w:rPr>
          <w:bCs/>
          <w:color w:val="78BF42"/>
          <w:sz w:val="28"/>
          <w:szCs w:val="26"/>
        </w:rPr>
      </w:pPr>
      <w:r w:rsidRPr="00A348D5">
        <w:rPr>
          <w:bCs/>
          <w:color w:val="78BF42"/>
          <w:sz w:val="28"/>
          <w:szCs w:val="26"/>
        </w:rPr>
        <w:t>2. Competent Person Statement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130"/>
        <w:gridCol w:w="5886"/>
      </w:tblGrid>
      <w:tr w:rsidR="00F00A0F" w:rsidRPr="009575D5" w14:paraId="6C978989"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83EF9E" w14:textId="77777777" w:rsidR="00F00A0F" w:rsidRDefault="00F00A0F" w:rsidP="00071AC0">
            <w:pPr>
              <w:pStyle w:val="BodyText"/>
              <w:spacing w:before="20" w:after="20"/>
              <w:rPr>
                <w:sz w:val="18"/>
              </w:rPr>
            </w:pPr>
            <w:r>
              <w:rPr>
                <w:sz w:val="18"/>
              </w:rPr>
              <w:t xml:space="preserve">Competent Persons Statement </w:t>
            </w:r>
          </w:p>
          <w:p w14:paraId="3C8C4316" w14:textId="77777777" w:rsidR="00F00A0F" w:rsidRDefault="00F00A0F" w:rsidP="00071AC0">
            <w:pPr>
              <w:pStyle w:val="BodyText"/>
              <w:spacing w:before="20" w:after="20"/>
              <w:rPr>
                <w:sz w:val="18"/>
              </w:rPr>
            </w:pPr>
          </w:p>
          <w:p w14:paraId="6BF66FCB" w14:textId="77777777" w:rsidR="00F00A0F" w:rsidRPr="00C568F2" w:rsidRDefault="00F00A0F" w:rsidP="00071AC0">
            <w:pPr>
              <w:pStyle w:val="BodyText"/>
              <w:spacing w:before="20" w:after="20"/>
              <w:rPr>
                <w:i/>
                <w:sz w:val="16"/>
              </w:rPr>
            </w:pPr>
            <w:r w:rsidRPr="00C568F2">
              <w:rPr>
                <w:i/>
                <w:sz w:val="16"/>
              </w:rPr>
              <w:t>This statement should describe how the person is compliant with Regulation 12.</w:t>
            </w:r>
          </w:p>
          <w:p w14:paraId="682B9F8D" w14:textId="77777777" w:rsidR="00F00A0F" w:rsidRPr="00C568F2" w:rsidRDefault="00F00A0F" w:rsidP="00071AC0">
            <w:pPr>
              <w:pStyle w:val="BodyText"/>
              <w:spacing w:before="20" w:after="20"/>
              <w:rPr>
                <w:i/>
                <w:sz w:val="16"/>
              </w:rPr>
            </w:pPr>
          </w:p>
          <w:p w14:paraId="6C94D822" w14:textId="77777777" w:rsidR="00F00A0F" w:rsidRPr="009575D5" w:rsidRDefault="00F00A0F" w:rsidP="00071AC0">
            <w:pPr>
              <w:pStyle w:val="BodyText"/>
              <w:spacing w:before="20" w:after="20"/>
              <w:rPr>
                <w:sz w:val="18"/>
              </w:rPr>
            </w:pPr>
            <w:r w:rsidRPr="00C568F2">
              <w:rPr>
                <w:i/>
                <w:sz w:val="16"/>
              </w:rPr>
              <w:t xml:space="preserve">See Appendix 3 of the JORC Code for an </w:t>
            </w:r>
            <w:r>
              <w:rPr>
                <w:i/>
                <w:sz w:val="16"/>
              </w:rPr>
              <w:t>a</w:t>
            </w:r>
            <w:r w:rsidRPr="00C568F2">
              <w:rPr>
                <w:i/>
                <w:sz w:val="16"/>
              </w:rPr>
              <w:t>cceptable format.</w:t>
            </w:r>
          </w:p>
        </w:tc>
        <w:tc>
          <w:tcPr>
            <w:tcW w:w="3264" w:type="pct"/>
            <w:tcBorders>
              <w:top w:val="single" w:sz="4" w:space="0" w:color="auto"/>
              <w:left w:val="single" w:sz="4" w:space="0" w:color="auto"/>
              <w:bottom w:val="single" w:sz="4" w:space="0" w:color="auto"/>
              <w:right w:val="single" w:sz="4" w:space="0" w:color="auto"/>
            </w:tcBorders>
          </w:tcPr>
          <w:p w14:paraId="2534907B" w14:textId="77777777" w:rsidR="00F00A0F" w:rsidRPr="009575D5" w:rsidRDefault="00F00A0F" w:rsidP="00071AC0">
            <w:pPr>
              <w:pStyle w:val="BodyText"/>
              <w:spacing w:before="20" w:after="20"/>
              <w:rPr>
                <w:sz w:val="18"/>
              </w:rPr>
            </w:pPr>
            <w:r>
              <w:rPr>
                <w:sz w:val="18"/>
              </w:rPr>
              <w:fldChar w:fldCharType="begin">
                <w:ffData>
                  <w:name w:val=""/>
                  <w:enabled/>
                  <w:calcOnExit w:val="0"/>
                  <w:statusText w:type="text" w:val="Competent Persons Statement (see Appendix 3 of the JORC Cod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14:paraId="0C843838" w14:textId="77777777" w:rsidR="00F00A0F" w:rsidRPr="00A348D5" w:rsidRDefault="00F00A0F" w:rsidP="00A348D5">
      <w:pPr>
        <w:rPr>
          <w:bCs/>
          <w:color w:val="78BF42"/>
          <w:sz w:val="28"/>
          <w:szCs w:val="26"/>
        </w:rPr>
      </w:pPr>
      <w:r w:rsidRPr="00A348D5">
        <w:rPr>
          <w:bCs/>
          <w:color w:val="78BF42"/>
          <w:sz w:val="28"/>
          <w:szCs w:val="26"/>
        </w:rPr>
        <w:t>3. Competent Person Contact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379"/>
        <w:gridCol w:w="6639"/>
      </w:tblGrid>
      <w:tr w:rsidR="00F00A0F" w:rsidRPr="009575D5" w14:paraId="591A5014" w14:textId="77777777" w:rsidTr="00071AC0">
        <w:trPr>
          <w:cantSplit/>
          <w:trHeight w:val="340"/>
        </w:trPr>
        <w:tc>
          <w:tcPr>
            <w:tcW w:w="13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6D821A" w14:textId="77777777" w:rsidR="00F00A0F" w:rsidRPr="009575D5" w:rsidRDefault="00F00A0F" w:rsidP="00071AC0">
            <w:pPr>
              <w:pStyle w:val="BodyText"/>
              <w:spacing w:before="20" w:after="20"/>
              <w:rPr>
                <w:sz w:val="18"/>
              </w:rPr>
            </w:pPr>
            <w:r w:rsidRPr="002F168F">
              <w:rPr>
                <w:sz w:val="18"/>
              </w:rPr>
              <w:t>Name:</w:t>
            </w:r>
          </w:p>
        </w:tc>
        <w:tc>
          <w:tcPr>
            <w:tcW w:w="3681" w:type="pct"/>
            <w:tcBorders>
              <w:top w:val="single" w:sz="4" w:space="0" w:color="auto"/>
              <w:left w:val="single" w:sz="4" w:space="0" w:color="auto"/>
              <w:bottom w:val="single" w:sz="2" w:space="0" w:color="808080" w:themeColor="background1" w:themeShade="80"/>
              <w:right w:val="single" w:sz="2" w:space="0" w:color="808080" w:themeColor="background1" w:themeShade="80"/>
            </w:tcBorders>
          </w:tcPr>
          <w:p w14:paraId="4F24FD68" w14:textId="77777777" w:rsidR="00F00A0F" w:rsidRPr="009575D5" w:rsidRDefault="00F00A0F" w:rsidP="00071AC0">
            <w:pPr>
              <w:pStyle w:val="BodyText"/>
              <w:spacing w:before="20" w:after="20"/>
              <w:rPr>
                <w:sz w:val="18"/>
              </w:rPr>
            </w:pPr>
            <w:r>
              <w:rPr>
                <w:sz w:val="18"/>
              </w:rPr>
              <w:fldChar w:fldCharType="begin">
                <w:ffData>
                  <w:name w:val=""/>
                  <w:enabled/>
                  <w:calcOnExit w:val="0"/>
                  <w:statusText w:type="text" w:val="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00A0F" w:rsidRPr="009575D5" w14:paraId="2FFE7797" w14:textId="77777777" w:rsidTr="00071AC0">
        <w:trPr>
          <w:cantSplit/>
          <w:trHeight w:val="340"/>
        </w:trPr>
        <w:tc>
          <w:tcPr>
            <w:tcW w:w="13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EEC2D" w14:textId="77777777" w:rsidR="00F00A0F" w:rsidRPr="009575D5" w:rsidRDefault="00F00A0F" w:rsidP="00071AC0">
            <w:pPr>
              <w:pStyle w:val="BodyText"/>
              <w:spacing w:before="20" w:after="20"/>
              <w:rPr>
                <w:sz w:val="18"/>
              </w:rPr>
            </w:pPr>
            <w:r>
              <w:rPr>
                <w:sz w:val="18"/>
              </w:rPr>
              <w:t>Address</w:t>
            </w:r>
            <w:r w:rsidRPr="002F168F">
              <w:rPr>
                <w:sz w:val="18"/>
              </w:rPr>
              <w:t>:</w:t>
            </w:r>
          </w:p>
        </w:tc>
        <w:tc>
          <w:tcPr>
            <w:tcW w:w="3681" w:type="pct"/>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5D375D2D" w14:textId="77777777" w:rsidR="00F00A0F" w:rsidRPr="009575D5" w:rsidRDefault="00F00A0F" w:rsidP="00071AC0">
            <w:pPr>
              <w:pStyle w:val="BodyText"/>
              <w:spacing w:before="20" w:after="20"/>
              <w:rPr>
                <w:sz w:val="18"/>
              </w:rPr>
            </w:pPr>
            <w:r>
              <w:rPr>
                <w:sz w:val="18"/>
              </w:rPr>
              <w:fldChar w:fldCharType="begin">
                <w:ffData>
                  <w:name w:val=""/>
                  <w:enabled/>
                  <w:calcOnExit w:val="0"/>
                  <w:statusText w:type="text" w:val="Address"/>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00A0F" w:rsidRPr="009575D5" w14:paraId="36C44E2A" w14:textId="77777777" w:rsidTr="00071AC0">
        <w:trPr>
          <w:cantSplit/>
          <w:trHeight w:val="367"/>
        </w:trPr>
        <w:tc>
          <w:tcPr>
            <w:tcW w:w="13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EB971" w14:textId="77777777" w:rsidR="00F00A0F" w:rsidRPr="009575D5" w:rsidRDefault="00F00A0F" w:rsidP="00071AC0">
            <w:pPr>
              <w:pStyle w:val="BodyText"/>
              <w:spacing w:before="20" w:after="20"/>
              <w:rPr>
                <w:sz w:val="18"/>
              </w:rPr>
            </w:pPr>
            <w:r>
              <w:rPr>
                <w:sz w:val="18"/>
              </w:rPr>
              <w:t>Email</w:t>
            </w:r>
            <w:r w:rsidRPr="002F168F">
              <w:rPr>
                <w:sz w:val="18"/>
              </w:rPr>
              <w:t>:</w:t>
            </w:r>
          </w:p>
        </w:tc>
        <w:tc>
          <w:tcPr>
            <w:tcW w:w="3681" w:type="pct"/>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115CF8DF" w14:textId="77777777" w:rsidR="00F00A0F" w:rsidRPr="009575D5" w:rsidRDefault="00F00A0F" w:rsidP="00071AC0">
            <w:pPr>
              <w:pStyle w:val="BodyText"/>
              <w:spacing w:before="20" w:after="20"/>
              <w:rPr>
                <w:sz w:val="18"/>
              </w:rPr>
            </w:pPr>
            <w:r>
              <w:rPr>
                <w:sz w:val="18"/>
              </w:rPr>
              <w:fldChar w:fldCharType="begin">
                <w:ffData>
                  <w:name w:val=""/>
                  <w:enabled/>
                  <w:calcOnExit w:val="0"/>
                  <w:statusText w:type="text" w:val="Email"/>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00A0F" w:rsidRPr="009575D5" w14:paraId="09CDF41F" w14:textId="77777777" w:rsidTr="00071AC0">
        <w:trPr>
          <w:cantSplit/>
          <w:trHeight w:val="340"/>
        </w:trPr>
        <w:tc>
          <w:tcPr>
            <w:tcW w:w="13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78238" w14:textId="77777777" w:rsidR="00F00A0F" w:rsidRPr="009575D5" w:rsidRDefault="00F00A0F" w:rsidP="00071AC0">
            <w:pPr>
              <w:pStyle w:val="BodyText"/>
              <w:spacing w:before="20" w:after="20"/>
              <w:rPr>
                <w:sz w:val="18"/>
              </w:rPr>
            </w:pPr>
            <w:r>
              <w:rPr>
                <w:sz w:val="18"/>
              </w:rPr>
              <w:t>Phone:</w:t>
            </w:r>
          </w:p>
        </w:tc>
        <w:tc>
          <w:tcPr>
            <w:tcW w:w="3681" w:type="pct"/>
            <w:tcBorders>
              <w:top w:val="single" w:sz="2" w:space="0" w:color="808080" w:themeColor="background1" w:themeShade="80"/>
              <w:left w:val="single" w:sz="4" w:space="0" w:color="auto"/>
              <w:bottom w:val="single" w:sz="2" w:space="0" w:color="808080" w:themeColor="background1" w:themeShade="80"/>
              <w:right w:val="single" w:sz="2" w:space="0" w:color="808080" w:themeColor="background1" w:themeShade="80"/>
            </w:tcBorders>
          </w:tcPr>
          <w:p w14:paraId="694B5377" w14:textId="77777777" w:rsidR="00F00A0F" w:rsidRPr="009575D5" w:rsidRDefault="00F00A0F" w:rsidP="00071AC0">
            <w:pPr>
              <w:pStyle w:val="BodyText"/>
              <w:spacing w:before="20" w:after="20"/>
              <w:rPr>
                <w:sz w:val="18"/>
              </w:rPr>
            </w:pPr>
            <w:r>
              <w:rPr>
                <w:sz w:val="18"/>
              </w:rPr>
              <w:fldChar w:fldCharType="begin">
                <w:ffData>
                  <w:name w:val=""/>
                  <w:enabled/>
                  <w:calcOnExit w:val="0"/>
                  <w:statusText w:type="text" w:val="Phon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00A0F" w:rsidRPr="009575D5" w14:paraId="49D01B43" w14:textId="77777777" w:rsidTr="00071AC0">
        <w:trPr>
          <w:cantSplit/>
          <w:trHeight w:val="1403"/>
        </w:trPr>
        <w:tc>
          <w:tcPr>
            <w:tcW w:w="131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D1AEE5A" w14:textId="77777777" w:rsidR="00F00A0F" w:rsidRDefault="00F00A0F" w:rsidP="00071AC0">
            <w:pPr>
              <w:pStyle w:val="BodyText"/>
              <w:spacing w:before="20" w:after="20"/>
              <w:rPr>
                <w:sz w:val="18"/>
              </w:rPr>
            </w:pPr>
            <w:r>
              <w:rPr>
                <w:sz w:val="18"/>
              </w:rPr>
              <w:t>Competent Person signature:</w:t>
            </w:r>
          </w:p>
        </w:tc>
        <w:tc>
          <w:tcPr>
            <w:tcW w:w="3681" w:type="pct"/>
            <w:tcBorders>
              <w:top w:val="single" w:sz="2" w:space="0" w:color="808080" w:themeColor="background1" w:themeShade="80"/>
              <w:left w:val="single" w:sz="4" w:space="0" w:color="auto"/>
              <w:bottom w:val="single" w:sz="4" w:space="0" w:color="auto"/>
              <w:right w:val="single" w:sz="2" w:space="0" w:color="808080" w:themeColor="background1" w:themeShade="80"/>
            </w:tcBorders>
          </w:tcPr>
          <w:p w14:paraId="4D36C929" w14:textId="77777777" w:rsidR="00F00A0F" w:rsidRDefault="00F00A0F" w:rsidP="00071AC0">
            <w:pPr>
              <w:pStyle w:val="BodyText"/>
              <w:spacing w:before="20" w:after="20"/>
              <w:rPr>
                <w:sz w:val="18"/>
              </w:rPr>
            </w:pPr>
          </w:p>
        </w:tc>
      </w:tr>
    </w:tbl>
    <w:p w14:paraId="04B5D002" w14:textId="77777777" w:rsidR="007C6982" w:rsidRDefault="007C6982" w:rsidP="00A348D5">
      <w:pPr>
        <w:rPr>
          <w:bCs/>
          <w:color w:val="78BF42"/>
          <w:sz w:val="28"/>
          <w:szCs w:val="26"/>
        </w:rPr>
      </w:pPr>
    </w:p>
    <w:p w14:paraId="4FB2AC5C" w14:textId="34AA4F6D" w:rsidR="00F00A0F" w:rsidRPr="00A348D5" w:rsidRDefault="00F00A0F" w:rsidP="00A348D5">
      <w:pPr>
        <w:rPr>
          <w:bCs/>
          <w:color w:val="78BF42"/>
          <w:sz w:val="28"/>
          <w:szCs w:val="26"/>
        </w:rPr>
      </w:pPr>
      <w:r w:rsidRPr="00A348D5">
        <w:rPr>
          <w:bCs/>
          <w:color w:val="78BF42"/>
          <w:sz w:val="28"/>
          <w:szCs w:val="26"/>
        </w:rPr>
        <w:lastRenderedPageBreak/>
        <w:t>4. Description of the Mineral Resource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3130"/>
        <w:gridCol w:w="5886"/>
      </w:tblGrid>
      <w:tr w:rsidR="00F00A0F" w:rsidRPr="009575D5" w14:paraId="4F519A2D"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8B2928" w14:textId="77777777" w:rsidR="00F00A0F" w:rsidRDefault="00F00A0F" w:rsidP="00071AC0">
            <w:pPr>
              <w:pStyle w:val="BodyText"/>
              <w:spacing w:before="20" w:after="20"/>
              <w:rPr>
                <w:sz w:val="18"/>
              </w:rPr>
            </w:pPr>
            <w:r>
              <w:rPr>
                <w:sz w:val="18"/>
              </w:rPr>
              <w:t>Mineral Resource Inventory</w:t>
            </w:r>
          </w:p>
          <w:p w14:paraId="39B68DF1" w14:textId="77777777" w:rsidR="00F00A0F" w:rsidRDefault="00F00A0F" w:rsidP="00071AC0">
            <w:pPr>
              <w:pStyle w:val="BodyText"/>
              <w:spacing w:before="20" w:after="20"/>
              <w:rPr>
                <w:sz w:val="18"/>
              </w:rPr>
            </w:pPr>
          </w:p>
          <w:p w14:paraId="2B70290C" w14:textId="77777777" w:rsidR="00F00A0F" w:rsidRPr="00C568F2" w:rsidRDefault="00F00A0F" w:rsidP="00071AC0">
            <w:pPr>
              <w:pStyle w:val="BodyText"/>
              <w:spacing w:before="20" w:after="20"/>
              <w:rPr>
                <w:i/>
                <w:sz w:val="16"/>
              </w:rPr>
            </w:pPr>
            <w:r w:rsidRPr="00C568F2">
              <w:rPr>
                <w:i/>
                <w:sz w:val="16"/>
              </w:rPr>
              <w:t xml:space="preserve">This should </w:t>
            </w:r>
            <w:r>
              <w:rPr>
                <w:i/>
                <w:sz w:val="16"/>
              </w:rPr>
              <w:t>take the format of an amount (tonnage) and quality (grade) for a contained mineral</w:t>
            </w:r>
          </w:p>
          <w:p w14:paraId="08E38AAD" w14:textId="77777777" w:rsidR="00F00A0F" w:rsidRPr="00C568F2" w:rsidRDefault="00F00A0F" w:rsidP="00071AC0">
            <w:pPr>
              <w:pStyle w:val="BodyText"/>
              <w:spacing w:before="20" w:after="20"/>
              <w:rPr>
                <w:i/>
                <w:sz w:val="16"/>
              </w:rPr>
            </w:pPr>
          </w:p>
          <w:p w14:paraId="1C4BD61B" w14:textId="77777777" w:rsidR="00F00A0F" w:rsidRPr="009575D5" w:rsidRDefault="00F00A0F" w:rsidP="00071AC0">
            <w:pPr>
              <w:pStyle w:val="BodyText"/>
              <w:spacing w:before="20" w:after="20"/>
              <w:rPr>
                <w:sz w:val="18"/>
              </w:rPr>
            </w:pPr>
            <w:r w:rsidRPr="00C568F2">
              <w:rPr>
                <w:i/>
                <w:sz w:val="16"/>
              </w:rPr>
              <w:t xml:space="preserve">See Appendix 3 of the JORC Code for an </w:t>
            </w:r>
            <w:r>
              <w:rPr>
                <w:i/>
                <w:sz w:val="16"/>
              </w:rPr>
              <w:t>a</w:t>
            </w:r>
            <w:r w:rsidRPr="00C568F2">
              <w:rPr>
                <w:i/>
                <w:sz w:val="16"/>
              </w:rPr>
              <w:t>cceptable format.</w:t>
            </w:r>
          </w:p>
        </w:tc>
        <w:tc>
          <w:tcPr>
            <w:tcW w:w="3264" w:type="pct"/>
            <w:tcBorders>
              <w:top w:val="single" w:sz="4" w:space="0" w:color="auto"/>
              <w:left w:val="single" w:sz="4" w:space="0" w:color="auto"/>
              <w:bottom w:val="single" w:sz="4" w:space="0" w:color="auto"/>
              <w:right w:val="single" w:sz="4" w:space="0" w:color="auto"/>
            </w:tcBorders>
          </w:tcPr>
          <w:p w14:paraId="246199AF" w14:textId="77777777" w:rsidR="00F00A0F" w:rsidRPr="009575D5" w:rsidRDefault="00F00A0F" w:rsidP="00071AC0">
            <w:pPr>
              <w:pStyle w:val="BodyText"/>
              <w:spacing w:before="20" w:after="20"/>
              <w:rPr>
                <w:sz w:val="18"/>
              </w:rPr>
            </w:pPr>
            <w:r>
              <w:rPr>
                <w:sz w:val="18"/>
              </w:rPr>
              <w:fldChar w:fldCharType="begin">
                <w:ffData>
                  <w:name w:val=""/>
                  <w:enabled/>
                  <w:calcOnExit w:val="0"/>
                  <w:statusText w:type="text" w:val="Competent Persons Statement (see Appendix 3 of the JORC Cod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F00A0F" w:rsidRPr="009575D5" w14:paraId="68A8FA9E"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9494C1" w14:textId="77777777" w:rsidR="00F00A0F" w:rsidRDefault="00F00A0F" w:rsidP="00071AC0">
            <w:pPr>
              <w:pStyle w:val="BodyText"/>
              <w:spacing w:before="20" w:after="20"/>
              <w:rPr>
                <w:sz w:val="18"/>
              </w:rPr>
            </w:pPr>
            <w:r>
              <w:rPr>
                <w:sz w:val="18"/>
              </w:rPr>
              <w:t>Mineral Resource Classification</w:t>
            </w:r>
          </w:p>
          <w:p w14:paraId="471B72E0" w14:textId="77777777" w:rsidR="00F00A0F" w:rsidRDefault="00F00A0F" w:rsidP="00071AC0">
            <w:pPr>
              <w:pStyle w:val="BodyText"/>
              <w:spacing w:before="20" w:after="20"/>
              <w:rPr>
                <w:sz w:val="18"/>
              </w:rPr>
            </w:pPr>
          </w:p>
          <w:p w14:paraId="0312CF26" w14:textId="77777777" w:rsidR="00F00A0F" w:rsidRDefault="00F00A0F" w:rsidP="00071AC0">
            <w:pPr>
              <w:pStyle w:val="BodyText"/>
              <w:spacing w:before="20" w:after="20"/>
              <w:rPr>
                <w:sz w:val="18"/>
              </w:rPr>
            </w:pPr>
          </w:p>
        </w:tc>
        <w:tc>
          <w:tcPr>
            <w:tcW w:w="3264" w:type="pct"/>
            <w:tcBorders>
              <w:top w:val="single" w:sz="4" w:space="0" w:color="auto"/>
              <w:left w:val="single" w:sz="4" w:space="0" w:color="auto"/>
              <w:bottom w:val="single" w:sz="4" w:space="0" w:color="auto"/>
              <w:right w:val="single" w:sz="4" w:space="0" w:color="auto"/>
            </w:tcBorders>
          </w:tcPr>
          <w:p w14:paraId="03A19B22" w14:textId="77777777" w:rsidR="00F00A0F"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
                  <w:enabled/>
                  <w:calcOnExit w:val="0"/>
                  <w:statusText w:type="text" w:val="Inferred"/>
                  <w:checkBox>
                    <w:sizeAuto/>
                    <w:default w:val="0"/>
                  </w:checkBox>
                </w:ffData>
              </w:fldChar>
            </w:r>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Inferred </w:t>
            </w:r>
            <w:r w:rsidRPr="00804EAA">
              <w:rPr>
                <w:rFonts w:eastAsia="Times New Roman"/>
                <w:sz w:val="18"/>
                <w:szCs w:val="18"/>
                <w:lang w:eastAsia="en-AU"/>
              </w:rPr>
              <w:t>(minimum required for Retention licence application)</w:t>
            </w:r>
          </w:p>
          <w:p w14:paraId="69C90EEA" w14:textId="77777777" w:rsidR="00F00A0F" w:rsidRDefault="00F00A0F" w:rsidP="00071AC0">
            <w:pPr>
              <w:pStyle w:val="BodyText"/>
              <w:spacing w:before="20" w:after="20"/>
              <w:rPr>
                <w:rFonts w:eastAsia="Times New Roman"/>
                <w:b/>
                <w:sz w:val="18"/>
                <w:szCs w:val="18"/>
                <w:lang w:eastAsia="en-AU"/>
              </w:rPr>
            </w:pPr>
          </w:p>
          <w:p w14:paraId="614E143E" w14:textId="77777777" w:rsidR="00F00A0F"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
                  <w:enabled/>
                  <w:calcOnExit w:val="0"/>
                  <w:statusText w:type="text" w:val="Indicated"/>
                  <w:checkBox>
                    <w:sizeAuto/>
                    <w:default w:val="0"/>
                  </w:checkBox>
                </w:ffData>
              </w:fldChar>
            </w:r>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Indicated </w:t>
            </w:r>
            <w:r w:rsidRPr="00804EAA">
              <w:rPr>
                <w:rFonts w:eastAsia="Times New Roman"/>
                <w:sz w:val="18"/>
                <w:szCs w:val="18"/>
                <w:lang w:eastAsia="en-AU"/>
              </w:rPr>
              <w:t>(minimum required for Mining licence application)</w:t>
            </w:r>
          </w:p>
          <w:p w14:paraId="0B6B7900" w14:textId="77777777" w:rsidR="00F00A0F" w:rsidRDefault="00F00A0F" w:rsidP="00071AC0">
            <w:pPr>
              <w:pStyle w:val="BodyText"/>
              <w:spacing w:before="20" w:after="20"/>
              <w:rPr>
                <w:rFonts w:eastAsia="Times New Roman"/>
                <w:b/>
                <w:sz w:val="18"/>
                <w:szCs w:val="18"/>
                <w:lang w:eastAsia="en-AU"/>
              </w:rPr>
            </w:pPr>
          </w:p>
          <w:p w14:paraId="350DACBF" w14:textId="77777777" w:rsidR="00F00A0F" w:rsidRPr="00E82301"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
                  <w:enabled/>
                  <w:calcOnExit w:val="0"/>
                  <w:statusText w:type="text" w:val="Measured"/>
                  <w:checkBox>
                    <w:sizeAuto/>
                    <w:default w:val="0"/>
                  </w:checkBox>
                </w:ffData>
              </w:fldChar>
            </w:r>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Measured</w:t>
            </w:r>
          </w:p>
        </w:tc>
      </w:tr>
      <w:tr w:rsidR="00F00A0F" w:rsidRPr="009575D5" w14:paraId="1A0C64F7"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37A6F" w14:textId="77777777" w:rsidR="00F00A0F" w:rsidRDefault="00F00A0F" w:rsidP="00071AC0">
            <w:pPr>
              <w:pStyle w:val="BodyText"/>
              <w:spacing w:before="20" w:after="20"/>
              <w:rPr>
                <w:i/>
                <w:sz w:val="16"/>
              </w:rPr>
            </w:pPr>
            <w:r>
              <w:rPr>
                <w:sz w:val="18"/>
              </w:rPr>
              <w:t>Reasonable Prospects of Economic Extraction</w:t>
            </w:r>
            <w:r>
              <w:rPr>
                <w:i/>
                <w:sz w:val="16"/>
              </w:rPr>
              <w:t xml:space="preserve"> </w:t>
            </w:r>
          </w:p>
          <w:p w14:paraId="5B9CB18A" w14:textId="77777777" w:rsidR="00F00A0F" w:rsidRDefault="00F00A0F" w:rsidP="00071AC0">
            <w:pPr>
              <w:pStyle w:val="BodyText"/>
              <w:spacing w:before="20" w:after="20"/>
              <w:rPr>
                <w:i/>
                <w:sz w:val="16"/>
              </w:rPr>
            </w:pPr>
          </w:p>
          <w:p w14:paraId="2553E456" w14:textId="77777777" w:rsidR="00F00A0F" w:rsidRDefault="00F00A0F" w:rsidP="00071AC0">
            <w:pPr>
              <w:pStyle w:val="BodyText"/>
              <w:spacing w:before="20" w:after="20"/>
              <w:rPr>
                <w:sz w:val="18"/>
              </w:rPr>
            </w:pPr>
            <w:r>
              <w:rPr>
                <w:i/>
                <w:sz w:val="16"/>
              </w:rPr>
              <w:t>See clause 20 of the JORC code for further information.</w:t>
            </w:r>
          </w:p>
        </w:tc>
        <w:tc>
          <w:tcPr>
            <w:tcW w:w="3264" w:type="pct"/>
            <w:tcBorders>
              <w:top w:val="single" w:sz="4" w:space="0" w:color="auto"/>
              <w:left w:val="single" w:sz="4" w:space="0" w:color="auto"/>
              <w:bottom w:val="single" w:sz="4" w:space="0" w:color="auto"/>
              <w:right w:val="single" w:sz="4" w:space="0" w:color="auto"/>
            </w:tcBorders>
          </w:tcPr>
          <w:p w14:paraId="1E6B6B9F" w14:textId="77777777" w:rsidR="00F00A0F"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
                  <w:enabled/>
                  <w:calcOnExit w:val="0"/>
                  <w:statusText w:type="text" w:val="Reasonable prospects of economic extraction acknowledgement"/>
                  <w:checkBox>
                    <w:sizeAuto/>
                    <w:default w:val="0"/>
                  </w:checkBox>
                </w:ffData>
              </w:fldChar>
            </w:r>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w:t>
            </w:r>
            <w:r w:rsidRPr="00E82301">
              <w:rPr>
                <w:rFonts w:eastAsia="Times New Roman"/>
                <w:sz w:val="18"/>
                <w:szCs w:val="18"/>
                <w:lang w:eastAsia="en-AU"/>
              </w:rPr>
              <w:t xml:space="preserve">As a Competent Person I acknowledge that by reporting a mineral resource I believe there is a reasonable prospect of eventual economic extraction of the mineral </w:t>
            </w:r>
            <w:r>
              <w:rPr>
                <w:rFonts w:eastAsia="Times New Roman"/>
                <w:sz w:val="18"/>
                <w:szCs w:val="18"/>
                <w:lang w:eastAsia="en-AU"/>
              </w:rPr>
              <w:t xml:space="preserve">from the described resource </w:t>
            </w:r>
            <w:r w:rsidRPr="00E82301">
              <w:rPr>
                <w:rFonts w:eastAsia="Times New Roman"/>
                <w:sz w:val="18"/>
                <w:szCs w:val="18"/>
                <w:lang w:eastAsia="en-AU"/>
              </w:rPr>
              <w:t>and have discussed the basis for this assumption within the attached report.</w:t>
            </w:r>
          </w:p>
        </w:tc>
      </w:tr>
      <w:tr w:rsidR="00F00A0F" w:rsidRPr="009575D5" w14:paraId="70808F58" w14:textId="77777777" w:rsidTr="00071AC0">
        <w:trPr>
          <w:cantSplit/>
          <w:trHeight w:val="340"/>
        </w:trPr>
        <w:tc>
          <w:tcPr>
            <w:tcW w:w="173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8A2607" w14:textId="77777777" w:rsidR="00F00A0F" w:rsidRDefault="00F00A0F" w:rsidP="00071AC0">
            <w:pPr>
              <w:pStyle w:val="BodyText"/>
              <w:spacing w:before="20" w:after="20"/>
              <w:rPr>
                <w:sz w:val="18"/>
              </w:rPr>
            </w:pPr>
            <w:r>
              <w:rPr>
                <w:sz w:val="18"/>
              </w:rPr>
              <w:t>Table 1, Sections 1 through 3 of the JORC Code</w:t>
            </w:r>
          </w:p>
        </w:tc>
        <w:tc>
          <w:tcPr>
            <w:tcW w:w="3264" w:type="pct"/>
            <w:tcBorders>
              <w:top w:val="single" w:sz="4" w:space="0" w:color="auto"/>
              <w:left w:val="single" w:sz="4" w:space="0" w:color="auto"/>
              <w:bottom w:val="single" w:sz="4" w:space="0" w:color="auto"/>
              <w:right w:val="single" w:sz="4" w:space="0" w:color="auto"/>
            </w:tcBorders>
          </w:tcPr>
          <w:p w14:paraId="16E1D3A1" w14:textId="3C9426EA" w:rsidR="00F00A0F" w:rsidRDefault="00F00A0F" w:rsidP="00071AC0">
            <w:pPr>
              <w:pStyle w:val="BodyText"/>
              <w:spacing w:before="20" w:after="20"/>
              <w:rPr>
                <w:rFonts w:eastAsia="Times New Roman"/>
                <w:b/>
                <w:sz w:val="18"/>
                <w:szCs w:val="18"/>
                <w:lang w:eastAsia="en-AU"/>
              </w:rPr>
            </w:pPr>
            <w:r>
              <w:rPr>
                <w:rFonts w:eastAsia="Times New Roman"/>
                <w:b/>
                <w:sz w:val="18"/>
                <w:szCs w:val="18"/>
                <w:lang w:eastAsia="en-AU"/>
              </w:rPr>
              <w:fldChar w:fldCharType="begin">
                <w:ffData>
                  <w:name w:val=""/>
                  <w:enabled/>
                  <w:calcOnExit w:val="0"/>
                  <w:statusText w:type="text" w:val="Reasonable prospects of economic extraction acknowledgement"/>
                  <w:checkBox>
                    <w:sizeAuto/>
                    <w:default w:val="0"/>
                  </w:checkBox>
                </w:ffData>
              </w:fldChar>
            </w:r>
            <w:r>
              <w:rPr>
                <w:rFonts w:eastAsia="Times New Roman"/>
                <w:b/>
                <w:sz w:val="18"/>
                <w:szCs w:val="18"/>
                <w:lang w:eastAsia="en-AU"/>
              </w:rPr>
              <w:instrText xml:space="preserve"> FORMCHECKBOX </w:instrText>
            </w:r>
            <w:r w:rsidR="00F47AD1">
              <w:rPr>
                <w:rFonts w:eastAsia="Times New Roman"/>
                <w:b/>
                <w:sz w:val="18"/>
                <w:szCs w:val="18"/>
                <w:lang w:eastAsia="en-AU"/>
              </w:rPr>
            </w:r>
            <w:r w:rsidR="00F47AD1">
              <w:rPr>
                <w:rFonts w:eastAsia="Times New Roman"/>
                <w:b/>
                <w:sz w:val="18"/>
                <w:szCs w:val="18"/>
                <w:lang w:eastAsia="en-AU"/>
              </w:rPr>
              <w:fldChar w:fldCharType="separate"/>
            </w:r>
            <w:r>
              <w:rPr>
                <w:rFonts w:eastAsia="Times New Roman"/>
                <w:b/>
                <w:sz w:val="18"/>
                <w:szCs w:val="18"/>
                <w:lang w:eastAsia="en-AU"/>
              </w:rPr>
              <w:fldChar w:fldCharType="end"/>
            </w:r>
            <w:r>
              <w:rPr>
                <w:rFonts w:eastAsia="Times New Roman"/>
                <w:b/>
                <w:sz w:val="18"/>
                <w:szCs w:val="18"/>
                <w:lang w:eastAsia="en-AU"/>
              </w:rPr>
              <w:t xml:space="preserve"> </w:t>
            </w:r>
            <w:r w:rsidR="00204592" w:rsidRPr="00196CFF">
              <w:rPr>
                <w:rFonts w:eastAsia="Times New Roman"/>
                <w:bCs/>
                <w:sz w:val="18"/>
                <w:szCs w:val="18"/>
                <w:lang w:eastAsia="en-AU"/>
              </w:rPr>
              <w:t>S</w:t>
            </w:r>
            <w:r w:rsidR="00204592">
              <w:rPr>
                <w:rFonts w:eastAsia="Times New Roman"/>
                <w:bCs/>
                <w:sz w:val="18"/>
                <w:szCs w:val="18"/>
                <w:lang w:eastAsia="en-AU"/>
              </w:rPr>
              <w:t>u</w:t>
            </w:r>
            <w:r w:rsidR="00204592" w:rsidRPr="00196CFF">
              <w:rPr>
                <w:rFonts w:eastAsia="Times New Roman"/>
                <w:bCs/>
                <w:sz w:val="18"/>
                <w:szCs w:val="18"/>
                <w:lang w:eastAsia="en-AU"/>
              </w:rPr>
              <w:t>pporting</w:t>
            </w:r>
            <w:r w:rsidRPr="00196CFF">
              <w:rPr>
                <w:rFonts w:eastAsia="Times New Roman"/>
                <w:bCs/>
                <w:sz w:val="18"/>
                <w:szCs w:val="18"/>
                <w:lang w:eastAsia="en-AU"/>
              </w:rPr>
              <w:t xml:space="preserve"> information regarding the mineral resource is provided in</w:t>
            </w:r>
            <w:r>
              <w:rPr>
                <w:rFonts w:eastAsia="Times New Roman"/>
                <w:b/>
                <w:sz w:val="18"/>
                <w:szCs w:val="18"/>
                <w:lang w:eastAsia="en-AU"/>
              </w:rPr>
              <w:t xml:space="preserve"> </w:t>
            </w:r>
            <w:r w:rsidRPr="00196CFF">
              <w:rPr>
                <w:rFonts w:eastAsia="Times New Roman"/>
                <w:bCs/>
                <w:sz w:val="18"/>
                <w:szCs w:val="18"/>
                <w:lang w:eastAsia="en-AU"/>
              </w:rPr>
              <w:t xml:space="preserve">JORC table 1, sections 1 through 3 </w:t>
            </w:r>
            <w:r>
              <w:rPr>
                <w:rFonts w:eastAsia="Times New Roman"/>
                <w:bCs/>
                <w:sz w:val="18"/>
                <w:szCs w:val="18"/>
                <w:lang w:eastAsia="en-AU"/>
              </w:rPr>
              <w:t xml:space="preserve">in the attached report and </w:t>
            </w:r>
            <w:r w:rsidRPr="00196CFF">
              <w:rPr>
                <w:rFonts w:eastAsia="Times New Roman"/>
                <w:bCs/>
                <w:sz w:val="18"/>
                <w:szCs w:val="18"/>
                <w:lang w:eastAsia="en-AU"/>
              </w:rPr>
              <w:t xml:space="preserve">is addressed </w:t>
            </w:r>
            <w:r w:rsidRPr="000E3214">
              <w:rPr>
                <w:rFonts w:eastAsia="Times New Roman"/>
                <w:bCs/>
                <w:sz w:val="18"/>
                <w:szCs w:val="18"/>
                <w:lang w:eastAsia="en-AU"/>
              </w:rPr>
              <w:t>on an ‘if not, why not’ basis</w:t>
            </w:r>
            <w:r>
              <w:rPr>
                <w:rFonts w:eastAsia="Times New Roman"/>
                <w:bCs/>
                <w:sz w:val="18"/>
                <w:szCs w:val="18"/>
                <w:lang w:eastAsia="en-AU"/>
              </w:rPr>
              <w:t>.</w:t>
            </w:r>
          </w:p>
        </w:tc>
      </w:tr>
    </w:tbl>
    <w:p w14:paraId="381C52B3" w14:textId="2C2BE704" w:rsidR="005B13FB" w:rsidRPr="00885838" w:rsidRDefault="005B13FB" w:rsidP="00885838">
      <w:pPr>
        <w:rPr>
          <w:bCs/>
          <w:color w:val="78BF42"/>
          <w:sz w:val="28"/>
          <w:szCs w:val="26"/>
        </w:rPr>
      </w:pPr>
      <w:bookmarkStart w:id="31" w:name="_Toc45549061"/>
      <w:r w:rsidRPr="00885838">
        <w:rPr>
          <w:bCs/>
          <w:color w:val="78BF42"/>
          <w:sz w:val="28"/>
          <w:szCs w:val="26"/>
        </w:rPr>
        <w:t>5.</w:t>
      </w:r>
      <w:r w:rsidR="003B79A2" w:rsidRPr="00885838">
        <w:rPr>
          <w:bCs/>
          <w:color w:val="78BF42"/>
          <w:sz w:val="28"/>
          <w:szCs w:val="26"/>
        </w:rPr>
        <w:t xml:space="preserve"> </w:t>
      </w:r>
      <w:r w:rsidRPr="00885838">
        <w:rPr>
          <w:bCs/>
          <w:color w:val="78BF42"/>
          <w:sz w:val="28"/>
          <w:szCs w:val="26"/>
        </w:rPr>
        <w:t>Information and Supporting Documentation – Description of a Mineralisation Report</w:t>
      </w:r>
      <w:bookmarkEnd w:id="31"/>
    </w:p>
    <w:p w14:paraId="4196F638" w14:textId="1852B5FC" w:rsidR="00F00A0F" w:rsidRPr="00DB39DD" w:rsidRDefault="00F00A0F" w:rsidP="00885838">
      <w:bookmarkStart w:id="32" w:name="_Toc45549062"/>
      <w:r>
        <w:t>Indicate how the attached report addresses the following requirements</w:t>
      </w:r>
      <w:bookmarkEnd w:id="32"/>
    </w:p>
    <w:tbl>
      <w:tblPr>
        <w:tblStyle w:val="TableGrid"/>
        <w:tblW w:w="5000" w:type="pct"/>
        <w:tblBorders>
          <w:insideH w:val="single" w:sz="2" w:space="0" w:color="808080" w:themeColor="background1" w:themeShade="80"/>
          <w:insideV w:val="single" w:sz="2" w:space="0" w:color="808080" w:themeColor="background1" w:themeShade="80"/>
        </w:tblBorders>
        <w:tblCellMar>
          <w:top w:w="57" w:type="dxa"/>
          <w:left w:w="57" w:type="dxa"/>
          <w:bottom w:w="57" w:type="dxa"/>
          <w:right w:w="57" w:type="dxa"/>
        </w:tblCellMar>
        <w:tblLook w:val="04A0" w:firstRow="1" w:lastRow="0" w:firstColumn="1" w:lastColumn="0" w:noHBand="0" w:noVBand="1"/>
      </w:tblPr>
      <w:tblGrid>
        <w:gridCol w:w="1250"/>
        <w:gridCol w:w="4699"/>
        <w:gridCol w:w="3067"/>
      </w:tblGrid>
      <w:tr w:rsidR="00F00A0F" w:rsidRPr="00BB2D90" w:rsidDel="00153DF5" w14:paraId="1660BD91" w14:textId="77777777" w:rsidTr="007C6982">
        <w:trPr>
          <w:cantSplit/>
          <w:trHeight w:val="340"/>
        </w:trPr>
        <w:tc>
          <w:tcPr>
            <w:tcW w:w="693" w:type="pct"/>
            <w:shd w:val="clear" w:color="auto" w:fill="F2F2F2" w:themeFill="background1" w:themeFillShade="F2"/>
          </w:tcPr>
          <w:p w14:paraId="57709151" w14:textId="77777777" w:rsidR="00F00A0F" w:rsidRPr="00196CFF" w:rsidDel="00153DF5" w:rsidRDefault="00F00A0F" w:rsidP="00071AC0">
            <w:pPr>
              <w:pStyle w:val="BodyText"/>
              <w:keepNext/>
              <w:spacing w:before="20" w:after="20"/>
              <w:rPr>
                <w:b/>
                <w:bCs/>
                <w:sz w:val="18"/>
              </w:rPr>
            </w:pPr>
            <w:r w:rsidRPr="00196CFF">
              <w:rPr>
                <w:b/>
                <w:bCs/>
                <w:sz w:val="18"/>
              </w:rPr>
              <w:t>Relevant legislation</w:t>
            </w:r>
          </w:p>
        </w:tc>
        <w:tc>
          <w:tcPr>
            <w:tcW w:w="2606" w:type="pct"/>
          </w:tcPr>
          <w:p w14:paraId="1483BB80" w14:textId="77777777" w:rsidR="00F00A0F" w:rsidRPr="00196CFF" w:rsidDel="00153DF5" w:rsidRDefault="00F00A0F" w:rsidP="00071AC0">
            <w:pPr>
              <w:pStyle w:val="BodyText"/>
              <w:keepNext/>
              <w:spacing w:before="20" w:after="20"/>
              <w:rPr>
                <w:b/>
                <w:bCs/>
                <w:sz w:val="18"/>
              </w:rPr>
            </w:pPr>
            <w:r w:rsidRPr="00196CFF">
              <w:rPr>
                <w:b/>
                <w:bCs/>
                <w:sz w:val="18"/>
              </w:rPr>
              <w:t>Explanation</w:t>
            </w:r>
          </w:p>
        </w:tc>
        <w:tc>
          <w:tcPr>
            <w:tcW w:w="1701" w:type="pct"/>
          </w:tcPr>
          <w:p w14:paraId="1CBCE6A2" w14:textId="77777777" w:rsidR="00F00A0F" w:rsidRPr="00196CFF" w:rsidRDefault="00F00A0F" w:rsidP="00071AC0">
            <w:pPr>
              <w:pStyle w:val="BodyText"/>
              <w:keepNext/>
              <w:spacing w:before="20" w:after="20"/>
              <w:rPr>
                <w:b/>
                <w:bCs/>
                <w:sz w:val="18"/>
              </w:rPr>
            </w:pPr>
            <w:r w:rsidRPr="00196CFF">
              <w:rPr>
                <w:b/>
                <w:bCs/>
                <w:sz w:val="18"/>
              </w:rPr>
              <w:t>Indicate how the attached report addresses requirement</w:t>
            </w:r>
          </w:p>
          <w:p w14:paraId="15E8931F" w14:textId="77777777" w:rsidR="00F00A0F" w:rsidRPr="00196CFF" w:rsidDel="00153DF5" w:rsidRDefault="00F00A0F" w:rsidP="00071AC0">
            <w:pPr>
              <w:pStyle w:val="BodyText"/>
              <w:keepNext/>
              <w:spacing w:before="20" w:after="20"/>
              <w:rPr>
                <w:b/>
                <w:bCs/>
                <w:i/>
                <w:iCs/>
                <w:sz w:val="18"/>
              </w:rPr>
            </w:pPr>
            <w:r w:rsidRPr="00196CFF">
              <w:rPr>
                <w:b/>
                <w:bCs/>
                <w:i/>
                <w:iCs/>
                <w:sz w:val="16"/>
                <w:szCs w:val="18"/>
              </w:rPr>
              <w:t>e.g. Page 4, Table 1. Page 9, Second paragraph etc.</w:t>
            </w:r>
          </w:p>
        </w:tc>
      </w:tr>
      <w:tr w:rsidR="00F00A0F" w:rsidRPr="009575D5" w14:paraId="205D7D4D" w14:textId="77777777" w:rsidTr="007C6982">
        <w:trPr>
          <w:cantSplit/>
          <w:trHeight w:val="340"/>
        </w:trPr>
        <w:tc>
          <w:tcPr>
            <w:tcW w:w="693" w:type="pct"/>
            <w:shd w:val="clear" w:color="auto" w:fill="F2F2F2" w:themeFill="background1" w:themeFillShade="F2"/>
            <w:vAlign w:val="center"/>
          </w:tcPr>
          <w:p w14:paraId="18552B16" w14:textId="77777777" w:rsidR="00F00A0F" w:rsidRDefault="00F00A0F" w:rsidP="00071AC0">
            <w:pPr>
              <w:pStyle w:val="BodyText"/>
              <w:keepNext/>
              <w:spacing w:before="20" w:after="20"/>
              <w:rPr>
                <w:sz w:val="18"/>
              </w:rPr>
            </w:pPr>
            <w:r>
              <w:rPr>
                <w:sz w:val="18"/>
                <w:szCs w:val="18"/>
              </w:rPr>
              <w:t xml:space="preserve">S 15 </w:t>
            </w:r>
            <w:r w:rsidRPr="009B7B59">
              <w:rPr>
                <w:sz w:val="18"/>
                <w:szCs w:val="18"/>
              </w:rPr>
              <w:t>1BE (a)</w:t>
            </w:r>
          </w:p>
        </w:tc>
        <w:tc>
          <w:tcPr>
            <w:tcW w:w="2606" w:type="pct"/>
            <w:vAlign w:val="center"/>
          </w:tcPr>
          <w:p w14:paraId="1662A271" w14:textId="77777777" w:rsidR="00F00A0F" w:rsidRDefault="00F00A0F" w:rsidP="00071AC0">
            <w:pPr>
              <w:pStyle w:val="BodyText"/>
              <w:keepNext/>
              <w:spacing w:before="20" w:after="20"/>
              <w:rPr>
                <w:sz w:val="18"/>
              </w:rPr>
            </w:pPr>
            <w:r w:rsidRPr="009B7B59">
              <w:rPr>
                <w:sz w:val="18"/>
                <w:szCs w:val="18"/>
              </w:rPr>
              <w:t>Does the Report set out the exploration result</w:t>
            </w:r>
            <w:r>
              <w:rPr>
                <w:sz w:val="18"/>
                <w:szCs w:val="18"/>
              </w:rPr>
              <w:t>s</w:t>
            </w:r>
            <w:r w:rsidRPr="009B7B59">
              <w:rPr>
                <w:sz w:val="18"/>
                <w:szCs w:val="18"/>
              </w:rPr>
              <w:t xml:space="preserve"> in relation to the described mineral resource?</w:t>
            </w:r>
          </w:p>
        </w:tc>
        <w:tc>
          <w:tcPr>
            <w:tcW w:w="1701" w:type="pct"/>
          </w:tcPr>
          <w:p w14:paraId="60FE8C69" w14:textId="77777777" w:rsidR="00F00A0F" w:rsidRPr="009B7B59" w:rsidRDefault="00F00A0F" w:rsidP="00071AC0">
            <w:pPr>
              <w:pStyle w:val="BodyText"/>
              <w:keepNext/>
              <w:spacing w:before="20" w:after="20"/>
              <w:rPr>
                <w:sz w:val="18"/>
                <w:szCs w:val="18"/>
              </w:rPr>
            </w:pPr>
          </w:p>
        </w:tc>
      </w:tr>
      <w:tr w:rsidR="00F00A0F" w:rsidRPr="009575D5" w14:paraId="6BD9CA26" w14:textId="77777777" w:rsidTr="007C6982">
        <w:trPr>
          <w:cantSplit/>
          <w:trHeight w:val="340"/>
        </w:trPr>
        <w:tc>
          <w:tcPr>
            <w:tcW w:w="693" w:type="pct"/>
            <w:shd w:val="clear" w:color="auto" w:fill="F2F2F2" w:themeFill="background1" w:themeFillShade="F2"/>
            <w:vAlign w:val="center"/>
          </w:tcPr>
          <w:p w14:paraId="3D9CAEB1" w14:textId="77777777" w:rsidR="00F00A0F" w:rsidRDefault="00F00A0F" w:rsidP="00071AC0">
            <w:pPr>
              <w:pStyle w:val="BodyText"/>
              <w:keepNext/>
              <w:tabs>
                <w:tab w:val="left" w:pos="2310"/>
              </w:tabs>
              <w:spacing w:before="20" w:after="20"/>
              <w:rPr>
                <w:sz w:val="18"/>
              </w:rPr>
            </w:pPr>
            <w:r>
              <w:rPr>
                <w:sz w:val="18"/>
                <w:szCs w:val="18"/>
              </w:rPr>
              <w:t xml:space="preserve">S 15 </w:t>
            </w:r>
            <w:r w:rsidRPr="009B7B59">
              <w:rPr>
                <w:sz w:val="18"/>
                <w:szCs w:val="18"/>
              </w:rPr>
              <w:t>1BE (b)</w:t>
            </w:r>
          </w:p>
        </w:tc>
        <w:tc>
          <w:tcPr>
            <w:tcW w:w="2606" w:type="pct"/>
            <w:vAlign w:val="center"/>
          </w:tcPr>
          <w:p w14:paraId="3EE68D39" w14:textId="77777777" w:rsidR="00F00A0F" w:rsidRDefault="00F00A0F" w:rsidP="00071AC0">
            <w:pPr>
              <w:pStyle w:val="BodyText"/>
              <w:keepNext/>
              <w:spacing w:before="20" w:after="20"/>
              <w:rPr>
                <w:sz w:val="18"/>
              </w:rPr>
            </w:pPr>
            <w:r w:rsidRPr="009B7B59">
              <w:rPr>
                <w:sz w:val="18"/>
                <w:szCs w:val="18"/>
              </w:rPr>
              <w:t>Does the Report include an analysis of whether the exploration results indicate that there is a reasonable prospect that the mining of the described mineral resources will be economically vi</w:t>
            </w:r>
            <w:r>
              <w:rPr>
                <w:sz w:val="18"/>
                <w:szCs w:val="18"/>
              </w:rPr>
              <w:t>able</w:t>
            </w:r>
            <w:r w:rsidRPr="009B7B59">
              <w:rPr>
                <w:sz w:val="18"/>
                <w:szCs w:val="18"/>
              </w:rPr>
              <w:t>?</w:t>
            </w:r>
          </w:p>
        </w:tc>
        <w:tc>
          <w:tcPr>
            <w:tcW w:w="1701" w:type="pct"/>
          </w:tcPr>
          <w:p w14:paraId="2DC4A424" w14:textId="77777777" w:rsidR="00F00A0F" w:rsidRPr="009B7B59" w:rsidRDefault="00F00A0F" w:rsidP="00071AC0">
            <w:pPr>
              <w:pStyle w:val="BodyText"/>
              <w:keepNext/>
              <w:spacing w:before="20" w:after="20"/>
              <w:rPr>
                <w:sz w:val="18"/>
                <w:szCs w:val="18"/>
              </w:rPr>
            </w:pPr>
          </w:p>
        </w:tc>
      </w:tr>
      <w:tr w:rsidR="00F00A0F" w:rsidRPr="009575D5" w14:paraId="12AA0946" w14:textId="77777777" w:rsidTr="007C6982">
        <w:trPr>
          <w:cantSplit/>
          <w:trHeight w:val="340"/>
        </w:trPr>
        <w:tc>
          <w:tcPr>
            <w:tcW w:w="693" w:type="pct"/>
            <w:shd w:val="clear" w:color="auto" w:fill="F2F2F2" w:themeFill="background1" w:themeFillShade="F2"/>
            <w:vAlign w:val="center"/>
          </w:tcPr>
          <w:p w14:paraId="1D2D022D" w14:textId="77777777" w:rsidR="00F00A0F" w:rsidRDefault="00F00A0F" w:rsidP="00071AC0">
            <w:pPr>
              <w:pStyle w:val="BodyText"/>
              <w:keepNext/>
              <w:spacing w:before="20" w:after="20"/>
              <w:rPr>
                <w:sz w:val="18"/>
              </w:rPr>
            </w:pPr>
            <w:r>
              <w:rPr>
                <w:sz w:val="18"/>
                <w:szCs w:val="18"/>
              </w:rPr>
              <w:t xml:space="preserve">S 15 </w:t>
            </w:r>
            <w:r w:rsidRPr="009B7B59">
              <w:rPr>
                <w:sz w:val="18"/>
                <w:szCs w:val="18"/>
              </w:rPr>
              <w:t>1BF (a)</w:t>
            </w:r>
          </w:p>
        </w:tc>
        <w:tc>
          <w:tcPr>
            <w:tcW w:w="2606" w:type="pct"/>
            <w:vAlign w:val="center"/>
          </w:tcPr>
          <w:p w14:paraId="62B94140" w14:textId="77777777" w:rsidR="00F00A0F" w:rsidRDefault="00F00A0F" w:rsidP="00071AC0">
            <w:pPr>
              <w:pStyle w:val="BodyText"/>
              <w:keepNext/>
              <w:spacing w:before="20" w:after="20"/>
              <w:rPr>
                <w:sz w:val="18"/>
              </w:rPr>
            </w:pPr>
            <w:r w:rsidRPr="009B7B59">
              <w:rPr>
                <w:sz w:val="18"/>
                <w:szCs w:val="18"/>
              </w:rPr>
              <w:t xml:space="preserve">Does the Report specify </w:t>
            </w:r>
            <w:r>
              <w:rPr>
                <w:sz w:val="18"/>
                <w:szCs w:val="18"/>
              </w:rPr>
              <w:t>the type of mineral or minerals</w:t>
            </w:r>
            <w:r w:rsidRPr="009B7B59">
              <w:rPr>
                <w:sz w:val="18"/>
                <w:szCs w:val="18"/>
              </w:rPr>
              <w:t>?</w:t>
            </w:r>
          </w:p>
        </w:tc>
        <w:tc>
          <w:tcPr>
            <w:tcW w:w="1701" w:type="pct"/>
          </w:tcPr>
          <w:p w14:paraId="78092A55" w14:textId="77777777" w:rsidR="00F00A0F" w:rsidRPr="009B7B59" w:rsidRDefault="00F00A0F" w:rsidP="00071AC0">
            <w:pPr>
              <w:pStyle w:val="BodyText"/>
              <w:keepNext/>
              <w:spacing w:before="20" w:after="20"/>
              <w:rPr>
                <w:sz w:val="18"/>
                <w:szCs w:val="18"/>
              </w:rPr>
            </w:pPr>
          </w:p>
        </w:tc>
      </w:tr>
      <w:tr w:rsidR="00F00A0F" w:rsidRPr="009575D5" w14:paraId="309DBC3B" w14:textId="77777777" w:rsidTr="007C6982">
        <w:trPr>
          <w:cantSplit/>
          <w:trHeight w:val="340"/>
        </w:trPr>
        <w:tc>
          <w:tcPr>
            <w:tcW w:w="693" w:type="pct"/>
            <w:shd w:val="clear" w:color="auto" w:fill="F2F2F2" w:themeFill="background1" w:themeFillShade="F2"/>
            <w:vAlign w:val="center"/>
          </w:tcPr>
          <w:p w14:paraId="203288CA" w14:textId="77777777" w:rsidR="00F00A0F" w:rsidRDefault="00F00A0F" w:rsidP="00071AC0">
            <w:pPr>
              <w:pStyle w:val="BodyText"/>
              <w:keepNext/>
              <w:spacing w:before="20" w:after="20"/>
              <w:rPr>
                <w:sz w:val="18"/>
              </w:rPr>
            </w:pPr>
            <w:r>
              <w:rPr>
                <w:sz w:val="18"/>
                <w:szCs w:val="18"/>
              </w:rPr>
              <w:t xml:space="preserve">S 15 </w:t>
            </w:r>
            <w:r w:rsidRPr="009B7B59">
              <w:rPr>
                <w:sz w:val="18"/>
                <w:szCs w:val="18"/>
              </w:rPr>
              <w:t>1BF (b)</w:t>
            </w:r>
          </w:p>
        </w:tc>
        <w:tc>
          <w:tcPr>
            <w:tcW w:w="2606" w:type="pct"/>
            <w:vAlign w:val="center"/>
          </w:tcPr>
          <w:p w14:paraId="4DB6765D" w14:textId="77777777" w:rsidR="00F00A0F" w:rsidRDefault="00F00A0F" w:rsidP="00071AC0">
            <w:pPr>
              <w:pStyle w:val="BodyText"/>
              <w:keepNext/>
              <w:spacing w:before="20" w:after="20"/>
              <w:rPr>
                <w:sz w:val="18"/>
              </w:rPr>
            </w:pPr>
            <w:r w:rsidRPr="009B7B59">
              <w:rPr>
                <w:sz w:val="18"/>
                <w:szCs w:val="18"/>
              </w:rPr>
              <w:t>Does the Report specify the location, depth, quantity and extent of the mineral</w:t>
            </w:r>
            <w:r>
              <w:rPr>
                <w:sz w:val="18"/>
                <w:szCs w:val="18"/>
              </w:rPr>
              <w:t>,</w:t>
            </w:r>
            <w:r w:rsidRPr="009B7B59">
              <w:rPr>
                <w:sz w:val="18"/>
                <w:szCs w:val="18"/>
              </w:rPr>
              <w:t xml:space="preserve"> or mine</w:t>
            </w:r>
            <w:r>
              <w:rPr>
                <w:sz w:val="18"/>
                <w:szCs w:val="18"/>
              </w:rPr>
              <w:t>rals,</w:t>
            </w:r>
            <w:r w:rsidRPr="009B7B59">
              <w:rPr>
                <w:sz w:val="18"/>
                <w:szCs w:val="18"/>
              </w:rPr>
              <w:t xml:space="preserve"> in sufficient detail?</w:t>
            </w:r>
          </w:p>
        </w:tc>
        <w:tc>
          <w:tcPr>
            <w:tcW w:w="1701" w:type="pct"/>
          </w:tcPr>
          <w:p w14:paraId="6BE7A47A" w14:textId="77777777" w:rsidR="00F00A0F" w:rsidRPr="009B7B59" w:rsidRDefault="00F00A0F" w:rsidP="00071AC0">
            <w:pPr>
              <w:pStyle w:val="BodyText"/>
              <w:keepNext/>
              <w:spacing w:before="20" w:after="20"/>
              <w:rPr>
                <w:sz w:val="18"/>
                <w:szCs w:val="18"/>
              </w:rPr>
            </w:pPr>
          </w:p>
        </w:tc>
      </w:tr>
      <w:tr w:rsidR="00F00A0F" w:rsidRPr="009575D5" w14:paraId="525CE062" w14:textId="77777777" w:rsidTr="007C6982">
        <w:trPr>
          <w:cantSplit/>
          <w:trHeight w:val="340"/>
        </w:trPr>
        <w:tc>
          <w:tcPr>
            <w:tcW w:w="693" w:type="pct"/>
            <w:shd w:val="clear" w:color="auto" w:fill="F2F2F2" w:themeFill="background1" w:themeFillShade="F2"/>
            <w:vAlign w:val="center"/>
          </w:tcPr>
          <w:p w14:paraId="2E4AEA18" w14:textId="77777777" w:rsidR="00F00A0F" w:rsidRDefault="00F00A0F" w:rsidP="00071AC0">
            <w:pPr>
              <w:pStyle w:val="BodyText"/>
              <w:keepNext/>
              <w:spacing w:before="20" w:after="20"/>
              <w:rPr>
                <w:sz w:val="18"/>
              </w:rPr>
            </w:pPr>
            <w:r>
              <w:rPr>
                <w:sz w:val="18"/>
                <w:szCs w:val="18"/>
              </w:rPr>
              <w:t>S 15 1BF (c)</w:t>
            </w:r>
          </w:p>
        </w:tc>
        <w:tc>
          <w:tcPr>
            <w:tcW w:w="2606" w:type="pct"/>
            <w:vAlign w:val="center"/>
          </w:tcPr>
          <w:p w14:paraId="0B035936" w14:textId="2175E038" w:rsidR="00F00A0F" w:rsidRPr="00EB056B" w:rsidRDefault="00F00A0F" w:rsidP="00071AC0">
            <w:pPr>
              <w:spacing w:before="60" w:after="60"/>
              <w:rPr>
                <w:rFonts w:cs="Arial"/>
                <w:color w:val="auto"/>
                <w:szCs w:val="18"/>
              </w:rPr>
            </w:pPr>
            <w:r w:rsidRPr="00EB056B">
              <w:rPr>
                <w:rFonts w:cs="Arial"/>
                <w:color w:val="auto"/>
                <w:szCs w:val="18"/>
              </w:rPr>
              <w:t xml:space="preserve">Does the Report specify to </w:t>
            </w:r>
            <w:r w:rsidR="00586067">
              <w:rPr>
                <w:rFonts w:cs="Arial"/>
                <w:color w:val="auto"/>
                <w:szCs w:val="18"/>
              </w:rPr>
              <w:t xml:space="preserve">an </w:t>
            </w:r>
            <w:r w:rsidRPr="00EB056B">
              <w:rPr>
                <w:rFonts w:cs="Arial"/>
                <w:color w:val="auto"/>
                <w:szCs w:val="18"/>
              </w:rPr>
              <w:t>appropriate level of detail the method by which the extent of these mineral(s) have been determined?</w:t>
            </w:r>
          </w:p>
          <w:p w14:paraId="1A8232D4" w14:textId="77777777" w:rsidR="00F00A0F" w:rsidRPr="00022171" w:rsidRDefault="00F00A0F" w:rsidP="00071AC0">
            <w:pPr>
              <w:pStyle w:val="BodyText"/>
              <w:keepNext/>
              <w:spacing w:before="20" w:after="20"/>
              <w:rPr>
                <w:sz w:val="18"/>
              </w:rPr>
            </w:pPr>
            <w:r w:rsidRPr="00586067">
              <w:rPr>
                <w:sz w:val="18"/>
                <w:szCs w:val="18"/>
              </w:rPr>
              <w:t>Is this information provided to the required JORC Code standard, to enable an appropriate assessment by the Minister?</w:t>
            </w:r>
          </w:p>
        </w:tc>
        <w:tc>
          <w:tcPr>
            <w:tcW w:w="1701" w:type="pct"/>
          </w:tcPr>
          <w:p w14:paraId="0FE4AA10" w14:textId="77777777" w:rsidR="00F00A0F" w:rsidRPr="009B7B59" w:rsidRDefault="00F00A0F" w:rsidP="00071AC0">
            <w:pPr>
              <w:spacing w:before="60" w:after="60"/>
              <w:rPr>
                <w:szCs w:val="18"/>
              </w:rPr>
            </w:pPr>
          </w:p>
        </w:tc>
      </w:tr>
      <w:tr w:rsidR="00F00A0F" w:rsidRPr="009575D5" w14:paraId="5FD31626" w14:textId="77777777" w:rsidTr="007C6982">
        <w:trPr>
          <w:cantSplit/>
          <w:trHeight w:val="340"/>
        </w:trPr>
        <w:tc>
          <w:tcPr>
            <w:tcW w:w="693" w:type="pct"/>
            <w:shd w:val="clear" w:color="auto" w:fill="F2F2F2" w:themeFill="background1" w:themeFillShade="F2"/>
            <w:vAlign w:val="center"/>
          </w:tcPr>
          <w:p w14:paraId="5018EEC3" w14:textId="77777777" w:rsidR="00F00A0F" w:rsidRDefault="00F00A0F" w:rsidP="00071AC0">
            <w:pPr>
              <w:pStyle w:val="BodyText"/>
              <w:keepNext/>
              <w:spacing w:before="20" w:after="20"/>
              <w:rPr>
                <w:sz w:val="18"/>
              </w:rPr>
            </w:pPr>
            <w:r>
              <w:rPr>
                <w:sz w:val="18"/>
                <w:szCs w:val="18"/>
              </w:rPr>
              <w:t xml:space="preserve">S 15 </w:t>
            </w:r>
            <w:r w:rsidRPr="009B7B59">
              <w:rPr>
                <w:sz w:val="18"/>
                <w:szCs w:val="18"/>
              </w:rPr>
              <w:t>1BF (d)</w:t>
            </w:r>
          </w:p>
        </w:tc>
        <w:tc>
          <w:tcPr>
            <w:tcW w:w="2606" w:type="pct"/>
            <w:vAlign w:val="center"/>
          </w:tcPr>
          <w:p w14:paraId="678C7C8A" w14:textId="77777777" w:rsidR="00F00A0F" w:rsidRPr="00EB056B" w:rsidRDefault="00F00A0F" w:rsidP="00071AC0">
            <w:pPr>
              <w:spacing w:before="60" w:after="60"/>
              <w:rPr>
                <w:rFonts w:cs="Arial"/>
                <w:color w:val="auto"/>
                <w:szCs w:val="18"/>
              </w:rPr>
            </w:pPr>
            <w:r w:rsidRPr="00EB056B">
              <w:rPr>
                <w:rFonts w:cs="Arial"/>
                <w:color w:val="auto"/>
                <w:szCs w:val="18"/>
              </w:rPr>
              <w:t>Does the Report include analytical results obtained from samples of the mineral or minerals?</w:t>
            </w:r>
          </w:p>
          <w:p w14:paraId="1392A1D6" w14:textId="77777777" w:rsidR="00F00A0F" w:rsidRPr="00022171" w:rsidRDefault="00F00A0F" w:rsidP="00071AC0">
            <w:pPr>
              <w:pStyle w:val="BodyText"/>
              <w:keepNext/>
              <w:spacing w:before="20" w:after="20"/>
              <w:rPr>
                <w:sz w:val="18"/>
              </w:rPr>
            </w:pPr>
            <w:r w:rsidRPr="00586067">
              <w:rPr>
                <w:sz w:val="18"/>
                <w:szCs w:val="18"/>
              </w:rPr>
              <w:t>Is this information provided in sufficient detail, and to the required JORC Code standard, to enable an appropriate assessment by the Minister?</w:t>
            </w:r>
          </w:p>
        </w:tc>
        <w:tc>
          <w:tcPr>
            <w:tcW w:w="1701" w:type="pct"/>
          </w:tcPr>
          <w:p w14:paraId="7B575133" w14:textId="77777777" w:rsidR="00F00A0F" w:rsidRPr="009B7B59" w:rsidRDefault="00F00A0F" w:rsidP="00071AC0">
            <w:pPr>
              <w:spacing w:before="60" w:after="60"/>
              <w:rPr>
                <w:szCs w:val="18"/>
              </w:rPr>
            </w:pPr>
          </w:p>
        </w:tc>
      </w:tr>
    </w:tbl>
    <w:p w14:paraId="79497B5D" w14:textId="77777777" w:rsidR="004371F6" w:rsidRDefault="004371F6" w:rsidP="00D96C1E">
      <w:pPr>
        <w:rPr>
          <w:noProof/>
          <w:lang w:eastAsia="en-AU"/>
        </w:rPr>
      </w:pPr>
      <w:r>
        <w:rPr>
          <w:noProof/>
          <w:lang w:eastAsia="en-AU"/>
        </w:rPr>
        <w:br w:type="page"/>
      </w:r>
    </w:p>
    <w:p w14:paraId="130EA1EA" w14:textId="77777777" w:rsidR="004371F6" w:rsidRPr="00E02831" w:rsidRDefault="004371F6" w:rsidP="004B3C74">
      <w:r w:rsidRPr="00E02831">
        <w:lastRenderedPageBreak/>
        <w:t>Authorised by the __________________ (example Hon.        )</w:t>
      </w:r>
      <w:r w:rsidRPr="00E02831">
        <w:br/>
        <w:t xml:space="preserve">Department of Jobs, </w:t>
      </w:r>
      <w:r w:rsidR="005E284D" w:rsidRPr="005E284D">
        <w:rPr>
          <w:lang w:val="en-US"/>
        </w:rPr>
        <w:t>Precincts and Regions</w:t>
      </w:r>
      <w:r w:rsidRPr="00E02831">
        <w:br/>
        <w:t>1 Spring Street Melbourne Victoria 3000</w:t>
      </w:r>
      <w:r w:rsidRPr="00E02831">
        <w:br/>
      </w:r>
      <w:r w:rsidR="00E2142B" w:rsidRPr="00E02831">
        <w:t>Telephone (03) 9651 9999</w:t>
      </w:r>
    </w:p>
    <w:p w14:paraId="33663CB0" w14:textId="77777777" w:rsidR="004371F6" w:rsidRPr="00E02831" w:rsidRDefault="004371F6" w:rsidP="00070516">
      <w:r w:rsidRPr="00E02831">
        <w:t xml:space="preserve">© Copyright State of Victoria, </w:t>
      </w:r>
      <w:r w:rsidRPr="00E02831">
        <w:br/>
      </w:r>
      <w:r w:rsidR="005E284D" w:rsidRPr="00E02831">
        <w:t xml:space="preserve">Department of Jobs, </w:t>
      </w:r>
      <w:r w:rsidR="005E284D" w:rsidRPr="005E284D">
        <w:rPr>
          <w:lang w:val="en-US"/>
        </w:rPr>
        <w:t>Precincts and Regions</w:t>
      </w:r>
      <w:r w:rsidR="005E284D" w:rsidRPr="00E02831">
        <w:t xml:space="preserve"> </w:t>
      </w:r>
      <w:r w:rsidR="00E2142B" w:rsidRPr="00E02831">
        <w:t>20</w:t>
      </w:r>
      <w:r w:rsidR="008910DB">
        <w:t>20</w:t>
      </w:r>
    </w:p>
    <w:p w14:paraId="74330BFE" w14:textId="77777777" w:rsidR="004371F6" w:rsidRPr="00E02831" w:rsidRDefault="004371F6" w:rsidP="00070516">
      <w:r w:rsidRPr="00E02831">
        <w:t>Except for any logos, emblems, trademarks, artwork and photography this document is made available under the terms of the Creative Commons Attribution 3.0 Australia license.</w:t>
      </w:r>
    </w:p>
    <w:p w14:paraId="65600A3B" w14:textId="77777777" w:rsidR="004371F6" w:rsidRPr="00E02831" w:rsidRDefault="004371F6" w:rsidP="00070516">
      <w:r w:rsidRPr="00E02831">
        <w:t xml:space="preserve">This document is also available in an accessible format at </w:t>
      </w:r>
      <w:r w:rsidRPr="00EB1F33">
        <w:rPr>
          <w:rStyle w:val="Hyperlink"/>
        </w:rPr>
        <w:t>economicdevelopment.vic.gov.au</w:t>
      </w:r>
    </w:p>
    <w:p w14:paraId="3075561F" w14:textId="77777777" w:rsidR="004371F6" w:rsidRPr="00B14DDB" w:rsidRDefault="004371F6" w:rsidP="00B14DDB"/>
    <w:sectPr w:rsidR="004371F6" w:rsidRPr="00B14DDB" w:rsidSect="004B3FC2">
      <w:headerReference w:type="default" r:id="rId29"/>
      <w:footerReference w:type="default" r:id="rId30"/>
      <w:pgSz w:w="11906" w:h="16838"/>
      <w:pgMar w:top="1440" w:right="1440" w:bottom="1440" w:left="1440" w:header="708" w:footer="1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81410" w14:textId="77777777" w:rsidR="008A1929" w:rsidRDefault="008A1929" w:rsidP="00D96C1E">
      <w:r>
        <w:separator/>
      </w:r>
    </w:p>
    <w:p w14:paraId="6D16539F" w14:textId="77777777" w:rsidR="008A1929" w:rsidRDefault="008A1929" w:rsidP="00D96C1E"/>
  </w:endnote>
  <w:endnote w:type="continuationSeparator" w:id="0">
    <w:p w14:paraId="79FE1227" w14:textId="77777777" w:rsidR="008A1929" w:rsidRDefault="008A1929" w:rsidP="00D96C1E">
      <w:r>
        <w:continuationSeparator/>
      </w:r>
    </w:p>
    <w:p w14:paraId="230B53C3" w14:textId="77777777" w:rsidR="008A1929" w:rsidRDefault="008A1929" w:rsidP="00D96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C280A" w14:textId="77777777" w:rsidR="005A715D" w:rsidRDefault="005A71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8CFDC" w14:textId="77777777" w:rsidR="005A715D" w:rsidRDefault="005A71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9285B" w14:textId="77777777" w:rsidR="005A715D" w:rsidRDefault="005A71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p w14:paraId="3FF8C2F8" w14:textId="77777777" w:rsidR="00A66D9A" w:rsidRPr="00644924" w:rsidRDefault="00A66D9A" w:rsidP="00D96C1E">
            <w:pPr>
              <w:pStyle w:val="Footer"/>
            </w:pPr>
          </w:p>
          <w:p w14:paraId="455C7EE8" w14:textId="15531ACC" w:rsidR="00A66D9A" w:rsidRPr="008B6C18" w:rsidRDefault="00EC05D7" w:rsidP="008B6C18">
            <w:pPr>
              <w:pStyle w:val="Footer"/>
              <w:rPr>
                <w:sz w:val="24"/>
                <w:szCs w:val="24"/>
              </w:rPr>
            </w:pPr>
            <w:r>
              <w:rPr>
                <w:rStyle w:val="FootnoteTextChar"/>
              </w:rPr>
              <w:t xml:space="preserve">Draft </w:t>
            </w:r>
            <w:r w:rsidR="00666BBE">
              <w:rPr>
                <w:rStyle w:val="FootnoteTextChar"/>
              </w:rPr>
              <w:t>Ministerial Guidelines for Description of a Mineral Resource and Mineralisation Report</w:t>
            </w:r>
            <w:r w:rsidR="00A66D9A">
              <w:rPr>
                <w:sz w:val="16"/>
                <w:szCs w:val="16"/>
              </w:rPr>
              <w:tab/>
            </w:r>
            <w:r w:rsidR="00A66D9A" w:rsidRPr="00921A00">
              <w:rPr>
                <w:rStyle w:val="PageNumber"/>
              </w:rPr>
              <w:fldChar w:fldCharType="begin"/>
            </w:r>
            <w:r w:rsidR="00A66D9A" w:rsidRPr="00921A00">
              <w:rPr>
                <w:rStyle w:val="PageNumber"/>
              </w:rPr>
              <w:instrText xml:space="preserve"> PAGE </w:instrText>
            </w:r>
            <w:r w:rsidR="00A66D9A" w:rsidRPr="00921A00">
              <w:rPr>
                <w:rStyle w:val="PageNumber"/>
              </w:rPr>
              <w:fldChar w:fldCharType="separate"/>
            </w:r>
            <w:r w:rsidR="00A66D9A">
              <w:rPr>
                <w:rStyle w:val="PageNumber"/>
                <w:noProof/>
              </w:rPr>
              <w:t>2</w:t>
            </w:r>
            <w:r w:rsidR="00A66D9A" w:rsidRPr="00921A00">
              <w:rPr>
                <w:rStyle w:val="PageNumber"/>
              </w:rPr>
              <w:fldChar w:fldCharType="end"/>
            </w:r>
            <w:r w:rsidR="00A66D9A" w:rsidRPr="00921A00">
              <w:rPr>
                <w:rStyle w:val="PageNumber"/>
              </w:rPr>
              <w:t xml:space="preserve"> of </w:t>
            </w:r>
            <w:r w:rsidR="00A66D9A" w:rsidRPr="00921A00">
              <w:rPr>
                <w:rStyle w:val="PageNumber"/>
              </w:rPr>
              <w:fldChar w:fldCharType="begin"/>
            </w:r>
            <w:r w:rsidR="00A66D9A" w:rsidRPr="00921A00">
              <w:rPr>
                <w:rStyle w:val="PageNumber"/>
              </w:rPr>
              <w:instrText xml:space="preserve"> NUMPAGES  </w:instrText>
            </w:r>
            <w:r w:rsidR="00A66D9A" w:rsidRPr="00921A00">
              <w:rPr>
                <w:rStyle w:val="PageNumber"/>
              </w:rPr>
              <w:fldChar w:fldCharType="separate"/>
            </w:r>
            <w:r w:rsidR="00A66D9A">
              <w:rPr>
                <w:rStyle w:val="PageNumber"/>
                <w:noProof/>
              </w:rPr>
              <w:t>4</w:t>
            </w:r>
            <w:r w:rsidR="00A66D9A" w:rsidRPr="00921A00">
              <w:rPr>
                <w:rStyle w:val="PageNumber"/>
              </w:rPr>
              <w:fldChar w:fldCharType="end"/>
            </w:r>
          </w:p>
        </w:sdtContent>
      </w:sdt>
    </w:sdtContent>
  </w:sdt>
  <w:p w14:paraId="087D69D2" w14:textId="77777777" w:rsidR="00A66D9A" w:rsidRDefault="00A66D9A" w:rsidP="00D96C1E">
    <w:pPr>
      <w:pStyle w:val="Footer"/>
    </w:pPr>
  </w:p>
  <w:p w14:paraId="4E51411B" w14:textId="77777777" w:rsidR="00A66D9A" w:rsidRDefault="00A66D9A" w:rsidP="00D96C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6406E" w14:textId="77777777" w:rsidR="008A1929" w:rsidRDefault="008A1929" w:rsidP="00D96C1E">
      <w:r>
        <w:separator/>
      </w:r>
    </w:p>
    <w:p w14:paraId="0C62C1A3" w14:textId="77777777" w:rsidR="008A1929" w:rsidRDefault="008A1929" w:rsidP="00D96C1E"/>
  </w:footnote>
  <w:footnote w:type="continuationSeparator" w:id="0">
    <w:p w14:paraId="1BAF7DDF" w14:textId="77777777" w:rsidR="008A1929" w:rsidRDefault="008A1929" w:rsidP="00D96C1E">
      <w:r>
        <w:continuationSeparator/>
      </w:r>
    </w:p>
    <w:p w14:paraId="367C9739" w14:textId="77777777" w:rsidR="008A1929" w:rsidRDefault="008A1929" w:rsidP="00D96C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E062C" w14:textId="77777777" w:rsidR="005A715D" w:rsidRDefault="005A7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906840"/>
      <w:docPartObj>
        <w:docPartGallery w:val="Watermarks"/>
        <w:docPartUnique/>
      </w:docPartObj>
    </w:sdtPr>
    <w:sdtEndPr/>
    <w:sdtContent>
      <w:p w14:paraId="2E90834B" w14:textId="7291F8F5" w:rsidR="005A715D" w:rsidRDefault="00F47AD1">
        <w:pPr>
          <w:pStyle w:val="Header"/>
        </w:pPr>
        <w:r>
          <w:rPr>
            <w:noProof/>
          </w:rPr>
          <w:pict w14:anchorId="6B435C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75E9B" w14:textId="77777777" w:rsidR="00A66D9A" w:rsidRDefault="00A66D9A" w:rsidP="00644924">
    <w:r>
      <w:rPr>
        <w:noProof/>
      </w:rPr>
      <w:drawing>
        <wp:anchor distT="0" distB="0" distL="114300" distR="114300" simplePos="0" relativeHeight="251656704" behindDoc="1" locked="0" layoutInCell="1" allowOverlap="1" wp14:anchorId="751B750C" wp14:editId="396646AB">
          <wp:simplePos x="0" y="0"/>
          <wp:positionH relativeFrom="page">
            <wp:align>left</wp:align>
          </wp:positionH>
          <wp:positionV relativeFrom="page">
            <wp:align>top</wp:align>
          </wp:positionV>
          <wp:extent cx="7559400" cy="10684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086F0" w14:textId="77777777" w:rsidR="00A66D9A" w:rsidRPr="00644924" w:rsidRDefault="00A66D9A" w:rsidP="00644924">
    <w:r>
      <w:rPr>
        <w:noProof/>
      </w:rPr>
      <w:drawing>
        <wp:anchor distT="0" distB="0" distL="114300" distR="114300" simplePos="0" relativeHeight="251657728" behindDoc="1" locked="0" layoutInCell="1" allowOverlap="1" wp14:anchorId="23B1EAF6" wp14:editId="7B8F94DD">
          <wp:simplePos x="0" y="0"/>
          <wp:positionH relativeFrom="page">
            <wp:align>left</wp:align>
          </wp:positionH>
          <wp:positionV relativeFrom="page">
            <wp:align>top</wp:align>
          </wp:positionV>
          <wp:extent cx="7559400" cy="1068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Report Follow Page.pn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5643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D56F4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506F34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078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850A8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9B2AE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B806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E780BB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98DE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EC46A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216FA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A520E8"/>
    <w:multiLevelType w:val="hybridMultilevel"/>
    <w:tmpl w:val="16E01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1D136D"/>
    <w:multiLevelType w:val="hybridMultilevel"/>
    <w:tmpl w:val="EEA496C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DE9590B"/>
    <w:multiLevelType w:val="multilevel"/>
    <w:tmpl w:val="9FEA7D0E"/>
    <w:lvl w:ilvl="0">
      <w:start w:val="1"/>
      <w:numFmt w:val="bullet"/>
      <w:lvlText w:val=""/>
      <w:lvlJc w:val="left"/>
      <w:pPr>
        <w:ind w:left="851" w:hanging="284"/>
      </w:pPr>
      <w:rPr>
        <w:rFonts w:ascii="Symbol" w:hAnsi="Symbol" w:hint="default"/>
      </w:rPr>
    </w:lvl>
    <w:lvl w:ilvl="1">
      <w:start w:val="1"/>
      <w:numFmt w:val="bullet"/>
      <w:lvlText w:val="–"/>
      <w:lvlJc w:val="left"/>
      <w:pPr>
        <w:tabs>
          <w:tab w:val="num" w:pos="2432"/>
        </w:tabs>
        <w:ind w:left="2432" w:hanging="567"/>
      </w:pPr>
      <w:rPr>
        <w:rFonts w:ascii="Times New Roman" w:hAnsi="Times New Roman" w:cs="Times New Roman" w:hint="default"/>
      </w:rPr>
    </w:lvl>
    <w:lvl w:ilvl="2">
      <w:start w:val="1"/>
      <w:numFmt w:val="bullet"/>
      <w:lvlText w:val=":"/>
      <w:lvlJc w:val="left"/>
      <w:pPr>
        <w:tabs>
          <w:tab w:val="num" w:pos="2999"/>
        </w:tabs>
        <w:ind w:left="2999" w:hanging="567"/>
      </w:pPr>
      <w:rPr>
        <w:rFonts w:ascii="Times New Roman" w:hAnsi="Times New Roman" w:cs="Times New Roman" w:hint="default"/>
      </w:rPr>
    </w:lvl>
    <w:lvl w:ilvl="3">
      <w:start w:val="1"/>
      <w:numFmt w:val="decimal"/>
      <w:lvlText w:val="(%4)"/>
      <w:lvlJc w:val="left"/>
      <w:pPr>
        <w:ind w:left="2738" w:hanging="360"/>
      </w:pPr>
      <w:rPr>
        <w:rFonts w:hint="default"/>
      </w:rPr>
    </w:lvl>
    <w:lvl w:ilvl="4">
      <w:start w:val="1"/>
      <w:numFmt w:val="lowerLetter"/>
      <w:lvlText w:val="(%5)"/>
      <w:lvlJc w:val="left"/>
      <w:pPr>
        <w:ind w:left="3098" w:hanging="360"/>
      </w:pPr>
      <w:rPr>
        <w:rFonts w:hint="default"/>
      </w:rPr>
    </w:lvl>
    <w:lvl w:ilvl="5">
      <w:start w:val="1"/>
      <w:numFmt w:val="lowerRoman"/>
      <w:lvlText w:val="(%6)"/>
      <w:lvlJc w:val="left"/>
      <w:pPr>
        <w:ind w:left="3458" w:hanging="360"/>
      </w:pPr>
      <w:rPr>
        <w:rFonts w:hint="default"/>
      </w:rPr>
    </w:lvl>
    <w:lvl w:ilvl="6">
      <w:start w:val="1"/>
      <w:numFmt w:val="decimal"/>
      <w:lvlText w:val="%7."/>
      <w:lvlJc w:val="left"/>
      <w:pPr>
        <w:ind w:left="3818" w:hanging="360"/>
      </w:pPr>
      <w:rPr>
        <w:rFonts w:hint="default"/>
      </w:rPr>
    </w:lvl>
    <w:lvl w:ilvl="7">
      <w:start w:val="1"/>
      <w:numFmt w:val="lowerLetter"/>
      <w:lvlText w:val="%8."/>
      <w:lvlJc w:val="left"/>
      <w:pPr>
        <w:ind w:left="4178" w:hanging="360"/>
      </w:pPr>
      <w:rPr>
        <w:rFonts w:hint="default"/>
      </w:rPr>
    </w:lvl>
    <w:lvl w:ilvl="8">
      <w:start w:val="1"/>
      <w:numFmt w:val="lowerRoman"/>
      <w:lvlText w:val="%9."/>
      <w:lvlJc w:val="left"/>
      <w:pPr>
        <w:ind w:left="4538" w:hanging="360"/>
      </w:pPr>
      <w:rPr>
        <w:rFonts w:hint="default"/>
      </w:rPr>
    </w:lvl>
  </w:abstractNum>
  <w:abstractNum w:abstractNumId="14" w15:restartNumberingAfterBreak="0">
    <w:nsid w:val="103A2E5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B40253B"/>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3B55CDF"/>
    <w:multiLevelType w:val="hybridMultilevel"/>
    <w:tmpl w:val="1BF85092"/>
    <w:lvl w:ilvl="0" w:tplc="0C090001">
      <w:start w:val="1"/>
      <w:numFmt w:val="bullet"/>
      <w:lvlText w:val=""/>
      <w:lvlJc w:val="left"/>
      <w:pPr>
        <w:ind w:left="776" w:hanging="360"/>
      </w:pPr>
      <w:rPr>
        <w:rFonts w:ascii="Symbol" w:hAnsi="Symbol" w:hint="default"/>
      </w:rPr>
    </w:lvl>
    <w:lvl w:ilvl="1" w:tplc="0C090003" w:tentative="1">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17" w15:restartNumberingAfterBreak="0">
    <w:nsid w:val="3DB6342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F1A05F3"/>
    <w:multiLevelType w:val="hybridMultilevel"/>
    <w:tmpl w:val="E94A7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0123AA"/>
    <w:multiLevelType w:val="hybridMultilevel"/>
    <w:tmpl w:val="9A34662A"/>
    <w:lvl w:ilvl="0" w:tplc="B1A0EDEA">
      <w:start w:val="1"/>
      <w:numFmt w:val="bullet"/>
      <w:pStyle w:val="ListBullet2"/>
      <w:lvlText w:val=""/>
      <w:lvlJc w:val="left"/>
      <w:pPr>
        <w:ind w:left="1145" w:hanging="360"/>
      </w:pPr>
      <w:rPr>
        <w:rFonts w:ascii="Symbol" w:hAnsi="Symbol" w:hint="default"/>
        <w:sz w:val="19"/>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0" w15:restartNumberingAfterBreak="0">
    <w:nsid w:val="41121AD5"/>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6B850C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246C8A"/>
    <w:multiLevelType w:val="hybridMultilevel"/>
    <w:tmpl w:val="7CE87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C261BFD"/>
    <w:multiLevelType w:val="hybridMultilevel"/>
    <w:tmpl w:val="33F6E81C"/>
    <w:lvl w:ilvl="0" w:tplc="27D465F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4C790856"/>
    <w:multiLevelType w:val="hybridMultilevel"/>
    <w:tmpl w:val="DDDCF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F582A93"/>
    <w:multiLevelType w:val="hybridMultilevel"/>
    <w:tmpl w:val="E2B28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DB68FC"/>
    <w:multiLevelType w:val="hybridMultilevel"/>
    <w:tmpl w:val="DFAC6648"/>
    <w:lvl w:ilvl="0" w:tplc="480ED586">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90542F2"/>
    <w:multiLevelType w:val="multilevel"/>
    <w:tmpl w:val="9884712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72FB62A7"/>
    <w:multiLevelType w:val="hybridMultilevel"/>
    <w:tmpl w:val="E432E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C1264B"/>
    <w:multiLevelType w:val="hybridMultilevel"/>
    <w:tmpl w:val="66DA319E"/>
    <w:lvl w:ilvl="0" w:tplc="D82253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402240"/>
    <w:multiLevelType w:val="hybridMultilevel"/>
    <w:tmpl w:val="337A36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B92744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6"/>
  </w:num>
  <w:num w:numId="3">
    <w:abstractNumId w:val="26"/>
  </w:num>
  <w:num w:numId="4">
    <w:abstractNumId w:val="26"/>
  </w:num>
  <w:num w:numId="5">
    <w:abstractNumId w:val="26"/>
  </w:num>
  <w:num w:numId="6">
    <w:abstractNumId w:val="21"/>
  </w:num>
  <w:num w:numId="7">
    <w:abstractNumId w:val="31"/>
  </w:num>
  <w:num w:numId="8">
    <w:abstractNumId w:val="27"/>
  </w:num>
  <w:num w:numId="9">
    <w:abstractNumId w:val="15"/>
  </w:num>
  <w:num w:numId="10">
    <w:abstractNumId w:val="12"/>
  </w:num>
  <w:num w:numId="11">
    <w:abstractNumId w:val="14"/>
  </w:num>
  <w:num w:numId="12">
    <w:abstractNumId w:val="20"/>
  </w:num>
  <w:num w:numId="13">
    <w:abstractNumId w:val="17"/>
  </w:num>
  <w:num w:numId="14">
    <w:abstractNumId w:val="19"/>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10"/>
  </w:num>
  <w:num w:numId="26">
    <w:abstractNumId w:val="16"/>
  </w:num>
  <w:num w:numId="27">
    <w:abstractNumId w:val="28"/>
  </w:num>
  <w:num w:numId="28">
    <w:abstractNumId w:val="25"/>
  </w:num>
  <w:num w:numId="29">
    <w:abstractNumId w:val="30"/>
  </w:num>
  <w:num w:numId="30">
    <w:abstractNumId w:val="29"/>
  </w:num>
  <w:num w:numId="31">
    <w:abstractNumId w:val="24"/>
  </w:num>
  <w:num w:numId="32">
    <w:abstractNumId w:val="11"/>
  </w:num>
  <w:num w:numId="33">
    <w:abstractNumId w:val="18"/>
  </w:num>
  <w:num w:numId="34">
    <w:abstractNumId w:val="22"/>
  </w:num>
  <w:num w:numId="35">
    <w:abstractNumId w:val="23"/>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84D"/>
    <w:rsid w:val="00002A8F"/>
    <w:rsid w:val="0000762E"/>
    <w:rsid w:val="00022171"/>
    <w:rsid w:val="00034053"/>
    <w:rsid w:val="0004322F"/>
    <w:rsid w:val="00043CE8"/>
    <w:rsid w:val="00044DC5"/>
    <w:rsid w:val="00055825"/>
    <w:rsid w:val="00060302"/>
    <w:rsid w:val="000664EC"/>
    <w:rsid w:val="00070516"/>
    <w:rsid w:val="0007091B"/>
    <w:rsid w:val="000809CD"/>
    <w:rsid w:val="00083F3A"/>
    <w:rsid w:val="00085C3E"/>
    <w:rsid w:val="000B1167"/>
    <w:rsid w:val="000B2B51"/>
    <w:rsid w:val="000B2BD7"/>
    <w:rsid w:val="000B5CE2"/>
    <w:rsid w:val="000C1903"/>
    <w:rsid w:val="000C41CD"/>
    <w:rsid w:val="000C7633"/>
    <w:rsid w:val="000F0296"/>
    <w:rsid w:val="000F477F"/>
    <w:rsid w:val="000F7643"/>
    <w:rsid w:val="00100E54"/>
    <w:rsid w:val="00106B24"/>
    <w:rsid w:val="001266CB"/>
    <w:rsid w:val="00133F06"/>
    <w:rsid w:val="00135B6F"/>
    <w:rsid w:val="001417FE"/>
    <w:rsid w:val="001441F4"/>
    <w:rsid w:val="001511C5"/>
    <w:rsid w:val="00162799"/>
    <w:rsid w:val="00162CEF"/>
    <w:rsid w:val="00163280"/>
    <w:rsid w:val="00164461"/>
    <w:rsid w:val="00164987"/>
    <w:rsid w:val="00166869"/>
    <w:rsid w:val="00166E22"/>
    <w:rsid w:val="00167CD4"/>
    <w:rsid w:val="001774D2"/>
    <w:rsid w:val="00181199"/>
    <w:rsid w:val="001858C2"/>
    <w:rsid w:val="00186B61"/>
    <w:rsid w:val="00187CBA"/>
    <w:rsid w:val="00190A16"/>
    <w:rsid w:val="0019557E"/>
    <w:rsid w:val="001A653B"/>
    <w:rsid w:val="001B1D30"/>
    <w:rsid w:val="001E0682"/>
    <w:rsid w:val="001F0A49"/>
    <w:rsid w:val="001F6BA2"/>
    <w:rsid w:val="001F76F6"/>
    <w:rsid w:val="001F7FE5"/>
    <w:rsid w:val="00204592"/>
    <w:rsid w:val="002109C4"/>
    <w:rsid w:val="0021262D"/>
    <w:rsid w:val="002128D1"/>
    <w:rsid w:val="00214165"/>
    <w:rsid w:val="0022061D"/>
    <w:rsid w:val="0022454D"/>
    <w:rsid w:val="00225F97"/>
    <w:rsid w:val="00240644"/>
    <w:rsid w:val="002541E8"/>
    <w:rsid w:val="00270CB2"/>
    <w:rsid w:val="0027120B"/>
    <w:rsid w:val="00275C41"/>
    <w:rsid w:val="00277A1E"/>
    <w:rsid w:val="002848F0"/>
    <w:rsid w:val="00292254"/>
    <w:rsid w:val="00294079"/>
    <w:rsid w:val="00294DCD"/>
    <w:rsid w:val="002A56CF"/>
    <w:rsid w:val="002A72B2"/>
    <w:rsid w:val="002B0A79"/>
    <w:rsid w:val="002B38ED"/>
    <w:rsid w:val="002B5841"/>
    <w:rsid w:val="002C2F1F"/>
    <w:rsid w:val="002D47B8"/>
    <w:rsid w:val="002E04F8"/>
    <w:rsid w:val="002E3C2C"/>
    <w:rsid w:val="002F23FD"/>
    <w:rsid w:val="00300D80"/>
    <w:rsid w:val="00311E13"/>
    <w:rsid w:val="003219ED"/>
    <w:rsid w:val="00322AE7"/>
    <w:rsid w:val="00327AD5"/>
    <w:rsid w:val="00353D57"/>
    <w:rsid w:val="003603BD"/>
    <w:rsid w:val="003628E3"/>
    <w:rsid w:val="00375F08"/>
    <w:rsid w:val="0038297E"/>
    <w:rsid w:val="00386809"/>
    <w:rsid w:val="00391A43"/>
    <w:rsid w:val="003A6D28"/>
    <w:rsid w:val="003B0708"/>
    <w:rsid w:val="003B31C0"/>
    <w:rsid w:val="003B37BD"/>
    <w:rsid w:val="003B4F2D"/>
    <w:rsid w:val="003B79A2"/>
    <w:rsid w:val="003C1EF4"/>
    <w:rsid w:val="003C61DF"/>
    <w:rsid w:val="003D44AD"/>
    <w:rsid w:val="003E55B0"/>
    <w:rsid w:val="003E690A"/>
    <w:rsid w:val="003E746F"/>
    <w:rsid w:val="00405FB6"/>
    <w:rsid w:val="004111B0"/>
    <w:rsid w:val="00412227"/>
    <w:rsid w:val="00421E8D"/>
    <w:rsid w:val="00422F1C"/>
    <w:rsid w:val="00431CED"/>
    <w:rsid w:val="00435FCF"/>
    <w:rsid w:val="004371F6"/>
    <w:rsid w:val="00440DF0"/>
    <w:rsid w:val="004464C4"/>
    <w:rsid w:val="004477B6"/>
    <w:rsid w:val="004602BE"/>
    <w:rsid w:val="004621A0"/>
    <w:rsid w:val="0046407D"/>
    <w:rsid w:val="0047003A"/>
    <w:rsid w:val="00475E37"/>
    <w:rsid w:val="00494A08"/>
    <w:rsid w:val="004A147F"/>
    <w:rsid w:val="004A1816"/>
    <w:rsid w:val="004B3C74"/>
    <w:rsid w:val="004B3FC2"/>
    <w:rsid w:val="004C2C2F"/>
    <w:rsid w:val="004C5942"/>
    <w:rsid w:val="004D5753"/>
    <w:rsid w:val="004D653B"/>
    <w:rsid w:val="004F1E91"/>
    <w:rsid w:val="004F4341"/>
    <w:rsid w:val="004F6BBF"/>
    <w:rsid w:val="00500179"/>
    <w:rsid w:val="005001F0"/>
    <w:rsid w:val="00506A93"/>
    <w:rsid w:val="005104E6"/>
    <w:rsid w:val="0051069C"/>
    <w:rsid w:val="005163FE"/>
    <w:rsid w:val="005257C6"/>
    <w:rsid w:val="0052728D"/>
    <w:rsid w:val="005276EB"/>
    <w:rsid w:val="00531A61"/>
    <w:rsid w:val="00532BCC"/>
    <w:rsid w:val="00537F3D"/>
    <w:rsid w:val="005457D1"/>
    <w:rsid w:val="0056169A"/>
    <w:rsid w:val="005656A1"/>
    <w:rsid w:val="00574E0F"/>
    <w:rsid w:val="00576D8A"/>
    <w:rsid w:val="00581B5B"/>
    <w:rsid w:val="00585115"/>
    <w:rsid w:val="00586067"/>
    <w:rsid w:val="00591895"/>
    <w:rsid w:val="005A0303"/>
    <w:rsid w:val="005A715D"/>
    <w:rsid w:val="005B0813"/>
    <w:rsid w:val="005B13FB"/>
    <w:rsid w:val="005D4B13"/>
    <w:rsid w:val="005E284D"/>
    <w:rsid w:val="005E4DB0"/>
    <w:rsid w:val="005F655D"/>
    <w:rsid w:val="006004D3"/>
    <w:rsid w:val="00604D7C"/>
    <w:rsid w:val="006202B7"/>
    <w:rsid w:val="00625114"/>
    <w:rsid w:val="00630C41"/>
    <w:rsid w:val="00644924"/>
    <w:rsid w:val="0064636E"/>
    <w:rsid w:val="00656E92"/>
    <w:rsid w:val="006615C5"/>
    <w:rsid w:val="006664B6"/>
    <w:rsid w:val="00666BBE"/>
    <w:rsid w:val="00677E57"/>
    <w:rsid w:val="00687148"/>
    <w:rsid w:val="006905F9"/>
    <w:rsid w:val="00696044"/>
    <w:rsid w:val="00696640"/>
    <w:rsid w:val="006A2FFA"/>
    <w:rsid w:val="006A4825"/>
    <w:rsid w:val="006A6607"/>
    <w:rsid w:val="006B494E"/>
    <w:rsid w:val="006B4C80"/>
    <w:rsid w:val="006B778A"/>
    <w:rsid w:val="006C0F74"/>
    <w:rsid w:val="006C7DEC"/>
    <w:rsid w:val="006E4A00"/>
    <w:rsid w:val="006E6885"/>
    <w:rsid w:val="006F01F2"/>
    <w:rsid w:val="006F0E7E"/>
    <w:rsid w:val="006F0ECE"/>
    <w:rsid w:val="006F1AA2"/>
    <w:rsid w:val="006F1FE2"/>
    <w:rsid w:val="006F6135"/>
    <w:rsid w:val="006F6E52"/>
    <w:rsid w:val="00700B64"/>
    <w:rsid w:val="00704AF9"/>
    <w:rsid w:val="00706AAB"/>
    <w:rsid w:val="00707F05"/>
    <w:rsid w:val="00710763"/>
    <w:rsid w:val="00713E25"/>
    <w:rsid w:val="00720471"/>
    <w:rsid w:val="0072425B"/>
    <w:rsid w:val="00724531"/>
    <w:rsid w:val="00730369"/>
    <w:rsid w:val="00734911"/>
    <w:rsid w:val="00740629"/>
    <w:rsid w:val="007431E7"/>
    <w:rsid w:val="007444DD"/>
    <w:rsid w:val="00747C75"/>
    <w:rsid w:val="00762C3C"/>
    <w:rsid w:val="007646AA"/>
    <w:rsid w:val="00770803"/>
    <w:rsid w:val="00771777"/>
    <w:rsid w:val="007755BF"/>
    <w:rsid w:val="00793285"/>
    <w:rsid w:val="007A24F2"/>
    <w:rsid w:val="007B3A1D"/>
    <w:rsid w:val="007B4719"/>
    <w:rsid w:val="007C3069"/>
    <w:rsid w:val="007C6982"/>
    <w:rsid w:val="007E01B3"/>
    <w:rsid w:val="007E5AEB"/>
    <w:rsid w:val="008027EC"/>
    <w:rsid w:val="00805E7C"/>
    <w:rsid w:val="00814984"/>
    <w:rsid w:val="00814AD4"/>
    <w:rsid w:val="008151D9"/>
    <w:rsid w:val="00821D06"/>
    <w:rsid w:val="00827782"/>
    <w:rsid w:val="00833437"/>
    <w:rsid w:val="00855D60"/>
    <w:rsid w:val="008571B4"/>
    <w:rsid w:val="00864B2F"/>
    <w:rsid w:val="0087121B"/>
    <w:rsid w:val="008730BD"/>
    <w:rsid w:val="00885838"/>
    <w:rsid w:val="00886F71"/>
    <w:rsid w:val="0089014F"/>
    <w:rsid w:val="008910DB"/>
    <w:rsid w:val="00892F06"/>
    <w:rsid w:val="008A1929"/>
    <w:rsid w:val="008A4417"/>
    <w:rsid w:val="008B5DC2"/>
    <w:rsid w:val="008B6C18"/>
    <w:rsid w:val="008D527E"/>
    <w:rsid w:val="008E34C0"/>
    <w:rsid w:val="008E45EE"/>
    <w:rsid w:val="008E4A82"/>
    <w:rsid w:val="00907F21"/>
    <w:rsid w:val="00913117"/>
    <w:rsid w:val="00914E64"/>
    <w:rsid w:val="00921A00"/>
    <w:rsid w:val="0093205D"/>
    <w:rsid w:val="00933561"/>
    <w:rsid w:val="00942086"/>
    <w:rsid w:val="00953DA9"/>
    <w:rsid w:val="00961C45"/>
    <w:rsid w:val="00961E35"/>
    <w:rsid w:val="00965A99"/>
    <w:rsid w:val="00965E6E"/>
    <w:rsid w:val="00974135"/>
    <w:rsid w:val="00975F0E"/>
    <w:rsid w:val="009837FB"/>
    <w:rsid w:val="00983FCB"/>
    <w:rsid w:val="009960AA"/>
    <w:rsid w:val="009B079D"/>
    <w:rsid w:val="009B2305"/>
    <w:rsid w:val="009C2EAA"/>
    <w:rsid w:val="009C3BBD"/>
    <w:rsid w:val="009D44FC"/>
    <w:rsid w:val="009D7C94"/>
    <w:rsid w:val="009E692C"/>
    <w:rsid w:val="009F2BF0"/>
    <w:rsid w:val="00A013D3"/>
    <w:rsid w:val="00A0687D"/>
    <w:rsid w:val="00A11752"/>
    <w:rsid w:val="00A1590C"/>
    <w:rsid w:val="00A22F97"/>
    <w:rsid w:val="00A34096"/>
    <w:rsid w:val="00A348D5"/>
    <w:rsid w:val="00A35E21"/>
    <w:rsid w:val="00A41A0F"/>
    <w:rsid w:val="00A465E3"/>
    <w:rsid w:val="00A52815"/>
    <w:rsid w:val="00A529EA"/>
    <w:rsid w:val="00A6196F"/>
    <w:rsid w:val="00A66D9A"/>
    <w:rsid w:val="00A94CD5"/>
    <w:rsid w:val="00AA386F"/>
    <w:rsid w:val="00AA44D7"/>
    <w:rsid w:val="00AB1D65"/>
    <w:rsid w:val="00AB2E25"/>
    <w:rsid w:val="00AD211E"/>
    <w:rsid w:val="00AD60E9"/>
    <w:rsid w:val="00AD7309"/>
    <w:rsid w:val="00AE6758"/>
    <w:rsid w:val="00AF152C"/>
    <w:rsid w:val="00B14DDB"/>
    <w:rsid w:val="00B31598"/>
    <w:rsid w:val="00B33D08"/>
    <w:rsid w:val="00B349EC"/>
    <w:rsid w:val="00B5046E"/>
    <w:rsid w:val="00B62A2A"/>
    <w:rsid w:val="00B63B43"/>
    <w:rsid w:val="00B71016"/>
    <w:rsid w:val="00B75356"/>
    <w:rsid w:val="00B83FEC"/>
    <w:rsid w:val="00B863CD"/>
    <w:rsid w:val="00B938A7"/>
    <w:rsid w:val="00B93FD6"/>
    <w:rsid w:val="00B97001"/>
    <w:rsid w:val="00B973EE"/>
    <w:rsid w:val="00BA390F"/>
    <w:rsid w:val="00BA70A6"/>
    <w:rsid w:val="00BC4ABE"/>
    <w:rsid w:val="00BC4B89"/>
    <w:rsid w:val="00BC78CD"/>
    <w:rsid w:val="00BD6626"/>
    <w:rsid w:val="00BD670D"/>
    <w:rsid w:val="00BD7933"/>
    <w:rsid w:val="00BE131F"/>
    <w:rsid w:val="00BF2BA6"/>
    <w:rsid w:val="00BF3E4E"/>
    <w:rsid w:val="00BF3FF0"/>
    <w:rsid w:val="00BF533D"/>
    <w:rsid w:val="00C122E4"/>
    <w:rsid w:val="00C73282"/>
    <w:rsid w:val="00C80E10"/>
    <w:rsid w:val="00C829C6"/>
    <w:rsid w:val="00C83E7A"/>
    <w:rsid w:val="00C8409D"/>
    <w:rsid w:val="00CA59D5"/>
    <w:rsid w:val="00CA6A2D"/>
    <w:rsid w:val="00CB050E"/>
    <w:rsid w:val="00CB4A0F"/>
    <w:rsid w:val="00CB565C"/>
    <w:rsid w:val="00CC72D9"/>
    <w:rsid w:val="00CD4627"/>
    <w:rsid w:val="00CD7E6A"/>
    <w:rsid w:val="00CE3384"/>
    <w:rsid w:val="00CE520B"/>
    <w:rsid w:val="00CF3A5B"/>
    <w:rsid w:val="00CF6EB4"/>
    <w:rsid w:val="00D05AA1"/>
    <w:rsid w:val="00D10BE6"/>
    <w:rsid w:val="00D120F8"/>
    <w:rsid w:val="00D27F9D"/>
    <w:rsid w:val="00D32416"/>
    <w:rsid w:val="00D651F4"/>
    <w:rsid w:val="00D729FA"/>
    <w:rsid w:val="00D748DF"/>
    <w:rsid w:val="00D76844"/>
    <w:rsid w:val="00D8542D"/>
    <w:rsid w:val="00D94DE7"/>
    <w:rsid w:val="00D96C1E"/>
    <w:rsid w:val="00DA0941"/>
    <w:rsid w:val="00DA6EFC"/>
    <w:rsid w:val="00DB0DED"/>
    <w:rsid w:val="00DB1E27"/>
    <w:rsid w:val="00DB26D5"/>
    <w:rsid w:val="00DC3EB5"/>
    <w:rsid w:val="00DC4912"/>
    <w:rsid w:val="00DE1C1C"/>
    <w:rsid w:val="00DE5D59"/>
    <w:rsid w:val="00DE623C"/>
    <w:rsid w:val="00DF6190"/>
    <w:rsid w:val="00E017A7"/>
    <w:rsid w:val="00E02831"/>
    <w:rsid w:val="00E06D21"/>
    <w:rsid w:val="00E10C62"/>
    <w:rsid w:val="00E2142B"/>
    <w:rsid w:val="00E22A18"/>
    <w:rsid w:val="00E25444"/>
    <w:rsid w:val="00E315D4"/>
    <w:rsid w:val="00E31E09"/>
    <w:rsid w:val="00E35401"/>
    <w:rsid w:val="00E354A3"/>
    <w:rsid w:val="00E45D83"/>
    <w:rsid w:val="00E478A4"/>
    <w:rsid w:val="00E5567F"/>
    <w:rsid w:val="00E57C8F"/>
    <w:rsid w:val="00E71994"/>
    <w:rsid w:val="00E72A0D"/>
    <w:rsid w:val="00E73B1A"/>
    <w:rsid w:val="00E806E9"/>
    <w:rsid w:val="00E8436D"/>
    <w:rsid w:val="00E85CDC"/>
    <w:rsid w:val="00E90A1E"/>
    <w:rsid w:val="00EA5D9A"/>
    <w:rsid w:val="00EB056B"/>
    <w:rsid w:val="00EB1F33"/>
    <w:rsid w:val="00EB5CE6"/>
    <w:rsid w:val="00EB74D8"/>
    <w:rsid w:val="00EC05D7"/>
    <w:rsid w:val="00EC06F0"/>
    <w:rsid w:val="00ED4BB4"/>
    <w:rsid w:val="00ED5C66"/>
    <w:rsid w:val="00ED7FC5"/>
    <w:rsid w:val="00EE00A0"/>
    <w:rsid w:val="00EE1BC7"/>
    <w:rsid w:val="00EF54DB"/>
    <w:rsid w:val="00F00A0F"/>
    <w:rsid w:val="00F02761"/>
    <w:rsid w:val="00F06025"/>
    <w:rsid w:val="00F06A8C"/>
    <w:rsid w:val="00F150ED"/>
    <w:rsid w:val="00F23E46"/>
    <w:rsid w:val="00F4221A"/>
    <w:rsid w:val="00F440D2"/>
    <w:rsid w:val="00F4526C"/>
    <w:rsid w:val="00F45D9E"/>
    <w:rsid w:val="00F47AD1"/>
    <w:rsid w:val="00F53F61"/>
    <w:rsid w:val="00F67529"/>
    <w:rsid w:val="00F728FD"/>
    <w:rsid w:val="00F732CD"/>
    <w:rsid w:val="00F824C0"/>
    <w:rsid w:val="00F9423E"/>
    <w:rsid w:val="00F97B6E"/>
    <w:rsid w:val="00FA2EDF"/>
    <w:rsid w:val="00FB11D1"/>
    <w:rsid w:val="00FE0570"/>
    <w:rsid w:val="00FE13BF"/>
    <w:rsid w:val="00FF03FE"/>
    <w:rsid w:val="00FF2D2B"/>
    <w:rsid w:val="00FF7628"/>
    <w:rsid w:val="00FF7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8D7B97"/>
  <w15:docId w15:val="{8B23AF9D-3D18-4582-8DAC-37B5F75CC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1C1C"/>
    <w:pPr>
      <w:spacing w:before="120" w:line="240" w:lineRule="auto"/>
    </w:pPr>
    <w:rPr>
      <w:rFonts w:ascii="Arial" w:eastAsia="Times New Roman" w:hAnsi="Arial" w:cs="Times New Roman"/>
      <w:color w:val="53565A"/>
      <w:sz w:val="18"/>
      <w:szCs w:val="20"/>
    </w:rPr>
  </w:style>
  <w:style w:type="paragraph" w:styleId="Heading1">
    <w:name w:val="heading 1"/>
    <w:basedOn w:val="Normal"/>
    <w:next w:val="Normal"/>
    <w:link w:val="Heading1Char"/>
    <w:uiPriority w:val="9"/>
    <w:qFormat/>
    <w:rsid w:val="001441F4"/>
    <w:pPr>
      <w:keepNext/>
      <w:keepLines/>
      <w:numPr>
        <w:numId w:val="8"/>
      </w:numPr>
      <w:spacing w:before="520" w:after="480"/>
      <w:outlineLvl w:val="0"/>
    </w:pPr>
    <w:rPr>
      <w:b/>
      <w:bCs/>
      <w:color w:val="201547"/>
      <w:sz w:val="36"/>
      <w:szCs w:val="32"/>
    </w:rPr>
  </w:style>
  <w:style w:type="paragraph" w:styleId="Heading2">
    <w:name w:val="heading 2"/>
    <w:basedOn w:val="Normal"/>
    <w:next w:val="Normal"/>
    <w:link w:val="Heading2Char"/>
    <w:uiPriority w:val="9"/>
    <w:qFormat/>
    <w:rsid w:val="001441F4"/>
    <w:pPr>
      <w:keepNext/>
      <w:keepLines/>
      <w:numPr>
        <w:ilvl w:val="1"/>
        <w:numId w:val="8"/>
      </w:numPr>
      <w:spacing w:before="400"/>
      <w:outlineLvl w:val="1"/>
    </w:pPr>
    <w:rPr>
      <w:bCs/>
      <w:color w:val="78BF42"/>
      <w:sz w:val="28"/>
      <w:szCs w:val="26"/>
    </w:rPr>
  </w:style>
  <w:style w:type="paragraph" w:styleId="Heading3">
    <w:name w:val="heading 3"/>
    <w:basedOn w:val="Normal"/>
    <w:next w:val="Normal"/>
    <w:link w:val="Heading3Char"/>
    <w:uiPriority w:val="9"/>
    <w:qFormat/>
    <w:rsid w:val="001441F4"/>
    <w:pPr>
      <w:keepNext/>
      <w:keepLines/>
      <w:numPr>
        <w:ilvl w:val="2"/>
        <w:numId w:val="8"/>
      </w:numPr>
      <w:spacing w:before="320" w:after="160"/>
      <w:outlineLvl w:val="2"/>
    </w:pPr>
    <w:rPr>
      <w:b/>
      <w:bCs/>
      <w:color w:val="201547"/>
      <w:sz w:val="22"/>
    </w:rPr>
  </w:style>
  <w:style w:type="paragraph" w:styleId="Heading4">
    <w:name w:val="heading 4"/>
    <w:basedOn w:val="Normal"/>
    <w:next w:val="Normal"/>
    <w:link w:val="Heading4Char"/>
    <w:uiPriority w:val="9"/>
    <w:unhideWhenUsed/>
    <w:rsid w:val="006B778A"/>
    <w:pPr>
      <w:keepNext/>
      <w:keepLines/>
      <w:numPr>
        <w:ilvl w:val="3"/>
        <w:numId w:val="8"/>
      </w:numPr>
      <w:spacing w:before="280" w:after="0"/>
      <w:outlineLvl w:val="3"/>
    </w:pPr>
    <w:rPr>
      <w:rFonts w:eastAsiaTheme="majorEastAsia" w:cstheme="majorBidi"/>
      <w:b/>
      <w:bCs/>
      <w:iCs/>
      <w:color w:val="201547" w:themeColor="text1"/>
    </w:rPr>
  </w:style>
  <w:style w:type="paragraph" w:styleId="Heading5">
    <w:name w:val="heading 5"/>
    <w:basedOn w:val="Normal"/>
    <w:next w:val="Normal"/>
    <w:link w:val="Heading5Char"/>
    <w:uiPriority w:val="9"/>
    <w:unhideWhenUsed/>
    <w:rsid w:val="00892F06"/>
    <w:pPr>
      <w:keepNext/>
      <w:keepLines/>
      <w:numPr>
        <w:ilvl w:val="4"/>
        <w:numId w:val="8"/>
      </w:numPr>
      <w:spacing w:before="280" w:after="0"/>
      <w:outlineLvl w:val="4"/>
    </w:pPr>
    <w:rPr>
      <w:rFonts w:eastAsiaTheme="majorEastAsia" w:cstheme="majorBidi"/>
      <w:color w:val="201547" w:themeColor="text1"/>
    </w:rPr>
  </w:style>
  <w:style w:type="paragraph" w:styleId="Heading6">
    <w:name w:val="heading 6"/>
    <w:basedOn w:val="Normal"/>
    <w:next w:val="Normal"/>
    <w:link w:val="Heading6Char"/>
    <w:uiPriority w:val="9"/>
    <w:semiHidden/>
    <w:unhideWhenUsed/>
    <w:qFormat/>
    <w:rsid w:val="00DB0DED"/>
    <w:pPr>
      <w:keepNext/>
      <w:keepLines/>
      <w:numPr>
        <w:ilvl w:val="5"/>
        <w:numId w:val="8"/>
      </w:numPr>
      <w:spacing w:before="200" w:after="0"/>
      <w:outlineLvl w:val="5"/>
    </w:pPr>
    <w:rPr>
      <w:rFonts w:asciiTheme="majorHAnsi" w:eastAsiaTheme="majorEastAsia" w:hAnsiTheme="majorHAnsi" w:cstheme="majorBidi"/>
      <w:i/>
      <w:iCs/>
      <w:color w:val="003866" w:themeColor="accent1" w:themeShade="7F"/>
    </w:rPr>
  </w:style>
  <w:style w:type="paragraph" w:styleId="Heading7">
    <w:name w:val="heading 7"/>
    <w:basedOn w:val="Normal"/>
    <w:next w:val="Normal"/>
    <w:link w:val="Heading7Char"/>
    <w:uiPriority w:val="9"/>
    <w:semiHidden/>
    <w:unhideWhenUsed/>
    <w:qFormat/>
    <w:rsid w:val="00DB0DED"/>
    <w:pPr>
      <w:keepNext/>
      <w:keepLines/>
      <w:numPr>
        <w:ilvl w:val="6"/>
        <w:numId w:val="8"/>
      </w:numPr>
      <w:spacing w:before="200" w:after="0"/>
      <w:outlineLvl w:val="6"/>
    </w:pPr>
    <w:rPr>
      <w:rFonts w:asciiTheme="majorHAnsi" w:eastAsiaTheme="majorEastAsia" w:hAnsiTheme="majorHAnsi" w:cstheme="majorBidi"/>
      <w:i/>
      <w:iCs/>
      <w:color w:val="442D97" w:themeColor="text1" w:themeTint="BF"/>
    </w:rPr>
  </w:style>
  <w:style w:type="paragraph" w:styleId="Heading8">
    <w:name w:val="heading 8"/>
    <w:basedOn w:val="Normal"/>
    <w:next w:val="Normal"/>
    <w:link w:val="Heading8Char"/>
    <w:uiPriority w:val="9"/>
    <w:semiHidden/>
    <w:unhideWhenUsed/>
    <w:qFormat/>
    <w:rsid w:val="00DB0DED"/>
    <w:pPr>
      <w:keepNext/>
      <w:keepLines/>
      <w:numPr>
        <w:ilvl w:val="7"/>
        <w:numId w:val="8"/>
      </w:numPr>
      <w:spacing w:before="200" w:after="0"/>
      <w:outlineLvl w:val="7"/>
    </w:pPr>
    <w:rPr>
      <w:rFonts w:asciiTheme="majorHAnsi" w:eastAsiaTheme="majorEastAsia" w:hAnsiTheme="majorHAnsi" w:cstheme="majorBidi"/>
      <w:color w:val="442D97" w:themeColor="text1" w:themeTint="BF"/>
    </w:rPr>
  </w:style>
  <w:style w:type="paragraph" w:styleId="Heading9">
    <w:name w:val="heading 9"/>
    <w:basedOn w:val="Normal"/>
    <w:next w:val="Normal"/>
    <w:link w:val="Heading9Char"/>
    <w:uiPriority w:val="9"/>
    <w:semiHidden/>
    <w:unhideWhenUsed/>
    <w:qFormat/>
    <w:rsid w:val="00DB0DED"/>
    <w:pPr>
      <w:keepNext/>
      <w:keepLines/>
      <w:numPr>
        <w:ilvl w:val="8"/>
        <w:numId w:val="8"/>
      </w:numPr>
      <w:spacing w:before="200" w:after="0"/>
      <w:outlineLvl w:val="8"/>
    </w:pPr>
    <w:rPr>
      <w:rFonts w:asciiTheme="majorHAnsi" w:eastAsiaTheme="majorEastAsia" w:hAnsiTheme="majorHAnsi" w:cstheme="majorBidi"/>
      <w:i/>
      <w:iCs/>
      <w:color w:val="442D9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1F4"/>
    <w:rPr>
      <w:rFonts w:ascii="Arial" w:eastAsia="Times New Roman" w:hAnsi="Arial" w:cs="Times New Roman"/>
      <w:b/>
      <w:bCs/>
      <w:color w:val="201547"/>
      <w:sz w:val="36"/>
      <w:szCs w:val="32"/>
    </w:rPr>
  </w:style>
  <w:style w:type="character" w:customStyle="1" w:styleId="Heading2Char">
    <w:name w:val="Heading 2 Char"/>
    <w:basedOn w:val="DefaultParagraphFont"/>
    <w:link w:val="Heading2"/>
    <w:uiPriority w:val="9"/>
    <w:rsid w:val="001441F4"/>
    <w:rPr>
      <w:rFonts w:ascii="Arial" w:eastAsia="Times New Roman" w:hAnsi="Arial" w:cs="Times New Roman"/>
      <w:bCs/>
      <w:color w:val="78BF42"/>
      <w:sz w:val="28"/>
      <w:szCs w:val="26"/>
    </w:rPr>
  </w:style>
  <w:style w:type="character" w:customStyle="1" w:styleId="Heading3Char">
    <w:name w:val="Heading 3 Char"/>
    <w:basedOn w:val="DefaultParagraphFont"/>
    <w:link w:val="Heading3"/>
    <w:uiPriority w:val="9"/>
    <w:rsid w:val="001441F4"/>
    <w:rPr>
      <w:rFonts w:ascii="Arial" w:eastAsia="Times New Roman" w:hAnsi="Arial" w:cs="Times New Roman"/>
      <w:b/>
      <w:bCs/>
      <w:color w:val="201547"/>
      <w:szCs w:val="20"/>
    </w:rPr>
  </w:style>
  <w:style w:type="character" w:styleId="FollowedHyperlink">
    <w:name w:val="FollowedHyperlink"/>
    <w:basedOn w:val="DefaultParagraphFont"/>
    <w:semiHidden/>
    <w:unhideWhenUsed/>
    <w:rsid w:val="00E02831"/>
    <w:rPr>
      <w:color w:val="88DBDF" w:themeColor="followedHyperlink"/>
      <w:u w:val="single"/>
    </w:rPr>
  </w:style>
  <w:style w:type="paragraph" w:styleId="Footer">
    <w:name w:val="footer"/>
    <w:basedOn w:val="Normal"/>
    <w:link w:val="FooterChar"/>
    <w:uiPriority w:val="99"/>
    <w:rsid w:val="00135B6F"/>
    <w:pPr>
      <w:tabs>
        <w:tab w:val="center" w:pos="4320"/>
        <w:tab w:val="right" w:pos="8640"/>
      </w:tabs>
    </w:pPr>
  </w:style>
  <w:style w:type="character" w:customStyle="1" w:styleId="FooterChar">
    <w:name w:val="Footer Char"/>
    <w:basedOn w:val="DefaultParagraphFont"/>
    <w:link w:val="Footer"/>
    <w:uiPriority w:val="99"/>
    <w:rsid w:val="00135B6F"/>
    <w:rPr>
      <w:rFonts w:ascii="Arial" w:eastAsia="Times New Roman" w:hAnsi="Arial" w:cs="Times New Roman"/>
      <w:sz w:val="20"/>
      <w:szCs w:val="20"/>
    </w:rPr>
  </w:style>
  <w:style w:type="paragraph" w:styleId="Header">
    <w:name w:val="header"/>
    <w:basedOn w:val="Normal"/>
    <w:link w:val="HeaderChar"/>
    <w:uiPriority w:val="99"/>
    <w:unhideWhenUsed/>
    <w:rsid w:val="00135B6F"/>
    <w:pPr>
      <w:tabs>
        <w:tab w:val="center" w:pos="4320"/>
        <w:tab w:val="right" w:pos="8640"/>
      </w:tabs>
      <w:spacing w:before="0" w:after="0"/>
    </w:pPr>
  </w:style>
  <w:style w:type="character" w:customStyle="1" w:styleId="HeaderChar">
    <w:name w:val="Header Char"/>
    <w:basedOn w:val="DefaultParagraphFont"/>
    <w:link w:val="Header"/>
    <w:uiPriority w:val="99"/>
    <w:rsid w:val="00135B6F"/>
    <w:rPr>
      <w:rFonts w:ascii="Arial" w:eastAsia="Times New Roman" w:hAnsi="Arial" w:cs="Times New Roman"/>
      <w:sz w:val="20"/>
      <w:szCs w:val="20"/>
    </w:rPr>
  </w:style>
  <w:style w:type="character" w:styleId="Hyperlink">
    <w:name w:val="Hyperlink"/>
    <w:basedOn w:val="DefaultParagraphFont"/>
    <w:uiPriority w:val="99"/>
    <w:unhideWhenUsed/>
    <w:rsid w:val="00AB1D65"/>
    <w:rPr>
      <w:color w:val="5236B7" w:themeColor="text1" w:themeTint="A6"/>
      <w:u w:val="single"/>
    </w:rPr>
  </w:style>
  <w:style w:type="character" w:styleId="PageNumber">
    <w:name w:val="page number"/>
    <w:uiPriority w:val="99"/>
    <w:unhideWhenUsed/>
    <w:rsid w:val="00921A00"/>
    <w:rPr>
      <w:sz w:val="16"/>
      <w:szCs w:val="16"/>
    </w:rPr>
  </w:style>
  <w:style w:type="character" w:customStyle="1" w:styleId="Heading4Char">
    <w:name w:val="Heading 4 Char"/>
    <w:basedOn w:val="DefaultParagraphFont"/>
    <w:link w:val="Heading4"/>
    <w:uiPriority w:val="9"/>
    <w:rsid w:val="006B778A"/>
    <w:rPr>
      <w:rFonts w:ascii="Arial" w:eastAsiaTheme="majorEastAsia" w:hAnsi="Arial" w:cstheme="majorBidi"/>
      <w:b/>
      <w:bCs/>
      <w:iCs/>
      <w:color w:val="201547" w:themeColor="text1"/>
      <w:sz w:val="20"/>
      <w:szCs w:val="20"/>
    </w:rPr>
  </w:style>
  <w:style w:type="paragraph" w:styleId="BalloonText">
    <w:name w:val="Balloon Text"/>
    <w:basedOn w:val="Normal"/>
    <w:link w:val="BalloonTextChar"/>
    <w:uiPriority w:val="99"/>
    <w:semiHidden/>
    <w:unhideWhenUsed/>
    <w:rsid w:val="009E692C"/>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9E692C"/>
    <w:rPr>
      <w:rFonts w:ascii="Tahoma" w:eastAsia="Times New Roman" w:hAnsi="Tahoma" w:cs="Tahoma"/>
      <w:sz w:val="16"/>
      <w:szCs w:val="16"/>
    </w:rPr>
  </w:style>
  <w:style w:type="paragraph" w:styleId="TOCHeading">
    <w:name w:val="TOC Heading"/>
    <w:basedOn w:val="Normal"/>
    <w:next w:val="Normal"/>
    <w:uiPriority w:val="39"/>
    <w:unhideWhenUsed/>
    <w:qFormat/>
    <w:rsid w:val="00AB1D65"/>
    <w:pPr>
      <w:spacing w:before="0" w:after="400"/>
    </w:pPr>
    <w:rPr>
      <w:b/>
      <w:caps/>
      <w:sz w:val="36"/>
      <w:szCs w:val="48"/>
    </w:rPr>
  </w:style>
  <w:style w:type="character" w:customStyle="1" w:styleId="Heading5Char">
    <w:name w:val="Heading 5 Char"/>
    <w:basedOn w:val="DefaultParagraphFont"/>
    <w:link w:val="Heading5"/>
    <w:uiPriority w:val="9"/>
    <w:rsid w:val="00892F06"/>
    <w:rPr>
      <w:rFonts w:ascii="Arial" w:eastAsiaTheme="majorEastAsia" w:hAnsi="Arial" w:cstheme="majorBidi"/>
      <w:color w:val="201547" w:themeColor="text1"/>
      <w:sz w:val="20"/>
      <w:szCs w:val="20"/>
    </w:rPr>
  </w:style>
  <w:style w:type="character" w:customStyle="1" w:styleId="Heading6Char">
    <w:name w:val="Heading 6 Char"/>
    <w:basedOn w:val="DefaultParagraphFont"/>
    <w:link w:val="Heading6"/>
    <w:uiPriority w:val="9"/>
    <w:semiHidden/>
    <w:rsid w:val="00DB0DED"/>
    <w:rPr>
      <w:rFonts w:asciiTheme="majorHAnsi" w:eastAsiaTheme="majorEastAsia" w:hAnsiTheme="majorHAnsi" w:cstheme="majorBidi"/>
      <w:i/>
      <w:iCs/>
      <w:color w:val="003866" w:themeColor="accent1" w:themeShade="7F"/>
      <w:sz w:val="20"/>
      <w:szCs w:val="20"/>
    </w:rPr>
  </w:style>
  <w:style w:type="character" w:customStyle="1" w:styleId="Heading7Char">
    <w:name w:val="Heading 7 Char"/>
    <w:basedOn w:val="DefaultParagraphFont"/>
    <w:link w:val="Heading7"/>
    <w:uiPriority w:val="9"/>
    <w:semiHidden/>
    <w:rsid w:val="00DB0DED"/>
    <w:rPr>
      <w:rFonts w:asciiTheme="majorHAnsi" w:eastAsiaTheme="majorEastAsia" w:hAnsiTheme="majorHAnsi" w:cstheme="majorBidi"/>
      <w:i/>
      <w:iCs/>
      <w:color w:val="442D97" w:themeColor="text1" w:themeTint="BF"/>
      <w:sz w:val="20"/>
      <w:szCs w:val="20"/>
    </w:rPr>
  </w:style>
  <w:style w:type="character" w:customStyle="1" w:styleId="Heading8Char">
    <w:name w:val="Heading 8 Char"/>
    <w:basedOn w:val="DefaultParagraphFont"/>
    <w:link w:val="Heading8"/>
    <w:uiPriority w:val="9"/>
    <w:semiHidden/>
    <w:rsid w:val="00DB0DED"/>
    <w:rPr>
      <w:rFonts w:asciiTheme="majorHAnsi" w:eastAsiaTheme="majorEastAsia" w:hAnsiTheme="majorHAnsi" w:cstheme="majorBidi"/>
      <w:color w:val="442D97" w:themeColor="text1" w:themeTint="BF"/>
      <w:sz w:val="20"/>
      <w:szCs w:val="20"/>
    </w:rPr>
  </w:style>
  <w:style w:type="character" w:customStyle="1" w:styleId="Heading9Char">
    <w:name w:val="Heading 9 Char"/>
    <w:basedOn w:val="DefaultParagraphFont"/>
    <w:link w:val="Heading9"/>
    <w:uiPriority w:val="9"/>
    <w:semiHidden/>
    <w:rsid w:val="00DB0DED"/>
    <w:rPr>
      <w:rFonts w:asciiTheme="majorHAnsi" w:eastAsiaTheme="majorEastAsia" w:hAnsiTheme="majorHAnsi" w:cstheme="majorBidi"/>
      <w:i/>
      <w:iCs/>
      <w:color w:val="442D97" w:themeColor="text1" w:themeTint="BF"/>
      <w:sz w:val="20"/>
      <w:szCs w:val="20"/>
    </w:rPr>
  </w:style>
  <w:style w:type="table" w:styleId="TableGrid">
    <w:name w:val="Table Grid"/>
    <w:basedOn w:val="TableNormal"/>
    <w:rsid w:val="0080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T1">
    <w:name w:val="DOT 1"/>
    <w:basedOn w:val="TableNormal"/>
    <w:uiPriority w:val="99"/>
    <w:rsid w:val="00D729FA"/>
    <w:pPr>
      <w:spacing w:after="0" w:line="240" w:lineRule="auto"/>
    </w:pPr>
    <w:rPr>
      <w:rFonts w:ascii="Arial" w:hAnsi="Arial"/>
      <w:sz w:val="20"/>
    </w:rPr>
    <w:tblPr>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Pr>
    <w:tcPr>
      <w:shd w:val="clear" w:color="auto" w:fill="auto"/>
    </w:tcPr>
    <w:tblStylePr w:type="firstRow">
      <w:pPr>
        <w:jc w:val="left"/>
      </w:pPr>
      <w:rPr>
        <w:rFonts w:ascii="Arial" w:hAnsi="Arial"/>
        <w:b/>
        <w:sz w:val="22"/>
      </w:rPr>
      <w:tblPr/>
      <w:tcPr>
        <w:shd w:val="clear" w:color="auto" w:fill="D9D9D6" w:themeFill="background2"/>
      </w:tcPr>
    </w:tblStylePr>
    <w:tblStylePr w:type="firstCol">
      <w:rPr>
        <w:rFonts w:ascii="Arial" w:hAnsi="Arial"/>
        <w:b/>
        <w:sz w:val="20"/>
      </w:rPr>
    </w:tblStylePr>
  </w:style>
  <w:style w:type="table" w:styleId="LightShading">
    <w:name w:val="Light Shading"/>
    <w:basedOn w:val="TableNormal"/>
    <w:uiPriority w:val="60"/>
    <w:rsid w:val="008027EC"/>
    <w:pPr>
      <w:spacing w:after="0" w:line="240" w:lineRule="auto"/>
    </w:pPr>
    <w:rPr>
      <w:color w:val="170F34" w:themeColor="text1" w:themeShade="BF"/>
    </w:rPr>
    <w:tblPr>
      <w:tblStyleRowBandSize w:val="1"/>
      <w:tblStyleColBandSize w:val="1"/>
      <w:tblBorders>
        <w:top w:val="single" w:sz="8" w:space="0" w:color="201547" w:themeColor="text1"/>
        <w:bottom w:val="single" w:sz="8" w:space="0" w:color="201547" w:themeColor="text1"/>
      </w:tblBorders>
    </w:tblPr>
    <w:tblStylePr w:type="fir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lastRow">
      <w:pPr>
        <w:spacing w:before="0" w:after="0" w:line="240" w:lineRule="auto"/>
      </w:pPr>
      <w:rPr>
        <w:b/>
        <w:bCs/>
      </w:rPr>
      <w:tblPr/>
      <w:tcPr>
        <w:tcBorders>
          <w:top w:val="single" w:sz="8" w:space="0" w:color="201547" w:themeColor="text1"/>
          <w:left w:val="nil"/>
          <w:bottom w:val="single" w:sz="8" w:space="0" w:color="2015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text1" w:themeFillTint="3F"/>
      </w:tcPr>
    </w:tblStylePr>
    <w:tblStylePr w:type="band1Horz">
      <w:tblPr/>
      <w:tcPr>
        <w:tcBorders>
          <w:left w:val="nil"/>
          <w:right w:val="nil"/>
          <w:insideH w:val="nil"/>
          <w:insideV w:val="nil"/>
        </w:tcBorders>
        <w:shd w:val="clear" w:color="auto" w:fill="BBAFE7" w:themeFill="text1" w:themeFillTint="3F"/>
      </w:tcPr>
    </w:tblStylePr>
  </w:style>
  <w:style w:type="paragraph" w:styleId="Caption">
    <w:name w:val="caption"/>
    <w:basedOn w:val="Normal"/>
    <w:next w:val="Normal"/>
    <w:uiPriority w:val="35"/>
    <w:unhideWhenUsed/>
    <w:qFormat/>
    <w:rsid w:val="008027EC"/>
    <w:rPr>
      <w:b/>
      <w:bCs/>
      <w:szCs w:val="18"/>
    </w:rPr>
  </w:style>
  <w:style w:type="paragraph" w:styleId="TOC1">
    <w:name w:val="toc 1"/>
    <w:basedOn w:val="Normal"/>
    <w:next w:val="Normal"/>
    <w:autoRedefine/>
    <w:uiPriority w:val="39"/>
    <w:unhideWhenUsed/>
    <w:rsid w:val="00083F3A"/>
    <w:pPr>
      <w:tabs>
        <w:tab w:val="right" w:leader="dot" w:pos="9016"/>
      </w:tabs>
      <w:spacing w:after="100"/>
      <w:ind w:left="142"/>
    </w:pPr>
  </w:style>
  <w:style w:type="paragraph" w:styleId="TOC2">
    <w:name w:val="toc 2"/>
    <w:basedOn w:val="Normal"/>
    <w:next w:val="Normal"/>
    <w:autoRedefine/>
    <w:uiPriority w:val="39"/>
    <w:unhideWhenUsed/>
    <w:rsid w:val="00083F3A"/>
    <w:pPr>
      <w:tabs>
        <w:tab w:val="left" w:pos="600"/>
        <w:tab w:val="right" w:leader="dot" w:pos="9016"/>
      </w:tabs>
      <w:spacing w:after="100"/>
      <w:ind w:left="142"/>
    </w:pPr>
  </w:style>
  <w:style w:type="paragraph" w:styleId="TOC3">
    <w:name w:val="toc 3"/>
    <w:basedOn w:val="Normal"/>
    <w:next w:val="Normal"/>
    <w:autoRedefine/>
    <w:uiPriority w:val="39"/>
    <w:unhideWhenUsed/>
    <w:rsid w:val="00440DF0"/>
    <w:pPr>
      <w:spacing w:after="100"/>
      <w:ind w:left="400"/>
    </w:pPr>
  </w:style>
  <w:style w:type="paragraph" w:styleId="TOC4">
    <w:name w:val="toc 4"/>
    <w:basedOn w:val="Normal"/>
    <w:next w:val="Normal"/>
    <w:autoRedefine/>
    <w:uiPriority w:val="39"/>
    <w:unhideWhenUsed/>
    <w:rsid w:val="00440DF0"/>
    <w:pPr>
      <w:spacing w:after="100"/>
      <w:ind w:left="600"/>
    </w:pPr>
  </w:style>
  <w:style w:type="paragraph" w:styleId="TableofFigures">
    <w:name w:val="table of figures"/>
    <w:basedOn w:val="Normal"/>
    <w:next w:val="Normal"/>
    <w:uiPriority w:val="99"/>
    <w:unhideWhenUsed/>
    <w:rsid w:val="00BA390F"/>
    <w:pPr>
      <w:spacing w:after="0"/>
    </w:pPr>
  </w:style>
  <w:style w:type="paragraph" w:customStyle="1" w:styleId="introparagraph">
    <w:name w:val="# intro paragraph"/>
    <w:basedOn w:val="Normal"/>
    <w:qFormat/>
    <w:rsid w:val="00AB1D65"/>
    <w:rPr>
      <w:color w:val="808080" w:themeColor="background1" w:themeShade="80"/>
      <w:sz w:val="28"/>
    </w:rPr>
  </w:style>
  <w:style w:type="paragraph" w:styleId="ListParagraph">
    <w:name w:val="List Paragraph"/>
    <w:basedOn w:val="Normal"/>
    <w:uiPriority w:val="34"/>
    <w:qFormat/>
    <w:rsid w:val="00C829C6"/>
    <w:pPr>
      <w:spacing w:before="0" w:after="0"/>
      <w:ind w:left="720"/>
      <w:contextualSpacing/>
    </w:pPr>
    <w:rPr>
      <w:rFonts w:ascii="Times New Roman" w:hAnsi="Times New Roman"/>
      <w:sz w:val="24"/>
      <w:szCs w:val="24"/>
      <w:lang w:eastAsia="en-AU"/>
    </w:rPr>
  </w:style>
  <w:style w:type="paragraph" w:styleId="Title">
    <w:name w:val="Title"/>
    <w:basedOn w:val="Normal"/>
    <w:next w:val="Normal"/>
    <w:link w:val="TitleChar"/>
    <w:uiPriority w:val="10"/>
    <w:qFormat/>
    <w:rsid w:val="00AB1D65"/>
    <w:pPr>
      <w:spacing w:before="0" w:line="420" w:lineRule="exact"/>
    </w:pPr>
    <w:rPr>
      <w:b/>
      <w:noProof/>
      <w:color w:val="FFFFFF"/>
      <w:sz w:val="44"/>
      <w:lang w:val="en-GB" w:eastAsia="en-GB"/>
    </w:rPr>
  </w:style>
  <w:style w:type="character" w:customStyle="1" w:styleId="TitleChar">
    <w:name w:val="Title Char"/>
    <w:basedOn w:val="DefaultParagraphFont"/>
    <w:link w:val="Title"/>
    <w:uiPriority w:val="10"/>
    <w:rsid w:val="00D96C1E"/>
    <w:rPr>
      <w:rFonts w:ascii="Arial" w:eastAsia="Times New Roman" w:hAnsi="Arial" w:cs="Times New Roman"/>
      <w:b/>
      <w:noProof/>
      <w:color w:val="FFFFFF"/>
      <w:sz w:val="44"/>
      <w:szCs w:val="20"/>
      <w:lang w:val="en-GB" w:eastAsia="en-GB"/>
    </w:rPr>
  </w:style>
  <w:style w:type="paragraph" w:styleId="Subtitle">
    <w:name w:val="Subtitle"/>
    <w:basedOn w:val="Normal"/>
    <w:next w:val="Normal"/>
    <w:link w:val="SubtitleChar"/>
    <w:uiPriority w:val="11"/>
    <w:qFormat/>
    <w:rsid w:val="00AB1D65"/>
    <w:pPr>
      <w:spacing w:before="180"/>
    </w:pPr>
    <w:rPr>
      <w:color w:val="FFFFFF"/>
      <w:sz w:val="32"/>
    </w:rPr>
  </w:style>
  <w:style w:type="character" w:customStyle="1" w:styleId="SubtitleChar">
    <w:name w:val="Subtitle Char"/>
    <w:basedOn w:val="DefaultParagraphFont"/>
    <w:link w:val="Subtitle"/>
    <w:uiPriority w:val="11"/>
    <w:rsid w:val="00D96C1E"/>
    <w:rPr>
      <w:rFonts w:ascii="Arial" w:eastAsia="Times New Roman" w:hAnsi="Arial" w:cs="Times New Roman"/>
      <w:color w:val="FFFFFF"/>
      <w:sz w:val="32"/>
      <w:szCs w:val="20"/>
    </w:rPr>
  </w:style>
  <w:style w:type="paragraph" w:styleId="ListBullet">
    <w:name w:val="List Bullet"/>
    <w:basedOn w:val="Normal"/>
    <w:uiPriority w:val="99"/>
    <w:unhideWhenUsed/>
    <w:rsid w:val="00AB1D65"/>
    <w:pPr>
      <w:numPr>
        <w:numId w:val="5"/>
      </w:numPr>
      <w:spacing w:before="0" w:after="60"/>
    </w:pPr>
  </w:style>
  <w:style w:type="paragraph" w:styleId="ListBullet2">
    <w:name w:val="List Bullet 2"/>
    <w:basedOn w:val="Normal"/>
    <w:uiPriority w:val="99"/>
    <w:unhideWhenUsed/>
    <w:rsid w:val="00AB1D65"/>
    <w:pPr>
      <w:numPr>
        <w:numId w:val="14"/>
      </w:numPr>
      <w:spacing w:before="0" w:after="60"/>
      <w:ind w:left="709" w:hanging="283"/>
    </w:pPr>
  </w:style>
  <w:style w:type="character" w:styleId="Strong">
    <w:name w:val="Strong"/>
    <w:basedOn w:val="DefaultParagraphFont"/>
    <w:uiPriority w:val="22"/>
    <w:qFormat/>
    <w:rsid w:val="00CA59D5"/>
    <w:rPr>
      <w:b/>
      <w:bCs/>
    </w:rPr>
  </w:style>
  <w:style w:type="paragraph" w:styleId="FootnoteText">
    <w:name w:val="footnote text"/>
    <w:basedOn w:val="Footer"/>
    <w:link w:val="FootnoteTextChar"/>
    <w:uiPriority w:val="99"/>
    <w:unhideWhenUsed/>
    <w:rsid w:val="00921A00"/>
    <w:rPr>
      <w:sz w:val="16"/>
      <w:szCs w:val="16"/>
    </w:rPr>
  </w:style>
  <w:style w:type="character" w:customStyle="1" w:styleId="FootnoteTextChar">
    <w:name w:val="Footnote Text Char"/>
    <w:basedOn w:val="DefaultParagraphFont"/>
    <w:link w:val="FootnoteText"/>
    <w:uiPriority w:val="99"/>
    <w:rsid w:val="00921A00"/>
    <w:rPr>
      <w:rFonts w:ascii="Arial" w:eastAsia="Times New Roman" w:hAnsi="Arial" w:cs="Times New Roman"/>
      <w:color w:val="53565A"/>
      <w:sz w:val="16"/>
      <w:szCs w:val="16"/>
    </w:rPr>
  </w:style>
  <w:style w:type="character" w:styleId="IntenseEmphasis">
    <w:name w:val="Intense Emphasis"/>
    <w:basedOn w:val="DefaultParagraphFont"/>
    <w:uiPriority w:val="21"/>
    <w:qFormat/>
    <w:rsid w:val="001441F4"/>
    <w:rPr>
      <w:i/>
      <w:iCs/>
      <w:color w:val="78BF42"/>
    </w:rPr>
  </w:style>
  <w:style w:type="paragraph" w:styleId="IntenseQuote">
    <w:name w:val="Intense Quote"/>
    <w:basedOn w:val="Normal"/>
    <w:next w:val="Normal"/>
    <w:link w:val="IntenseQuoteChar"/>
    <w:uiPriority w:val="30"/>
    <w:qFormat/>
    <w:rsid w:val="001441F4"/>
    <w:pPr>
      <w:pBdr>
        <w:top w:val="single" w:sz="4" w:space="10" w:color="0072CE" w:themeColor="accent1"/>
        <w:bottom w:val="single" w:sz="4" w:space="10" w:color="0072CE" w:themeColor="accent1"/>
      </w:pBdr>
      <w:spacing w:before="360" w:after="360"/>
      <w:ind w:left="864" w:right="864"/>
      <w:jc w:val="center"/>
    </w:pPr>
    <w:rPr>
      <w:i/>
      <w:iCs/>
      <w:color w:val="201547"/>
    </w:rPr>
  </w:style>
  <w:style w:type="character" w:customStyle="1" w:styleId="IntenseQuoteChar">
    <w:name w:val="Intense Quote Char"/>
    <w:basedOn w:val="DefaultParagraphFont"/>
    <w:link w:val="IntenseQuote"/>
    <w:uiPriority w:val="30"/>
    <w:rsid w:val="001441F4"/>
    <w:rPr>
      <w:rFonts w:ascii="Arial" w:eastAsia="Times New Roman" w:hAnsi="Arial" w:cs="Times New Roman"/>
      <w:i/>
      <w:iCs/>
      <w:color w:val="201547"/>
      <w:sz w:val="18"/>
      <w:szCs w:val="20"/>
    </w:rPr>
  </w:style>
  <w:style w:type="character" w:styleId="IntenseReference">
    <w:name w:val="Intense Reference"/>
    <w:basedOn w:val="DefaultParagraphFont"/>
    <w:uiPriority w:val="32"/>
    <w:qFormat/>
    <w:rsid w:val="001441F4"/>
    <w:rPr>
      <w:b/>
      <w:bCs/>
      <w:smallCaps/>
      <w:color w:val="201547"/>
      <w:spacing w:val="5"/>
    </w:rPr>
  </w:style>
  <w:style w:type="character" w:styleId="CommentReference">
    <w:name w:val="annotation reference"/>
    <w:basedOn w:val="DefaultParagraphFont"/>
    <w:uiPriority w:val="99"/>
    <w:semiHidden/>
    <w:unhideWhenUsed/>
    <w:rsid w:val="00CB050E"/>
    <w:rPr>
      <w:sz w:val="16"/>
      <w:szCs w:val="16"/>
    </w:rPr>
  </w:style>
  <w:style w:type="paragraph" w:styleId="CommentText">
    <w:name w:val="annotation text"/>
    <w:basedOn w:val="Normal"/>
    <w:link w:val="CommentTextChar"/>
    <w:uiPriority w:val="99"/>
    <w:unhideWhenUsed/>
    <w:rsid w:val="00CB050E"/>
    <w:pPr>
      <w:spacing w:before="100"/>
    </w:pPr>
    <w:rPr>
      <w:rFonts w:asciiTheme="minorHAnsi" w:eastAsiaTheme="minorEastAsia" w:hAnsiTheme="minorHAnsi" w:cstheme="minorBidi"/>
      <w:color w:val="auto"/>
      <w:sz w:val="24"/>
      <w:lang w:val="en-NZ"/>
    </w:rPr>
  </w:style>
  <w:style w:type="character" w:customStyle="1" w:styleId="CommentTextChar">
    <w:name w:val="Comment Text Char"/>
    <w:basedOn w:val="DefaultParagraphFont"/>
    <w:link w:val="CommentText"/>
    <w:uiPriority w:val="99"/>
    <w:rsid w:val="00CB050E"/>
    <w:rPr>
      <w:rFonts w:eastAsiaTheme="minorEastAsia"/>
      <w:sz w:val="24"/>
      <w:szCs w:val="20"/>
      <w:lang w:val="en-NZ"/>
    </w:rPr>
  </w:style>
  <w:style w:type="character" w:styleId="UnresolvedMention">
    <w:name w:val="Unresolved Mention"/>
    <w:basedOn w:val="DefaultParagraphFont"/>
    <w:uiPriority w:val="99"/>
    <w:rsid w:val="00F53F61"/>
    <w:rPr>
      <w:color w:val="605E5C"/>
      <w:shd w:val="clear" w:color="auto" w:fill="E1DFDD"/>
    </w:rPr>
  </w:style>
  <w:style w:type="table" w:styleId="GridTable4-Accent1">
    <w:name w:val="Grid Table 4 Accent 1"/>
    <w:basedOn w:val="TableNormal"/>
    <w:uiPriority w:val="49"/>
    <w:rsid w:val="00BC78CD"/>
    <w:pPr>
      <w:spacing w:before="100" w:after="0" w:line="240" w:lineRule="auto"/>
    </w:pPr>
    <w:rPr>
      <w:rFonts w:eastAsiaTheme="minorEastAsia"/>
      <w:sz w:val="20"/>
      <w:szCs w:val="20"/>
      <w:lang w:val="en-NZ"/>
    </w:rPr>
    <w:tblPr>
      <w:tblStyleRowBandSize w:val="1"/>
      <w:tblStyleColBandSize w:val="1"/>
      <w:tblBorders>
        <w:top w:val="single" w:sz="4" w:space="0" w:color="48ADFF" w:themeColor="accent1" w:themeTint="99"/>
        <w:left w:val="single" w:sz="4" w:space="0" w:color="48ADFF" w:themeColor="accent1" w:themeTint="99"/>
        <w:bottom w:val="single" w:sz="4" w:space="0" w:color="48ADFF" w:themeColor="accent1" w:themeTint="99"/>
        <w:right w:val="single" w:sz="4" w:space="0" w:color="48ADFF" w:themeColor="accent1" w:themeTint="99"/>
        <w:insideH w:val="single" w:sz="4" w:space="0" w:color="48ADFF" w:themeColor="accent1" w:themeTint="99"/>
        <w:insideV w:val="single" w:sz="4" w:space="0" w:color="48ADFF" w:themeColor="accent1" w:themeTint="99"/>
      </w:tblBorders>
    </w:tblPr>
    <w:tblStylePr w:type="firstRow">
      <w:rPr>
        <w:b/>
        <w:bCs/>
        <w:color w:val="FFFFFF" w:themeColor="background1"/>
      </w:rPr>
      <w:tblPr/>
      <w:tcPr>
        <w:tcBorders>
          <w:top w:val="single" w:sz="4" w:space="0" w:color="0072CE" w:themeColor="accent1"/>
          <w:left w:val="single" w:sz="4" w:space="0" w:color="0072CE" w:themeColor="accent1"/>
          <w:bottom w:val="single" w:sz="4" w:space="0" w:color="0072CE" w:themeColor="accent1"/>
          <w:right w:val="single" w:sz="4" w:space="0" w:color="0072CE" w:themeColor="accent1"/>
          <w:insideH w:val="nil"/>
          <w:insideV w:val="nil"/>
        </w:tcBorders>
        <w:shd w:val="clear" w:color="auto" w:fill="0072CE" w:themeFill="accent1"/>
      </w:tcPr>
    </w:tblStylePr>
    <w:tblStylePr w:type="lastRow">
      <w:rPr>
        <w:b/>
        <w:bCs/>
      </w:rPr>
      <w:tblPr/>
      <w:tcPr>
        <w:tcBorders>
          <w:top w:val="double" w:sz="4" w:space="0" w:color="0072CE" w:themeColor="accent1"/>
        </w:tcBorders>
      </w:tcPr>
    </w:tblStylePr>
    <w:tblStylePr w:type="firstCol">
      <w:rPr>
        <w:b/>
        <w:bCs/>
      </w:rPr>
    </w:tblStylePr>
    <w:tblStylePr w:type="lastCol">
      <w:rPr>
        <w:b/>
        <w:bCs/>
      </w:rPr>
    </w:tblStylePr>
    <w:tblStylePr w:type="band1Vert">
      <w:tblPr/>
      <w:tcPr>
        <w:shd w:val="clear" w:color="auto" w:fill="C2E3FF" w:themeFill="accent1" w:themeFillTint="33"/>
      </w:tcPr>
    </w:tblStylePr>
    <w:tblStylePr w:type="band1Horz">
      <w:tblPr/>
      <w:tcPr>
        <w:shd w:val="clear" w:color="auto" w:fill="C2E3FF" w:themeFill="accent1" w:themeFillTint="33"/>
      </w:tcPr>
    </w:tblStylePr>
  </w:style>
  <w:style w:type="character" w:styleId="Emphasis">
    <w:name w:val="Emphasis"/>
    <w:basedOn w:val="DefaultParagraphFont"/>
    <w:uiPriority w:val="20"/>
    <w:qFormat/>
    <w:rsid w:val="00F00A0F"/>
    <w:rPr>
      <w:i/>
      <w:iCs/>
    </w:rPr>
  </w:style>
  <w:style w:type="paragraph" w:styleId="BodyText">
    <w:name w:val="Body Text"/>
    <w:basedOn w:val="Normal"/>
    <w:link w:val="BodyTextChar"/>
    <w:uiPriority w:val="99"/>
    <w:unhideWhenUsed/>
    <w:rsid w:val="00F00A0F"/>
    <w:pPr>
      <w:spacing w:before="0" w:after="120"/>
    </w:pPr>
    <w:rPr>
      <w:rFonts w:eastAsiaTheme="minorHAnsi" w:cs="Arial"/>
      <w:color w:val="auto"/>
      <w:sz w:val="22"/>
      <w:szCs w:val="22"/>
    </w:rPr>
  </w:style>
  <w:style w:type="character" w:customStyle="1" w:styleId="BodyTextChar">
    <w:name w:val="Body Text Char"/>
    <w:basedOn w:val="DefaultParagraphFont"/>
    <w:link w:val="BodyText"/>
    <w:uiPriority w:val="99"/>
    <w:rsid w:val="00F00A0F"/>
    <w:rPr>
      <w:rFonts w:ascii="Arial" w:hAnsi="Arial" w:cs="Arial"/>
    </w:rPr>
  </w:style>
  <w:style w:type="paragraph" w:styleId="NoSpacing">
    <w:name w:val="No Spacing"/>
    <w:uiPriority w:val="1"/>
    <w:qFormat/>
    <w:rsid w:val="00F00A0F"/>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888850">
      <w:bodyDiv w:val="1"/>
      <w:marLeft w:val="0"/>
      <w:marRight w:val="0"/>
      <w:marTop w:val="0"/>
      <w:marBottom w:val="0"/>
      <w:divBdr>
        <w:top w:val="none" w:sz="0" w:space="0" w:color="auto"/>
        <w:left w:val="none" w:sz="0" w:space="0" w:color="auto"/>
        <w:bottom w:val="none" w:sz="0" w:space="0" w:color="auto"/>
        <w:right w:val="none" w:sz="0" w:space="0" w:color="auto"/>
      </w:divBdr>
    </w:div>
    <w:div w:id="16751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arthresources.vic.gov.au/" TargetMode="External"/><Relationship Id="rId26" Type="http://schemas.openxmlformats.org/officeDocument/2006/relationships/hyperlink" Target="http://www.jorc.org" TargetMode="External"/><Relationship Id="rId3" Type="http://schemas.openxmlformats.org/officeDocument/2006/relationships/customXml" Target="../customXml/item3.xml"/><Relationship Id="rId21" Type="http://schemas.openxmlformats.org/officeDocument/2006/relationships/hyperlink" Target="https://www.asx.com.au/regulation/rules/asx-listing-rules.ht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jorc.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gazette.vic.gov.au/gazette/Gazettes2019/GG2019G028.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gazette.vic.gov.au/gazette/Gazettes2019/GG2019G028.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sx.com.au" TargetMode="External"/><Relationship Id="rId28" Type="http://schemas.openxmlformats.org/officeDocument/2006/relationships/hyperlink" Target="https://www.osc.gov.on.ca/en/15019.htm" TargetMode="External"/><Relationship Id="rId10" Type="http://schemas.openxmlformats.org/officeDocument/2006/relationships/endnotes" Target="endnotes.xml"/><Relationship Id="rId19" Type="http://schemas.openxmlformats.org/officeDocument/2006/relationships/hyperlink" Target="http://www.jorc.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jorc.org" TargetMode="External"/><Relationship Id="rId27" Type="http://schemas.openxmlformats.org/officeDocument/2006/relationships/hyperlink" Target="http://www.jorc.org/docs/JORC_code_2012.pdf" TargetMode="Externa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f7222e-fc4c-4ce1-b1e8-25c6cb89d836">
      <UserInfo>
        <DisplayName>Melanie Phillips (DJPR)</DisplayName>
        <AccountId>26</AccountId>
        <AccountType/>
      </UserInfo>
      <UserInfo>
        <DisplayName>Stephen Arnott (DJPR)</DisplayName>
        <AccountId>129</AccountId>
        <AccountType/>
      </UserInfo>
      <UserInfo>
        <DisplayName>Lydia X Gifford (DJPR)</DisplayName>
        <AccountId>57</AccountId>
        <AccountType/>
      </UserInfo>
      <UserInfo>
        <DisplayName>Laura Helm (DJPR)</DisplayName>
        <AccountId>46</AccountId>
        <AccountType/>
      </UserInfo>
      <UserInfo>
        <DisplayName>Paul A McDonald (DJPR)</DisplayName>
        <AccountId>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E000310E5B95459B92A7AE0D496D63" ma:contentTypeVersion="13" ma:contentTypeDescription="Create a new document." ma:contentTypeScope="" ma:versionID="869dd9373b120a2eb8b2b25f98de24ac">
  <xsd:schema xmlns:xsd="http://www.w3.org/2001/XMLSchema" xmlns:xs="http://www.w3.org/2001/XMLSchema" xmlns:p="http://schemas.microsoft.com/office/2006/metadata/properties" xmlns:ns3="d8f7222e-fc4c-4ce1-b1e8-25c6cb89d836" xmlns:ns4="9d8f54ab-6009-4e0e-9cd9-41c43f15f740" targetNamespace="http://schemas.microsoft.com/office/2006/metadata/properties" ma:root="true" ma:fieldsID="a68d50f8793cce097dbc1b6f09b15858" ns3:_="" ns4:_="">
    <xsd:import namespace="d8f7222e-fc4c-4ce1-b1e8-25c6cb89d836"/>
    <xsd:import namespace="9d8f54ab-6009-4e0e-9cd9-41c43f15f7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f7222e-fc4c-4ce1-b1e8-25c6cb89d83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f54ab-6009-4e0e-9cd9-41c43f15f7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4CA2A-DF06-45F1-94E4-4008FC91394C}">
  <ds:schemaRefs>
    <ds:schemaRef ds:uri="http://purl.org/dc/terms/"/>
    <ds:schemaRef ds:uri="http://schemas.microsoft.com/office/2006/documentManagement/types"/>
    <ds:schemaRef ds:uri="9d8f54ab-6009-4e0e-9cd9-41c43f15f740"/>
    <ds:schemaRef ds:uri="http://schemas.openxmlformats.org/package/2006/metadata/core-properties"/>
    <ds:schemaRef ds:uri="http://purl.org/dc/elements/1.1/"/>
    <ds:schemaRef ds:uri="http://schemas.microsoft.com/office/infopath/2007/PartnerControls"/>
    <ds:schemaRef ds:uri="d8f7222e-fc4c-4ce1-b1e8-25c6cb89d836"/>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2B81A2E-FC32-47B5-B0F4-C2F7CD9DAE47}">
  <ds:schemaRefs>
    <ds:schemaRef ds:uri="http://schemas.microsoft.com/sharepoint/v3/contenttype/forms"/>
  </ds:schemaRefs>
</ds:datastoreItem>
</file>

<file path=customXml/itemProps3.xml><?xml version="1.0" encoding="utf-8"?>
<ds:datastoreItem xmlns:ds="http://schemas.openxmlformats.org/officeDocument/2006/customXml" ds:itemID="{45E51CB4-C1C3-40ED-82F3-B3E3966AB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f7222e-fc4c-4ce1-b1e8-25c6cb89d836"/>
    <ds:schemaRef ds:uri="9d8f54ab-6009-4e0e-9cd9-41c43f15f7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28B49-DDC3-412C-9B6B-C31C8723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E McRae (DJPR)</dc:creator>
  <cp:lastModifiedBy>Bruce R Jenkins (DJPR)</cp:lastModifiedBy>
  <cp:revision>3</cp:revision>
  <dcterms:created xsi:type="dcterms:W3CDTF">2021-01-04T01:30:00Z</dcterms:created>
  <dcterms:modified xsi:type="dcterms:W3CDTF">2021-01-04T01:32:00Z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0x01010080E000310E5B95459B92A7AE0D496D63</vt:lpwstr>
  </property>
  <property fmtid="{D5CDD505-2E9C-101B-9397-08002B2CF9AE}" pid="3" name="DEDJTRDivision">
    <vt:lpwstr>4;#Stakeholder Communications and Channels|83c7d14a-c7cb-45bb-a228-f81f6acaecb1</vt:lpwstr>
  </property>
  <property fmtid="{D5CDD505-2E9C-101B-9397-08002B2CF9AE}" pid="4" name="DEDJTRBranch">
    <vt:lpwstr/>
  </property>
  <property fmtid="{D5CDD505-2E9C-101B-9397-08002B2CF9AE}" pid="5" name="DEDJTRSection">
    <vt:lpwstr/>
  </property>
  <property fmtid="{D5CDD505-2E9C-101B-9397-08002B2CF9AE}" pid="6" name="DEDJTRSecurityClassification">
    <vt:lpwstr/>
  </property>
  <property fmtid="{D5CDD505-2E9C-101B-9397-08002B2CF9AE}" pid="7" name="DEDJTRGroup">
    <vt:lpwstr>2;#Strategy and Planning|0cf017f1-1cbd-486e-a3c6-1c81634bf8fc</vt:lpwstr>
  </property>
</Properties>
</file>